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60" w:lineRule="exact"/>
        <w:ind w:left="0" w:leftChars="0" w:right="0" w:rightChars="0"/>
        <w:jc w:val="distribute"/>
        <w:textAlignment w:val="auto"/>
        <w:rPr>
          <w:rFonts w:hint="eastAsia" w:ascii="方正小标宋简体" w:eastAsia="方正小标宋简体"/>
          <w:color w:val="FF0000"/>
          <w:w w:val="65"/>
          <w:sz w:val="134"/>
          <w:szCs w:val="134"/>
        </w:rPr>
      </w:pPr>
      <w:r>
        <w:rPr>
          <w:rFonts w:hint="eastAsia" w:ascii="方正小标宋简体" w:eastAsia="方正小标宋简体"/>
          <w:color w:val="FF0000"/>
          <w:spacing w:val="1"/>
          <w:w w:val="59"/>
          <w:kern w:val="0"/>
          <w:sz w:val="126"/>
          <w:szCs w:val="126"/>
          <w:fitText w:val="8191" w:id="0"/>
        </w:rPr>
        <w:t>泗水县教育和体育局文</w:t>
      </w:r>
      <w:r>
        <w:rPr>
          <w:rFonts w:hint="eastAsia" w:ascii="方正小标宋简体" w:eastAsia="方正小标宋简体"/>
          <w:color w:val="FF0000"/>
          <w:spacing w:val="25"/>
          <w:w w:val="59"/>
          <w:kern w:val="0"/>
          <w:sz w:val="126"/>
          <w:szCs w:val="126"/>
          <w:fitText w:val="8191" w:id="0"/>
        </w:rPr>
        <w:t>件</w:t>
      </w:r>
    </w:p>
    <w:p>
      <w:pPr>
        <w:jc w:val="center"/>
        <w:rPr>
          <w:rFonts w:hint="eastAsia" w:ascii="t" w:hAnsi="t" w:eastAsia="仿宋_GB2312"/>
          <w:sz w:val="32"/>
        </w:rPr>
      </w:pPr>
    </w:p>
    <w:p>
      <w:pPr>
        <w:jc w:val="center"/>
        <w:rPr>
          <w:rFonts w:hint="eastAsia" w:ascii="t" w:hAnsi="t" w:eastAsia="仿宋_GB2312"/>
          <w:spacing w:val="20"/>
          <w:sz w:val="32"/>
        </w:rPr>
      </w:pPr>
      <w:r>
        <w:rPr>
          <w:rFonts w:hint="eastAsia" w:ascii="t" w:hAnsi="t" w:eastAsia="仿宋_GB2312"/>
          <w:sz w:val="32"/>
        </w:rPr>
        <w:t>泗教体字〔20</w:t>
      </w:r>
      <w:r>
        <w:rPr>
          <w:rFonts w:hint="eastAsia" w:ascii="t" w:hAnsi="t" w:eastAsia="仿宋_GB2312"/>
          <w:sz w:val="32"/>
          <w:lang w:val="en-US" w:eastAsia="zh-CN"/>
        </w:rPr>
        <w:t>2</w:t>
      </w:r>
      <w:r>
        <w:rPr>
          <w:rFonts w:hint="eastAsia" w:ascii="t" w:hAnsi="t"/>
          <w:sz w:val="32"/>
          <w:lang w:val="en-US" w:eastAsia="zh-CN"/>
        </w:rPr>
        <w:t>2</w:t>
      </w:r>
      <w:r>
        <w:rPr>
          <w:rFonts w:hint="eastAsia" w:ascii="t" w:hAnsi="t" w:eastAsia="仿宋_GB2312"/>
          <w:sz w:val="32"/>
        </w:rPr>
        <w:t>〕</w:t>
      </w:r>
      <w:r>
        <w:rPr>
          <w:rFonts w:hint="eastAsia" w:ascii="t" w:hAnsi="t"/>
          <w:sz w:val="32"/>
          <w:lang w:val="en-US" w:eastAsia="zh-CN"/>
        </w:rPr>
        <w:t xml:space="preserve">26 </w:t>
      </w:r>
      <w:r>
        <w:rPr>
          <w:rFonts w:hint="eastAsia" w:ascii="t" w:hAnsi="t" w:eastAsia="仿宋_GB2312"/>
          <w:sz w:val="32"/>
        </w:rPr>
        <w:t>号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" w:hAnsi="t"/>
          <w:b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26670</wp:posOffset>
                </wp:positionV>
                <wp:extent cx="5290820" cy="16510"/>
                <wp:effectExtent l="0" t="7620" r="508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.1pt;height:1.3pt;width:416.6pt;z-index:251659264;mso-width-relative:page;mso-height-relative:page;" filled="f" stroked="t" coordsize="21600,21600" o:gfxdata="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niC+jUAAAABQEAAA8A&#10;AAAAAAAAAQAgAAAAIgAAAGRycy9kb3ducmV2LnhtbFBLAQIUABQAAAAIAIdO4kDVpdXJ4gEAAKUD&#10;AAAOAAAAAAAAAAEAIAAAACMBAABkcnMvZTJvRG9jLnhtbFBLBQYAAAAABgAGAFkBAAB3BQAAAAA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 w:bidi="ar-SA"/>
        </w:rPr>
        <w:t>关于建立全县中小学、幼儿园责任督学挂牌督导制度的通知</w:t>
      </w:r>
    </w:p>
    <w:p>
      <w:pPr>
        <w:bidi w:val="0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各镇街学区、初级中学，县直各学校，局各科室，直属事业单位：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为贯彻国务院教育督导委员会办公室《关于印发中小学校责任督学挂牌督导办法的通知》(国教督办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〔2013〕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2号)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教育部《关于印发幼儿园责任督学挂牌督导办法的通知》(教督〔2019〕3号)和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《山东省教育督导责任区管理办法》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政府教育督导室决定建立全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中小学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幼儿园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责任督学挂牌督导制度。现将有关事项通知如下：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为认真贯彻落实《深化新时代教育督导体制机制改革的意见》，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加强经常性教育督导，形成经常性督导与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专项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督导相结合的教育督导工作机制，充分发挥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责任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督学的作用，规范中小学校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幼儿园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办学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行为，提高教育质量，推动教育事业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高质量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二、督学责任区划分及挂牌要求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为便于开展工作，将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全县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中小学校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幼儿园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划分为若干个督学责任区（见附件1），配备责任督学，并按照统一规格（标牌的具体规格标准另发）制作责任督学标牌，标明责任督学姓名、督导事项和投诉联系电话，在校门口显著位置予以公布。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三、责任督学的基本职责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（一）对学校教育教学、规范办学行为等情况实施督导和内部视导；推广先进理念和经验，指导学校按教育规律办学。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（二）对群众反映的教育热点、难点等重大问题实施督导。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（三）对学校安全管理工作进行检查指导，确保学校安全稳定。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（四）对严重影响教育教学秩序、师生安全或者损害师生合法权益的，及时督促处理并报告县政府教育督导室。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（五）及时向县政府教育督导室反馈督导情况，提交督导报告。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（六）开展调查研究，为教育决策提供咨询，提出建议；参与研究制定教育督导政策和文件。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（七）配合完成教育质量监测工作。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四、责任督学实施经常性督导的主要内容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（一）校（园）务管理、制度建设及执行情况。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（二）学校课程开设和课堂教学、幼儿园有无“保姆化”“小学化”倾向等情况。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（三）学生行为习惯养成、体育锻炼、五项管理和“双减”政策落实情况。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（四）教师师德和专业发展情况。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（五）校园及周边安全、学生交通安全及管理情况。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（六）食堂、食品、饮水及宿舍卫生和管理情况。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（七）受理、核实相关举报和投诉。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（八）对学校（幼儿园）存在重点、难点、热点问题进行调查研究，提出改进意见和建议，并负责协助解决，督促整改。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（九）每学期开学初，对督导责任区内的学校进行春、秋季开学专项督导。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（十）每年根据局党组工作安排，适时进行“一事一派”专项督导。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（十一）完成县政府教育督导室交办的其他工作。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五、责任督学的工作程序和工作要求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（一）责任督学入校工作程序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责任督学到学校督导一般按下列程序进行：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1.向被督导单位出示督学证，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说明督导目的和程序，对被督导单位提出工作要求。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2.依法依规了解情况。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3.认真填写督导记录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（见附件2）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，撰写督导评估报告。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4.向被督导中小学校、幼儿园反馈相关督导意见。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5.督导结束后，责任区督学对督导中发现的问题，列出问题清单，及时向县政府教育督导室报告督导情况并提交督导评估报告，限期对被督导中小学校（幼儿园）整改情况进行回访督导。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（二）责任督学工作要求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1.责任督学对责任区内中小学校（幼儿园）实施督导每月应不少于2次，每次督导时间应不少于半天，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视情况可随时对学校进行督导。经常性督导应当有2名责任督学同时参加。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2.责任督学要坚持常规督导与重点督导相结合。常规督导包括随机听课、查阅资料、座谈走访、问卷调查、校园巡视、列席有关会议等。重点督导包括对指定中小学校（幼儿园）在办学过程中所面临的热点、难点和群众反映强烈的问题，所开展的专项督导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责任督学要依法督导，客观公正，廉洁自律。不得接受被督导中小学校吃请和礼物，不得接受被督导中小学校安排的娱乐活动或旅游项目，不得在被督导中小学校领取和报销任何费用，不得实施与责任督学职责和身份不符的行为，不得擅自公开需要依法保密或暂未公开的学校和相关个人信息；对有可能影响公正督导的状况要及时纠正或实行回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  <w:lang w:eastAsia="zh-CN"/>
        </w:rPr>
        <w:t>六</w:t>
      </w: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学校要为责任督学顺利开展工作提供必要的条件，接受责任督学的监督和指导，按要求提供情况和进行整改。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政府教育督导室对拒绝、阻挠责任督学依法实施经常性督导和不按要求整改的学校，予以通报批评并责令改正；对学校主要负责人和其它责任人员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根据《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教育督导问责办法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提出处理建议。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Toc9283_WPSOffice_Level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附件：1.</w:t>
      </w:r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泗水县中小学（幼儿园）责任督学一览表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1600" w:firstLineChars="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" w:name="_Toc22137_WPSOffice_Level1"/>
      <w:r>
        <w:rPr>
          <w:rFonts w:hint="eastAsia" w:ascii="方正仿宋简体" w:hAnsi="方正仿宋简体" w:eastAsia="方正仿宋简体" w:cs="方正仿宋简体"/>
          <w:sz w:val="32"/>
          <w:szCs w:val="32"/>
        </w:rPr>
        <w:t>2.</w:t>
      </w:r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泗水县责任督学工作纪实表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1600" w:firstLineChars="5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泗水县教育督导整改通知书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泗水县教育和体育局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黑体" w:hAnsi="宋体" w:eastAsia="黑体"/>
          <w:b/>
          <w:sz w:val="32"/>
          <w:szCs w:val="32"/>
          <w:lang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泗水县中小学（幼儿园）责任督学一览表</w:t>
      </w:r>
    </w:p>
    <w:tbl>
      <w:tblPr>
        <w:tblStyle w:val="11"/>
        <w:tblpPr w:leftFromText="180" w:rightFromText="180" w:vertAnchor="text" w:horzAnchor="page" w:tblpX="2061" w:tblpY="307"/>
        <w:tblOverlap w:val="never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826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责任区与责任领导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责任督学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第一责任区杨位涛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张理营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伊鹏 南尚龙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刘桂来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孙彦 李玉峰 陈牧 苏元金 苗平 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泗城中心学校、职业中专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高万里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宫美玲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张伟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阳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圣水峪学区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刘国强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张辉 张爱民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实验中学、实验小学教育集团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第二责任区程虎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魏启龙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雷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夏文青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康涛 于丽娜 魏鹏 任超 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泉林学区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尤继朴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宋西同 巩学庆 乔海坤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杨丽华 宋霞 宋宝太 单继荣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一中、泗张学区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李超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高宇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龙城中学、特殊教育学校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杜娟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张若梅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龙城小学、博士源小学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第三责任区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李长占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张新华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步祥森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司峰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王晓霞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金庄学区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陈西锟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刘芮 曹玉春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杨柳学区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黄磊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彬 相卫鹏 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柘沟学区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于丁一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李丽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实验幼儿园教育集团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第四责任区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杰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楠  周涛 李洋 潘企</w:t>
            </w:r>
            <w:bookmarkStart w:id="2" w:name="_GoBack"/>
            <w:bookmarkEnd w:id="2"/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苗馆学区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贾兆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彬  王刚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丁方晶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李兆贺 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星村学区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尚存军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董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科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王建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冯振举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华村学区、竞技体育学校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于敏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3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洙泗小学教育集团、龙城幼儿园教育集团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第五责任区孙献青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孟宪洋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马冬青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王朝刚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王恒基 季晓龙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峰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二中、子路学区、洙泗中学教育集团、福临城幼儿园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王兴涛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李飞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尹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娟 孔艳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宫修果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中册学区、育才实验学校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侯隽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杜洁  赵业青 张体国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高峪学区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default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</w:t>
      </w:r>
    </w:p>
    <w:p>
      <w:pPr>
        <w:pStyle w:val="5"/>
        <w:spacing w:line="50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泗水县责任督学工作纪实表</w:t>
      </w:r>
    </w:p>
    <w:p>
      <w:pPr>
        <w:pStyle w:val="5"/>
        <w:spacing w:line="5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日期：                     被督导单位：</w:t>
      </w:r>
    </w:p>
    <w:tbl>
      <w:tblPr>
        <w:tblStyle w:val="1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3" w:hRule="atLeast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督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导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</w:t>
            </w:r>
          </w:p>
        </w:tc>
        <w:tc>
          <w:tcPr>
            <w:tcW w:w="7888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</w:trPr>
        <w:tc>
          <w:tcPr>
            <w:tcW w:w="64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问题与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建议</w:t>
            </w:r>
          </w:p>
        </w:tc>
        <w:tc>
          <w:tcPr>
            <w:tcW w:w="7888" w:type="dxa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宋体" w:eastAsia="黑体"/>
          <w:b/>
          <w:sz w:val="32"/>
          <w:szCs w:val="32"/>
        </w:rPr>
      </w:pPr>
    </w:p>
    <w:p>
      <w:pPr>
        <w:rPr>
          <w:rFonts w:hint="eastAsia" w:ascii="黑体" w:hAnsi="宋体" w:eastAsia="黑体"/>
          <w:b/>
          <w:sz w:val="32"/>
          <w:szCs w:val="32"/>
          <w:lang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泗水县教育督导整改通知书</w:t>
      </w:r>
    </w:p>
    <w:p>
      <w:pPr>
        <w:spacing w:line="460" w:lineRule="exact"/>
        <w:ind w:right="600" w:firstLine="2048" w:firstLineChars="850"/>
        <w:rPr>
          <w:rFonts w:hint="eastAsia" w:ascii="仿宋_GB2312"/>
          <w:b/>
          <w:sz w:val="24"/>
        </w:rPr>
      </w:pPr>
    </w:p>
    <w:p>
      <w:pPr>
        <w:spacing w:line="460" w:lineRule="exact"/>
        <w:ind w:right="600" w:firstLine="967" w:firstLineChars="344"/>
        <w:rPr>
          <w:rFonts w:hint="eastAsia" w:ascii="仿宋_GB2312"/>
          <w:b/>
          <w:sz w:val="28"/>
          <w:szCs w:val="28"/>
          <w:u w:val="single"/>
        </w:rPr>
      </w:pPr>
      <w:r>
        <w:rPr>
          <w:rFonts w:hint="eastAsia" w:ascii="仿宋_GB2312"/>
          <w:b/>
          <w:sz w:val="28"/>
          <w:szCs w:val="28"/>
        </w:rPr>
        <w:t>责任区：</w:t>
      </w:r>
      <w:r>
        <w:rPr>
          <w:rFonts w:hint="eastAsia" w:ascii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/>
          <w:b/>
          <w:sz w:val="28"/>
          <w:szCs w:val="28"/>
        </w:rPr>
        <w:t xml:space="preserve">            通知书编号：</w:t>
      </w:r>
      <w:r>
        <w:rPr>
          <w:rFonts w:hint="eastAsia" w:ascii="仿宋_GB2312"/>
          <w:b/>
          <w:sz w:val="28"/>
          <w:szCs w:val="28"/>
          <w:u w:val="single"/>
        </w:rPr>
        <w:t xml:space="preserve">    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  <w:u w:val="single"/>
        </w:rPr>
      </w:pPr>
      <w:r>
        <w:rPr>
          <w:rFonts w:hint="eastAsia" w:ascii="仿宋_GB2312"/>
          <w:b/>
          <w:sz w:val="28"/>
          <w:szCs w:val="28"/>
        </w:rPr>
        <w:t>学校名称：</w:t>
      </w:r>
      <w:r>
        <w:rPr>
          <w:rFonts w:hint="eastAsia" w:ascii="仿宋_GB2312"/>
          <w:b/>
          <w:sz w:val="28"/>
          <w:szCs w:val="28"/>
          <w:u w:val="single"/>
        </w:rPr>
        <w:t xml:space="preserve">              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需整改内容：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整改期限：    天，下达日期：      年   月   日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督学签名：</w:t>
      </w:r>
    </w:p>
    <w:p>
      <w:pPr>
        <w:ind w:firstLine="645"/>
        <w:rPr>
          <w:rFonts w:hint="eastAsia" w:ascii="仿宋_GB2312"/>
          <w:b/>
          <w:szCs w:val="32"/>
        </w:rPr>
      </w:pPr>
    </w:p>
    <w:p>
      <w:pPr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……………………骑……缝……章……………………</w:t>
      </w:r>
    </w:p>
    <w:p>
      <w:pPr>
        <w:ind w:firstLine="645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泗水县教育督导整改通知书</w:t>
      </w:r>
    </w:p>
    <w:p>
      <w:pPr>
        <w:spacing w:line="460" w:lineRule="exact"/>
        <w:ind w:right="600" w:firstLine="2731" w:firstLineChars="850"/>
        <w:rPr>
          <w:rFonts w:hint="eastAsia" w:ascii="仿宋_GB2312"/>
          <w:b/>
          <w:szCs w:val="21"/>
        </w:rPr>
      </w:pPr>
    </w:p>
    <w:p>
      <w:pPr>
        <w:spacing w:line="460" w:lineRule="exact"/>
        <w:ind w:right="600" w:firstLine="138" w:firstLineChars="49"/>
        <w:rPr>
          <w:rFonts w:hint="eastAsia" w:ascii="仿宋_GB2312"/>
          <w:b/>
          <w:sz w:val="28"/>
          <w:szCs w:val="28"/>
          <w:u w:val="single"/>
        </w:rPr>
      </w:pPr>
      <w:r>
        <w:rPr>
          <w:rFonts w:hint="eastAsia" w:ascii="仿宋_GB2312"/>
          <w:b/>
          <w:sz w:val="28"/>
          <w:szCs w:val="28"/>
        </w:rPr>
        <w:t>责任区：</w:t>
      </w:r>
      <w:r>
        <w:rPr>
          <w:rFonts w:hint="eastAsia" w:ascii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/>
          <w:b/>
          <w:sz w:val="28"/>
          <w:szCs w:val="28"/>
        </w:rPr>
        <w:t xml:space="preserve">                          通知书编号：</w:t>
      </w:r>
      <w:r>
        <w:rPr>
          <w:rFonts w:hint="eastAsia" w:ascii="仿宋_GB2312"/>
          <w:b/>
          <w:sz w:val="28"/>
          <w:szCs w:val="28"/>
          <w:u w:val="single"/>
        </w:rPr>
        <w:t xml:space="preserve">    </w:t>
      </w:r>
    </w:p>
    <w:p>
      <w:pPr>
        <w:spacing w:line="460" w:lineRule="exact"/>
        <w:rPr>
          <w:rFonts w:hint="eastAsia" w:ascii="仿宋_GB2312"/>
          <w:b/>
          <w:sz w:val="28"/>
          <w:szCs w:val="28"/>
          <w:u w:val="single"/>
        </w:rPr>
      </w:pPr>
    </w:p>
    <w:p>
      <w:pPr>
        <w:spacing w:line="460" w:lineRule="exact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仿宋_GB2312"/>
          <w:b/>
          <w:sz w:val="28"/>
          <w:szCs w:val="28"/>
        </w:rPr>
        <w:t>：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经查，你校存在以下问题：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</w:rPr>
        <w:t>对上述问题应采取措施，积极整改，整改情况于本通知书下发</w:t>
      </w:r>
      <w:r>
        <w:rPr>
          <w:rFonts w:hint="eastAsia" w:ascii="仿宋_GB2312"/>
          <w:b/>
          <w:sz w:val="28"/>
          <w:szCs w:val="28"/>
          <w:u w:val="single"/>
        </w:rPr>
        <w:t xml:space="preserve">  </w:t>
      </w:r>
      <w:r>
        <w:rPr>
          <w:rFonts w:hint="eastAsia" w:ascii="仿宋_GB2312"/>
          <w:b/>
          <w:sz w:val="28"/>
          <w:szCs w:val="28"/>
        </w:rPr>
        <w:t>日内书面报局督导室。</w:t>
      </w:r>
    </w:p>
    <w:p>
      <w:pPr>
        <w:spacing w:line="460" w:lineRule="exact"/>
        <w:ind w:firstLine="645"/>
        <w:rPr>
          <w:rFonts w:hint="eastAsia" w:ascii="仿宋_GB2312"/>
          <w:b/>
          <w:sz w:val="28"/>
          <w:szCs w:val="28"/>
        </w:rPr>
      </w:pPr>
    </w:p>
    <w:p>
      <w:pPr>
        <w:spacing w:line="460" w:lineRule="exact"/>
        <w:ind w:right="640" w:firstLine="5622" w:firstLineChars="20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仿宋_GB2312"/>
          <w:b/>
          <w:sz w:val="28"/>
          <w:szCs w:val="28"/>
        </w:rPr>
        <w:t>年   月    日</w:t>
      </w:r>
    </w:p>
    <w:p>
      <w:pPr>
        <w:spacing w:line="40" w:lineRule="exact"/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23590"/>
    <w:rsid w:val="043D0C39"/>
    <w:rsid w:val="0C310ED1"/>
    <w:rsid w:val="0D912253"/>
    <w:rsid w:val="13823590"/>
    <w:rsid w:val="155A065F"/>
    <w:rsid w:val="22A37BDC"/>
    <w:rsid w:val="28606BD2"/>
    <w:rsid w:val="2EB01E92"/>
    <w:rsid w:val="34BE3E03"/>
    <w:rsid w:val="3A0E72E0"/>
    <w:rsid w:val="4367494F"/>
    <w:rsid w:val="4B5C3A0C"/>
    <w:rsid w:val="4FA022CF"/>
    <w:rsid w:val="66011FC1"/>
    <w:rsid w:val="6EA9230C"/>
    <w:rsid w:val="7E7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link w:val="9"/>
    <w:semiHidden/>
    <w:qFormat/>
    <w:uiPriority w:val="0"/>
    <w:rPr>
      <w:sz w:val="24"/>
    </w:rPr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Char Char Char Char"/>
    <w:basedOn w:val="1"/>
    <w:link w:val="8"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2232</Words>
  <Characters>2254</Characters>
  <Lines>0</Lines>
  <Paragraphs>0</Paragraphs>
  <TotalTime>12</TotalTime>
  <ScaleCrop>false</ScaleCrop>
  <LinksUpToDate>false</LinksUpToDate>
  <CharactersWithSpaces>2330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2021-12-31T06:33:00Z</dcterms:created>
  <dc:creator>Administrator</dc:creator>
  <cp:lastModifiedBy>Administrator</cp:lastModifiedBy>
  <cp:lastPrinted>2022-04-15T07:16:00Z</cp:lastPrinted>
  <dcterms:modified xsi:type="dcterms:W3CDTF">2022-05-26T02:13:09Z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9153430A8F614DF0AC399E4C681F67F7</vt:lpwstr>
  </property>
</Properties>
</file>