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泗水县综合行政执法局</w:t>
      </w:r>
    </w:p>
    <w:p>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sz w:val="32"/>
          <w:szCs w:val="32"/>
        </w:rPr>
      </w:pPr>
      <w:r>
        <w:rPr>
          <w:rFonts w:hint="eastAsia"/>
          <w:sz w:val="32"/>
          <w:szCs w:val="32"/>
        </w:rPr>
        <w:t>今年以来，</w:t>
      </w:r>
      <w:r>
        <w:rPr>
          <w:rFonts w:hint="eastAsia"/>
          <w:sz w:val="32"/>
          <w:szCs w:val="32"/>
          <w:lang w:val="en-US" w:eastAsia="zh-CN"/>
        </w:rPr>
        <w:t>泗水县</w:t>
      </w:r>
      <w:r>
        <w:rPr>
          <w:rFonts w:hint="eastAsia"/>
          <w:sz w:val="32"/>
          <w:szCs w:val="32"/>
        </w:rPr>
        <w:t>城市管理行政执法局全面贯彻落实《中华人民共和国政府信息公开条例》和省、市相关文件精神，</w:t>
      </w:r>
      <w:r>
        <w:rPr>
          <w:rFonts w:ascii="仿宋_GB2312" w:hAnsi="微软雅黑" w:eastAsia="仿宋_GB2312" w:cs="仿宋_GB2312"/>
          <w:i w:val="0"/>
          <w:caps w:val="0"/>
          <w:color w:val="333333"/>
          <w:spacing w:val="0"/>
          <w:sz w:val="32"/>
          <w:szCs w:val="32"/>
          <w:shd w:val="clear" w:fill="FFFFFF"/>
        </w:rPr>
        <w:t>持续深入开展政务公开各项工作</w:t>
      </w:r>
      <w:r>
        <w:rPr>
          <w:rFonts w:hint="eastAsia"/>
          <w:sz w:val="32"/>
          <w:szCs w:val="32"/>
        </w:rPr>
        <w:t>。以“</w:t>
      </w:r>
      <w:r>
        <w:rPr>
          <w:rFonts w:hint="eastAsia"/>
          <w:sz w:val="32"/>
          <w:szCs w:val="32"/>
          <w:lang w:val="en-US" w:eastAsia="zh-CN"/>
        </w:rPr>
        <w:t>人民城管</w:t>
      </w:r>
      <w:r>
        <w:rPr>
          <w:rFonts w:hint="eastAsia"/>
          <w:sz w:val="32"/>
          <w:szCs w:val="32"/>
        </w:rPr>
        <w:t>”</w:t>
      </w:r>
      <w:r>
        <w:rPr>
          <w:rFonts w:hint="eastAsia"/>
          <w:sz w:val="32"/>
          <w:szCs w:val="32"/>
          <w:lang w:val="en-US" w:eastAsia="zh-CN"/>
        </w:rPr>
        <w:t>党建服务品牌</w:t>
      </w:r>
      <w:r>
        <w:rPr>
          <w:rFonts w:hint="eastAsia"/>
          <w:sz w:val="32"/>
          <w:szCs w:val="32"/>
        </w:rPr>
        <w:t>为</w:t>
      </w:r>
      <w:r>
        <w:rPr>
          <w:rFonts w:hint="eastAsia"/>
          <w:sz w:val="32"/>
          <w:szCs w:val="32"/>
          <w:lang w:val="en-US" w:eastAsia="zh-CN"/>
        </w:rPr>
        <w:t>载体</w:t>
      </w:r>
      <w:r>
        <w:rPr>
          <w:rFonts w:hint="eastAsia"/>
          <w:sz w:val="32"/>
          <w:szCs w:val="32"/>
        </w:rPr>
        <w:t>，着力构建程序规范、运转协调、公开透明、便捷高效的政务公开机制，有效的推动了全局整体工作的开展。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（一）组织领导和制度建设情况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sz w:val="32"/>
          <w:szCs w:val="32"/>
          <w:lang w:val="en-US" w:eastAsia="zh-CN"/>
        </w:rPr>
      </w:pPr>
      <w:r>
        <w:rPr>
          <w:rFonts w:hint="default"/>
          <w:sz w:val="32"/>
          <w:szCs w:val="32"/>
          <w:lang w:val="en-US" w:eastAsia="zh-CN"/>
        </w:rPr>
        <w:t>我局将政务公开工作纳入重要议事日程，将人民群众最关注、最需要了解的事项及其办理过程予以公开，通过政务公开为群众排忧解难。坚持统筹安排，层层落实责任，做好宣传教育，强化督促指导</w:t>
      </w:r>
      <w:r>
        <w:rPr>
          <w:rFonts w:hint="eastAsia"/>
          <w:sz w:val="32"/>
          <w:szCs w:val="32"/>
          <w:lang w:val="en-US" w:eastAsia="zh-CN"/>
        </w:rPr>
        <w:t>，在工作中</w:t>
      </w:r>
      <w:r>
        <w:rPr>
          <w:rFonts w:hint="default"/>
          <w:sz w:val="32"/>
          <w:szCs w:val="32"/>
          <w:lang w:val="en-US" w:eastAsia="zh-CN"/>
        </w:rPr>
        <w:t>强化“一把手主抓，分管领导具体抓，责任到科室，落实到专人”的工作机制，把政府信息公开工作分解到具体科室及工作人员，在全局形成一级抓一级、层层抓落实的工作格局</w:t>
      </w:r>
      <w:r>
        <w:rPr>
          <w:rFonts w:hint="eastAsia"/>
          <w:sz w:val="32"/>
          <w:szCs w:val="32"/>
          <w:lang w:val="en-US" w:eastAsia="zh-CN"/>
        </w:rPr>
        <w:t>，</w:t>
      </w:r>
      <w:r>
        <w:rPr>
          <w:rFonts w:hint="default"/>
          <w:sz w:val="32"/>
          <w:szCs w:val="32"/>
          <w:lang w:val="en-US" w:eastAsia="zh-CN"/>
        </w:rPr>
        <w:t>建立领导小组及其工作机构，主要负责同志担负起第一责任人职责，形成党委统一领导，组织部门统筹协调，有关部门密切配合、共同推进的工作格局。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（二）重点领域政府信息公开工作进展情况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cs="仿宋_GB2312"/>
          <w:sz w:val="32"/>
          <w:szCs w:val="32"/>
          <w:lang w:val="en-US" w:eastAsia="zh-CN"/>
        </w:rPr>
      </w:pPr>
      <w:r>
        <w:rPr>
          <w:rFonts w:hint="eastAsia" w:ascii="仿宋_GB2312" w:hAnsi="仿宋_GB2312" w:eastAsia="仿宋_GB2312" w:cs="仿宋_GB2312"/>
          <w:sz w:val="32"/>
          <w:szCs w:val="32"/>
          <w:lang w:val="en-US" w:eastAsia="zh-CN"/>
        </w:rPr>
        <w:t>2020</w:t>
      </w:r>
      <w:r>
        <w:rPr>
          <w:rFonts w:hint="default"/>
          <w:sz w:val="32"/>
          <w:szCs w:val="32"/>
          <w:lang w:val="en-US" w:eastAsia="zh-CN"/>
        </w:rPr>
        <w:t>年，县综合行政执法局在重点领域政府信息主动公开</w:t>
      </w:r>
      <w:r>
        <w:rPr>
          <w:rFonts w:hint="eastAsia" w:ascii="仿宋_GB2312" w:hAnsi="仿宋_GB2312" w:eastAsia="仿宋_GB2312" w:cs="仿宋_GB2312"/>
          <w:sz w:val="32"/>
          <w:szCs w:val="32"/>
          <w:lang w:val="en-US" w:eastAsia="zh-CN"/>
        </w:rPr>
        <w:t>1</w:t>
      </w:r>
      <w:r>
        <w:rPr>
          <w:rFonts w:hint="eastAsia" w:cs="仿宋_GB2312"/>
          <w:sz w:val="32"/>
          <w:szCs w:val="32"/>
          <w:lang w:val="en-US" w:eastAsia="zh-CN"/>
        </w:rPr>
        <w:t>09</w:t>
      </w:r>
      <w:r>
        <w:rPr>
          <w:rFonts w:hint="default" w:ascii="仿宋_GB2312" w:hAnsi="仿宋_GB2312" w:eastAsia="仿宋_GB2312" w:cs="仿宋_GB2312"/>
          <w:sz w:val="32"/>
          <w:szCs w:val="32"/>
          <w:lang w:val="en-US" w:eastAsia="zh-CN"/>
        </w:rPr>
        <w:t>条</w:t>
      </w:r>
      <w:r>
        <w:rPr>
          <w:rFonts w:hint="default"/>
          <w:sz w:val="32"/>
          <w:szCs w:val="32"/>
          <w:lang w:val="en-US" w:eastAsia="zh-CN"/>
        </w:rPr>
        <w:t>，</w:t>
      </w:r>
      <w:r>
        <w:rPr>
          <w:rFonts w:hint="eastAsia"/>
          <w:sz w:val="32"/>
          <w:szCs w:val="32"/>
          <w:lang w:val="en-US" w:eastAsia="zh-CN"/>
        </w:rPr>
        <w:t>其中履职依</w:t>
      </w:r>
      <w:r>
        <w:rPr>
          <w:rFonts w:hint="eastAsia" w:ascii="仿宋_GB2312" w:hAnsi="仿宋_GB2312" w:eastAsia="仿宋_GB2312" w:cs="仿宋_GB2312"/>
          <w:sz w:val="32"/>
          <w:szCs w:val="32"/>
          <w:lang w:val="en-US" w:eastAsia="zh-CN"/>
        </w:rPr>
        <w:t>据</w:t>
      </w:r>
      <w:r>
        <w:rPr>
          <w:rFonts w:hint="eastAsia" w:cs="仿宋_GB2312"/>
          <w:sz w:val="32"/>
          <w:szCs w:val="32"/>
          <w:lang w:val="en-US" w:eastAsia="zh-CN"/>
        </w:rPr>
        <w:t>1</w:t>
      </w:r>
      <w:r>
        <w:rPr>
          <w:rFonts w:hint="eastAsia" w:ascii="仿宋_GB2312" w:hAnsi="仿宋_GB2312" w:eastAsia="仿宋_GB2312" w:cs="仿宋_GB2312"/>
          <w:sz w:val="32"/>
          <w:szCs w:val="32"/>
          <w:lang w:val="en-US" w:eastAsia="zh-CN"/>
        </w:rPr>
        <w:t>条</w:t>
      </w:r>
      <w:r>
        <w:rPr>
          <w:rFonts w:hint="eastAsia"/>
          <w:sz w:val="32"/>
          <w:szCs w:val="32"/>
          <w:lang w:val="en-US" w:eastAsia="zh-CN"/>
        </w:rPr>
        <w:t>，法规文</w:t>
      </w:r>
      <w:r>
        <w:rPr>
          <w:rFonts w:hint="eastAsia" w:ascii="仿宋_GB2312" w:hAnsi="仿宋_GB2312" w:eastAsia="仿宋_GB2312" w:cs="仿宋_GB2312"/>
          <w:sz w:val="32"/>
          <w:szCs w:val="32"/>
          <w:lang w:val="en-US" w:eastAsia="zh-CN"/>
        </w:rPr>
        <w:t>件</w:t>
      </w:r>
      <w:r>
        <w:rPr>
          <w:rFonts w:hint="eastAsia" w:cs="仿宋_GB2312"/>
          <w:sz w:val="32"/>
          <w:szCs w:val="32"/>
          <w:lang w:val="en-US" w:eastAsia="zh-CN"/>
        </w:rPr>
        <w:t>4</w:t>
      </w:r>
      <w:r>
        <w:rPr>
          <w:rFonts w:hint="eastAsia"/>
          <w:sz w:val="32"/>
          <w:szCs w:val="32"/>
          <w:lang w:val="en-US" w:eastAsia="zh-CN"/>
        </w:rPr>
        <w:t>条，机构职能</w:t>
      </w:r>
      <w:r>
        <w:rPr>
          <w:rFonts w:hint="eastAsia" w:ascii="仿宋_GB2312" w:hAnsi="仿宋_GB2312" w:eastAsia="仿宋_GB2312" w:cs="仿宋_GB2312"/>
          <w:sz w:val="32"/>
          <w:szCs w:val="32"/>
          <w:lang w:val="en-US" w:eastAsia="zh-CN"/>
        </w:rPr>
        <w:t>2条，领导信息</w:t>
      </w:r>
      <w:r>
        <w:rPr>
          <w:rFonts w:hint="eastAsia" w:cs="仿宋_GB2312"/>
          <w:sz w:val="32"/>
          <w:szCs w:val="32"/>
          <w:lang w:val="en-US" w:eastAsia="zh-CN"/>
        </w:rPr>
        <w:t>1</w:t>
      </w:r>
      <w:r>
        <w:rPr>
          <w:rFonts w:hint="eastAsia" w:ascii="仿宋_GB2312" w:hAnsi="仿宋_GB2312" w:eastAsia="仿宋_GB2312" w:cs="仿宋_GB2312"/>
          <w:sz w:val="32"/>
          <w:szCs w:val="32"/>
          <w:lang w:val="en-US" w:eastAsia="zh-CN"/>
        </w:rPr>
        <w:t>条，规划计划1条，财政</w:t>
      </w:r>
      <w:r>
        <w:rPr>
          <w:rFonts w:hint="eastAsia" w:cs="仿宋_GB2312"/>
          <w:sz w:val="32"/>
          <w:szCs w:val="32"/>
          <w:lang w:val="en-US" w:eastAsia="zh-CN"/>
        </w:rPr>
        <w:t>信息9</w:t>
      </w:r>
      <w:r>
        <w:rPr>
          <w:rFonts w:hint="eastAsia" w:ascii="仿宋_GB2312" w:hAnsi="仿宋_GB2312" w:eastAsia="仿宋_GB2312" w:cs="仿宋_GB2312"/>
          <w:sz w:val="32"/>
          <w:szCs w:val="32"/>
          <w:lang w:val="en-US" w:eastAsia="zh-CN"/>
        </w:rPr>
        <w:t>条，</w:t>
      </w:r>
      <w:r>
        <w:rPr>
          <w:rFonts w:hint="eastAsia" w:cs="仿宋_GB2312"/>
          <w:sz w:val="32"/>
          <w:szCs w:val="32"/>
          <w:lang w:val="en-US" w:eastAsia="zh-CN"/>
        </w:rPr>
        <w:t>放管服改革信用信息双公示1条，政府工作报告落实及政策执行效果评估2条，组织管理信息公开5条，建议提案办理情况7条，政府开放日信息2条，政府信息公开指南2条。主动公开基本目录1条，行政执法信息事前公示3条，事中公示1条，事后公示39条，双随机一公开专栏公示12条，会议信息公开5条，重大决策预公开1条，五公开信息6条，政策解读1条，基层政务公开标准化规范文件公开1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（三）处理民意受理情况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20</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，我局</w:t>
      </w:r>
      <w:r>
        <w:rPr>
          <w:rFonts w:hint="default" w:ascii="仿宋_GB2312" w:hAnsi="仿宋_GB2312" w:eastAsia="仿宋_GB2312" w:cs="仿宋_GB2312"/>
          <w:sz w:val="32"/>
          <w:szCs w:val="32"/>
          <w:lang w:val="en-US" w:eastAsia="zh-CN"/>
        </w:rPr>
        <w:t>共受理案件1100件，市长公开热线办理案件达1000余件。其中涉及噪音扰民投诉案件达510件，油烟污染投诉案件140件，违法建筑投诉案件47 件，市容环境投诉案件200件，其他咨询案件180余件。</w:t>
      </w:r>
      <w:r>
        <w:rPr>
          <w:rFonts w:hint="eastAsia" w:ascii="仿宋_GB2312" w:hAnsi="仿宋_GB2312" w:eastAsia="仿宋_GB2312" w:cs="仿宋_GB2312"/>
          <w:sz w:val="32"/>
          <w:szCs w:val="32"/>
          <w:lang w:val="en-US" w:eastAsia="zh-CN"/>
        </w:rPr>
        <w:t>条条有处理</w:t>
      </w:r>
      <w:r>
        <w:rPr>
          <w:rFonts w:hint="default" w:ascii="仿宋_GB2312" w:hAnsi="仿宋_GB2312" w:eastAsia="仿宋_GB2312" w:cs="仿宋_GB2312"/>
          <w:sz w:val="32"/>
          <w:szCs w:val="32"/>
          <w:lang w:val="en-US" w:eastAsia="zh-CN"/>
        </w:rPr>
        <w:t>，件件有回音，群众满意度大大提高。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（四）公开制度建设情况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sz w:val="32"/>
          <w:szCs w:val="32"/>
          <w:lang w:val="en-US" w:eastAsia="zh-CN"/>
        </w:rPr>
      </w:pPr>
      <w:r>
        <w:rPr>
          <w:rFonts w:hint="eastAsia"/>
          <w:sz w:val="32"/>
          <w:szCs w:val="32"/>
          <w:lang w:val="en-US" w:eastAsia="zh-CN"/>
        </w:rPr>
        <w:t>政务公开是增强政府公信力和执行力的有效措施，是转变治理模式，建设服务政府的前提，也是推进治理能力现代化的内在要求。我局</w:t>
      </w:r>
      <w:r>
        <w:rPr>
          <w:rFonts w:hint="default"/>
          <w:sz w:val="32"/>
          <w:szCs w:val="32"/>
          <w:lang w:val="en-US" w:eastAsia="zh-CN"/>
        </w:rPr>
        <w:t>高度重视政府信息公开机制的建立健全工作</w:t>
      </w:r>
      <w:r>
        <w:rPr>
          <w:rFonts w:hint="eastAsia"/>
          <w:sz w:val="32"/>
          <w:szCs w:val="32"/>
          <w:lang w:val="en-US" w:eastAsia="zh-CN"/>
        </w:rPr>
        <w:t>。对所要公开的内容进行缜密的梳理和严格的审核，</w:t>
      </w:r>
      <w:r>
        <w:rPr>
          <w:rFonts w:hint="default"/>
          <w:sz w:val="32"/>
          <w:szCs w:val="32"/>
          <w:lang w:val="en-US" w:eastAsia="zh-CN"/>
        </w:rPr>
        <w:t>厘清了需要公开的内容</w:t>
      </w:r>
      <w:r>
        <w:rPr>
          <w:rFonts w:hint="eastAsia"/>
          <w:sz w:val="32"/>
          <w:szCs w:val="32"/>
          <w:lang w:val="en-US" w:eastAsia="zh-CN"/>
        </w:rPr>
        <w:t>，将“五公开”落实到公文和会议办理程序，坚持“以公开为常态，不公开为例外”的工作理念。强化政策解读，将抽象原则的政策，通过生动具体的语言描述出来，便利基层理解和执行。强化政府网站建设，加强网站协同，有效整合资源发挥集群效应，有效的传播政务信息，扩大政务公开的受众面和影响力。</w:t>
      </w:r>
      <w:r>
        <w:rPr>
          <w:rFonts w:hint="default"/>
          <w:sz w:val="32"/>
          <w:szCs w:val="32"/>
          <w:lang w:val="en-US" w:eastAsia="zh-CN"/>
        </w:rPr>
        <w:t>确保全局政务公开工作快速、高效、持续、规范开展。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eastAsia="zh-CN"/>
        </w:rPr>
        <w:t>五</w:t>
      </w:r>
      <w:r>
        <w:rPr>
          <w:rFonts w:hint="default" w:ascii="楷体_GB2312" w:hAnsi="楷体_GB2312" w:eastAsia="楷体_GB2312" w:cs="楷体_GB2312"/>
          <w:sz w:val="32"/>
          <w:szCs w:val="32"/>
          <w:lang w:val="en-US" w:eastAsia="zh-CN"/>
        </w:rPr>
        <w:t>）依申请公开情况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sz w:val="32"/>
          <w:szCs w:val="32"/>
          <w:lang w:val="en-US" w:eastAsia="zh-CN"/>
        </w:rPr>
      </w:pPr>
      <w:r>
        <w:rPr>
          <w:rFonts w:hint="default"/>
          <w:sz w:val="32"/>
          <w:szCs w:val="32"/>
          <w:lang w:val="en-US" w:eastAsia="zh-CN"/>
        </w:rPr>
        <w:t>2020年，我局无依申请公开情况</w:t>
      </w:r>
      <w:r>
        <w:rPr>
          <w:rFonts w:hint="eastAsia"/>
          <w:sz w:val="32"/>
          <w:szCs w:val="32"/>
          <w:lang w:val="en-US" w:eastAsia="zh-CN"/>
        </w:rPr>
        <w:t>，</w:t>
      </w:r>
      <w:r>
        <w:rPr>
          <w:rFonts w:hint="default"/>
          <w:sz w:val="32"/>
          <w:szCs w:val="32"/>
          <w:lang w:val="en-US" w:eastAsia="zh-CN"/>
        </w:rPr>
        <w:t>政府信息公开申请未向申请人收取任何费用。</w:t>
      </w:r>
    </w:p>
    <w:p>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5"/>
        <w:tblW w:w="8145" w:type="dxa"/>
        <w:jc w:val="center"/>
        <w:shd w:val="clear" w:color="auto" w:fill="auto"/>
        <w:tblLayout w:type="autofit"/>
        <w:tblCellMar>
          <w:top w:w="0" w:type="dxa"/>
          <w:left w:w="0" w:type="dxa"/>
          <w:bottom w:w="0" w:type="dxa"/>
          <w:right w:w="0" w:type="dxa"/>
        </w:tblCellMar>
      </w:tblPr>
      <w:tblGrid>
        <w:gridCol w:w="3120"/>
        <w:gridCol w:w="1875"/>
        <w:gridCol w:w="1275"/>
        <w:gridCol w:w="1875"/>
      </w:tblGrid>
      <w:tr>
        <w:tblPrEx>
          <w:tblCellMar>
            <w:top w:w="0" w:type="dxa"/>
            <w:left w:w="0" w:type="dxa"/>
            <w:bottom w:w="0" w:type="dxa"/>
            <w:right w:w="0" w:type="dxa"/>
          </w:tblCellMar>
        </w:tblPrEx>
        <w:trPr>
          <w:trHeight w:val="460" w:hRule="atLeast"/>
          <w:jc w:val="center"/>
        </w:trPr>
        <w:tc>
          <w:tcPr>
            <w:tcW w:w="8145" w:type="dxa"/>
            <w:gridSpan w:val="4"/>
            <w:tcBorders>
              <w:top w:val="single" w:color="auto" w:sz="6" w:space="0"/>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第二十条第（一）项</w:t>
            </w:r>
          </w:p>
        </w:tc>
      </w:tr>
      <w:tr>
        <w:tblPrEx>
          <w:shd w:val="clear" w:color="auto" w:fill="auto"/>
          <w:tblCellMar>
            <w:top w:w="0" w:type="dxa"/>
            <w:left w:w="0" w:type="dxa"/>
            <w:bottom w:w="0" w:type="dxa"/>
            <w:right w:w="0" w:type="dxa"/>
          </w:tblCellMar>
        </w:tblPrEx>
        <w:trPr>
          <w:trHeight w:val="735" w:hRule="atLeast"/>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信息内容</w:t>
            </w:r>
          </w:p>
        </w:tc>
        <w:tc>
          <w:tcPr>
            <w:tcW w:w="18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both"/>
              <w:textAlignment w:val="auto"/>
              <w:rPr>
                <w:color w:val="333333"/>
                <w:sz w:val="24"/>
                <w:szCs w:val="24"/>
              </w:rPr>
            </w:pPr>
            <w:r>
              <w:rPr>
                <w:rFonts w:hint="eastAsia" w:ascii="宋体" w:hAnsi="宋体" w:eastAsia="宋体" w:cs="宋体"/>
                <w:b w:val="0"/>
                <w:color w:val="333333"/>
                <w:sz w:val="19"/>
                <w:szCs w:val="19"/>
              </w:rPr>
              <w:t>本年新制作数量</w:t>
            </w:r>
          </w:p>
        </w:tc>
        <w:tc>
          <w:tcPr>
            <w:tcW w:w="12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本年新公开数量</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对外公开总数量</w:t>
            </w:r>
          </w:p>
        </w:tc>
      </w:tr>
      <w:tr>
        <w:tblPrEx>
          <w:shd w:val="clear" w:color="auto" w:fill="auto"/>
          <w:tblCellMar>
            <w:top w:w="0" w:type="dxa"/>
            <w:left w:w="0" w:type="dxa"/>
            <w:bottom w:w="0" w:type="dxa"/>
            <w:right w:w="0"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left"/>
              <w:textAlignment w:val="auto"/>
              <w:rPr>
                <w:color w:val="333333"/>
                <w:sz w:val="24"/>
                <w:szCs w:val="24"/>
              </w:rPr>
            </w:pPr>
            <w:r>
              <w:rPr>
                <w:rFonts w:hint="eastAsia" w:ascii="宋体" w:hAnsi="宋体" w:eastAsia="宋体" w:cs="宋体"/>
                <w:b w:val="0"/>
                <w:color w:val="333333"/>
                <w:sz w:val="19"/>
                <w:szCs w:val="19"/>
              </w:rPr>
              <w:t>规章</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r>
      <w:tr>
        <w:tblPrEx>
          <w:shd w:val="clear" w:color="auto" w:fill="auto"/>
          <w:tblCellMar>
            <w:top w:w="0" w:type="dxa"/>
            <w:left w:w="0" w:type="dxa"/>
            <w:bottom w:w="0" w:type="dxa"/>
            <w:right w:w="0" w:type="dxa"/>
          </w:tblCellMar>
        </w:tblPrEx>
        <w:trPr>
          <w:trHeight w:val="465" w:hRule="atLeast"/>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left"/>
              <w:textAlignment w:val="auto"/>
              <w:rPr>
                <w:color w:val="333333"/>
                <w:sz w:val="24"/>
                <w:szCs w:val="24"/>
              </w:rPr>
            </w:pPr>
            <w:r>
              <w:rPr>
                <w:rFonts w:hint="eastAsia" w:ascii="宋体" w:hAnsi="宋体" w:eastAsia="宋体" w:cs="宋体"/>
                <w:b w:val="0"/>
                <w:color w:val="333333"/>
                <w:sz w:val="19"/>
                <w:szCs w:val="19"/>
              </w:rPr>
              <w:t>规范性文件</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rFonts w:hint="eastAsia" w:eastAsiaTheme="minorEastAsia"/>
                <w:color w:val="333333"/>
                <w:sz w:val="24"/>
                <w:szCs w:val="24"/>
                <w:lang w:eastAsia="zh-CN"/>
              </w:rPr>
            </w:pPr>
            <w:r>
              <w:rPr>
                <w:rFonts w:hint="eastAsia" w:ascii="宋体" w:hAnsi="宋体" w:eastAsia="宋体" w:cs="宋体"/>
                <w:b w:val="0"/>
                <w:color w:val="333333"/>
                <w:sz w:val="19"/>
                <w:szCs w:val="19"/>
                <w:lang w:val="en-US" w:eastAsia="zh-CN"/>
              </w:rPr>
              <w:t>0</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rFonts w:hint="eastAsia" w:eastAsiaTheme="minorEastAsia"/>
                <w:color w:val="333333"/>
                <w:sz w:val="24"/>
                <w:szCs w:val="24"/>
                <w:lang w:eastAsia="zh-CN"/>
              </w:rPr>
            </w:pPr>
            <w:r>
              <w:rPr>
                <w:rFonts w:hint="eastAsia" w:ascii="宋体" w:hAnsi="宋体" w:eastAsia="宋体" w:cs="宋体"/>
                <w:b w:val="0"/>
                <w:color w:val="333333"/>
                <w:sz w:val="19"/>
                <w:szCs w:val="19"/>
                <w:lang w:val="en-US" w:eastAsia="zh-CN"/>
              </w:rPr>
              <w:t>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rFonts w:hint="eastAsia" w:eastAsia="宋体"/>
                <w:color w:val="333333"/>
                <w:sz w:val="24"/>
                <w:szCs w:val="24"/>
                <w:lang w:eastAsia="zh-CN"/>
              </w:rPr>
            </w:pPr>
            <w:r>
              <w:rPr>
                <w:rFonts w:hint="eastAsia" w:ascii="宋体" w:hAnsi="宋体" w:eastAsia="宋体" w:cs="宋体"/>
                <w:b w:val="0"/>
                <w:color w:val="333333"/>
                <w:sz w:val="19"/>
                <w:szCs w:val="19"/>
                <w:lang w:val="en-US" w:eastAsia="zh-CN"/>
              </w:rPr>
              <w:t>0</w:t>
            </w:r>
          </w:p>
        </w:tc>
      </w:tr>
      <w:tr>
        <w:tblPrEx>
          <w:tblCellMar>
            <w:top w:w="0" w:type="dxa"/>
            <w:left w:w="0" w:type="dxa"/>
            <w:bottom w:w="0" w:type="dxa"/>
            <w:right w:w="0"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第二十条第（五）项</w:t>
            </w:r>
          </w:p>
        </w:tc>
      </w:tr>
      <w:tr>
        <w:tblPrEx>
          <w:shd w:val="clear" w:color="auto" w:fill="auto"/>
          <w:tblCellMar>
            <w:top w:w="0" w:type="dxa"/>
            <w:left w:w="0" w:type="dxa"/>
            <w:bottom w:w="0" w:type="dxa"/>
            <w:right w:w="0"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信息内容</w:t>
            </w:r>
          </w:p>
        </w:tc>
        <w:tc>
          <w:tcPr>
            <w:tcW w:w="18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上一年项目数量</w:t>
            </w:r>
          </w:p>
        </w:tc>
        <w:tc>
          <w:tcPr>
            <w:tcW w:w="12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本年增/减</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处理决定数量</w:t>
            </w:r>
          </w:p>
        </w:tc>
      </w:tr>
      <w:tr>
        <w:tblPrEx>
          <w:shd w:val="clear" w:color="auto" w:fill="auto"/>
          <w:tblCellMar>
            <w:top w:w="0" w:type="dxa"/>
            <w:left w:w="0" w:type="dxa"/>
            <w:bottom w:w="0" w:type="dxa"/>
            <w:right w:w="0"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left"/>
              <w:textAlignment w:val="auto"/>
              <w:rPr>
                <w:color w:val="333333"/>
                <w:sz w:val="24"/>
                <w:szCs w:val="24"/>
              </w:rPr>
            </w:pPr>
            <w:r>
              <w:rPr>
                <w:rFonts w:hint="eastAsia" w:ascii="宋体" w:hAnsi="宋体" w:eastAsia="宋体" w:cs="宋体"/>
                <w:b w:val="0"/>
                <w:color w:val="333333"/>
                <w:sz w:val="19"/>
                <w:szCs w:val="19"/>
              </w:rPr>
              <w:t>行政许可</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eastAsia="仿宋_GB2312"/>
                <w:lang w:val="en-US" w:eastAsia="zh-CN"/>
              </w:rPr>
            </w:pPr>
            <w:r>
              <w:rPr>
                <w:rFonts w:hint="eastAsia" w:ascii="宋体" w:hAnsi="宋体" w:eastAsia="宋体" w:cs="宋体"/>
                <w:b w:val="0"/>
                <w:color w:val="333333"/>
                <w:sz w:val="19"/>
                <w:szCs w:val="19"/>
              </w:rPr>
              <w:t>0</w:t>
            </w:r>
          </w:p>
        </w:tc>
        <w:tc>
          <w:tcPr>
            <w:tcW w:w="12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r>
      <w:tr>
        <w:tblPrEx>
          <w:shd w:val="clear" w:color="auto" w:fill="auto"/>
          <w:tblCellMar>
            <w:top w:w="0" w:type="dxa"/>
            <w:left w:w="0" w:type="dxa"/>
            <w:bottom w:w="0" w:type="dxa"/>
            <w:right w:w="0"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left"/>
              <w:textAlignment w:val="auto"/>
              <w:rPr>
                <w:color w:val="333333"/>
                <w:sz w:val="24"/>
                <w:szCs w:val="24"/>
              </w:rPr>
            </w:pPr>
            <w:r>
              <w:rPr>
                <w:rFonts w:hint="eastAsia" w:ascii="宋体" w:hAnsi="宋体" w:eastAsia="宋体" w:cs="宋体"/>
                <w:b w:val="0"/>
                <w:color w:val="333333"/>
                <w:sz w:val="19"/>
                <w:szCs w:val="19"/>
              </w:rPr>
              <w:t>其他对外管理服务事项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pPr>
            <w:r>
              <w:rPr>
                <w:rFonts w:hint="eastAsia" w:ascii="宋体" w:hAnsi="宋体" w:eastAsia="宋体" w:cs="宋体"/>
                <w:b w:val="0"/>
                <w:color w:val="333333"/>
                <w:sz w:val="19"/>
                <w:szCs w:val="19"/>
              </w:rPr>
              <w:t>0</w:t>
            </w:r>
          </w:p>
        </w:tc>
        <w:tc>
          <w:tcPr>
            <w:tcW w:w="12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r>
      <w:tr>
        <w:tblPrEx>
          <w:tblCellMar>
            <w:top w:w="0" w:type="dxa"/>
            <w:left w:w="0" w:type="dxa"/>
            <w:bottom w:w="0" w:type="dxa"/>
            <w:right w:w="0" w:type="dxa"/>
          </w:tblCellMar>
        </w:tblPrEx>
        <w:trPr>
          <w:trHeight w:val="405"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第二十条第（六）项</w:t>
            </w:r>
          </w:p>
        </w:tc>
      </w:tr>
      <w:tr>
        <w:tblPrEx>
          <w:tblCellMar>
            <w:top w:w="0" w:type="dxa"/>
            <w:left w:w="0" w:type="dxa"/>
            <w:bottom w:w="0" w:type="dxa"/>
            <w:right w:w="0"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信息内容</w:t>
            </w:r>
          </w:p>
        </w:tc>
        <w:tc>
          <w:tcPr>
            <w:tcW w:w="18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上一年项目数量</w:t>
            </w:r>
          </w:p>
        </w:tc>
        <w:tc>
          <w:tcPr>
            <w:tcW w:w="12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本年增/减</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处理决定数量</w:t>
            </w:r>
          </w:p>
        </w:tc>
      </w:tr>
      <w:tr>
        <w:tblPrEx>
          <w:tblCellMar>
            <w:top w:w="0" w:type="dxa"/>
            <w:left w:w="0" w:type="dxa"/>
            <w:bottom w:w="0" w:type="dxa"/>
            <w:right w:w="0" w:type="dxa"/>
          </w:tblCellMar>
        </w:tblPrEx>
        <w:trPr>
          <w:trHeight w:val="435" w:hRule="atLeast"/>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left"/>
              <w:textAlignment w:val="auto"/>
              <w:rPr>
                <w:color w:val="333333"/>
                <w:sz w:val="24"/>
                <w:szCs w:val="24"/>
              </w:rPr>
            </w:pPr>
            <w:r>
              <w:rPr>
                <w:rFonts w:hint="eastAsia" w:ascii="宋体" w:hAnsi="宋体" w:eastAsia="宋体" w:cs="宋体"/>
                <w:b w:val="0"/>
                <w:color w:val="333333"/>
                <w:sz w:val="19"/>
                <w:szCs w:val="19"/>
              </w:rPr>
              <w:t>行政处罚</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lang w:val="en-US"/>
              </w:rPr>
            </w:pPr>
            <w:r>
              <w:rPr>
                <w:rFonts w:hint="eastAsia" w:ascii="微软雅黑" w:hAnsi="微软雅黑" w:eastAsia="微软雅黑" w:cs="微软雅黑"/>
                <w:b w:val="0"/>
                <w:color w:val="333333"/>
                <w:sz w:val="19"/>
                <w:szCs w:val="19"/>
                <w:lang w:val="en-US" w:eastAsia="zh-CN"/>
              </w:rPr>
              <w:t>88</w:t>
            </w:r>
          </w:p>
        </w:tc>
        <w:tc>
          <w:tcPr>
            <w:tcW w:w="12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rFonts w:hint="default" w:eastAsia="宋体"/>
                <w:color w:val="333333"/>
                <w:sz w:val="24"/>
                <w:szCs w:val="24"/>
                <w:lang w:val="en-US" w:eastAsia="zh-CN"/>
              </w:rPr>
            </w:pPr>
            <w:r>
              <w:rPr>
                <w:rFonts w:hint="eastAsia" w:ascii="微软雅黑" w:hAnsi="微软雅黑" w:eastAsia="微软雅黑" w:cs="微软雅黑"/>
                <w:b w:val="0"/>
                <w:color w:val="333333"/>
                <w:sz w:val="19"/>
                <w:szCs w:val="19"/>
                <w:lang w:val="en-US" w:eastAsia="zh-CN"/>
              </w:rPr>
              <w:t>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rFonts w:hint="default" w:eastAsiaTheme="minorEastAsia"/>
                <w:color w:val="333333"/>
                <w:sz w:val="24"/>
                <w:szCs w:val="24"/>
                <w:lang w:val="en-US" w:eastAsia="zh-CN"/>
              </w:rPr>
            </w:pPr>
            <w:r>
              <w:rPr>
                <w:rFonts w:hint="eastAsia" w:ascii="微软雅黑" w:hAnsi="微软雅黑" w:eastAsia="微软雅黑" w:cs="微软雅黑"/>
                <w:b w:val="0"/>
                <w:color w:val="333333"/>
                <w:sz w:val="19"/>
                <w:szCs w:val="19"/>
                <w:lang w:val="en-US" w:eastAsia="zh-CN"/>
              </w:rPr>
              <w:t>546</w:t>
            </w:r>
          </w:p>
        </w:tc>
      </w:tr>
      <w:tr>
        <w:tblPrEx>
          <w:tblCellMar>
            <w:top w:w="0" w:type="dxa"/>
            <w:left w:w="0" w:type="dxa"/>
            <w:bottom w:w="0" w:type="dxa"/>
            <w:right w:w="0" w:type="dxa"/>
          </w:tblCellMar>
        </w:tblPrEx>
        <w:trPr>
          <w:trHeight w:val="475" w:hRule="atLeast"/>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left"/>
              <w:textAlignment w:val="auto"/>
              <w:rPr>
                <w:color w:val="333333"/>
                <w:sz w:val="24"/>
                <w:szCs w:val="24"/>
              </w:rPr>
            </w:pPr>
            <w:r>
              <w:rPr>
                <w:rFonts w:hint="eastAsia" w:ascii="宋体" w:hAnsi="宋体" w:eastAsia="宋体" w:cs="宋体"/>
                <w:b w:val="0"/>
                <w:color w:val="333333"/>
                <w:sz w:val="19"/>
                <w:szCs w:val="19"/>
              </w:rPr>
              <w:t>行政强制</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pPr>
            <w:r>
              <w:rPr>
                <w:rFonts w:hint="eastAsia" w:ascii="微软雅黑" w:hAnsi="微软雅黑" w:eastAsia="微软雅黑" w:cs="微软雅黑"/>
                <w:b w:val="0"/>
                <w:color w:val="333333"/>
                <w:sz w:val="19"/>
                <w:szCs w:val="19"/>
                <w:lang w:val="en-US" w:eastAsia="zh-CN"/>
              </w:rPr>
              <w:t>0</w:t>
            </w:r>
          </w:p>
        </w:tc>
        <w:tc>
          <w:tcPr>
            <w:tcW w:w="12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微软雅黑" w:hAnsi="微软雅黑" w:eastAsia="微软雅黑" w:cs="微软雅黑"/>
                <w:b w:val="0"/>
                <w:color w:val="333333"/>
                <w:sz w:val="19"/>
                <w:szCs w:val="19"/>
                <w:lang w:val="en-US" w:eastAsia="zh-CN"/>
              </w:rPr>
              <w:t>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微软雅黑" w:hAnsi="微软雅黑" w:eastAsia="微软雅黑" w:cs="微软雅黑"/>
                <w:b w:val="0"/>
                <w:color w:val="333333"/>
                <w:sz w:val="19"/>
                <w:szCs w:val="19"/>
                <w:lang w:val="en-US" w:eastAsia="zh-CN"/>
              </w:rPr>
              <w:t>0</w:t>
            </w:r>
          </w:p>
        </w:tc>
      </w:tr>
      <w:tr>
        <w:tblPrEx>
          <w:shd w:val="clear" w:color="auto" w:fill="auto"/>
          <w:tblCellMar>
            <w:top w:w="0" w:type="dxa"/>
            <w:left w:w="0" w:type="dxa"/>
            <w:bottom w:w="0" w:type="dxa"/>
            <w:right w:w="0" w:type="dxa"/>
          </w:tblCellMar>
        </w:tblPrEx>
        <w:trPr>
          <w:trHeight w:val="43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第二十条第（八）项</w:t>
            </w:r>
          </w:p>
        </w:tc>
      </w:tr>
      <w:tr>
        <w:tblPrEx>
          <w:shd w:val="clear" w:color="auto" w:fill="auto"/>
          <w:tblCellMar>
            <w:top w:w="0" w:type="dxa"/>
            <w:left w:w="0" w:type="dxa"/>
            <w:bottom w:w="0" w:type="dxa"/>
            <w:right w:w="0" w:type="dxa"/>
          </w:tblCellMar>
        </w:tblPrEx>
        <w:trPr>
          <w:trHeight w:val="270" w:hRule="atLeast"/>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信息内容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left"/>
              <w:textAlignment w:val="auto"/>
              <w:rPr>
                <w:color w:val="333333"/>
                <w:sz w:val="24"/>
                <w:szCs w:val="24"/>
              </w:rPr>
            </w:pPr>
            <w:r>
              <w:rPr>
                <w:rFonts w:hint="eastAsia" w:ascii="宋体" w:hAnsi="宋体" w:eastAsia="宋体" w:cs="宋体"/>
                <w:b w:val="0"/>
                <w:color w:val="333333"/>
                <w:sz w:val="19"/>
                <w:szCs w:val="19"/>
              </w:rPr>
              <w:t>上一年项目数量</w:t>
            </w:r>
          </w:p>
        </w:tc>
        <w:tc>
          <w:tcPr>
            <w:tcW w:w="3150" w:type="dxa"/>
            <w:gridSpan w:val="2"/>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本年增/减</w:t>
            </w:r>
          </w:p>
        </w:tc>
      </w:tr>
      <w:tr>
        <w:tblPrEx>
          <w:tblCellMar>
            <w:top w:w="0" w:type="dxa"/>
            <w:left w:w="0" w:type="dxa"/>
            <w:bottom w:w="0" w:type="dxa"/>
            <w:right w:w="0"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left"/>
              <w:textAlignment w:val="auto"/>
              <w:rPr>
                <w:color w:val="333333"/>
                <w:sz w:val="24"/>
                <w:szCs w:val="24"/>
              </w:rPr>
            </w:pPr>
            <w:r>
              <w:rPr>
                <w:rFonts w:hint="eastAsia" w:ascii="宋体" w:hAnsi="宋体" w:eastAsia="宋体" w:cs="宋体"/>
                <w:b w:val="0"/>
                <w:color w:val="333333"/>
                <w:sz w:val="19"/>
                <w:szCs w:val="19"/>
              </w:rPr>
              <w:t>行政事业性收费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pPr>
            <w:r>
              <w:rPr>
                <w:rFonts w:hint="eastAsia" w:ascii="宋体" w:hAnsi="宋体" w:eastAsia="宋体" w:cs="宋体"/>
                <w:b w:val="0"/>
                <w:color w:val="333333"/>
                <w:sz w:val="19"/>
                <w:szCs w:val="19"/>
              </w:rPr>
              <w:t>0</w:t>
            </w:r>
          </w:p>
        </w:tc>
        <w:tc>
          <w:tcPr>
            <w:tcW w:w="31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r>
      <w:tr>
        <w:tblPrEx>
          <w:shd w:val="clear" w:color="auto" w:fill="auto"/>
          <w:tblCellMar>
            <w:top w:w="0" w:type="dxa"/>
            <w:left w:w="0" w:type="dxa"/>
            <w:bottom w:w="0" w:type="dxa"/>
            <w:right w:w="0"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第二十条第（九）项</w:t>
            </w:r>
          </w:p>
        </w:tc>
      </w:tr>
      <w:tr>
        <w:tblPrEx>
          <w:shd w:val="clear" w:color="auto" w:fill="auto"/>
          <w:tblCellMar>
            <w:top w:w="0" w:type="dxa"/>
            <w:left w:w="0" w:type="dxa"/>
            <w:bottom w:w="0" w:type="dxa"/>
            <w:right w:w="0" w:type="dxa"/>
          </w:tblCellMar>
        </w:tblPrEx>
        <w:trPr>
          <w:trHeight w:val="585" w:hRule="atLeast"/>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信息内容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采购项目数量</w:t>
            </w:r>
          </w:p>
        </w:tc>
        <w:tc>
          <w:tcPr>
            <w:tcW w:w="3150" w:type="dxa"/>
            <w:gridSpan w:val="2"/>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采购总金额</w:t>
            </w:r>
          </w:p>
        </w:tc>
      </w:tr>
      <w:tr>
        <w:tblPrEx>
          <w:shd w:val="clear" w:color="auto" w:fill="auto"/>
          <w:tblCellMar>
            <w:top w:w="0" w:type="dxa"/>
            <w:left w:w="0" w:type="dxa"/>
            <w:bottom w:w="0" w:type="dxa"/>
            <w:right w:w="0" w:type="dxa"/>
          </w:tblCellMar>
        </w:tblPrEx>
        <w:trPr>
          <w:trHeight w:val="415" w:hRule="atLeast"/>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left"/>
              <w:textAlignment w:val="auto"/>
              <w:rPr>
                <w:color w:val="333333"/>
                <w:sz w:val="24"/>
                <w:szCs w:val="24"/>
              </w:rPr>
            </w:pPr>
            <w:r>
              <w:rPr>
                <w:rFonts w:hint="eastAsia" w:ascii="宋体" w:hAnsi="宋体" w:eastAsia="宋体" w:cs="宋体"/>
                <w:b w:val="0"/>
                <w:color w:val="333333"/>
                <w:sz w:val="19"/>
                <w:szCs w:val="19"/>
              </w:rPr>
              <w:t>政府集中采购</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31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2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黑体" w:hAnsi="黑体" w:eastAsia="黑体" w:cs="黑体"/>
          <w:sz w:val="32"/>
          <w:szCs w:val="32"/>
          <w:lang w:val="en-US" w:eastAsia="zh-CN"/>
        </w:rPr>
      </w:pPr>
    </w:p>
    <w:p>
      <w:pPr>
        <w:ind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三、收到和处理政府信息公开申请情况</w:t>
      </w:r>
    </w:p>
    <w:tbl>
      <w:tblPr>
        <w:tblStyle w:val="5"/>
        <w:tblW w:w="83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65"/>
        <w:gridCol w:w="841"/>
        <w:gridCol w:w="1876"/>
        <w:gridCol w:w="753"/>
        <w:gridCol w:w="701"/>
        <w:gridCol w:w="701"/>
        <w:gridCol w:w="753"/>
        <w:gridCol w:w="895"/>
        <w:gridCol w:w="675"/>
        <w:gridCol w:w="6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182"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（本列数据的勾稽关系为：第一项加第二项之和，等于第三项加第四项之和）</w:t>
            </w:r>
          </w:p>
        </w:tc>
        <w:tc>
          <w:tcPr>
            <w:tcW w:w="5154" w:type="dxa"/>
            <w:gridSpan w:val="7"/>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182"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753"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自然人</w:t>
            </w:r>
          </w:p>
        </w:tc>
        <w:tc>
          <w:tcPr>
            <w:tcW w:w="3725"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法人或其他组织</w:t>
            </w:r>
          </w:p>
        </w:tc>
        <w:tc>
          <w:tcPr>
            <w:tcW w:w="676"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82"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753"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商业企业</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科研机构</w:t>
            </w:r>
          </w:p>
        </w:tc>
        <w:tc>
          <w:tcPr>
            <w:tcW w:w="75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社会公益组织</w:t>
            </w:r>
          </w:p>
        </w:tc>
        <w:tc>
          <w:tcPr>
            <w:tcW w:w="89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法律服务机构</w:t>
            </w:r>
          </w:p>
        </w:tc>
        <w:tc>
          <w:tcPr>
            <w:tcW w:w="6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其他</w:t>
            </w:r>
          </w:p>
        </w:tc>
        <w:tc>
          <w:tcPr>
            <w:tcW w:w="676"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82"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一、本年新收政府信息公开申请数量</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82"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二、上年结转政府信息公开申请数量</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restart"/>
            <w:tcBorders>
              <w:top w:val="nil"/>
              <w:left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三、本年度办理结果</w:t>
            </w:r>
          </w:p>
        </w:tc>
        <w:tc>
          <w:tcPr>
            <w:tcW w:w="2717"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（一）予以公开</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2717"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（二）部分公开（区分处理的，只计这一情形，不计其他情形）</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841" w:type="dxa"/>
            <w:vMerge w:val="restart"/>
            <w:tcBorders>
              <w:top w:val="nil"/>
              <w:left w:val="nil"/>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（三）不予公开</w:t>
            </w:r>
          </w:p>
        </w:tc>
        <w:tc>
          <w:tcPr>
            <w:tcW w:w="18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1.属于国家秘密</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841" w:type="dxa"/>
            <w:vMerge w:val="continue"/>
            <w:tcBorders>
              <w:left w:val="nil"/>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18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2.其他法律行政法规禁止公开</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841" w:type="dxa"/>
            <w:vMerge w:val="continue"/>
            <w:tcBorders>
              <w:left w:val="nil"/>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18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3.危及“三安全一稳定”</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841" w:type="dxa"/>
            <w:vMerge w:val="continue"/>
            <w:tcBorders>
              <w:left w:val="nil"/>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18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4.保护第三方合法权益</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841" w:type="dxa"/>
            <w:vMerge w:val="continue"/>
            <w:tcBorders>
              <w:left w:val="nil"/>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18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5.属于三类内部事务信息</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5" w:hRule="atLeast"/>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841" w:type="dxa"/>
            <w:vMerge w:val="continue"/>
            <w:tcBorders>
              <w:left w:val="nil"/>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18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6.属于四类过程性信息</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841" w:type="dxa"/>
            <w:vMerge w:val="continue"/>
            <w:tcBorders>
              <w:left w:val="nil"/>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18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7.属于行政执法案卷</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841" w:type="dxa"/>
            <w:vMerge w:val="continue"/>
            <w:tcBorders>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18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8.属于行政查询事项</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841"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（四）无法提供</w:t>
            </w:r>
          </w:p>
        </w:tc>
        <w:tc>
          <w:tcPr>
            <w:tcW w:w="18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1.本机关不掌握相关政府信息</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841"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18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2.没有现成信息需要另行制作</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841"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18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3.补正后申请内容仍不明确</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841"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（五）不予处理</w:t>
            </w:r>
          </w:p>
        </w:tc>
        <w:tc>
          <w:tcPr>
            <w:tcW w:w="18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1.信访举报投诉类申请</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841"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18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2.重复申请</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841"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18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3.要求提供公开出版物</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841"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18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4.无正当理由大量反复申请</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841"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18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5.要求行政机关确认或重新出具已获取信息</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5" w:type="dxa"/>
            <w:vMerge w:val="continue"/>
            <w:tcBorders>
              <w:left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2717"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（六）其他处理</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65" w:type="dxa"/>
            <w:vMerge w:val="continue"/>
            <w:tcBorders>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bookmarkStart w:id="0" w:name="_GoBack" w:colFirst="7" w:colLast="7"/>
          </w:p>
        </w:tc>
        <w:tc>
          <w:tcPr>
            <w:tcW w:w="2717"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（七）总计</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r>
      <w:bookmarkEnd w:id="0"/>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182"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left"/>
              <w:textAlignment w:val="auto"/>
              <w:rPr>
                <w:color w:val="333333"/>
                <w:sz w:val="24"/>
                <w:szCs w:val="24"/>
              </w:rPr>
            </w:pPr>
            <w:r>
              <w:rPr>
                <w:rFonts w:hint="eastAsia" w:ascii="宋体" w:hAnsi="宋体" w:eastAsia="宋体" w:cs="宋体"/>
                <w:b w:val="0"/>
                <w:color w:val="333333"/>
                <w:sz w:val="19"/>
                <w:szCs w:val="19"/>
              </w:rPr>
              <w:t>四、结转下年度继续办理</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7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r>
              <w:rPr>
                <w:rFonts w:hint="default" w:ascii="Calibri" w:hAnsi="Calibri" w:eastAsia="宋体" w:cs="Calibri"/>
                <w:b w:val="0"/>
                <w:color w:val="333333"/>
                <w:sz w:val="19"/>
                <w:szCs w:val="19"/>
              </w:rPr>
              <w:t> </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default" w:ascii="Calibri" w:hAnsi="Calibri" w:eastAsia="宋体" w:cs="Calibri"/>
                <w:b w:val="0"/>
                <w:color w:val="333333"/>
                <w:sz w:val="19"/>
                <w:szCs w:val="19"/>
              </w:rPr>
              <w:t> </w:t>
            </w:r>
            <w:r>
              <w:rPr>
                <w:rFonts w:hint="eastAsia" w:ascii="宋体" w:hAnsi="宋体" w:eastAsia="宋体" w:cs="宋体"/>
                <w:b w:val="0"/>
                <w:color w:val="333333"/>
                <w:sz w:val="19"/>
                <w:szCs w:val="19"/>
              </w:rPr>
              <w:t>0</w:t>
            </w:r>
          </w:p>
        </w:tc>
        <w:tc>
          <w:tcPr>
            <w:tcW w:w="6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r>
    </w:tbl>
    <w:p>
      <w:pPr>
        <w:rPr>
          <w:rFonts w:hint="eastAsia" w:ascii="黑体" w:hAnsi="黑体" w:eastAsia="黑体" w:cs="黑体"/>
          <w:sz w:val="32"/>
          <w:szCs w:val="32"/>
          <w:lang w:val="en-US" w:eastAsia="zh-CN"/>
        </w:rPr>
      </w:pPr>
    </w:p>
    <w:p>
      <w:pPr>
        <w:ind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atLeast"/>
        <w:ind w:leftChars="200" w:right="0" w:rightChars="0"/>
        <w:jc w:val="both"/>
        <w:textAlignment w:val="auto"/>
        <w:rPr>
          <w:rFonts w:hint="eastAsia" w:ascii="黑体" w:hAnsi="黑体" w:eastAsia="黑体" w:cs="黑体"/>
          <w:sz w:val="32"/>
          <w:szCs w:val="32"/>
          <w:lang w:val="en-US" w:eastAsia="zh-CN"/>
        </w:rPr>
      </w:pPr>
    </w:p>
    <w:tbl>
      <w:tblPr>
        <w:tblStyle w:val="5"/>
        <w:tblW w:w="873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46"/>
        <w:gridCol w:w="600"/>
        <w:gridCol w:w="651"/>
        <w:gridCol w:w="615"/>
        <w:gridCol w:w="609"/>
        <w:gridCol w:w="555"/>
        <w:gridCol w:w="600"/>
        <w:gridCol w:w="600"/>
        <w:gridCol w:w="600"/>
        <w:gridCol w:w="615"/>
        <w:gridCol w:w="600"/>
        <w:gridCol w:w="600"/>
        <w:gridCol w:w="600"/>
        <w:gridCol w:w="600"/>
        <w:gridCol w:w="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921"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行政复议</w:t>
            </w:r>
          </w:p>
        </w:tc>
        <w:tc>
          <w:tcPr>
            <w:tcW w:w="5811"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46"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结果维持</w:t>
            </w:r>
          </w:p>
        </w:tc>
        <w:tc>
          <w:tcPr>
            <w:tcW w:w="6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结果纠正</w:t>
            </w:r>
          </w:p>
        </w:tc>
        <w:tc>
          <w:tcPr>
            <w:tcW w:w="651"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其他结果</w:t>
            </w:r>
          </w:p>
        </w:tc>
        <w:tc>
          <w:tcPr>
            <w:tcW w:w="61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尚未审结</w:t>
            </w:r>
          </w:p>
        </w:tc>
        <w:tc>
          <w:tcPr>
            <w:tcW w:w="609"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总计</w:t>
            </w:r>
          </w:p>
        </w:tc>
        <w:tc>
          <w:tcPr>
            <w:tcW w:w="297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未经复议直接起诉</w:t>
            </w:r>
          </w:p>
        </w:tc>
        <w:tc>
          <w:tcPr>
            <w:tcW w:w="2841"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90" w:hRule="atLeast"/>
          <w:jc w:val="center"/>
        </w:trPr>
        <w:tc>
          <w:tcPr>
            <w:tcW w:w="44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651"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61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609"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结果维持</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其他结果</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尚未审结</w:t>
            </w:r>
          </w:p>
        </w:tc>
        <w:tc>
          <w:tcPr>
            <w:tcW w:w="61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总计</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结果维持</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其他结果</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尚未审结</w:t>
            </w:r>
          </w:p>
        </w:tc>
        <w:tc>
          <w:tcPr>
            <w:tcW w:w="44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4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eastAsia="宋体"/>
                <w:color w:val="333333"/>
                <w:sz w:val="24"/>
                <w:szCs w:val="24"/>
                <w:lang w:eastAsia="zh-CN"/>
              </w:rPr>
            </w:pPr>
            <w:r>
              <w:rPr>
                <w:rFonts w:hint="eastAsia" w:ascii="宋体" w:hAnsi="宋体" w:eastAsia="宋体" w:cs="宋体"/>
                <w:b w:val="0"/>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default" w:eastAsiaTheme="minorEastAsia"/>
                <w:color w:val="333333"/>
                <w:sz w:val="24"/>
                <w:szCs w:val="24"/>
                <w:lang w:val="en-US" w:eastAsia="zh-CN"/>
              </w:rPr>
            </w:pPr>
            <w:r>
              <w:rPr>
                <w:rFonts w:hint="eastAsia" w:ascii="宋体" w:hAnsi="宋体" w:eastAsia="宋体" w:cs="宋体"/>
                <w:b w:val="0"/>
                <w:color w:val="333333"/>
                <w:sz w:val="19"/>
                <w:szCs w:val="19"/>
              </w:rPr>
              <w:t>0</w:t>
            </w:r>
          </w:p>
        </w:tc>
        <w:tc>
          <w:tcPr>
            <w:tcW w:w="65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eastAsiaTheme="minorEastAsia"/>
                <w:color w:val="333333"/>
                <w:sz w:val="24"/>
                <w:szCs w:val="24"/>
                <w:lang w:eastAsia="zh-CN"/>
              </w:rPr>
            </w:pPr>
            <w:r>
              <w:rPr>
                <w:rFonts w:hint="eastAsia" w:ascii="宋体" w:hAnsi="宋体" w:eastAsia="宋体" w:cs="宋体"/>
                <w:b w:val="0"/>
                <w:color w:val="333333"/>
                <w:sz w:val="19"/>
                <w:szCs w:val="19"/>
              </w:rPr>
              <w:t>0</w:t>
            </w:r>
          </w:p>
        </w:tc>
        <w:tc>
          <w:tcPr>
            <w:tcW w:w="6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60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default" w:eastAsiaTheme="minorEastAsia"/>
                <w:color w:val="333333"/>
                <w:sz w:val="24"/>
                <w:szCs w:val="24"/>
                <w:lang w:val="en-US" w:eastAsia="zh-CN"/>
              </w:rPr>
            </w:pPr>
            <w:r>
              <w:rPr>
                <w:rFonts w:hint="eastAsia" w:ascii="宋体" w:hAnsi="宋体" w:eastAsia="宋体" w:cs="宋体"/>
                <w:b w:val="0"/>
                <w:color w:val="333333"/>
                <w:sz w:val="19"/>
                <w:szCs w:val="19"/>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eastAsia="宋体"/>
                <w:color w:val="333333"/>
                <w:sz w:val="24"/>
                <w:szCs w:val="24"/>
                <w:lang w:val="en-US" w:eastAsia="zh-CN"/>
              </w:rPr>
            </w:pPr>
            <w:r>
              <w:rPr>
                <w:rFonts w:hint="eastAsia" w:ascii="宋体" w:hAnsi="宋体" w:eastAsia="宋体" w:cs="宋体"/>
                <w:b w:val="0"/>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6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rFonts w:hint="eastAsia" w:eastAsia="宋体"/>
                <w:color w:val="333333"/>
                <w:sz w:val="24"/>
                <w:szCs w:val="24"/>
                <w:lang w:eastAsia="zh-CN"/>
              </w:rPr>
            </w:pPr>
            <w:r>
              <w:rPr>
                <w:rFonts w:hint="eastAsia" w:ascii="宋体" w:hAnsi="宋体" w:eastAsia="宋体" w:cs="宋体"/>
                <w:b w:val="0"/>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jc w:val="center"/>
              <w:textAlignment w:val="auto"/>
              <w:rPr>
                <w:color w:val="333333"/>
                <w:sz w:val="24"/>
                <w:szCs w:val="24"/>
              </w:rPr>
            </w:pPr>
            <w:r>
              <w:rPr>
                <w:rFonts w:hint="eastAsia" w:ascii="宋体" w:hAnsi="宋体" w:eastAsia="宋体" w:cs="宋体"/>
                <w:b w:val="0"/>
                <w:color w:val="333333"/>
                <w:sz w:val="19"/>
                <w:szCs w:val="19"/>
              </w:rPr>
              <w:t>0</w:t>
            </w:r>
          </w:p>
        </w:tc>
        <w:tc>
          <w:tcPr>
            <w:tcW w:w="44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exact"/>
              <w:ind w:left="0" w:right="0"/>
              <w:textAlignment w:val="auto"/>
              <w:rPr>
                <w:rFonts w:hint="eastAsia" w:eastAsiaTheme="minorEastAsia"/>
                <w:color w:val="333333"/>
                <w:sz w:val="24"/>
                <w:szCs w:val="24"/>
                <w:lang w:val="en-US" w:eastAsia="zh-CN"/>
              </w:rPr>
            </w:pPr>
            <w:r>
              <w:rPr>
                <w:rFonts w:hint="eastAsia" w:ascii="宋体" w:hAnsi="宋体" w:eastAsia="宋体" w:cs="宋体"/>
                <w:b w:val="0"/>
                <w:color w:val="333333"/>
                <w:sz w:val="19"/>
                <w:szCs w:val="19"/>
              </w:rPr>
              <w:t>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atLeast"/>
        <w:ind w:right="0" w:rightChars="0"/>
        <w:jc w:val="both"/>
        <w:textAlignment w:val="auto"/>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right="0" w:rightChars="0"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pPr>
        <w:keepNext w:val="0"/>
        <w:keepLines w:val="0"/>
        <w:pageBreakBefore w:val="0"/>
        <w:widowControl w:val="0"/>
        <w:kinsoku/>
        <w:wordWrap/>
        <w:overflowPunct/>
        <w:topLinePunct w:val="0"/>
        <w:autoSpaceDE/>
        <w:autoSpaceDN/>
        <w:bidi w:val="0"/>
        <w:adjustRightInd/>
        <w:snapToGrid/>
        <w:spacing w:line="575"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我局政府信息公开工作的诸多方面都有了较大的进步，但仍然存在一些问题，一是政府信息公开人员对政府信息公开有关法律法规知识学习不够深入，对具体业务掌握不够熟练；二是政务公开的格式固化，形式单一，缺少多样性和创新性，主动公开手段方式不够丰富；三是政务公开信息内容深度不够，有效性有待进一步提高。</w:t>
      </w:r>
    </w:p>
    <w:p>
      <w:pPr>
        <w:keepNext w:val="0"/>
        <w:keepLines w:val="0"/>
        <w:pageBreakBefore w:val="0"/>
        <w:widowControl w:val="0"/>
        <w:kinsoku/>
        <w:wordWrap/>
        <w:overflowPunct/>
        <w:topLinePunct w:val="0"/>
        <w:autoSpaceDE/>
        <w:autoSpaceDN/>
        <w:bidi w:val="0"/>
        <w:adjustRightInd/>
        <w:snapToGrid/>
        <w:spacing w:line="575"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存在的问题，我局将采取以下措施进行改进：一加强业务培训。积极参加上级政府组织的信息公开培训工作，及时做好对县属事业单位、机关各科室信息公开联络员传达贯彻，按要求做好政府信息公开工作。二是优化工作方法。围绕公众普遍关注的热点难点问题，继续及时、正确公布政府信息，提高民众对网站的认知度和认可度。三是加大信息报送监管力度，报送信息由分管领导和主要领导层层把关审核，确保报送的信息内容高水准、高质量。</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right="0" w:rightChars="0"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pPr>
        <w:keepNext w:val="0"/>
        <w:keepLines w:val="0"/>
        <w:pageBreakBefore w:val="0"/>
        <w:widowControl w:val="0"/>
        <w:kinsoku/>
        <w:wordWrap/>
        <w:overflowPunct/>
        <w:topLinePunct w:val="0"/>
        <w:autoSpaceDE/>
        <w:autoSpaceDN/>
        <w:bidi w:val="0"/>
        <w:adjustRightInd/>
        <w:snapToGrid/>
        <w:spacing w:line="575"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没有需要说明的其他事项。</w:t>
      </w:r>
    </w:p>
    <w:p>
      <w:pPr>
        <w:keepNext w:val="0"/>
        <w:keepLines w:val="0"/>
        <w:pageBreakBefore w:val="0"/>
        <w:widowControl w:val="0"/>
        <w:kinsoku/>
        <w:wordWrap/>
        <w:overflowPunct/>
        <w:topLinePunct w:val="0"/>
        <w:autoSpaceDE/>
        <w:autoSpaceDN/>
        <w:bidi w:val="0"/>
        <w:adjustRightInd/>
        <w:snapToGrid/>
        <w:spacing w:line="575" w:lineRule="exact"/>
        <w:ind w:firstLine="632" w:firstLineChars="200"/>
        <w:textAlignment w:val="auto"/>
        <w:rPr>
          <w:rFonts w:hint="default"/>
          <w:sz w:val="32"/>
          <w:szCs w:val="32"/>
          <w:lang w:val="en-US" w:eastAsia="zh-CN"/>
        </w:rPr>
      </w:pPr>
    </w:p>
    <w:sectPr>
      <w:footerReference r:id="rId3" w:type="default"/>
      <w:pgSz w:w="11906" w:h="16838"/>
      <w:pgMar w:top="2041" w:right="1474" w:bottom="1814" w:left="1587" w:header="1417" w:footer="1361" w:gutter="0"/>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ascii="宋体" w:hAnsi="宋体" w:eastAsia="宋体" w:cs="宋体"/>
                            </w:rPr>
                            <w:t>—</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ascii="宋体" w:hAnsi="宋体" w:eastAsia="宋体" w:cs="宋体"/>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ascii="宋体" w:hAnsi="宋体" w:eastAsia="宋体" w:cs="宋体"/>
                      </w:rPr>
                      <w:t>—</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ascii="宋体" w:hAnsi="宋体" w:eastAsia="宋体" w:cs="宋体"/>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5"/>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668BB"/>
    <w:rsid w:val="0573273A"/>
    <w:rsid w:val="0A5B356C"/>
    <w:rsid w:val="0EF567EA"/>
    <w:rsid w:val="14933916"/>
    <w:rsid w:val="15571634"/>
    <w:rsid w:val="17EE2C01"/>
    <w:rsid w:val="1C161CEE"/>
    <w:rsid w:val="1CF2518D"/>
    <w:rsid w:val="1DC80AF5"/>
    <w:rsid w:val="1E42571B"/>
    <w:rsid w:val="1F7D3981"/>
    <w:rsid w:val="2B7D3C9B"/>
    <w:rsid w:val="2D162D2C"/>
    <w:rsid w:val="2DCF1B0B"/>
    <w:rsid w:val="2E9668BB"/>
    <w:rsid w:val="38C30A4B"/>
    <w:rsid w:val="3B0A4872"/>
    <w:rsid w:val="47861A71"/>
    <w:rsid w:val="4F167414"/>
    <w:rsid w:val="50227A22"/>
    <w:rsid w:val="52FD5ECC"/>
    <w:rsid w:val="5B875285"/>
    <w:rsid w:val="6098171E"/>
    <w:rsid w:val="66160F84"/>
    <w:rsid w:val="6B756394"/>
    <w:rsid w:val="6F6E382F"/>
    <w:rsid w:val="700B223C"/>
    <w:rsid w:val="77EE37B0"/>
    <w:rsid w:val="781F744E"/>
    <w:rsid w:val="7A753325"/>
    <w:rsid w:val="7AB07726"/>
    <w:rsid w:val="7AB84688"/>
    <w:rsid w:val="7ED03140"/>
    <w:rsid w:val="7F3A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2388</Words>
  <Characters>2441</Characters>
  <Lines>0</Lines>
  <Paragraphs>0</Paragraphs>
  <TotalTime>2</TotalTime>
  <ScaleCrop>false</ScaleCrop>
  <LinksUpToDate>false</LinksUpToDate>
  <CharactersWithSpaces>2597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2020-12-08T01:48:00Z</dcterms:created>
  <dc:creator>苏苗</dc:creator>
  <cp:lastModifiedBy>苏苗</cp:lastModifiedBy>
  <dcterms:modified xsi:type="dcterms:W3CDTF">2021-03-17T03:54:57Z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BAF09CCBF3274B949AE4D159E6533526</vt:lpwstr>
  </property>
</Properties>
</file>