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泗水县交通运输局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2024年政府信息公开工作年度报告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本报告由</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交通运输局按照《中华人民共和国政府信息公开条例》（以下简称《条例》）和《中华人民共和国政府信息公开工作年度报告格式》（国办公开办函〔2021〕30号）要求编制。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本报告内容包括</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交通运输局全年总体情况、主动公开政府信息情况、收到和处理政府信息公开申请情况、政府信息公开行政复议和行政诉讼情况、存在的主要问题及改进情况、其他需要报告的事项等六部分内容。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color="auto" w:fill="FFFFFF"/>
        </w:rPr>
      </w:pPr>
      <w:r>
        <w:rPr>
          <w:rFonts w:hint="eastAsia" w:ascii="仿宋_GB2312" w:hAnsi="仿宋_GB2312" w:eastAsia="仿宋_GB2312" w:cs="仿宋_GB2312"/>
          <w:i w:val="0"/>
          <w:caps w:val="0"/>
          <w:color w:val="auto"/>
          <w:spacing w:val="0"/>
          <w:sz w:val="32"/>
          <w:szCs w:val="32"/>
          <w:shd w:val="clear" w:color="auto" w:fill="FFFFFF"/>
        </w:rPr>
        <w:t>本报告所列数据的统计期限自202</w:t>
      </w:r>
      <w:r>
        <w:rPr>
          <w:rFonts w:hint="eastAsia" w:ascii="仿宋_GB2312" w:hAnsi="仿宋_GB2312" w:eastAsia="仿宋_GB2312" w:cs="仿宋_GB2312"/>
          <w:i w:val="0"/>
          <w:caps w:val="0"/>
          <w:color w:val="auto"/>
          <w:spacing w:val="0"/>
          <w:sz w:val="32"/>
          <w:szCs w:val="32"/>
          <w:shd w:val="clear" w:color="auto" w:fill="FFFFFF"/>
          <w:lang w:val="en-US" w:eastAsia="zh-CN"/>
        </w:rPr>
        <w:t>4</w:t>
      </w:r>
      <w:r>
        <w:rPr>
          <w:rFonts w:hint="eastAsia" w:ascii="仿宋_GB2312" w:hAnsi="仿宋_GB2312" w:eastAsia="仿宋_GB2312" w:cs="仿宋_GB2312"/>
          <w:i w:val="0"/>
          <w:caps w:val="0"/>
          <w:color w:val="auto"/>
          <w:spacing w:val="0"/>
          <w:sz w:val="32"/>
          <w:szCs w:val="32"/>
          <w:shd w:val="clear" w:color="auto" w:fill="FFFFFF"/>
        </w:rPr>
        <w:t>年1月1日起至202</w:t>
      </w:r>
      <w:r>
        <w:rPr>
          <w:rFonts w:hint="eastAsia" w:ascii="仿宋_GB2312" w:hAnsi="仿宋_GB2312" w:eastAsia="仿宋_GB2312" w:cs="仿宋_GB2312"/>
          <w:i w:val="0"/>
          <w:caps w:val="0"/>
          <w:color w:val="auto"/>
          <w:spacing w:val="0"/>
          <w:sz w:val="32"/>
          <w:szCs w:val="32"/>
          <w:shd w:val="clear" w:color="auto" w:fill="FFFFFF"/>
          <w:lang w:val="en-US" w:eastAsia="zh-CN"/>
        </w:rPr>
        <w:t>4</w:t>
      </w:r>
      <w:r>
        <w:rPr>
          <w:rFonts w:hint="eastAsia" w:ascii="仿宋_GB2312" w:hAnsi="仿宋_GB2312" w:eastAsia="仿宋_GB2312" w:cs="仿宋_GB2312"/>
          <w:i w:val="0"/>
          <w:caps w:val="0"/>
          <w:color w:val="auto"/>
          <w:spacing w:val="0"/>
          <w:sz w:val="32"/>
          <w:szCs w:val="32"/>
          <w:shd w:val="clear" w:color="auto" w:fill="FFFFFF"/>
        </w:rPr>
        <w:t>年12月31日止。本报告电子版可在“中国·泗水”政府门户网站</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www.sishui.gov.cn</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查阅或下载。如对本报告有疑问，请与泗水县交通运输局联系（地址：泗水县中兴路10号，联系电话：0537-4221611）。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4</w:t>
      </w:r>
      <w:r>
        <w:rPr>
          <w:rFonts w:hint="eastAsia" w:ascii="仿宋_GB2312" w:hAnsi="仿宋_GB2312" w:eastAsia="仿宋_GB2312" w:cs="仿宋_GB2312"/>
          <w:i w:val="0"/>
          <w:caps w:val="0"/>
          <w:color w:val="auto"/>
          <w:spacing w:val="0"/>
          <w:sz w:val="32"/>
          <w:szCs w:val="32"/>
        </w:rPr>
        <w:t>年，在县委、县政府的领导下，我局结合工作实际，坚持原则，进一步加强主动公开力度，做好依申请公开工作，不断推进政府信息公开工作向纵深发展，让交通运输权力在阳光下运行，切实保障公民、法人和其他组织依法获取政务信息的权利，不断增强政府信息公开实效。重点抓好以下几方面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ascii="楷体_GB2312" w:hAnsi="楷体_GB2312" w:eastAsia="楷体_GB2312" w:cs="楷体_GB2312"/>
          <w:b/>
          <w:bCs w:val="0"/>
          <w:i w:val="0"/>
          <w:caps w:val="0"/>
          <w:color w:val="auto"/>
          <w:spacing w:val="0"/>
          <w:sz w:val="32"/>
          <w:szCs w:val="32"/>
        </w:rPr>
      </w:pPr>
      <w:r>
        <w:rPr>
          <w:rFonts w:hint="eastAsia" w:ascii="楷体_GB2312" w:hAnsi="楷体_GB2312" w:eastAsia="楷体_GB2312" w:cs="楷体_GB2312"/>
          <w:b/>
          <w:bCs w:val="0"/>
          <w:i w:val="0"/>
          <w:caps w:val="0"/>
          <w:color w:val="auto"/>
          <w:spacing w:val="0"/>
          <w:sz w:val="32"/>
          <w:szCs w:val="32"/>
          <w:shd w:val="clear" w:fill="FFFFFF"/>
        </w:rPr>
        <w:t>（一）主动公开情况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rPr>
        <w:t>充分利用</w:t>
      </w:r>
      <w:r>
        <w:rPr>
          <w:rFonts w:hint="eastAsia" w:ascii="仿宋_GB2312" w:hAnsi="仿宋_GB2312" w:eastAsia="仿宋_GB2312" w:cs="仿宋_GB2312"/>
          <w:i w:val="0"/>
          <w:caps w:val="0"/>
          <w:color w:val="auto"/>
          <w:spacing w:val="0"/>
          <w:sz w:val="32"/>
          <w:szCs w:val="32"/>
          <w:lang w:eastAsia="zh-CN"/>
        </w:rPr>
        <w:t>政府</w:t>
      </w:r>
      <w:r>
        <w:rPr>
          <w:rFonts w:hint="eastAsia" w:ascii="仿宋_GB2312" w:hAnsi="仿宋_GB2312" w:eastAsia="仿宋_GB2312" w:cs="仿宋_GB2312"/>
          <w:i w:val="0"/>
          <w:caps w:val="0"/>
          <w:color w:val="auto"/>
          <w:spacing w:val="0"/>
          <w:sz w:val="32"/>
          <w:szCs w:val="32"/>
        </w:rPr>
        <w:t>网站开信息，及时公开交通运输公示公告、政策法规、部门预决算、行政执法信息等重点工作，202</w:t>
      </w:r>
      <w:r>
        <w:rPr>
          <w:rFonts w:hint="eastAsia" w:ascii="仿宋_GB2312" w:hAnsi="仿宋_GB2312" w:eastAsia="仿宋_GB2312" w:cs="仿宋_GB2312"/>
          <w:i w:val="0"/>
          <w:caps w:val="0"/>
          <w:color w:val="auto"/>
          <w:spacing w:val="0"/>
          <w:sz w:val="32"/>
          <w:szCs w:val="32"/>
          <w:lang w:val="en-US" w:eastAsia="zh-CN"/>
        </w:rPr>
        <w:t>4</w:t>
      </w:r>
      <w:r>
        <w:rPr>
          <w:rFonts w:hint="eastAsia" w:ascii="仿宋_GB2312" w:hAnsi="仿宋_GB2312" w:eastAsia="仿宋_GB2312" w:cs="仿宋_GB2312"/>
          <w:i w:val="0"/>
          <w:caps w:val="0"/>
          <w:color w:val="auto"/>
          <w:spacing w:val="0"/>
          <w:sz w:val="32"/>
          <w:szCs w:val="32"/>
        </w:rPr>
        <w:t>年，主动公开政府信息</w:t>
      </w:r>
      <w:r>
        <w:rPr>
          <w:rFonts w:hint="eastAsia" w:ascii="仿宋_GB2312" w:hAnsi="仿宋_GB2312" w:eastAsia="仿宋_GB2312" w:cs="仿宋_GB2312"/>
          <w:i w:val="0"/>
          <w:caps w:val="0"/>
          <w:color w:val="auto"/>
          <w:spacing w:val="0"/>
          <w:sz w:val="32"/>
          <w:szCs w:val="32"/>
          <w:lang w:val="en-US" w:eastAsia="zh-CN"/>
        </w:rPr>
        <w:t>51</w:t>
      </w:r>
      <w:r>
        <w:rPr>
          <w:rFonts w:hint="eastAsia" w:ascii="仿宋_GB2312" w:hAnsi="仿宋_GB2312" w:eastAsia="仿宋_GB2312" w:cs="仿宋_GB2312"/>
          <w:i w:val="0"/>
          <w:caps w:val="0"/>
          <w:color w:val="auto"/>
          <w:spacing w:val="0"/>
          <w:sz w:val="32"/>
          <w:szCs w:val="32"/>
        </w:rPr>
        <w:t>条，行政</w:t>
      </w:r>
      <w:r>
        <w:rPr>
          <w:rFonts w:hint="eastAsia" w:ascii="仿宋_GB2312" w:hAnsi="仿宋_GB2312" w:eastAsia="仿宋_GB2312" w:cs="仿宋_GB2312"/>
          <w:i w:val="0"/>
          <w:caps w:val="0"/>
          <w:color w:val="auto"/>
          <w:spacing w:val="0"/>
          <w:sz w:val="32"/>
          <w:szCs w:val="32"/>
          <w:lang w:eastAsia="zh-CN"/>
        </w:rPr>
        <w:t>执法</w:t>
      </w:r>
      <w:r>
        <w:rPr>
          <w:rFonts w:hint="eastAsia" w:ascii="仿宋_GB2312" w:hAnsi="仿宋_GB2312" w:eastAsia="仿宋_GB2312" w:cs="仿宋_GB2312"/>
          <w:i w:val="0"/>
          <w:caps w:val="0"/>
          <w:color w:val="auto"/>
          <w:spacing w:val="0"/>
          <w:sz w:val="32"/>
          <w:szCs w:val="32"/>
        </w:rPr>
        <w:t>公示</w:t>
      </w:r>
      <w:r>
        <w:rPr>
          <w:rFonts w:hint="eastAsia" w:ascii="仿宋_GB2312" w:hAnsi="仿宋_GB2312" w:eastAsia="仿宋_GB2312" w:cs="仿宋_GB2312"/>
          <w:i w:val="0"/>
          <w:caps w:val="0"/>
          <w:color w:val="auto"/>
          <w:spacing w:val="0"/>
          <w:sz w:val="32"/>
          <w:szCs w:val="32"/>
          <w:lang w:val="en-US" w:eastAsia="zh-CN"/>
        </w:rPr>
        <w:t>31</w:t>
      </w:r>
      <w:r>
        <w:rPr>
          <w:rFonts w:hint="eastAsia" w:ascii="仿宋_GB2312" w:hAnsi="仿宋_GB2312" w:eastAsia="仿宋_GB2312" w:cs="仿宋_GB2312"/>
          <w:i w:val="0"/>
          <w:caps w:val="0"/>
          <w:color w:val="auto"/>
          <w:spacing w:val="0"/>
          <w:sz w:val="32"/>
          <w:szCs w:val="32"/>
        </w:rPr>
        <w:t>条</w:t>
      </w:r>
      <w:r>
        <w:rPr>
          <w:rFonts w:hint="eastAsia" w:ascii="仿宋_GB2312" w:hAnsi="仿宋_GB2312" w:eastAsia="仿宋_GB2312" w:cs="仿宋_GB2312"/>
          <w:i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仿宋_GB2312" w:hAnsi="仿宋_GB2312" w:eastAsia="仿宋_GB2312" w:cs="仿宋_GB2312"/>
          <w:i w:val="0"/>
          <w:caps w:val="0"/>
          <w:color w:val="auto"/>
          <w:spacing w:val="0"/>
          <w:sz w:val="32"/>
          <w:szCs w:val="32"/>
          <w:lang w:eastAsia="zh-CN"/>
        </w:rPr>
      </w:pPr>
      <w:r>
        <w:drawing>
          <wp:inline distT="0" distB="0" distL="114300" distR="114300">
            <wp:extent cx="5123815" cy="4581525"/>
            <wp:effectExtent l="4445" t="4445" r="15240" b="508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楷体_GB2312" w:hAnsi="楷体_GB2312" w:eastAsia="楷体_GB2312" w:cs="楷体_GB2312"/>
          <w:b/>
          <w:bCs w:val="0"/>
          <w:i w:val="0"/>
          <w:caps w:val="0"/>
          <w:color w:val="auto"/>
          <w:spacing w:val="0"/>
          <w:sz w:val="32"/>
          <w:szCs w:val="32"/>
        </w:rPr>
      </w:pPr>
      <w:r>
        <w:rPr>
          <w:rFonts w:hint="eastAsia" w:ascii="楷体_GB2312" w:hAnsi="楷体_GB2312" w:eastAsia="楷体_GB2312" w:cs="楷体_GB2312"/>
          <w:b/>
          <w:bCs w:val="0"/>
          <w:i w:val="0"/>
          <w:caps w:val="0"/>
          <w:color w:val="auto"/>
          <w:spacing w:val="0"/>
          <w:sz w:val="32"/>
          <w:szCs w:val="32"/>
          <w:shd w:val="clear" w:fill="FFFFFF"/>
        </w:rPr>
        <w:t>（二）依申请公开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仿宋_GB2312" w:eastAsia="仿宋_GB2312" w:cs="仿宋_GB2312"/>
          <w:i w:val="0"/>
          <w:caps w:val="0"/>
          <w:color w:val="auto"/>
          <w:spacing w:val="0"/>
          <w:sz w:val="28"/>
          <w:szCs w:val="28"/>
        </w:rPr>
      </w:pPr>
      <w:r>
        <w:rPr>
          <w:rFonts w:hint="eastAsia" w:ascii="仿宋_GB2312" w:hAnsi="仿宋_GB2312" w:eastAsia="仿宋_GB2312" w:cs="仿宋_GB2312"/>
          <w:i w:val="0"/>
          <w:caps w:val="0"/>
          <w:color w:val="auto"/>
          <w:spacing w:val="0"/>
          <w:sz w:val="32"/>
          <w:szCs w:val="32"/>
          <w:lang w:eastAsia="zh-CN"/>
        </w:rPr>
        <w:t>202</w:t>
      </w:r>
      <w:r>
        <w:rPr>
          <w:rFonts w:hint="eastAsia" w:ascii="仿宋_GB2312" w:hAnsi="仿宋_GB2312" w:eastAsia="仿宋_GB2312" w:cs="仿宋_GB2312"/>
          <w:i w:val="0"/>
          <w:caps w:val="0"/>
          <w:color w:val="auto"/>
          <w:spacing w:val="0"/>
          <w:sz w:val="32"/>
          <w:szCs w:val="32"/>
          <w:lang w:val="en-US" w:eastAsia="zh-CN"/>
        </w:rPr>
        <w:t>4</w:t>
      </w:r>
      <w:r>
        <w:rPr>
          <w:rFonts w:hint="eastAsia" w:ascii="仿宋_GB2312" w:hAnsi="仿宋_GB2312" w:eastAsia="仿宋_GB2312" w:cs="仿宋_GB2312"/>
          <w:i w:val="0"/>
          <w:caps w:val="0"/>
          <w:color w:val="auto"/>
          <w:spacing w:val="0"/>
          <w:sz w:val="32"/>
          <w:szCs w:val="32"/>
          <w:lang w:eastAsia="zh-CN"/>
        </w:rPr>
        <w:t>年，泗水县交通运输局收到依申请政府信息公开</w:t>
      </w:r>
      <w:r>
        <w:rPr>
          <w:rFonts w:hint="eastAsia" w:ascii="仿宋_GB2312" w:hAnsi="仿宋_GB2312" w:eastAsia="仿宋_GB2312" w:cs="仿宋_GB2312"/>
          <w:i w:val="0"/>
          <w:caps w:val="0"/>
          <w:color w:val="auto"/>
          <w:spacing w:val="0"/>
          <w:sz w:val="32"/>
          <w:szCs w:val="32"/>
          <w:lang w:val="en-US" w:eastAsia="zh-CN"/>
        </w:rPr>
        <w:t>1条，</w:t>
      </w:r>
      <w:r>
        <w:rPr>
          <w:rFonts w:hint="eastAsia" w:ascii="仿宋_GB2312" w:hAnsi="仿宋_GB2312" w:eastAsia="仿宋_GB2312" w:cs="仿宋_GB2312"/>
          <w:i w:val="0"/>
          <w:caps w:val="0"/>
          <w:color w:val="auto"/>
          <w:spacing w:val="0"/>
          <w:sz w:val="32"/>
          <w:szCs w:val="32"/>
          <w:lang w:eastAsia="zh-CN"/>
        </w:rPr>
        <w:t>已按时答复。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楷体_GB2312" w:hAnsi="楷体_GB2312" w:eastAsia="楷体_GB2312" w:cs="楷体_GB2312"/>
          <w:b/>
          <w:bCs w:val="0"/>
          <w:i w:val="0"/>
          <w:caps w:val="0"/>
          <w:color w:val="auto"/>
          <w:spacing w:val="0"/>
          <w:sz w:val="32"/>
          <w:szCs w:val="32"/>
          <w:shd w:val="clear" w:fill="FFFFFF"/>
        </w:rPr>
      </w:pPr>
      <w:r>
        <w:rPr>
          <w:rFonts w:hint="eastAsia" w:ascii="楷体_GB2312" w:hAnsi="楷体_GB2312" w:eastAsia="楷体_GB2312" w:cs="楷体_GB2312"/>
          <w:b/>
          <w:bCs w:val="0"/>
          <w:i w:val="0"/>
          <w:caps w:val="0"/>
          <w:color w:val="auto"/>
          <w:spacing w:val="0"/>
          <w:sz w:val="32"/>
          <w:szCs w:val="32"/>
          <w:shd w:val="clear" w:fill="FFFFFF"/>
        </w:rPr>
        <w:t>（三）政府信息管理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lang w:eastAsia="zh-CN"/>
        </w:rPr>
        <w:t>一是进一步完善规章制度。遵循“全面、及时、准确、规范”的要求，完善了政务信息公开目录和信息公开审查等制度，对网站信息发布原则、职责分工等作了进一步明确，确保政务信息公开各项工作落到实处。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lang w:eastAsia="zh-CN"/>
        </w:rPr>
        <w:t>二是进一步落实保密措施。严格遵循政府信息公开基本原则和操作规程，本着“公开不涉密，涉密不公开”的要求，组织局机关各科室、局属事业单位学习政府信息公开有关文件法规，并进行相关培训，注重与规划建设科、运输管理科、政策法规科等业务科室的沟通会商，确保答复依法有据、严谨规范，防止泄露国家秘密、商业秘密和个人隐私。加强内部管理,净化办公网络环境,及时进行维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楷体_GB2312" w:hAnsi="楷体_GB2312" w:eastAsia="楷体_GB2312" w:cs="楷体_GB2312"/>
          <w:i w:val="0"/>
          <w:caps w:val="0"/>
          <w:color w:val="auto"/>
          <w:spacing w:val="0"/>
          <w:sz w:val="32"/>
          <w:szCs w:val="32"/>
        </w:rPr>
      </w:pPr>
      <w:r>
        <w:rPr>
          <w:rFonts w:hint="eastAsia" w:ascii="楷体_GB2312" w:hAnsi="楷体_GB2312" w:eastAsia="楷体_GB2312" w:cs="楷体_GB2312"/>
          <w:b/>
          <w:i w:val="0"/>
          <w:caps w:val="0"/>
          <w:color w:val="auto"/>
          <w:spacing w:val="0"/>
          <w:sz w:val="32"/>
          <w:szCs w:val="32"/>
          <w:shd w:val="clear" w:fill="FFFFFF"/>
        </w:rPr>
        <w:t>（四）平台建设情况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仿宋_GB2312" w:eastAsia="仿宋_GB2312" w:cs="仿宋_GB2312"/>
          <w:i w:val="0"/>
          <w:caps w:val="0"/>
          <w:color w:val="auto"/>
          <w:spacing w:val="0"/>
          <w:sz w:val="28"/>
          <w:szCs w:val="28"/>
        </w:rPr>
      </w:pPr>
      <w:r>
        <w:rPr>
          <w:rFonts w:hint="eastAsia" w:ascii="仿宋_GB2312" w:hAnsi="仿宋_GB2312" w:eastAsia="仿宋_GB2312" w:cs="仿宋_GB2312"/>
          <w:i w:val="0"/>
          <w:caps w:val="0"/>
          <w:color w:val="auto"/>
          <w:spacing w:val="0"/>
          <w:sz w:val="32"/>
          <w:szCs w:val="32"/>
          <w:lang w:eastAsia="zh-CN"/>
        </w:rPr>
        <w:t>我局积极通过县人民政府网站发布部门信息</w:t>
      </w:r>
      <w:r>
        <w:rPr>
          <w:rFonts w:hint="eastAsia" w:ascii="仿宋_GB2312" w:hAnsi="仿宋_GB2312" w:eastAsia="仿宋_GB2312" w:cs="仿宋_GB2312"/>
          <w:i w:val="0"/>
          <w:caps w:val="0"/>
          <w:color w:val="auto"/>
          <w:spacing w:val="0"/>
          <w:sz w:val="32"/>
          <w:szCs w:val="32"/>
          <w:lang w:val="en-US" w:eastAsia="zh-CN"/>
        </w:rPr>
        <w:t>20</w:t>
      </w:r>
      <w:r>
        <w:rPr>
          <w:rFonts w:hint="eastAsia" w:ascii="仿宋_GB2312" w:hAnsi="仿宋_GB2312" w:eastAsia="仿宋_GB2312" w:cs="仿宋_GB2312"/>
          <w:i w:val="0"/>
          <w:caps w:val="0"/>
          <w:color w:val="auto"/>
          <w:spacing w:val="0"/>
          <w:sz w:val="32"/>
          <w:szCs w:val="32"/>
          <w:lang w:eastAsia="zh-CN"/>
        </w:rPr>
        <w:t>条，有效搭建了我局与人民群众的沟通平台，提升了履职效能。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仿宋_GB2312" w:eastAsia="仿宋_GB2312" w:cs="仿宋_GB2312"/>
          <w:i w:val="0"/>
          <w:caps w:val="0"/>
          <w:color w:val="auto"/>
          <w:spacing w:val="0"/>
          <w:sz w:val="28"/>
          <w:szCs w:val="28"/>
        </w:rPr>
      </w:pPr>
      <w:r>
        <w:rPr>
          <w:rFonts w:hint="eastAsia" w:ascii="楷体_GB2312" w:hAnsi="楷体_GB2312" w:eastAsia="楷体_GB2312" w:cs="楷体_GB2312"/>
          <w:b/>
          <w:i w:val="0"/>
          <w:caps w:val="0"/>
          <w:color w:val="auto"/>
          <w:spacing w:val="0"/>
          <w:sz w:val="32"/>
          <w:szCs w:val="32"/>
          <w:shd w:val="clear" w:fill="FFFFFF"/>
        </w:rPr>
        <w:t>（五）监督保障情况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lang w:eastAsia="zh-CN"/>
        </w:rPr>
        <w:t>一是强化组织领导。局领导高度重视政府信息工作，及时调整充实了政务公开工作领导小组，由局主要领导亲自抓，办公室负责抓好具体工作的落实，局机关各科室、局属各事业单位配合协作的良好格局。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outlineLvl w:val="9"/>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lang w:eastAsia="zh-CN"/>
        </w:rPr>
        <w:t>二是完善工作机制。制定了《泗水县交通运输局关于进一步推进政务工作实施方案》，及时更新政府信息主动公开基本目录和政府信息公开指南，推进了局政府信息公开工作的制度化和规范化。进一步修订公文信息撰制单，办公室对所有拟发文件进行全面审查，并提出主动公开、依申请公开和不公开的建议，相关领导对签发文件是否公开进行审核把关。</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主动公开政府信息情况</w:t>
      </w:r>
    </w:p>
    <w:tbl>
      <w:tblPr>
        <w:tblStyle w:val="4"/>
        <w:tblW w:w="8424"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331"/>
        <w:gridCol w:w="2045"/>
        <w:gridCol w:w="2131"/>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本年制发件数</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本年废止件数</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规章</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行政规范性文件</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宋体"/>
                <w:color w:val="auto"/>
                <w:sz w:val="21"/>
                <w:szCs w:val="21"/>
                <w:lang w:eastAsia="zh-CN"/>
              </w:rPr>
            </w:pPr>
            <w:r>
              <w:rPr>
                <w:rFonts w:hint="eastAsia" w:ascii="宋体" w:hAnsi="宋体" w:eastAsia="宋体" w:cs="宋体"/>
                <w:color w:val="auto"/>
                <w:sz w:val="24"/>
                <w:szCs w:val="24"/>
                <w:lang w:val="en-US" w:eastAsia="zh-CN"/>
              </w:rPr>
              <w:t>0</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行政许可</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行政处罚</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default" w:eastAsia="宋体"/>
                <w:color w:val="auto"/>
                <w:sz w:val="21"/>
                <w:szCs w:val="21"/>
                <w:lang w:val="en-US" w:eastAsia="zh-CN"/>
              </w:rPr>
            </w:pPr>
            <w:r>
              <w:rPr>
                <w:rFonts w:hint="eastAsia" w:eastAsia="宋体"/>
                <w:color w:val="auto"/>
                <w:sz w:val="21"/>
                <w:szCs w:val="21"/>
                <w:lang w:val="en-US" w:eastAsia="zh-CN"/>
              </w:rPr>
              <w:t>620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行政强制</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行政事业性收费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收到和处理政府信息公开申请情况</w:t>
      </w:r>
    </w:p>
    <w:tbl>
      <w:tblPr>
        <w:tblStyle w:val="4"/>
        <w:tblW w:w="8466"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52"/>
        <w:gridCol w:w="937"/>
        <w:gridCol w:w="2684"/>
        <w:gridCol w:w="759"/>
        <w:gridCol w:w="581"/>
        <w:gridCol w:w="567"/>
        <w:gridCol w:w="581"/>
        <w:gridCol w:w="553"/>
        <w:gridCol w:w="540"/>
        <w:gridCol w:w="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（本列数据的勾稽关系为：第一项加第二项之和，等于第三项加第四项之和）</w:t>
            </w:r>
          </w:p>
        </w:tc>
        <w:tc>
          <w:tcPr>
            <w:tcW w:w="4093" w:type="dxa"/>
            <w:gridSpan w:val="7"/>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vMerge w:val="continue"/>
            <w:tcMar>
              <w:top w:w="0" w:type="dxa"/>
              <w:left w:w="105" w:type="dxa"/>
              <w:bottom w:w="0" w:type="dxa"/>
              <w:right w:w="105" w:type="dxa"/>
            </w:tcMar>
            <w:vAlign w:val="center"/>
          </w:tcPr>
          <w:p>
            <w:pPr>
              <w:rPr>
                <w:rFonts w:hint="eastAsia" w:ascii="宋体"/>
                <w:color w:val="auto"/>
                <w:sz w:val="24"/>
                <w:szCs w:val="24"/>
              </w:rPr>
            </w:pPr>
          </w:p>
        </w:tc>
        <w:tc>
          <w:tcPr>
            <w:tcW w:w="759"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自然人</w:t>
            </w:r>
          </w:p>
        </w:tc>
        <w:tc>
          <w:tcPr>
            <w:tcW w:w="2822" w:type="dxa"/>
            <w:gridSpan w:val="5"/>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法人或其他组织</w:t>
            </w:r>
          </w:p>
        </w:tc>
        <w:tc>
          <w:tcPr>
            <w:tcW w:w="512"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45" w:hRule="atLeast"/>
          <w:tblCellSpacing w:w="0" w:type="dxa"/>
          <w:jc w:val="center"/>
        </w:trPr>
        <w:tc>
          <w:tcPr>
            <w:tcW w:w="4373" w:type="dxa"/>
            <w:gridSpan w:val="3"/>
            <w:vMerge w:val="continue"/>
            <w:tcMar>
              <w:top w:w="0" w:type="dxa"/>
              <w:left w:w="105" w:type="dxa"/>
              <w:bottom w:w="0" w:type="dxa"/>
              <w:right w:w="105" w:type="dxa"/>
            </w:tcMar>
            <w:vAlign w:val="center"/>
          </w:tcPr>
          <w:p>
            <w:pPr>
              <w:rPr>
                <w:rFonts w:hint="eastAsia" w:ascii="宋体"/>
                <w:color w:val="auto"/>
                <w:sz w:val="24"/>
                <w:szCs w:val="24"/>
              </w:rPr>
            </w:pPr>
          </w:p>
        </w:tc>
        <w:tc>
          <w:tcPr>
            <w:tcW w:w="759" w:type="dxa"/>
            <w:vMerge w:val="continue"/>
            <w:tcMar>
              <w:top w:w="0" w:type="dxa"/>
              <w:left w:w="60" w:type="dxa"/>
              <w:bottom w:w="0" w:type="dxa"/>
              <w:right w:w="60" w:type="dxa"/>
            </w:tcMar>
            <w:vAlign w:val="center"/>
          </w:tcPr>
          <w:p>
            <w:pPr>
              <w:rPr>
                <w:rFonts w:hint="eastAsia" w:ascii="宋体"/>
                <w:color w:val="auto"/>
                <w:sz w:val="24"/>
                <w:szCs w:val="24"/>
              </w:rPr>
            </w:pP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商业</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企业</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科研</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机构</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社会公益组织</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法律服务机构</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w:t>
            </w:r>
          </w:p>
        </w:tc>
        <w:tc>
          <w:tcPr>
            <w:tcW w:w="512" w:type="dxa"/>
            <w:vMerge w:val="continue"/>
            <w:tcMar>
              <w:top w:w="0" w:type="dxa"/>
              <w:left w:w="60" w:type="dxa"/>
              <w:bottom w:w="0" w:type="dxa"/>
              <w:right w:w="60" w:type="dxa"/>
            </w:tcMar>
            <w:vAlign w:val="center"/>
          </w:tcPr>
          <w:p>
            <w:pPr>
              <w:rPr>
                <w:rFonts w:hint="eastAsia"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20" w:hRule="atLeast"/>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一、本年新收政府信息公开申请数量</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1</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90" w:hRule="atLeast"/>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二、上年结转政府信息公开申请数量</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三、本年度办理结果</w:t>
            </w: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（一）予以公开</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0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（二）部分公开（区分处理的，只计这一情形，不计其他情形）</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（三）不予公开</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1.属于国家秘密</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2.其他法律行政法规禁止公开</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3.危及“三安全一稳定”</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4.保护第三方合法权益</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5.属于三类内部事务信息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6.属于四类过程性信息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7.属于行政执法案卷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8.属于行政查询事项</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（四）无法提供</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1.本机关不掌握相关政府信息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1</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2.没有现成信息需要另行制作</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3.补正后申请内容仍不明确</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restart"/>
            <w:tcMar>
              <w:top w:w="0" w:type="dxa"/>
              <w:left w:w="60" w:type="dxa"/>
              <w:bottom w:w="0" w:type="dxa"/>
              <w:right w:w="60" w:type="dxa"/>
            </w:tcMar>
            <w:vAlign w:val="center"/>
          </w:tcPr>
          <w:p>
            <w:pPr>
              <w:keepNext w:val="0"/>
              <w:keepLines w:val="0"/>
              <w:widowControl/>
              <w:suppressLineNumbers w:val="0"/>
              <w:jc w:val="left"/>
              <w:rPr>
                <w:color w:val="auto"/>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（五）不予处理</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1.信访举报投诉类申请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2.重复申请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3.要求提供公开出版物</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4.无正当理由大量反复申请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80"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5.要求行政机关确认或重新出具已获取信息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（六）其他处理</w:t>
            </w: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1.申请人无正当理由逾期不补正、行政机关不再处理其政府信息公开申请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2.申请人逾期未按收费通知要求缴纳费用、行政机关不再处理其政府信息公开申请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3.其他</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（七）总计</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1</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四、结转下年度继续办理</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i w:val="0"/>
          <w:caps w:val="0"/>
          <w:color w:val="auto"/>
          <w:spacing w:val="0"/>
          <w:sz w:val="32"/>
          <w:szCs w:val="32"/>
        </w:rPr>
      </w:pPr>
    </w:p>
    <w:p>
      <w:pPr>
        <w:keepNext w:val="0"/>
        <w:keepLines w:val="0"/>
        <w:pageBreakBefore w:val="0"/>
        <w:numPr>
          <w:ilvl w:val="0"/>
          <w:numId w:val="1"/>
        </w:numPr>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政府信息公开行政复议、行政诉讼情况</w:t>
      </w:r>
    </w:p>
    <w:tbl>
      <w:tblPr>
        <w:tblStyle w:val="4"/>
        <w:tblW w:w="8516"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5"/>
        <w:gridCol w:w="585"/>
        <w:gridCol w:w="572"/>
        <w:gridCol w:w="558"/>
        <w:gridCol w:w="472"/>
        <w:gridCol w:w="612"/>
        <w:gridCol w:w="612"/>
        <w:gridCol w:w="612"/>
        <w:gridCol w:w="599"/>
        <w:gridCol w:w="472"/>
        <w:gridCol w:w="612"/>
        <w:gridCol w:w="612"/>
        <w:gridCol w:w="612"/>
        <w:gridCol w:w="529"/>
        <w:gridCol w:w="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2772"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行政复议</w:t>
            </w:r>
          </w:p>
        </w:tc>
        <w:tc>
          <w:tcPr>
            <w:tcW w:w="5744" w:type="dxa"/>
            <w:gridSpan w:val="10"/>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585"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585"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纠正</w:t>
            </w:r>
          </w:p>
        </w:tc>
        <w:tc>
          <w:tcPr>
            <w:tcW w:w="572"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58"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c>
          <w:tcPr>
            <w:tcW w:w="2907"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未经复议直接起诉</w:t>
            </w:r>
          </w:p>
        </w:tc>
        <w:tc>
          <w:tcPr>
            <w:tcW w:w="2837"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585" w:type="dxa"/>
            <w:vMerge w:val="continue"/>
            <w:tcMar>
              <w:top w:w="0" w:type="dxa"/>
              <w:left w:w="105" w:type="dxa"/>
              <w:bottom w:w="0" w:type="dxa"/>
              <w:right w:w="105" w:type="dxa"/>
            </w:tcMar>
            <w:vAlign w:val="center"/>
          </w:tcPr>
          <w:p>
            <w:pPr>
              <w:rPr>
                <w:rFonts w:hint="eastAsia" w:ascii="宋体"/>
                <w:color w:val="auto"/>
                <w:sz w:val="24"/>
                <w:szCs w:val="24"/>
              </w:rPr>
            </w:pPr>
          </w:p>
        </w:tc>
        <w:tc>
          <w:tcPr>
            <w:tcW w:w="585" w:type="dxa"/>
            <w:vMerge w:val="continue"/>
            <w:tcMar>
              <w:top w:w="0" w:type="dxa"/>
              <w:left w:w="105" w:type="dxa"/>
              <w:bottom w:w="0" w:type="dxa"/>
              <w:right w:w="105" w:type="dxa"/>
            </w:tcMar>
            <w:vAlign w:val="center"/>
          </w:tcPr>
          <w:p>
            <w:pPr>
              <w:rPr>
                <w:rFonts w:hint="eastAsia" w:ascii="宋体"/>
                <w:color w:val="auto"/>
                <w:sz w:val="24"/>
                <w:szCs w:val="24"/>
              </w:rPr>
            </w:pPr>
          </w:p>
        </w:tc>
        <w:tc>
          <w:tcPr>
            <w:tcW w:w="572" w:type="dxa"/>
            <w:vMerge w:val="continue"/>
            <w:tcMar>
              <w:top w:w="0" w:type="dxa"/>
              <w:left w:w="105" w:type="dxa"/>
              <w:bottom w:w="0" w:type="dxa"/>
              <w:right w:w="105" w:type="dxa"/>
            </w:tcMar>
            <w:vAlign w:val="center"/>
          </w:tcPr>
          <w:p>
            <w:pPr>
              <w:rPr>
                <w:rFonts w:hint="eastAsia" w:ascii="宋体"/>
                <w:color w:val="auto"/>
                <w:sz w:val="24"/>
                <w:szCs w:val="24"/>
              </w:rPr>
            </w:pPr>
          </w:p>
        </w:tc>
        <w:tc>
          <w:tcPr>
            <w:tcW w:w="558" w:type="dxa"/>
            <w:vMerge w:val="continue"/>
            <w:tcMar>
              <w:top w:w="0" w:type="dxa"/>
              <w:left w:w="105" w:type="dxa"/>
              <w:bottom w:w="0" w:type="dxa"/>
              <w:right w:w="105" w:type="dxa"/>
            </w:tcMar>
            <w:vAlign w:val="center"/>
          </w:tcPr>
          <w:p>
            <w:pPr>
              <w:rPr>
                <w:rFonts w:hint="eastAsia" w:ascii="宋体"/>
                <w:color w:val="auto"/>
                <w:sz w:val="24"/>
                <w:szCs w:val="24"/>
              </w:rPr>
            </w:pPr>
          </w:p>
        </w:tc>
        <w:tc>
          <w:tcPr>
            <w:tcW w:w="472" w:type="dxa"/>
            <w:vMerge w:val="continue"/>
            <w:tcMar>
              <w:top w:w="0" w:type="dxa"/>
              <w:left w:w="105" w:type="dxa"/>
              <w:bottom w:w="0" w:type="dxa"/>
              <w:right w:w="105" w:type="dxa"/>
            </w:tcMar>
            <w:vAlign w:val="center"/>
          </w:tcPr>
          <w:p>
            <w:pPr>
              <w:rPr>
                <w:rFonts w:hint="eastAsia" w:ascii="宋体"/>
                <w:color w:val="auto"/>
                <w:sz w:val="24"/>
                <w:szCs w:val="24"/>
              </w:rPr>
            </w:pP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结果纠正</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9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结果纠正</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2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75" w:hRule="atLeast"/>
          <w:tblCellSpacing w:w="0" w:type="dxa"/>
          <w:jc w:val="center"/>
        </w:trPr>
        <w:tc>
          <w:tcPr>
            <w:tcW w:w="585"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5"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8"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9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bookmarkStart w:id="0" w:name="_GoBack"/>
            <w:bookmarkEnd w:id="0"/>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2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黑体" w:hAnsi="黑体" w:eastAsia="黑体" w:cs="黑体"/>
          <w:b/>
          <w:bCs/>
          <w:i w:val="0"/>
          <w:caps w:val="0"/>
          <w:color w:val="auto"/>
          <w:spacing w:val="0"/>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outlineLvl w:val="9"/>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我局的政务公开工作虽做了大量工作，也取得了明显的实效，但离上级的要求和群众的期望还有一定差距，问题主要表现在：一是工作事项多，任务紧，还存在重业务落实、轻信息发布的情况，有时忽视了政务公开工作。二是工作落实还需加强，基层干部身兼数职，有时难免出现政务信息公开不及时的情况。三是规范公开还需加强，提高政务公开信息的质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新的一年，我局将紧紧围绕各级工作部署和公众关切，认真落实县委</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i w:val="0"/>
          <w:caps w:val="0"/>
          <w:color w:val="auto"/>
          <w:spacing w:val="0"/>
          <w:sz w:val="32"/>
          <w:szCs w:val="32"/>
        </w:rPr>
        <w:t>县政府政务公开工作要点的要求，结合交通运输系统实际，强化“以公开为原则，以不公开为特例”的工作理念，坚持“以政务公开促进政务服务”“以政务公开助推交通运输发展”的工作思路，进一步补足短板、加强督导、改进工作，加大公开力度，做好政策解读和社会关切回应，不断增强公开实效。具体做好以下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楷体_GB2312" w:hAnsi="楷体_GB2312" w:eastAsia="楷体_GB2312" w:cs="楷体_GB2312"/>
          <w:b/>
          <w:bCs/>
          <w:i w:val="0"/>
          <w:caps w:val="0"/>
          <w:color w:val="auto"/>
          <w:spacing w:val="0"/>
          <w:sz w:val="32"/>
          <w:szCs w:val="32"/>
        </w:rPr>
        <w:t>一是完善公开内容。</w:t>
      </w:r>
      <w:r>
        <w:rPr>
          <w:rFonts w:hint="eastAsia" w:ascii="仿宋_GB2312" w:hAnsi="仿宋_GB2312" w:eastAsia="仿宋_GB2312" w:cs="仿宋_GB2312"/>
          <w:i w:val="0"/>
          <w:caps w:val="0"/>
          <w:color w:val="auto"/>
          <w:spacing w:val="0"/>
          <w:sz w:val="32"/>
          <w:szCs w:val="32"/>
        </w:rPr>
        <w:t>加强政务信息公开平台的运营管理，完善交通运输系统政府信息公开的内容，公开方式，保证公开信息的及时、准确和全面，努力提升交通运输信息公开的质量。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outlineLvl w:val="9"/>
        <w:rPr>
          <w:rFonts w:hint="eastAsia" w:ascii="仿宋_GB2312" w:eastAsia="仿宋_GB2312" w:cs="仿宋_GB2312"/>
          <w:i w:val="0"/>
          <w:caps w:val="0"/>
          <w:color w:val="auto"/>
          <w:spacing w:val="0"/>
          <w:sz w:val="28"/>
          <w:szCs w:val="28"/>
        </w:rPr>
      </w:pPr>
      <w:r>
        <w:rPr>
          <w:rFonts w:hint="eastAsia" w:ascii="楷体_GB2312" w:hAnsi="楷体_GB2312" w:eastAsia="楷体_GB2312" w:cs="楷体_GB2312"/>
          <w:b/>
          <w:bCs/>
          <w:i w:val="0"/>
          <w:caps w:val="0"/>
          <w:color w:val="auto"/>
          <w:spacing w:val="0"/>
          <w:sz w:val="32"/>
          <w:szCs w:val="32"/>
        </w:rPr>
        <w:t>二是提升公开成效。</w:t>
      </w:r>
      <w:r>
        <w:rPr>
          <w:rFonts w:hint="eastAsia" w:ascii="仿宋_GB2312" w:hAnsi="仿宋_GB2312" w:eastAsia="仿宋_GB2312" w:cs="仿宋_GB2312"/>
          <w:i w:val="0"/>
          <w:caps w:val="0"/>
          <w:color w:val="auto"/>
          <w:spacing w:val="0"/>
          <w:sz w:val="32"/>
          <w:szCs w:val="32"/>
        </w:rPr>
        <w:t>借助交通运输信息化手段和现代新媒体技术，提高信息报送的积极性和信息公开的自觉性，确保及时发布和更新信息，积极对外公开各类政务公开信息。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outlineLvl w:val="9"/>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（一）依据《政府信息公开信息处理费管理办法》收取信息处理费的情况：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202</w:t>
      </w:r>
      <w:r>
        <w:rPr>
          <w:rFonts w:hint="eastAsia" w:ascii="仿宋_GB2312" w:hAnsi="仿宋_GB2312" w:eastAsia="仿宋_GB2312" w:cs="仿宋_GB2312"/>
          <w:i w:val="0"/>
          <w:caps w:val="0"/>
          <w:color w:val="auto"/>
          <w:spacing w:val="0"/>
          <w:sz w:val="32"/>
          <w:szCs w:val="32"/>
          <w:lang w:val="en-US" w:eastAsia="zh-CN"/>
        </w:rPr>
        <w:t>4</w:t>
      </w:r>
      <w:r>
        <w:rPr>
          <w:rFonts w:hint="eastAsia" w:ascii="仿宋_GB2312" w:hAnsi="仿宋_GB2312" w:eastAsia="仿宋_GB2312" w:cs="仿宋_GB2312"/>
          <w:i w:val="0"/>
          <w:caps w:val="0"/>
          <w:color w:val="auto"/>
          <w:spacing w:val="0"/>
          <w:sz w:val="32"/>
          <w:szCs w:val="32"/>
        </w:rPr>
        <w:t>年，泗水县</w:t>
      </w:r>
      <w:r>
        <w:rPr>
          <w:rFonts w:hint="eastAsia" w:ascii="仿宋_GB2312" w:hAnsi="仿宋_GB2312" w:eastAsia="仿宋_GB2312" w:cs="仿宋_GB2312"/>
          <w:i w:val="0"/>
          <w:caps w:val="0"/>
          <w:color w:val="auto"/>
          <w:spacing w:val="0"/>
          <w:sz w:val="32"/>
          <w:szCs w:val="32"/>
          <w:lang w:eastAsia="zh-CN"/>
        </w:rPr>
        <w:t>交通运输</w:t>
      </w:r>
      <w:r>
        <w:rPr>
          <w:rFonts w:hint="eastAsia" w:ascii="仿宋_GB2312" w:hAnsi="仿宋_GB2312" w:eastAsia="仿宋_GB2312" w:cs="仿宋_GB2312"/>
          <w:i w:val="0"/>
          <w:caps w:val="0"/>
          <w:color w:val="auto"/>
          <w:spacing w:val="0"/>
          <w:sz w:val="32"/>
          <w:szCs w:val="32"/>
        </w:rPr>
        <w:t>局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（二）本行政机关落实上级年度政务公开工作要点情况：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我局及时召开专题研究部署政务公开工作会议，贯彻落实</w:t>
      </w:r>
      <w:r>
        <w:rPr>
          <w:rFonts w:hint="eastAsia" w:ascii="仿宋_GB2312" w:hAnsi="仿宋_GB2312" w:eastAsia="仿宋_GB2312" w:cs="仿宋_GB2312"/>
          <w:i w:val="0"/>
          <w:caps w:val="0"/>
          <w:color w:val="auto"/>
          <w:spacing w:val="0"/>
          <w:sz w:val="32"/>
          <w:szCs w:val="32"/>
          <w:lang w:eastAsia="zh-CN"/>
        </w:rPr>
        <w:t>县</w:t>
      </w:r>
      <w:r>
        <w:rPr>
          <w:rFonts w:hint="eastAsia" w:ascii="仿宋_GB2312" w:hAnsi="仿宋_GB2312" w:eastAsia="仿宋_GB2312" w:cs="仿宋_GB2312"/>
          <w:i w:val="0"/>
          <w:caps w:val="0"/>
          <w:color w:val="auto"/>
          <w:spacing w:val="0"/>
          <w:sz w:val="32"/>
          <w:szCs w:val="32"/>
        </w:rPr>
        <w:t>委、</w:t>
      </w:r>
      <w:r>
        <w:rPr>
          <w:rFonts w:hint="eastAsia" w:ascii="仿宋_GB2312" w:hAnsi="仿宋_GB2312" w:eastAsia="仿宋_GB2312" w:cs="仿宋_GB2312"/>
          <w:i w:val="0"/>
          <w:caps w:val="0"/>
          <w:color w:val="auto"/>
          <w:spacing w:val="0"/>
          <w:sz w:val="32"/>
          <w:szCs w:val="32"/>
          <w:lang w:eastAsia="zh-CN"/>
        </w:rPr>
        <w:t>县</w:t>
      </w:r>
      <w:r>
        <w:rPr>
          <w:rFonts w:hint="eastAsia" w:ascii="仿宋_GB2312" w:hAnsi="仿宋_GB2312" w:eastAsia="仿宋_GB2312" w:cs="仿宋_GB2312"/>
          <w:i w:val="0"/>
          <w:caps w:val="0"/>
          <w:color w:val="auto"/>
          <w:spacing w:val="0"/>
          <w:sz w:val="32"/>
          <w:szCs w:val="32"/>
        </w:rPr>
        <w:t>政府关于202</w:t>
      </w:r>
      <w:r>
        <w:rPr>
          <w:rFonts w:hint="eastAsia" w:ascii="仿宋_GB2312" w:hAnsi="仿宋_GB2312" w:eastAsia="仿宋_GB2312" w:cs="仿宋_GB2312"/>
          <w:i w:val="0"/>
          <w:caps w:val="0"/>
          <w:color w:val="auto"/>
          <w:spacing w:val="0"/>
          <w:sz w:val="32"/>
          <w:szCs w:val="32"/>
          <w:lang w:val="en-US" w:eastAsia="zh-CN"/>
        </w:rPr>
        <w:t>4</w:t>
      </w:r>
      <w:r>
        <w:rPr>
          <w:rFonts w:hint="eastAsia" w:ascii="仿宋_GB2312" w:hAnsi="仿宋_GB2312" w:eastAsia="仿宋_GB2312" w:cs="仿宋_GB2312"/>
          <w:i w:val="0"/>
          <w:caps w:val="0"/>
          <w:color w:val="auto"/>
          <w:spacing w:val="0"/>
          <w:sz w:val="32"/>
          <w:szCs w:val="32"/>
        </w:rPr>
        <w:t>年政务公开工作部署精神</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i w:val="0"/>
          <w:caps w:val="0"/>
          <w:color w:val="auto"/>
          <w:spacing w:val="0"/>
          <w:sz w:val="32"/>
          <w:szCs w:val="32"/>
        </w:rPr>
        <w:t>派专人负责日常工作，持续加强重点领域信息公开工作，推动</w:t>
      </w:r>
      <w:r>
        <w:rPr>
          <w:rFonts w:hint="eastAsia" w:ascii="仿宋_GB2312" w:hAnsi="仿宋_GB2312" w:eastAsia="仿宋_GB2312" w:cs="仿宋_GB2312"/>
          <w:i w:val="0"/>
          <w:caps w:val="0"/>
          <w:color w:val="auto"/>
          <w:spacing w:val="0"/>
          <w:sz w:val="32"/>
          <w:szCs w:val="32"/>
          <w:lang w:eastAsia="zh-CN"/>
        </w:rPr>
        <w:t>交通运输事业</w:t>
      </w:r>
      <w:r>
        <w:rPr>
          <w:rFonts w:hint="eastAsia" w:ascii="仿宋_GB2312" w:hAnsi="仿宋_GB2312" w:eastAsia="仿宋_GB2312" w:cs="仿宋_GB2312"/>
          <w:i w:val="0"/>
          <w:caps w:val="0"/>
          <w:color w:val="auto"/>
          <w:spacing w:val="0"/>
          <w:sz w:val="32"/>
          <w:szCs w:val="32"/>
        </w:rPr>
        <w:t>高质量发展、夯实公开工作基础，切实增强做好政务公开工作的责任感使命感，不断提升政务公开的质量和实效</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i w:val="0"/>
          <w:caps w:val="0"/>
          <w:color w:val="auto"/>
          <w:spacing w:val="0"/>
          <w:sz w:val="32"/>
          <w:szCs w:val="32"/>
        </w:rPr>
        <w:t>健全完善政府信息公开机制。结合实际，从加强组织领导、健全目标责任、强化制度建设等方面入手，切实加强对政务公开工作的领导和实施，着力构建强有力的政务公开工作推进体系。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（三）本行政机关人大代表建议和政协提案办理结果公开情况：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lang w:val="en-US" w:eastAsia="zh-CN"/>
        </w:rPr>
        <w:t>2024年，我局共承办泗水县十九届人大三次会议人大代表建议20件，政协委员提案3件。其中，农村公路建设、养护类17件，占比74%；增设交通设施、标识类2件，占比9%；开通公交站点需求类4件，占比17%。经认真办理，实现了按时办结率、满意率两个100%。</w:t>
      </w:r>
      <w:r>
        <w:rPr>
          <w:rFonts w:hint="eastAsia" w:ascii="仿宋_GB2312" w:hAnsi="仿宋_GB2312" w:eastAsia="仿宋_GB2312" w:cs="仿宋_GB2312"/>
          <w:i w:val="0"/>
          <w:caps w:val="0"/>
          <w:color w:val="auto"/>
          <w:spacing w:val="0"/>
          <w:sz w:val="32"/>
          <w:szCs w:val="32"/>
        </w:rPr>
        <w:t>所有意见建议和提案已全部吸收采纳并按时办理完毕。并及时在</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政府门户网站“建议提案办理结果”专栏公开</w:t>
      </w:r>
      <w:r>
        <w:rPr>
          <w:rFonts w:hint="eastAsia" w:ascii="仿宋_GB2312" w:hAnsi="仿宋_GB2312" w:eastAsia="仿宋_GB2312" w:cs="仿宋_GB2312"/>
          <w:i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（四）本行政机关年度政务公开工作创新情况：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default" w:ascii="微软雅黑" w:hAnsi="微软雅黑" w:eastAsia="微软雅黑" w:cs="微软雅黑"/>
          <w:i w:val="0"/>
          <w:caps w:val="0"/>
          <w:color w:val="auto"/>
          <w:spacing w:val="0"/>
          <w:sz w:val="24"/>
          <w:szCs w:val="24"/>
          <w:lang w:val="en-US" w:eastAsia="zh-CN"/>
        </w:rPr>
      </w:pPr>
      <w:r>
        <w:rPr>
          <w:rFonts w:hint="eastAsia" w:ascii="仿宋_GB2312" w:hAnsi="仿宋_GB2312" w:eastAsia="仿宋_GB2312" w:cs="仿宋_GB2312"/>
          <w:i w:val="0"/>
          <w:caps w:val="0"/>
          <w:color w:val="auto"/>
          <w:spacing w:val="0"/>
          <w:sz w:val="32"/>
          <w:szCs w:val="32"/>
          <w:lang w:val="en-US" w:eastAsia="zh-CN"/>
        </w:rPr>
        <w:t>我局加强了信息化平台建设，优化了政务公开发布流程，提高了信息发布的时效性和准确性。其次，我们加强了与社会各界的沟通与互动，广泛听取意见和建议，不断完善政务公开工作。此外，我们还加强了对工作人员的培训和管理，提高了政务公开工作的专业性和规范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4456C"/>
    <w:multiLevelType w:val="singleLevel"/>
    <w:tmpl w:val="5C64456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3137A1"/>
    <w:rsid w:val="003B1002"/>
    <w:rsid w:val="004D7818"/>
    <w:rsid w:val="01501168"/>
    <w:rsid w:val="01A279B4"/>
    <w:rsid w:val="02A02136"/>
    <w:rsid w:val="02A256B8"/>
    <w:rsid w:val="02B07E4A"/>
    <w:rsid w:val="03182367"/>
    <w:rsid w:val="03C83ED8"/>
    <w:rsid w:val="03E80C1D"/>
    <w:rsid w:val="04A24D25"/>
    <w:rsid w:val="052E0064"/>
    <w:rsid w:val="053147B0"/>
    <w:rsid w:val="05B82430"/>
    <w:rsid w:val="06614F29"/>
    <w:rsid w:val="06663947"/>
    <w:rsid w:val="066D02F0"/>
    <w:rsid w:val="068F2B08"/>
    <w:rsid w:val="06AB4C19"/>
    <w:rsid w:val="06B0159C"/>
    <w:rsid w:val="072A7087"/>
    <w:rsid w:val="075B1ABC"/>
    <w:rsid w:val="07B21DCE"/>
    <w:rsid w:val="08126F7B"/>
    <w:rsid w:val="089B57BA"/>
    <w:rsid w:val="092651FA"/>
    <w:rsid w:val="09FE132B"/>
    <w:rsid w:val="0AB0509D"/>
    <w:rsid w:val="0B60116B"/>
    <w:rsid w:val="0B6E385B"/>
    <w:rsid w:val="0B842DF4"/>
    <w:rsid w:val="0C1C71E6"/>
    <w:rsid w:val="0C263F30"/>
    <w:rsid w:val="0CAD5E42"/>
    <w:rsid w:val="0CD37237"/>
    <w:rsid w:val="0D6F2595"/>
    <w:rsid w:val="0F223D0F"/>
    <w:rsid w:val="0F4767BB"/>
    <w:rsid w:val="0FC5647A"/>
    <w:rsid w:val="1009675A"/>
    <w:rsid w:val="10BF42F6"/>
    <w:rsid w:val="129862B9"/>
    <w:rsid w:val="12E85D23"/>
    <w:rsid w:val="13FC629D"/>
    <w:rsid w:val="14082418"/>
    <w:rsid w:val="140C2DD8"/>
    <w:rsid w:val="148C65FA"/>
    <w:rsid w:val="15111D87"/>
    <w:rsid w:val="153C066C"/>
    <w:rsid w:val="15DC36B9"/>
    <w:rsid w:val="160B7034"/>
    <w:rsid w:val="163313CE"/>
    <w:rsid w:val="1747285B"/>
    <w:rsid w:val="17575793"/>
    <w:rsid w:val="18A64DF4"/>
    <w:rsid w:val="19662DC6"/>
    <w:rsid w:val="1B0B727A"/>
    <w:rsid w:val="1B203DF4"/>
    <w:rsid w:val="1BB55BCE"/>
    <w:rsid w:val="1BE04C49"/>
    <w:rsid w:val="1C9C307B"/>
    <w:rsid w:val="1E401EE3"/>
    <w:rsid w:val="1EB9345F"/>
    <w:rsid w:val="2016581D"/>
    <w:rsid w:val="203264BB"/>
    <w:rsid w:val="207F4344"/>
    <w:rsid w:val="20C2176D"/>
    <w:rsid w:val="21677FBF"/>
    <w:rsid w:val="21A81414"/>
    <w:rsid w:val="21AF2379"/>
    <w:rsid w:val="21EB1E8E"/>
    <w:rsid w:val="21F62107"/>
    <w:rsid w:val="21F95218"/>
    <w:rsid w:val="22062247"/>
    <w:rsid w:val="22692BA2"/>
    <w:rsid w:val="229306A8"/>
    <w:rsid w:val="23034A76"/>
    <w:rsid w:val="23420FA9"/>
    <w:rsid w:val="246B7C8E"/>
    <w:rsid w:val="24A9078A"/>
    <w:rsid w:val="24B727FE"/>
    <w:rsid w:val="26650204"/>
    <w:rsid w:val="275D5DE8"/>
    <w:rsid w:val="277C6032"/>
    <w:rsid w:val="27BC0C38"/>
    <w:rsid w:val="297A1DE7"/>
    <w:rsid w:val="298C719F"/>
    <w:rsid w:val="29ED11EB"/>
    <w:rsid w:val="2B106681"/>
    <w:rsid w:val="2B257116"/>
    <w:rsid w:val="2B3137A1"/>
    <w:rsid w:val="2BCD5A2C"/>
    <w:rsid w:val="2DEA45EC"/>
    <w:rsid w:val="2E2F20CB"/>
    <w:rsid w:val="2EB8225D"/>
    <w:rsid w:val="2ECD3FA8"/>
    <w:rsid w:val="2EE30751"/>
    <w:rsid w:val="2F520861"/>
    <w:rsid w:val="2F720A20"/>
    <w:rsid w:val="2F761727"/>
    <w:rsid w:val="2F912174"/>
    <w:rsid w:val="2FCD5E15"/>
    <w:rsid w:val="30127BAA"/>
    <w:rsid w:val="30B11278"/>
    <w:rsid w:val="30F912BD"/>
    <w:rsid w:val="311C67EE"/>
    <w:rsid w:val="31571355"/>
    <w:rsid w:val="31B9708C"/>
    <w:rsid w:val="31E17817"/>
    <w:rsid w:val="31E90F9B"/>
    <w:rsid w:val="32472159"/>
    <w:rsid w:val="327114B8"/>
    <w:rsid w:val="32AF716A"/>
    <w:rsid w:val="32E86F55"/>
    <w:rsid w:val="343A30FF"/>
    <w:rsid w:val="3445348A"/>
    <w:rsid w:val="34751F0E"/>
    <w:rsid w:val="354C2B59"/>
    <w:rsid w:val="356C2E9B"/>
    <w:rsid w:val="363022C8"/>
    <w:rsid w:val="36474ADA"/>
    <w:rsid w:val="364F7DC6"/>
    <w:rsid w:val="37247304"/>
    <w:rsid w:val="37E67FE8"/>
    <w:rsid w:val="386D03F6"/>
    <w:rsid w:val="38E67F2C"/>
    <w:rsid w:val="3AA86F9C"/>
    <w:rsid w:val="3B0B7E5B"/>
    <w:rsid w:val="3B8F0449"/>
    <w:rsid w:val="3BE00939"/>
    <w:rsid w:val="3C011916"/>
    <w:rsid w:val="3C090802"/>
    <w:rsid w:val="3C99061E"/>
    <w:rsid w:val="3CAE38E2"/>
    <w:rsid w:val="3CB46D8D"/>
    <w:rsid w:val="3CD65390"/>
    <w:rsid w:val="3CF01715"/>
    <w:rsid w:val="3D4012B3"/>
    <w:rsid w:val="3D540E05"/>
    <w:rsid w:val="3E4B54A8"/>
    <w:rsid w:val="3EBC3508"/>
    <w:rsid w:val="3FDB7A63"/>
    <w:rsid w:val="40683A2D"/>
    <w:rsid w:val="40806787"/>
    <w:rsid w:val="418876D1"/>
    <w:rsid w:val="41D841C9"/>
    <w:rsid w:val="41FC43DA"/>
    <w:rsid w:val="42650F03"/>
    <w:rsid w:val="42AB6B84"/>
    <w:rsid w:val="42F06763"/>
    <w:rsid w:val="43917729"/>
    <w:rsid w:val="4534670D"/>
    <w:rsid w:val="453F1095"/>
    <w:rsid w:val="45B54E58"/>
    <w:rsid w:val="45EF7D18"/>
    <w:rsid w:val="467B662A"/>
    <w:rsid w:val="468A49CA"/>
    <w:rsid w:val="46B052F8"/>
    <w:rsid w:val="46EA78E2"/>
    <w:rsid w:val="47485946"/>
    <w:rsid w:val="475E60F2"/>
    <w:rsid w:val="47C4552E"/>
    <w:rsid w:val="4820736C"/>
    <w:rsid w:val="48C035CB"/>
    <w:rsid w:val="4933028C"/>
    <w:rsid w:val="4AEF02AC"/>
    <w:rsid w:val="4AF0321B"/>
    <w:rsid w:val="4B31502E"/>
    <w:rsid w:val="4B7E0C88"/>
    <w:rsid w:val="4B8D118F"/>
    <w:rsid w:val="4BA82A19"/>
    <w:rsid w:val="4BDF6F74"/>
    <w:rsid w:val="4BE00A7E"/>
    <w:rsid w:val="4C28036F"/>
    <w:rsid w:val="4C9B6C1B"/>
    <w:rsid w:val="4CF350C2"/>
    <w:rsid w:val="4D585D79"/>
    <w:rsid w:val="4D6D2029"/>
    <w:rsid w:val="4DCD34F6"/>
    <w:rsid w:val="50164C74"/>
    <w:rsid w:val="50354C77"/>
    <w:rsid w:val="514C1571"/>
    <w:rsid w:val="514E5D3E"/>
    <w:rsid w:val="529630CE"/>
    <w:rsid w:val="535847FC"/>
    <w:rsid w:val="53C8781A"/>
    <w:rsid w:val="53ED52F0"/>
    <w:rsid w:val="53FC2A40"/>
    <w:rsid w:val="54023126"/>
    <w:rsid w:val="540D178C"/>
    <w:rsid w:val="54B55B04"/>
    <w:rsid w:val="56284BCA"/>
    <w:rsid w:val="565B19E3"/>
    <w:rsid w:val="56656AFF"/>
    <w:rsid w:val="56926CC6"/>
    <w:rsid w:val="57790230"/>
    <w:rsid w:val="57CA29E8"/>
    <w:rsid w:val="580466AE"/>
    <w:rsid w:val="585D0627"/>
    <w:rsid w:val="586D3732"/>
    <w:rsid w:val="599B7B8D"/>
    <w:rsid w:val="59D67B4A"/>
    <w:rsid w:val="59FF11E3"/>
    <w:rsid w:val="5A0E4961"/>
    <w:rsid w:val="5A25458E"/>
    <w:rsid w:val="5A415080"/>
    <w:rsid w:val="5ACA70DD"/>
    <w:rsid w:val="5D0431D6"/>
    <w:rsid w:val="5D575A42"/>
    <w:rsid w:val="5D5E76CE"/>
    <w:rsid w:val="5E0B4B6B"/>
    <w:rsid w:val="5E0C5B17"/>
    <w:rsid w:val="5F2F79A2"/>
    <w:rsid w:val="5FC06A48"/>
    <w:rsid w:val="600C22B3"/>
    <w:rsid w:val="6138323B"/>
    <w:rsid w:val="61A2617A"/>
    <w:rsid w:val="623D72D1"/>
    <w:rsid w:val="62630412"/>
    <w:rsid w:val="62E13A77"/>
    <w:rsid w:val="63611FDB"/>
    <w:rsid w:val="63B00D0C"/>
    <w:rsid w:val="64024AA0"/>
    <w:rsid w:val="65333B86"/>
    <w:rsid w:val="664B7CA9"/>
    <w:rsid w:val="665B74B9"/>
    <w:rsid w:val="6674301B"/>
    <w:rsid w:val="668404A4"/>
    <w:rsid w:val="66AC61EB"/>
    <w:rsid w:val="66D83257"/>
    <w:rsid w:val="66E076D6"/>
    <w:rsid w:val="67011108"/>
    <w:rsid w:val="67EB7217"/>
    <w:rsid w:val="68257ACB"/>
    <w:rsid w:val="68E16877"/>
    <w:rsid w:val="693C685A"/>
    <w:rsid w:val="6A290B4E"/>
    <w:rsid w:val="6A326F9F"/>
    <w:rsid w:val="6A372B34"/>
    <w:rsid w:val="6BCC5AB5"/>
    <w:rsid w:val="6BFE58A3"/>
    <w:rsid w:val="6C1C7AD2"/>
    <w:rsid w:val="6C6D5068"/>
    <w:rsid w:val="6D6844FF"/>
    <w:rsid w:val="6D7C4A84"/>
    <w:rsid w:val="6DEC5701"/>
    <w:rsid w:val="6E2F2A59"/>
    <w:rsid w:val="6E4D24C0"/>
    <w:rsid w:val="6EDA7046"/>
    <w:rsid w:val="6F4316ED"/>
    <w:rsid w:val="6F6B1EFD"/>
    <w:rsid w:val="70FA0A95"/>
    <w:rsid w:val="7106579F"/>
    <w:rsid w:val="71537C4A"/>
    <w:rsid w:val="72E22A98"/>
    <w:rsid w:val="73C0345F"/>
    <w:rsid w:val="73E122AF"/>
    <w:rsid w:val="742108C9"/>
    <w:rsid w:val="746563E1"/>
    <w:rsid w:val="74C35890"/>
    <w:rsid w:val="75045006"/>
    <w:rsid w:val="752E2F9D"/>
    <w:rsid w:val="757545D6"/>
    <w:rsid w:val="77596510"/>
    <w:rsid w:val="779615A8"/>
    <w:rsid w:val="7811598F"/>
    <w:rsid w:val="78497F42"/>
    <w:rsid w:val="78B907ED"/>
    <w:rsid w:val="7B4106E0"/>
    <w:rsid w:val="7B470AA5"/>
    <w:rsid w:val="7D185062"/>
    <w:rsid w:val="7E772C0A"/>
    <w:rsid w:val="7EEB29BF"/>
    <w:rsid w:val="7F823B2A"/>
    <w:rsid w:val="7FA20D20"/>
    <w:rsid w:val="7FC27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4037;&#20316;&#3180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[工作簿1.xlsx]Sheet1!$A$1:$A$8</c:f>
              <c:strCache>
                <c:ptCount val="8"/>
                <c:pt idx="0">
                  <c:v>行政执法公示</c:v>
                </c:pt>
                <c:pt idx="1">
                  <c:v>通知公告</c:v>
                </c:pt>
                <c:pt idx="2">
                  <c:v>双随机一公开</c:v>
                </c:pt>
                <c:pt idx="3">
                  <c:v>建议提案</c:v>
                </c:pt>
                <c:pt idx="4">
                  <c:v>政策解读</c:v>
                </c:pt>
                <c:pt idx="5">
                  <c:v>机构职能</c:v>
                </c:pt>
                <c:pt idx="6">
                  <c:v>政府信息公开指南</c:v>
                </c:pt>
                <c:pt idx="7">
                  <c:v>政府信息公开年报</c:v>
                </c:pt>
              </c:strCache>
            </c:strRef>
          </c:cat>
          <c:val>
            <c:numRef>
              <c:f>[工作簿1.xlsx]Sheet1!$B$1:$B$8</c:f>
              <c:numCache>
                <c:formatCode>General</c:formatCode>
                <c:ptCount val="8"/>
                <c:pt idx="0">
                  <c:v>31</c:v>
                </c:pt>
                <c:pt idx="1">
                  <c:v>8</c:v>
                </c:pt>
                <c:pt idx="2">
                  <c:v>5</c:v>
                </c:pt>
                <c:pt idx="3">
                  <c:v>3</c:v>
                </c:pt>
                <c:pt idx="4">
                  <c:v>1</c:v>
                </c:pt>
                <c:pt idx="5">
                  <c:v>1</c:v>
                </c:pt>
                <c:pt idx="6">
                  <c:v>1</c:v>
                </c:pt>
                <c:pt idx="7">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000" b="0" i="0" u="none" strike="noStrike" kern="1200" cap="none" spc="0" normalizeH="0" baseline="0">
                <a:solidFill>
                  <a:sysClr val="windowText" lastClr="000000"/>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4"/>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5"/>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6"/>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7"/>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no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noFill/>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2024-01-23T02:16:00Z</dcterms:created>
  <dc:creator>Administrator</dc:creator>
  <cp:lastModifiedBy>Administrator</cp:lastModifiedBy>
  <dcterms:modified xsi:type="dcterms:W3CDTF">2025-01-21T01:12:12Z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