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E928A">
      <w:pPr>
        <w:pStyle w:val="4"/>
        <w:keepNext w:val="0"/>
        <w:keepLines w:val="0"/>
        <w:pageBreakBefore w:val="0"/>
        <w:widowControl/>
        <w:shd w:val="clear"/>
        <w:kinsoku/>
        <w:wordWrap/>
        <w:overflowPunct/>
        <w:topLinePunct w:val="0"/>
        <w:autoSpaceDE/>
        <w:autoSpaceDN/>
        <w:bidi w:val="0"/>
        <w:adjustRightInd/>
        <w:snapToGrid/>
        <w:spacing w:before="0" w:beforeAutospacing="0" w:after="0" w:afterAutospacing="0" w:line="700" w:lineRule="exact"/>
        <w:ind w:firstLine="0"/>
        <w:jc w:val="center"/>
        <w:textAlignment w:val="auto"/>
        <w:rPr>
          <w:rFonts w:hint="eastAsia" w:ascii="Times New Roman" w:hAnsi="Times New Roman" w:eastAsia="方正小标宋简体" w:cs="方正小标宋简体"/>
          <w:b/>
          <w:bCs w:val="0"/>
          <w:color w:val="auto"/>
          <w:sz w:val="44"/>
          <w:szCs w:val="44"/>
          <w:lang w:val="en-US" w:eastAsia="zh-CN"/>
        </w:rPr>
      </w:pPr>
    </w:p>
    <w:p w14:paraId="3EEFBB3F">
      <w:pPr>
        <w:pStyle w:val="4"/>
        <w:keepNext w:val="0"/>
        <w:keepLines w:val="0"/>
        <w:pageBreakBefore w:val="0"/>
        <w:widowControl/>
        <w:shd w:val="clear"/>
        <w:kinsoku/>
        <w:wordWrap/>
        <w:overflowPunct/>
        <w:topLinePunct w:val="0"/>
        <w:autoSpaceDE/>
        <w:autoSpaceDN/>
        <w:bidi w:val="0"/>
        <w:adjustRightInd/>
        <w:snapToGrid/>
        <w:spacing w:before="0" w:beforeAutospacing="0" w:after="0" w:afterAutospacing="0" w:line="700" w:lineRule="exact"/>
        <w:ind w:firstLine="0"/>
        <w:jc w:val="center"/>
        <w:textAlignment w:val="auto"/>
        <w:rPr>
          <w:rFonts w:hint="eastAsia" w:ascii="Times New Roman" w:hAnsi="Times New Roman" w:eastAsia="方正小标宋简体" w:cs="方正小标宋简体"/>
          <w:b/>
          <w:bCs w:val="0"/>
          <w:color w:val="auto"/>
          <w:sz w:val="44"/>
          <w:szCs w:val="44"/>
        </w:rPr>
      </w:pPr>
      <w:r>
        <w:rPr>
          <w:rFonts w:hint="eastAsia" w:ascii="Times New Roman" w:hAnsi="Times New Roman" w:eastAsia="方正小标宋简体" w:cs="方正小标宋简体"/>
          <w:b/>
          <w:bCs w:val="0"/>
          <w:color w:val="auto"/>
          <w:sz w:val="44"/>
          <w:szCs w:val="44"/>
          <w:lang w:val="en-US" w:eastAsia="zh-CN"/>
        </w:rPr>
        <w:t>泗水县苗馆镇人民政府</w:t>
      </w:r>
      <w:r>
        <w:rPr>
          <w:rFonts w:hint="eastAsia" w:ascii="Times New Roman" w:hAnsi="Times New Roman" w:eastAsia="方正小标宋简体" w:cs="方正小标宋简体"/>
          <w:b/>
          <w:bCs w:val="0"/>
          <w:color w:val="auto"/>
          <w:sz w:val="44"/>
          <w:szCs w:val="44"/>
        </w:rPr>
        <w:t>202</w:t>
      </w:r>
      <w:r>
        <w:rPr>
          <w:rFonts w:hint="eastAsia" w:ascii="Times New Roman" w:hAnsi="Times New Roman" w:eastAsia="方正小标宋简体" w:cs="方正小标宋简体"/>
          <w:b/>
          <w:bCs w:val="0"/>
          <w:color w:val="auto"/>
          <w:sz w:val="44"/>
          <w:szCs w:val="44"/>
          <w:lang w:val="en-US" w:eastAsia="zh-CN"/>
        </w:rPr>
        <w:t>5</w:t>
      </w:r>
      <w:r>
        <w:rPr>
          <w:rFonts w:hint="eastAsia" w:ascii="Times New Roman" w:hAnsi="Times New Roman" w:eastAsia="方正小标宋简体" w:cs="方正小标宋简体"/>
          <w:b/>
          <w:bCs w:val="0"/>
          <w:color w:val="auto"/>
          <w:sz w:val="44"/>
          <w:szCs w:val="44"/>
        </w:rPr>
        <w:t>年政府信息公开</w:t>
      </w:r>
    </w:p>
    <w:p w14:paraId="62C5DF9A">
      <w:pPr>
        <w:pStyle w:val="4"/>
        <w:keepNext w:val="0"/>
        <w:keepLines w:val="0"/>
        <w:pageBreakBefore w:val="0"/>
        <w:widowControl/>
        <w:shd w:val="clear"/>
        <w:kinsoku/>
        <w:wordWrap/>
        <w:overflowPunct/>
        <w:topLinePunct w:val="0"/>
        <w:autoSpaceDE/>
        <w:autoSpaceDN/>
        <w:bidi w:val="0"/>
        <w:adjustRightInd/>
        <w:snapToGrid/>
        <w:spacing w:before="0" w:beforeAutospacing="0" w:after="0" w:afterAutospacing="0" w:line="700" w:lineRule="exact"/>
        <w:ind w:firstLine="0"/>
        <w:jc w:val="center"/>
        <w:textAlignment w:val="auto"/>
        <w:rPr>
          <w:rFonts w:hint="eastAsia" w:ascii="Times New Roman" w:hAnsi="Times New Roman" w:eastAsia="方正小标宋简体" w:cs="方正小标宋简体"/>
          <w:b/>
          <w:bCs w:val="0"/>
          <w:color w:val="auto"/>
          <w:sz w:val="44"/>
          <w:szCs w:val="44"/>
          <w:lang w:eastAsia="zh-CN"/>
        </w:rPr>
      </w:pPr>
      <w:r>
        <w:rPr>
          <w:rFonts w:hint="eastAsia" w:ascii="Times New Roman" w:hAnsi="Times New Roman" w:eastAsia="方正小标宋简体" w:cs="方正小标宋简体"/>
          <w:b/>
          <w:bCs w:val="0"/>
          <w:color w:val="auto"/>
          <w:sz w:val="44"/>
          <w:szCs w:val="44"/>
        </w:rPr>
        <w:t>工作年度报告</w:t>
      </w:r>
    </w:p>
    <w:p w14:paraId="3A3C21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Times New Roman" w:hAnsi="Times New Roman" w:eastAsia="方正小标宋简体" w:cs="方正小标宋简体"/>
          <w:b/>
          <w:bCs w:val="0"/>
          <w:i w:val="0"/>
          <w:iCs w:val="0"/>
          <w:caps w:val="0"/>
          <w:color w:val="auto"/>
          <w:spacing w:val="0"/>
          <w:sz w:val="44"/>
          <w:szCs w:val="44"/>
        </w:rPr>
      </w:pPr>
    </w:p>
    <w:p w14:paraId="459782C8">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Times New Roman" w:hAnsi="Times New Roman" w:eastAsia="方正仿宋简体" w:cs="Times New Roman"/>
          <w:b/>
          <w:bCs w:val="0"/>
          <w:i w:val="0"/>
          <w:iCs w:val="0"/>
          <w:caps w:val="0"/>
          <w:color w:val="auto"/>
          <w:spacing w:val="0"/>
          <w:sz w:val="32"/>
          <w:szCs w:val="32"/>
          <w:lang w:eastAsia="zh-CN"/>
        </w:rPr>
      </w:pPr>
      <w:r>
        <w:rPr>
          <w:rFonts w:hint="default" w:ascii="Times New Roman" w:hAnsi="Times New Roman" w:eastAsia="方正仿宋简体" w:cs="Times New Roman"/>
          <w:b/>
          <w:bCs w:val="0"/>
          <w:i w:val="0"/>
          <w:iCs w:val="0"/>
          <w:caps w:val="0"/>
          <w:color w:val="auto"/>
          <w:spacing w:val="0"/>
          <w:sz w:val="32"/>
          <w:szCs w:val="32"/>
        </w:rPr>
        <w:t>本报告由</w:t>
      </w:r>
      <w:r>
        <w:rPr>
          <w:rFonts w:hint="eastAsia" w:ascii="Times New Roman" w:hAnsi="Times New Roman" w:eastAsia="方正仿宋简体"/>
          <w:b/>
          <w:bCs w:val="0"/>
          <w:color w:val="auto"/>
          <w:sz w:val="32"/>
          <w:szCs w:val="32"/>
          <w:lang w:val="en-US" w:eastAsia="zh-CN"/>
        </w:rPr>
        <w:t>泗水县苗馆镇人民政府根据</w:t>
      </w:r>
      <w:r>
        <w:rPr>
          <w:rFonts w:hint="default" w:ascii="Times New Roman" w:hAnsi="Times New Roman" w:eastAsia="方正仿宋简体" w:cs="Times New Roman"/>
          <w:b/>
          <w:bCs w:val="0"/>
          <w:i w:val="0"/>
          <w:iCs w:val="0"/>
          <w:caps w:val="0"/>
          <w:color w:val="auto"/>
          <w:spacing w:val="0"/>
          <w:sz w:val="32"/>
          <w:szCs w:val="32"/>
        </w:rPr>
        <w:t>《中华人民共和国政府信息公开条例》（以下简称《条例》）和《中华人民共和国政府信息公开工作年度报告格式》（国办公开办函〔2021〕30号）相关要求编制</w:t>
      </w:r>
      <w:r>
        <w:rPr>
          <w:rFonts w:hint="eastAsia" w:ascii="Times New Roman" w:hAnsi="Times New Roman" w:eastAsia="方正仿宋简体" w:cs="Times New Roman"/>
          <w:b/>
          <w:bCs w:val="0"/>
          <w:i w:val="0"/>
          <w:iCs w:val="0"/>
          <w:caps w:val="0"/>
          <w:color w:val="auto"/>
          <w:spacing w:val="0"/>
          <w:sz w:val="32"/>
          <w:szCs w:val="32"/>
          <w:lang w:eastAsia="zh-CN"/>
        </w:rPr>
        <w:t>。</w:t>
      </w:r>
    </w:p>
    <w:p w14:paraId="43D73459">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val="0"/>
          <w:i w:val="0"/>
          <w:iCs w:val="0"/>
          <w:caps w:val="0"/>
          <w:color w:val="auto"/>
          <w:spacing w:val="0"/>
          <w:sz w:val="32"/>
          <w:szCs w:val="32"/>
        </w:rPr>
      </w:pPr>
      <w:r>
        <w:rPr>
          <w:rFonts w:hint="eastAsia" w:ascii="Times New Roman" w:hAnsi="Times New Roman" w:eastAsia="方正仿宋简体" w:cs="Times New Roman"/>
          <w:b/>
          <w:bCs w:val="0"/>
          <w:i w:val="0"/>
          <w:iCs w:val="0"/>
          <w:caps w:val="0"/>
          <w:color w:val="auto"/>
          <w:spacing w:val="0"/>
          <w:sz w:val="32"/>
          <w:szCs w:val="32"/>
          <w:lang w:val="en-US" w:eastAsia="zh-CN"/>
        </w:rPr>
        <w:t>本报告</w:t>
      </w:r>
      <w:r>
        <w:rPr>
          <w:rFonts w:hint="default" w:ascii="Times New Roman" w:hAnsi="Times New Roman" w:eastAsia="方正仿宋简体" w:cs="Times New Roman"/>
          <w:b/>
          <w:bCs w:val="0"/>
          <w:i w:val="0"/>
          <w:iCs w:val="0"/>
          <w:caps w:val="0"/>
          <w:color w:val="auto"/>
          <w:spacing w:val="0"/>
          <w:sz w:val="32"/>
          <w:szCs w:val="32"/>
        </w:rPr>
        <w:t>内容包括总体情况、主动公开政府信息情况、收到和处理政府信息公开申请情况、政府信息公开行政复议和行政诉讼情况、存在的主要问题及改进情况、其他需要报告的事项等六个部分。</w:t>
      </w:r>
    </w:p>
    <w:p w14:paraId="761109D6">
      <w:pPr>
        <w:keepNext w:val="0"/>
        <w:keepLines w:val="0"/>
        <w:pageBreakBefore w:val="0"/>
        <w:widowControl w:val="0"/>
        <w:suppressLineNumbers w:val="0"/>
        <w:shd w:val="clea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方正仿宋简体" w:cs="Times New Roman"/>
          <w:b/>
          <w:bCs w:val="0"/>
          <w:color w:val="auto"/>
          <w:sz w:val="32"/>
          <w:szCs w:val="32"/>
        </w:rPr>
      </w:pPr>
      <w:r>
        <w:rPr>
          <w:rFonts w:hint="eastAsia" w:ascii="Times New Roman" w:hAnsi="Times New Roman" w:eastAsia="方正仿宋简体" w:cs="Times New Roman"/>
          <w:b/>
          <w:bCs w:val="0"/>
          <w:color w:val="auto"/>
          <w:sz w:val="32"/>
          <w:szCs w:val="32"/>
        </w:rPr>
        <w:t>本报告所列数据的统计期限自202</w:t>
      </w:r>
      <w:r>
        <w:rPr>
          <w:rFonts w:hint="eastAsia" w:ascii="Times New Roman" w:hAnsi="Times New Roman" w:eastAsia="方正仿宋简体" w:cs="Times New Roman"/>
          <w:b/>
          <w:bCs w:val="0"/>
          <w:color w:val="auto"/>
          <w:sz w:val="32"/>
          <w:szCs w:val="32"/>
          <w:lang w:val="en-US" w:eastAsia="zh-CN"/>
        </w:rPr>
        <w:t>5</w:t>
      </w:r>
      <w:r>
        <w:rPr>
          <w:rFonts w:hint="eastAsia" w:ascii="Times New Roman" w:hAnsi="Times New Roman" w:eastAsia="方正仿宋简体" w:cs="Times New Roman"/>
          <w:b/>
          <w:bCs w:val="0"/>
          <w:color w:val="auto"/>
          <w:sz w:val="32"/>
          <w:szCs w:val="32"/>
        </w:rPr>
        <w:t>年1月1日起至202</w:t>
      </w:r>
      <w:r>
        <w:rPr>
          <w:rFonts w:hint="eastAsia" w:ascii="Times New Roman" w:hAnsi="Times New Roman" w:eastAsia="方正仿宋简体" w:cs="Times New Roman"/>
          <w:b/>
          <w:bCs w:val="0"/>
          <w:color w:val="auto"/>
          <w:sz w:val="32"/>
          <w:szCs w:val="32"/>
          <w:lang w:val="en-US" w:eastAsia="zh-CN"/>
        </w:rPr>
        <w:t>5</w:t>
      </w:r>
      <w:r>
        <w:rPr>
          <w:rFonts w:hint="eastAsia" w:ascii="Times New Roman" w:hAnsi="Times New Roman" w:eastAsia="方正仿宋简体" w:cs="Times New Roman"/>
          <w:b/>
          <w:bCs w:val="0"/>
          <w:color w:val="auto"/>
          <w:sz w:val="32"/>
          <w:szCs w:val="32"/>
        </w:rPr>
        <w:t>年12月31日止。</w:t>
      </w:r>
      <w:r>
        <w:rPr>
          <w:rFonts w:hint="default" w:ascii="Times New Roman" w:hAnsi="Times New Roman" w:eastAsia="方正仿宋简体" w:cs="Times New Roman"/>
          <w:b/>
          <w:bCs w:val="0"/>
          <w:color w:val="auto"/>
          <w:sz w:val="32"/>
          <w:szCs w:val="32"/>
        </w:rPr>
        <w:t>本报告电子版可在</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中国</w:t>
      </w:r>
      <w:r>
        <w:rPr>
          <w:rFonts w:hint="eastAsia" w:ascii="Times New Roman" w:hAnsi="Times New Roman" w:eastAsia="方正仿宋简体" w:cs="Times New Roman"/>
          <w:b/>
          <w:bCs w:val="0"/>
          <w:color w:val="auto"/>
          <w:sz w:val="32"/>
          <w:szCs w:val="32"/>
          <w:lang w:val="en-US" w:eastAsia="zh-CN"/>
        </w:rPr>
        <w:t>·</w:t>
      </w:r>
      <w:r>
        <w:rPr>
          <w:rFonts w:hint="default" w:ascii="Times New Roman" w:hAnsi="Times New Roman" w:eastAsia="方正仿宋简体" w:cs="Times New Roman"/>
          <w:b/>
          <w:bCs w:val="0"/>
          <w:color w:val="auto"/>
          <w:sz w:val="32"/>
          <w:szCs w:val="32"/>
        </w:rPr>
        <w:t>泗水党政门户网站</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（www.sishui.gov.cn/）查阅或下载。如对本报告有疑问，请与</w:t>
      </w:r>
      <w:r>
        <w:rPr>
          <w:rFonts w:hint="eastAsia" w:ascii="Times New Roman" w:hAnsi="Times New Roman" w:eastAsia="方正仿宋简体" w:cs="Times New Roman"/>
          <w:b/>
          <w:bCs w:val="0"/>
          <w:color w:val="auto"/>
          <w:sz w:val="32"/>
          <w:szCs w:val="32"/>
          <w:lang w:val="en-US" w:eastAsia="zh-CN"/>
        </w:rPr>
        <w:t>苗馆镇</w:t>
      </w:r>
      <w:r>
        <w:rPr>
          <w:rFonts w:hint="default" w:ascii="Times New Roman" w:hAnsi="Times New Roman" w:eastAsia="方正仿宋简体" w:cs="Times New Roman"/>
          <w:b/>
          <w:bCs w:val="0"/>
          <w:color w:val="auto"/>
          <w:sz w:val="32"/>
          <w:szCs w:val="32"/>
          <w:lang w:val="en-US" w:eastAsia="zh-CN"/>
        </w:rPr>
        <w:t>人民政府</w:t>
      </w:r>
      <w:r>
        <w:rPr>
          <w:rFonts w:hint="default" w:ascii="Times New Roman" w:hAnsi="Times New Roman" w:eastAsia="方正仿宋简体" w:cs="Times New Roman"/>
          <w:b/>
          <w:bCs w:val="0"/>
          <w:color w:val="auto"/>
          <w:sz w:val="32"/>
          <w:szCs w:val="32"/>
        </w:rPr>
        <w:t>联系（</w:t>
      </w:r>
      <w:r>
        <w:rPr>
          <w:rFonts w:hint="eastAsia" w:ascii="Times New Roman" w:hAnsi="Times New Roman" w:eastAsia="方正仿宋简体" w:cs="Times New Roman"/>
          <w:b/>
          <w:bCs w:val="0"/>
          <w:color w:val="auto"/>
          <w:sz w:val="32"/>
          <w:szCs w:val="32"/>
          <w:lang w:val="en-US" w:eastAsia="zh-CN"/>
        </w:rPr>
        <w:t>地址：泗水县苗馆镇327国道路北苗馆镇人民政府，联系电话：0537-4141001</w:t>
      </w:r>
      <w:r>
        <w:rPr>
          <w:rFonts w:hint="default" w:ascii="Times New Roman" w:hAnsi="Times New Roman" w:eastAsia="方正仿宋简体" w:cs="Times New Roman"/>
          <w:b/>
          <w:bCs w:val="0"/>
          <w:color w:val="auto"/>
          <w:sz w:val="32"/>
          <w:szCs w:val="32"/>
        </w:rPr>
        <w:t>）。</w:t>
      </w:r>
    </w:p>
    <w:p w14:paraId="3E6F1C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rPr>
      </w:pPr>
      <w:r>
        <w:rPr>
          <w:rFonts w:hint="eastAsia" w:ascii="Times New Roman" w:hAnsi="Times New Roman" w:eastAsia="方正黑体简体" w:cs="方正黑体简体"/>
          <w:b/>
          <w:bCs w:val="0"/>
          <w:i w:val="0"/>
          <w:iCs w:val="0"/>
          <w:caps w:val="0"/>
          <w:color w:val="auto"/>
          <w:spacing w:val="0"/>
          <w:sz w:val="32"/>
          <w:szCs w:val="32"/>
        </w:rPr>
        <w:t>一、总体情况</w:t>
      </w:r>
    </w:p>
    <w:p w14:paraId="7A800EA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仿宋简体" w:cs="Times New Roman"/>
          <w:b/>
          <w:bCs w:val="0"/>
          <w:i w:val="0"/>
          <w:iCs w:val="0"/>
          <w:caps w:val="0"/>
          <w:color w:val="auto"/>
          <w:spacing w:val="0"/>
          <w:kern w:val="2"/>
          <w:sz w:val="32"/>
          <w:szCs w:val="32"/>
          <w:lang w:val="en-US" w:eastAsia="zh-CN" w:bidi="ar-SA"/>
        </w:rPr>
      </w:pPr>
      <w:r>
        <w:rPr>
          <w:rFonts w:hint="eastAsia" w:ascii="Times New Roman" w:hAnsi="Times New Roman" w:eastAsia="方正仿宋简体" w:cs="Times New Roman"/>
          <w:b/>
          <w:bCs w:val="0"/>
          <w:i w:val="0"/>
          <w:iCs w:val="0"/>
          <w:caps w:val="0"/>
          <w:color w:val="auto"/>
          <w:spacing w:val="0"/>
          <w:kern w:val="2"/>
          <w:sz w:val="32"/>
          <w:szCs w:val="32"/>
          <w:lang w:val="en-US" w:eastAsia="zh-CN" w:bidi="ar-SA"/>
        </w:rPr>
        <w:t>2025年，苗馆镇深入贯彻泗水县委、县政府关于政务公开工作的安排部署，严格遵守《条例》等文件精神及相关工作要求，健全完善信息公开机制，稳步提升信息公开实效，及时、准确、全面地向群众公开政府信息，依法保障人民群众的知情权。</w:t>
      </w:r>
    </w:p>
    <w:p w14:paraId="41FD61E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楷体简体" w:cs="方正楷体简体"/>
          <w:b/>
          <w:bCs w:val="0"/>
          <w:i w:val="0"/>
          <w:iCs w:val="0"/>
          <w:caps w:val="0"/>
          <w:color w:val="auto"/>
          <w:spacing w:val="0"/>
          <w:sz w:val="32"/>
          <w:szCs w:val="32"/>
        </w:rPr>
      </w:pPr>
      <w:r>
        <w:rPr>
          <w:rFonts w:hint="eastAsia" w:ascii="Times New Roman" w:hAnsi="Times New Roman" w:eastAsia="方正楷体简体" w:cs="方正楷体简体"/>
          <w:b/>
          <w:bCs w:val="0"/>
          <w:i w:val="0"/>
          <w:iCs w:val="0"/>
          <w:caps w:val="0"/>
          <w:color w:val="auto"/>
          <w:spacing w:val="0"/>
          <w:sz w:val="32"/>
          <w:szCs w:val="32"/>
        </w:rPr>
        <w:t>（一）主动公开情况</w:t>
      </w:r>
    </w:p>
    <w:p w14:paraId="2B58A7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仿宋简体" w:cs="Times New Roman"/>
          <w:b/>
          <w:bCs w:val="0"/>
          <w:i w:val="0"/>
          <w:iCs w:val="0"/>
          <w:caps w:val="0"/>
          <w:color w:val="auto"/>
          <w:spacing w:val="-6"/>
          <w:kern w:val="2"/>
          <w:sz w:val="32"/>
          <w:szCs w:val="32"/>
          <w:lang w:val="en-US" w:eastAsia="zh-CN" w:bidi="ar-SA"/>
        </w:rPr>
      </w:pPr>
      <w:r>
        <w:rPr>
          <w:rFonts w:hint="eastAsia" w:ascii="Times New Roman" w:hAnsi="Times New Roman" w:eastAsia="方正仿宋简体" w:cs="Times New Roman"/>
          <w:b/>
          <w:bCs w:val="0"/>
          <w:i w:val="0"/>
          <w:iCs w:val="0"/>
          <w:caps w:val="0"/>
          <w:color w:val="auto"/>
          <w:spacing w:val="0"/>
          <w:kern w:val="2"/>
          <w:sz w:val="32"/>
          <w:szCs w:val="32"/>
          <w:lang w:val="en-US" w:eastAsia="zh-CN" w:bidi="ar-SA"/>
        </w:rPr>
        <w:t>2025年，苗馆镇按照泗水县政府信息公开工作要求，及时对镇内有关信息进行更新。通过泗水县人民政府门户网站，主动</w:t>
      </w:r>
      <w:r>
        <w:rPr>
          <w:rFonts w:hint="eastAsia" w:ascii="Times New Roman" w:hAnsi="Times New Roman" w:eastAsia="方正仿宋简体" w:cs="Times New Roman"/>
          <w:b/>
          <w:bCs w:val="0"/>
          <w:i w:val="0"/>
          <w:iCs w:val="0"/>
          <w:caps w:val="0"/>
          <w:color w:val="auto"/>
          <w:spacing w:val="-6"/>
          <w:kern w:val="2"/>
          <w:sz w:val="32"/>
          <w:szCs w:val="32"/>
          <w:lang w:val="en-US" w:eastAsia="zh-CN" w:bidi="ar-SA"/>
        </w:rPr>
        <w:t>公开政府信息36条。其中，发布工作动态22条，通知公告8</w:t>
      </w:r>
      <w:r>
        <w:rPr>
          <w:rFonts w:hint="eastAsia" w:ascii="Times New Roman" w:hAnsi="Times New Roman" w:eastAsia="方正仿宋简体" w:cs="Times New Roman"/>
          <w:b/>
          <w:bCs w:val="0"/>
          <w:i w:val="0"/>
          <w:iCs w:val="0"/>
          <w:caps w:val="0"/>
          <w:color w:val="auto"/>
          <w:spacing w:val="-6"/>
          <w:kern w:val="2"/>
          <w:sz w:val="32"/>
          <w:szCs w:val="32"/>
          <w:lang w:val="en-US" w:eastAsia="zh-CN" w:bidi="ar-SA"/>
        </w:rPr>
        <w:t>条，财政预决算4条，政府信息公开年报1条，法治政府年报1条。</w:t>
      </w:r>
    </w:p>
    <w:p w14:paraId="6C997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方正仿宋简体" w:cs="Times New Roman"/>
          <w:b/>
          <w:bCs w:val="0"/>
          <w:i w:val="0"/>
          <w:iCs w:val="0"/>
          <w:caps w:val="0"/>
          <w:color w:val="auto"/>
          <w:spacing w:val="0"/>
          <w:kern w:val="2"/>
          <w:sz w:val="32"/>
          <w:szCs w:val="32"/>
          <w:lang w:val="en-US" w:eastAsia="zh-CN" w:bidi="ar-SA"/>
        </w:rPr>
      </w:pPr>
      <w:r>
        <w:rPr>
          <w:rFonts w:hint="eastAsia" w:ascii="Times New Roman" w:hAnsi="Times New Roman" w:eastAsia="方正仿宋简体" w:cs="Times New Roman"/>
          <w:b/>
          <w:bCs w:val="0"/>
          <w:i w:val="0"/>
          <w:iCs w:val="0"/>
          <w:caps w:val="0"/>
          <w:color w:val="auto"/>
          <w:spacing w:val="0"/>
          <w:kern w:val="2"/>
          <w:sz w:val="32"/>
          <w:szCs w:val="32"/>
          <w:lang w:val="en-US" w:eastAsia="zh-CN" w:bidi="ar-SA"/>
        </w:rPr>
        <w:drawing>
          <wp:inline distT="0" distB="0" distL="114300" distR="114300">
            <wp:extent cx="3738880" cy="2493010"/>
            <wp:effectExtent l="0" t="0" r="13970" b="2540"/>
            <wp:docPr id="1"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
                    <pic:cNvPicPr>
                      <a:picLocks noChangeAspect="1"/>
                    </pic:cNvPicPr>
                  </pic:nvPicPr>
                  <pic:blipFill>
                    <a:blip r:embed="rId5"/>
                    <a:stretch>
                      <a:fillRect/>
                    </a:stretch>
                  </pic:blipFill>
                  <pic:spPr>
                    <a:xfrm>
                      <a:off x="0" y="0"/>
                      <a:ext cx="3738880" cy="2493010"/>
                    </a:xfrm>
                    <a:prstGeom prst="rect">
                      <a:avLst/>
                    </a:prstGeom>
                    <a:noFill/>
                    <a:ln>
                      <a:noFill/>
                    </a:ln>
                  </pic:spPr>
                </pic:pic>
              </a:graphicData>
            </a:graphic>
          </wp:inline>
        </w:drawing>
      </w:r>
    </w:p>
    <w:p w14:paraId="41274C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420"/>
        <w:jc w:val="left"/>
        <w:textAlignment w:val="auto"/>
        <w:rPr>
          <w:rFonts w:hint="eastAsia" w:ascii="Times New Roman" w:hAnsi="Times New Roman" w:eastAsia="方正楷体简体" w:cs="方正楷体简体"/>
          <w:b/>
          <w:bCs w:val="0"/>
          <w:i w:val="0"/>
          <w:iCs w:val="0"/>
          <w:caps w:val="0"/>
          <w:color w:val="auto"/>
          <w:spacing w:val="0"/>
          <w:sz w:val="32"/>
          <w:szCs w:val="32"/>
        </w:rPr>
      </w:pPr>
      <w:r>
        <w:rPr>
          <w:rFonts w:hint="eastAsia" w:ascii="Times New Roman" w:hAnsi="Times New Roman" w:eastAsia="方正楷体简体" w:cs="方正楷体简体"/>
          <w:b/>
          <w:bCs w:val="0"/>
          <w:i w:val="0"/>
          <w:iCs w:val="0"/>
          <w:caps w:val="0"/>
          <w:color w:val="auto"/>
          <w:spacing w:val="0"/>
          <w:sz w:val="32"/>
          <w:szCs w:val="32"/>
        </w:rPr>
        <w:t>（二）依申请公开情况</w:t>
      </w:r>
    </w:p>
    <w:p w14:paraId="7CA31A0F">
      <w:pPr>
        <w:keepNext w:val="0"/>
        <w:keepLines w:val="0"/>
        <w:pageBreakBefore w:val="0"/>
        <w:shd w:val="clea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b/>
          <w:bCs w:val="0"/>
          <w:color w:val="auto"/>
          <w:sz w:val="32"/>
          <w:szCs w:val="32"/>
          <w:lang w:val="en-US" w:eastAsia="zh-CN"/>
        </w:rPr>
      </w:pPr>
      <w:r>
        <w:rPr>
          <w:rFonts w:hint="eastAsia" w:ascii="Times New Roman" w:hAnsi="Times New Roman" w:eastAsia="方正仿宋简体"/>
          <w:b/>
          <w:bCs w:val="0"/>
          <w:color w:val="auto"/>
          <w:sz w:val="32"/>
          <w:szCs w:val="32"/>
          <w:lang w:val="en-US" w:eastAsia="zh-CN"/>
        </w:rPr>
        <w:t>2025</w:t>
      </w:r>
      <w:r>
        <w:rPr>
          <w:rFonts w:hint="eastAsia" w:ascii="Times New Roman" w:hAnsi="Times New Roman" w:eastAsia="方正仿宋简体"/>
          <w:b/>
          <w:bCs w:val="0"/>
          <w:color w:val="auto"/>
          <w:sz w:val="32"/>
          <w:szCs w:val="32"/>
          <w:lang w:val="en-US" w:eastAsia="zh-CN"/>
        </w:rPr>
        <w:t>年度，苗馆镇未收到依申请公开件。全年未有因依申请公开政府信息答复而引起的行政复议和行政诉讼。</w:t>
      </w:r>
    </w:p>
    <w:p w14:paraId="58BE20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420"/>
        <w:jc w:val="left"/>
        <w:textAlignment w:val="auto"/>
        <w:rPr>
          <w:rFonts w:hint="eastAsia" w:ascii="Times New Roman" w:hAnsi="Times New Roman" w:eastAsia="方正楷体简体" w:cs="方正楷体简体"/>
          <w:b/>
          <w:bCs w:val="0"/>
          <w:i w:val="0"/>
          <w:iCs w:val="0"/>
          <w:caps w:val="0"/>
          <w:color w:val="auto"/>
          <w:spacing w:val="0"/>
          <w:sz w:val="32"/>
          <w:szCs w:val="32"/>
        </w:rPr>
      </w:pPr>
      <w:r>
        <w:rPr>
          <w:rFonts w:hint="eastAsia" w:ascii="Times New Roman" w:hAnsi="Times New Roman" w:eastAsia="方正楷体简体" w:cs="方正楷体简体"/>
          <w:b/>
          <w:bCs w:val="0"/>
          <w:i w:val="0"/>
          <w:iCs w:val="0"/>
          <w:caps w:val="0"/>
          <w:color w:val="auto"/>
          <w:spacing w:val="0"/>
          <w:sz w:val="32"/>
          <w:szCs w:val="32"/>
        </w:rPr>
        <w:t>（三）政府信息管理情况</w:t>
      </w:r>
    </w:p>
    <w:p w14:paraId="13C026AD">
      <w:pPr>
        <w:keepNext w:val="0"/>
        <w:keepLines w:val="0"/>
        <w:pageBreakBefore w:val="0"/>
        <w:shd w:val="clear"/>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b/>
          <w:bCs w:val="0"/>
          <w:color w:val="auto"/>
          <w:sz w:val="32"/>
          <w:szCs w:val="32"/>
          <w:lang w:val="en-US" w:eastAsia="zh-CN"/>
        </w:rPr>
      </w:pPr>
      <w:r>
        <w:rPr>
          <w:rFonts w:hint="eastAsia" w:ascii="Times New Roman" w:hAnsi="Times New Roman" w:eastAsia="方正仿宋简体"/>
          <w:b/>
          <w:bCs w:val="0"/>
          <w:color w:val="auto"/>
          <w:sz w:val="32"/>
          <w:szCs w:val="32"/>
          <w:lang w:val="en-US" w:eastAsia="zh-CN"/>
        </w:rPr>
        <w:t>认真落实政府信息公开主动公开、依申请公开、发布审核及保密审查机制，通过完善公共平台建设，规范公开流程与内容，</w:t>
      </w:r>
      <w:r>
        <w:rPr>
          <w:rFonts w:hint="eastAsia" w:ascii="Times New Roman" w:hAnsi="Times New Roman" w:eastAsia="方正仿宋简体"/>
          <w:b/>
          <w:bCs w:val="0"/>
          <w:color w:val="auto"/>
          <w:spacing w:val="-6"/>
          <w:sz w:val="32"/>
          <w:szCs w:val="32"/>
          <w:lang w:val="en-US" w:eastAsia="zh-CN"/>
        </w:rPr>
        <w:t>多渠道收集信息，建立严格的信息公开审核机制，确保信息准确、真实、合法，全方位提升信息管理水平，推动镇域发展与服务民众。</w:t>
      </w:r>
    </w:p>
    <w:p w14:paraId="083B22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420"/>
        <w:jc w:val="left"/>
        <w:textAlignment w:val="auto"/>
        <w:rPr>
          <w:rFonts w:hint="eastAsia" w:ascii="Times New Roman" w:hAnsi="Times New Roman" w:eastAsia="方正楷体简体" w:cs="方正楷体简体"/>
          <w:b/>
          <w:bCs w:val="0"/>
          <w:i w:val="0"/>
          <w:iCs w:val="0"/>
          <w:caps w:val="0"/>
          <w:color w:val="auto"/>
          <w:spacing w:val="0"/>
          <w:sz w:val="32"/>
          <w:szCs w:val="32"/>
        </w:rPr>
      </w:pPr>
      <w:r>
        <w:rPr>
          <w:rFonts w:hint="eastAsia" w:ascii="Times New Roman" w:hAnsi="Times New Roman" w:eastAsia="方正楷体简体" w:cs="方正楷体简体"/>
          <w:b/>
          <w:bCs w:val="0"/>
          <w:i w:val="0"/>
          <w:iCs w:val="0"/>
          <w:caps w:val="0"/>
          <w:color w:val="auto"/>
          <w:spacing w:val="0"/>
          <w:sz w:val="32"/>
          <w:szCs w:val="32"/>
        </w:rPr>
        <w:t>（四）政府信息公开平台建设情况</w:t>
      </w:r>
    </w:p>
    <w:p w14:paraId="14C988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420"/>
        <w:jc w:val="left"/>
        <w:textAlignment w:val="auto"/>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苗馆镇在线上依托泗水县人民政府门户网站，紧紧围绕县委、县政府重大决策部署，按照相关要求做好镇街专栏主动公开的政府信息的更新、维护等工作，全面推进政府网站建设。线下在镇便民服务中心设置政务便民自助查阅点，提供政府信息查询、信息公开申请、办事咨询答复等服务，持续推进全镇信息公开健康有序发展。</w:t>
      </w:r>
    </w:p>
    <w:p w14:paraId="4339F9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420"/>
        <w:jc w:val="left"/>
        <w:textAlignment w:val="auto"/>
        <w:rPr>
          <w:rFonts w:hint="eastAsia" w:ascii="Times New Roman" w:hAnsi="Times New Roman" w:eastAsia="方正楷体简体" w:cs="方正楷体简体"/>
          <w:b/>
          <w:bCs w:val="0"/>
          <w:i w:val="0"/>
          <w:iCs w:val="0"/>
          <w:caps w:val="0"/>
          <w:color w:val="auto"/>
          <w:spacing w:val="0"/>
          <w:sz w:val="32"/>
          <w:szCs w:val="32"/>
        </w:rPr>
      </w:pPr>
      <w:r>
        <w:rPr>
          <w:rFonts w:hint="eastAsia" w:ascii="Times New Roman" w:hAnsi="Times New Roman" w:eastAsia="方正楷体简体" w:cs="方正楷体简体"/>
          <w:b/>
          <w:bCs w:val="0"/>
          <w:i w:val="0"/>
          <w:iCs w:val="0"/>
          <w:caps w:val="0"/>
          <w:color w:val="auto"/>
          <w:spacing w:val="0"/>
          <w:sz w:val="32"/>
          <w:szCs w:val="32"/>
        </w:rPr>
        <w:t>（五）监督保障情况</w:t>
      </w:r>
      <w:bookmarkStart w:id="0" w:name="_GoBack"/>
      <w:bookmarkEnd w:id="0"/>
    </w:p>
    <w:p w14:paraId="00FC6A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420"/>
        <w:jc w:val="left"/>
        <w:textAlignment w:val="auto"/>
        <w:rPr>
          <w:rFonts w:hint="eastAsia" w:ascii="Times New Roman" w:hAnsi="Times New Roman" w:eastAsia="方正仿宋简体" w:cs="Times New Roman"/>
          <w:b/>
          <w:bCs w:val="0"/>
          <w:color w:val="auto"/>
          <w:kern w:val="2"/>
          <w:sz w:val="32"/>
          <w:szCs w:val="32"/>
          <w:lang w:val="en-US" w:eastAsia="zh-CN" w:bidi="ar-SA"/>
        </w:rPr>
      </w:pPr>
      <w:r>
        <w:rPr>
          <w:rFonts w:hint="eastAsia" w:ascii="Times New Roman" w:hAnsi="Times New Roman" w:eastAsia="方正仿宋简体" w:cs="Times New Roman"/>
          <w:b/>
          <w:bCs w:val="0"/>
          <w:color w:val="auto"/>
          <w:kern w:val="2"/>
          <w:sz w:val="32"/>
          <w:szCs w:val="32"/>
          <w:lang w:val="en-US" w:eastAsia="zh-CN" w:bidi="ar-SA"/>
        </w:rPr>
        <w:t>一是压实层级职责。明确政务公开领导机制与主体责任，构建主要领导统筹、分管领导主抓、专职人员落实、各部门协同联动的组织保障体系。二是细化推进机制。对照要点任务分解表，制定政务公开工作实施方案，明确时间节点和效能监测要求，推动任务落实到位。三是强化规范提升。通过学习相关文件精神、开展业务探讨等方式，着力</w:t>
      </w:r>
      <w:r>
        <w:rPr>
          <w:rFonts w:hint="eastAsia" w:ascii="Times New Roman" w:hAnsi="Times New Roman" w:eastAsia="方正仿宋简体" w:cs="Times New Roman"/>
          <w:b/>
          <w:bCs w:val="0"/>
          <w:color w:val="auto"/>
          <w:kern w:val="2"/>
          <w:sz w:val="32"/>
          <w:szCs w:val="32"/>
          <w:lang w:val="en-US" w:eastAsia="zh-CN" w:bidi="ar-SA"/>
        </w:rPr>
        <w:t>提升</w:t>
      </w:r>
      <w:r>
        <w:rPr>
          <w:rFonts w:hint="eastAsia" w:ascii="Times New Roman" w:hAnsi="Times New Roman" w:eastAsia="方正仿宋简体" w:cs="Times New Roman"/>
          <w:b/>
          <w:bCs w:val="0"/>
          <w:color w:val="auto"/>
          <w:kern w:val="2"/>
          <w:sz w:val="32"/>
          <w:szCs w:val="32"/>
          <w:lang w:val="en-US" w:eastAsia="zh-CN" w:bidi="ar-SA"/>
        </w:rPr>
        <w:t>工作人员业务能力，提升</w:t>
      </w:r>
      <w:r>
        <w:rPr>
          <w:rFonts w:hint="eastAsia" w:ascii="Times New Roman" w:hAnsi="Times New Roman" w:eastAsia="方正仿宋简体" w:cs="Times New Roman"/>
          <w:b/>
          <w:bCs w:val="0"/>
          <w:color w:val="auto"/>
          <w:kern w:val="2"/>
          <w:sz w:val="32"/>
          <w:szCs w:val="32"/>
          <w:lang w:val="en-US" w:eastAsia="zh-CN" w:bidi="ar-SA"/>
        </w:rPr>
        <w:t>我镇</w:t>
      </w:r>
      <w:r>
        <w:rPr>
          <w:rFonts w:hint="eastAsia" w:ascii="Times New Roman" w:hAnsi="Times New Roman" w:eastAsia="方正仿宋简体" w:cs="Times New Roman"/>
          <w:b/>
          <w:bCs w:val="0"/>
          <w:color w:val="auto"/>
          <w:kern w:val="2"/>
          <w:sz w:val="32"/>
          <w:szCs w:val="32"/>
          <w:lang w:val="en-US" w:eastAsia="zh-CN" w:bidi="ar-SA"/>
        </w:rPr>
        <w:t>政务公开工作的规范化水平。</w:t>
      </w:r>
    </w:p>
    <w:p w14:paraId="2EA0E63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rPr>
      </w:pPr>
      <w:r>
        <w:rPr>
          <w:rFonts w:hint="eastAsia" w:ascii="Times New Roman" w:hAnsi="Times New Roman" w:eastAsia="方正黑体简体" w:cs="方正黑体简体"/>
          <w:b/>
          <w:bCs w:val="0"/>
          <w:i w:val="0"/>
          <w:iCs w:val="0"/>
          <w:caps w:val="0"/>
          <w:color w:val="auto"/>
          <w:spacing w:val="0"/>
          <w:sz w:val="32"/>
          <w:szCs w:val="32"/>
        </w:rPr>
        <w:t>二、主动公开政府信息情况</w:t>
      </w:r>
    </w:p>
    <w:tbl>
      <w:tblPr>
        <w:tblStyle w:val="5"/>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38"/>
        <w:gridCol w:w="2338"/>
        <w:gridCol w:w="2339"/>
        <w:gridCol w:w="2339"/>
      </w:tblGrid>
      <w:tr w14:paraId="3D0F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9A30BC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第二十条第（一）项</w:t>
            </w:r>
          </w:p>
        </w:tc>
      </w:tr>
      <w:tr w14:paraId="3210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CD8E55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278462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771C58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280F53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现行有效件数</w:t>
            </w:r>
          </w:p>
        </w:tc>
      </w:tr>
      <w:tr w14:paraId="413C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76540A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B01909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5BD5DE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07F0D5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Calibri"/>
                <w:b/>
                <w:bCs w:val="0"/>
                <w:color w:val="auto"/>
                <w:kern w:val="0"/>
                <w:sz w:val="21"/>
                <w:szCs w:val="21"/>
                <w:lang w:val="en-US" w:eastAsia="zh-CN" w:bidi="ar"/>
              </w:rPr>
              <w:t>0</w:t>
            </w:r>
          </w:p>
        </w:tc>
      </w:tr>
      <w:tr w14:paraId="5158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D676EB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4F9F2A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666C99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F356D8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Calibri"/>
                <w:b/>
                <w:bCs w:val="0"/>
                <w:color w:val="auto"/>
                <w:kern w:val="0"/>
                <w:sz w:val="21"/>
                <w:szCs w:val="21"/>
                <w:lang w:val="en-US" w:eastAsia="zh-CN" w:bidi="ar"/>
              </w:rPr>
              <w:t>0</w:t>
            </w:r>
          </w:p>
        </w:tc>
      </w:tr>
      <w:tr w14:paraId="6792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FE9CDF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第二十条第（五）项</w:t>
            </w:r>
          </w:p>
        </w:tc>
      </w:tr>
      <w:tr w14:paraId="19FD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94361D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81D524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本年处理决定数量</w:t>
            </w:r>
          </w:p>
        </w:tc>
      </w:tr>
      <w:tr w14:paraId="5A05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0C8BCA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D0A80C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Calibri"/>
                <w:b/>
                <w:bCs w:val="0"/>
                <w:color w:val="auto"/>
                <w:kern w:val="0"/>
                <w:sz w:val="21"/>
                <w:szCs w:val="21"/>
                <w:lang w:val="en-US" w:eastAsia="zh-CN" w:bidi="ar"/>
              </w:rPr>
              <w:t>0</w:t>
            </w:r>
          </w:p>
        </w:tc>
      </w:tr>
      <w:tr w14:paraId="3BEE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1F549F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第二十条第（六）项</w:t>
            </w:r>
          </w:p>
        </w:tc>
      </w:tr>
      <w:tr w14:paraId="6A76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06CC9E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55CBE15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本年处理决定数量</w:t>
            </w:r>
          </w:p>
        </w:tc>
      </w:tr>
      <w:tr w14:paraId="3E07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108C96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12D6A3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r>
      <w:tr w14:paraId="74E7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EA704B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FE9A56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bCs w:val="0"/>
                <w:color w:val="auto"/>
                <w:lang w:val="en-US"/>
              </w:rPr>
            </w:pPr>
            <w:r>
              <w:rPr>
                <w:rFonts w:hint="eastAsia" w:ascii="Times New Roman" w:hAnsi="Times New Roman" w:cs="宋体"/>
                <w:b/>
                <w:bCs w:val="0"/>
                <w:color w:val="auto"/>
                <w:kern w:val="0"/>
                <w:sz w:val="20"/>
                <w:szCs w:val="20"/>
                <w:lang w:val="en-US" w:eastAsia="zh-CN" w:bidi="ar"/>
              </w:rPr>
              <w:t>0</w:t>
            </w:r>
          </w:p>
        </w:tc>
      </w:tr>
      <w:tr w14:paraId="2AEA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EEF3AC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第二十条第（八）项</w:t>
            </w:r>
          </w:p>
        </w:tc>
      </w:tr>
      <w:tr w14:paraId="4C97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D347EF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36471A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本年收费金额（单位：万元）</w:t>
            </w:r>
          </w:p>
        </w:tc>
      </w:tr>
      <w:tr w14:paraId="70DF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E9E31A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bCs w:val="0"/>
                <w:color w:val="auto"/>
              </w:rPr>
            </w:pPr>
            <w:r>
              <w:rPr>
                <w:rFonts w:hint="eastAsia" w:ascii="Times New Roman" w:hAnsi="Times New Roman"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586AB221">
            <w:pPr>
              <w:shd w:val="clear"/>
              <w:jc w:val="center"/>
              <w:rPr>
                <w:rFonts w:hint="eastAsia" w:ascii="Times New Roman" w:hAnsi="Times New Roman" w:eastAsia="宋体"/>
                <w:b/>
                <w:bCs w:val="0"/>
                <w:color w:val="auto"/>
                <w:sz w:val="24"/>
                <w:szCs w:val="24"/>
                <w:lang w:val="en-US" w:eastAsia="zh-CN"/>
              </w:rPr>
            </w:pPr>
            <w:r>
              <w:rPr>
                <w:rFonts w:hint="eastAsia" w:ascii="Times New Roman" w:hAnsi="Times New Roman"/>
                <w:b/>
                <w:bCs w:val="0"/>
                <w:color w:val="auto"/>
                <w:sz w:val="24"/>
                <w:szCs w:val="24"/>
                <w:lang w:val="en-US" w:eastAsia="zh-CN"/>
              </w:rPr>
              <w:t>0</w:t>
            </w:r>
          </w:p>
        </w:tc>
      </w:tr>
    </w:tbl>
    <w:p w14:paraId="490B97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3" w:firstLineChars="200"/>
        <w:jc w:val="both"/>
        <w:rPr>
          <w:rFonts w:hint="eastAsia" w:ascii="Times New Roman" w:hAnsi="Times New Roman" w:eastAsia="方正黑体简体" w:cs="黑体"/>
          <w:b/>
          <w:bCs w:val="0"/>
          <w:i w:val="0"/>
          <w:iCs w:val="0"/>
          <w:caps w:val="0"/>
          <w:color w:val="auto"/>
          <w:spacing w:val="0"/>
          <w:sz w:val="32"/>
          <w:szCs w:val="32"/>
          <w:shd w:val="clear" w:color="auto" w:fill="FFFFFF"/>
        </w:rPr>
      </w:pPr>
      <w:r>
        <w:rPr>
          <w:rFonts w:hint="eastAsia" w:ascii="Times New Roman" w:hAnsi="Times New Roman" w:eastAsia="方正黑体简体" w:cs="黑体"/>
          <w:b/>
          <w:bCs w:val="0"/>
          <w:i w:val="0"/>
          <w:iCs w:val="0"/>
          <w:caps w:val="0"/>
          <w:color w:val="auto"/>
          <w:spacing w:val="0"/>
          <w:sz w:val="32"/>
          <w:szCs w:val="32"/>
          <w:shd w:val="clear" w:color="auto" w:fill="FFFFFF"/>
        </w:rPr>
        <w:br w:type="page"/>
      </w:r>
    </w:p>
    <w:p w14:paraId="1B0FF1A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rPr>
      </w:pPr>
      <w:r>
        <w:rPr>
          <w:rFonts w:hint="eastAsia" w:ascii="Times New Roman" w:hAnsi="Times New Roman" w:eastAsia="方正黑体简体" w:cs="方正黑体简体"/>
          <w:b/>
          <w:bCs w:val="0"/>
          <w:i w:val="0"/>
          <w:iCs w:val="0"/>
          <w:caps w:val="0"/>
          <w:color w:val="auto"/>
          <w:spacing w:val="0"/>
          <w:sz w:val="32"/>
          <w:szCs w:val="32"/>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69CD9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F79646" w:themeColor="accent6" w:sz="6" w:space="0"/>
              <w:left w:val="single" w:color="F79646" w:themeColor="accent6" w:sz="6" w:space="0"/>
              <w:bottom w:val="single" w:color="F79646" w:themeColor="accent6" w:sz="6" w:space="0"/>
              <w:right w:val="single" w:color="FBD4B4" w:themeColor="accent6" w:themeTint="66" w:sz="6" w:space="0"/>
            </w:tcBorders>
            <w:shd w:val="clear" w:color="auto" w:fill="F79646" w:themeFill="accent6"/>
            <w:noWrap w:val="0"/>
            <w:tcMar>
              <w:left w:w="108" w:type="dxa"/>
              <w:right w:w="108" w:type="dxa"/>
            </w:tcMar>
            <w:vAlign w:val="center"/>
          </w:tcPr>
          <w:p w14:paraId="5B71ADB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bCs w:val="0"/>
                <w:i w:val="0"/>
                <w:color w:val="FFFFFF"/>
              </w:rPr>
            </w:pPr>
            <w:r>
              <w:rPr>
                <w:rFonts w:ascii="Times New Roman" w:hAnsi="Times New Roman" w:eastAsia="楷体" w:cs="楷体"/>
                <w:b/>
                <w:bCs w:val="0"/>
                <w:i w:val="0"/>
                <w:color w:val="FFFFFF"/>
                <w:kern w:val="0"/>
                <w:sz w:val="20"/>
                <w:szCs w:val="20"/>
                <w:lang w:val="en-US" w:eastAsia="zh-CN" w:bidi="ar"/>
              </w:rPr>
              <w:t>（本列数据的勾稽关系为：第一项加第二项之和，等于第三项加第四项之和）</w:t>
            </w:r>
          </w:p>
        </w:tc>
        <w:tc>
          <w:tcPr>
            <w:tcW w:w="4998" w:type="dxa"/>
            <w:gridSpan w:val="7"/>
            <w:tcBorders>
              <w:top w:val="single" w:color="F79646" w:themeColor="accent6" w:sz="6" w:space="0"/>
              <w:left w:val="single" w:color="FBD4B4" w:themeColor="accent6" w:themeTint="66" w:sz="6" w:space="0"/>
              <w:bottom w:val="single" w:color="F79646" w:themeColor="accent6" w:sz="6" w:space="0"/>
              <w:right w:val="single" w:color="FBD4B4" w:themeColor="accent6" w:themeTint="66" w:sz="6" w:space="0"/>
            </w:tcBorders>
            <w:shd w:val="clear" w:color="auto" w:fill="F79646" w:themeFill="accent6"/>
            <w:noWrap w:val="0"/>
            <w:tcMar>
              <w:left w:w="57" w:type="dxa"/>
              <w:right w:w="57" w:type="dxa"/>
            </w:tcMar>
            <w:vAlign w:val="center"/>
          </w:tcPr>
          <w:p w14:paraId="2A4A6B9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bCs w:val="0"/>
                <w:i w:val="0"/>
                <w:color w:val="FFFFFF"/>
              </w:rPr>
            </w:pPr>
            <w:r>
              <w:rPr>
                <w:rFonts w:hint="eastAsia" w:ascii="Times New Roman" w:hAnsi="Times New Roman" w:eastAsia="宋体" w:cs="宋体"/>
                <w:b/>
                <w:bCs w:val="0"/>
                <w:i w:val="0"/>
                <w:color w:val="FFFFFF"/>
                <w:kern w:val="0"/>
                <w:sz w:val="20"/>
                <w:szCs w:val="20"/>
                <w:lang w:val="en-US" w:eastAsia="zh-CN" w:bidi="ar"/>
              </w:rPr>
              <w:t>申请人情况</w:t>
            </w:r>
          </w:p>
        </w:tc>
      </w:tr>
      <w:tr w14:paraId="3BCDEF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F79646" w:themeColor="accent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108" w:type="dxa"/>
              <w:right w:w="108" w:type="dxa"/>
            </w:tcMar>
            <w:vAlign w:val="center"/>
          </w:tcPr>
          <w:p w14:paraId="26378B7D">
            <w:pPr>
              <w:shd w:val="clear"/>
              <w:rPr>
                <w:rFonts w:hint="eastAsia" w:ascii="Times New Roman" w:hAnsi="Times New Roman"/>
                <w:b w:val="0"/>
                <w:bCs w:val="0"/>
                <w:i w:val="0"/>
                <w:color w:val="000000"/>
                <w:sz w:val="24"/>
                <w:szCs w:val="24"/>
              </w:rPr>
            </w:pPr>
          </w:p>
        </w:tc>
        <w:tc>
          <w:tcPr>
            <w:tcW w:w="714" w:type="dxa"/>
            <w:vMerge w:val="restart"/>
            <w:tcBorders>
              <w:top w:val="single" w:color="F79646" w:themeColor="accent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05D475F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自然人</w:t>
            </w:r>
          </w:p>
        </w:tc>
        <w:tc>
          <w:tcPr>
            <w:tcW w:w="3570" w:type="dxa"/>
            <w:gridSpan w:val="5"/>
            <w:tcBorders>
              <w:top w:val="single" w:color="F79646" w:themeColor="accent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3E00710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法人或其他组织</w:t>
            </w:r>
          </w:p>
        </w:tc>
        <w:tc>
          <w:tcPr>
            <w:tcW w:w="714" w:type="dxa"/>
            <w:vMerge w:val="restart"/>
            <w:tcBorders>
              <w:top w:val="single" w:color="F79646" w:themeColor="accent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376BE9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总计</w:t>
            </w:r>
          </w:p>
        </w:tc>
      </w:tr>
      <w:tr w14:paraId="60428D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108" w:type="dxa"/>
              <w:right w:w="108" w:type="dxa"/>
            </w:tcMar>
            <w:vAlign w:val="center"/>
          </w:tcPr>
          <w:p w14:paraId="49A31769">
            <w:pPr>
              <w:shd w:val="clear"/>
              <w:rPr>
                <w:rFonts w:hint="eastAsia" w:ascii="Times New Roman" w:hAnsi="Times New Roman"/>
                <w:b w:val="0"/>
                <w:bCs w:val="0"/>
                <w:i w:val="0"/>
                <w:color w:val="000000"/>
                <w:sz w:val="24"/>
                <w:szCs w:val="24"/>
              </w:rPr>
            </w:pPr>
          </w:p>
        </w:tc>
        <w:tc>
          <w:tcPr>
            <w:tcW w:w="714"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4A2058A">
            <w:pPr>
              <w:shd w:val="clear"/>
              <w:rPr>
                <w:rFonts w:hint="eastAsia" w:ascii="Times New Roman" w:hAnsi="Times New Roman"/>
                <w:b w:val="0"/>
                <w:bCs w:val="0"/>
                <w:i w:val="0"/>
                <w:color w:val="000000"/>
                <w:sz w:val="24"/>
                <w:szCs w:val="24"/>
              </w:rPr>
            </w:pP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C69B14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商业</w:t>
            </w:r>
          </w:p>
          <w:p w14:paraId="1D16974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企业</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9A43D0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科研</w:t>
            </w:r>
          </w:p>
          <w:p w14:paraId="7B6BA97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机构</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3615CE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社会公益组织</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910A61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法律服务机构</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1D0C80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其他</w:t>
            </w:r>
          </w:p>
        </w:tc>
        <w:tc>
          <w:tcPr>
            <w:tcW w:w="714"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4B105B28">
            <w:pPr>
              <w:shd w:val="clear"/>
              <w:rPr>
                <w:rFonts w:hint="eastAsia" w:ascii="Times New Roman" w:hAnsi="Times New Roman"/>
                <w:b w:val="0"/>
                <w:bCs w:val="0"/>
                <w:i w:val="0"/>
                <w:color w:val="000000"/>
                <w:sz w:val="24"/>
                <w:szCs w:val="24"/>
              </w:rPr>
            </w:pPr>
          </w:p>
        </w:tc>
      </w:tr>
      <w:tr w14:paraId="6B24BB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B36ACD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一、本年新收政府信息公开申请数量</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67F7AA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701D961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D1B26F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202CAAA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D76664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FD11DF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6FEDEF9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3D0E52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DA4CCF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二、上年结转政府信息公开申请数量</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27A0DB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EF1370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4E9E9F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99BF23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DF420A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823223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3E80233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038C63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52DE17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三、本年度办理结果</w:t>
            </w:r>
          </w:p>
        </w:tc>
        <w:tc>
          <w:tcPr>
            <w:tcW w:w="4365" w:type="dxa"/>
            <w:gridSpan w:val="2"/>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094FD95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（一）予以公开</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0A4A1B0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2DD76A7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FA500B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346BDE6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78E329D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0A987E4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D92667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7A0B07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BB06EFA">
            <w:pPr>
              <w:shd w:val="clear"/>
              <w:rPr>
                <w:rFonts w:hint="eastAsia" w:ascii="Times New Roman" w:hAnsi="Times New Roman"/>
                <w:b w:val="0"/>
                <w:bCs w:val="0"/>
                <w:i w:val="0"/>
                <w:color w:val="000000"/>
                <w:sz w:val="24"/>
                <w:szCs w:val="24"/>
              </w:rPr>
            </w:pPr>
          </w:p>
        </w:tc>
        <w:tc>
          <w:tcPr>
            <w:tcW w:w="4365" w:type="dxa"/>
            <w:gridSpan w:val="2"/>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4336AA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（二）部分公开</w:t>
            </w:r>
            <w:r>
              <w:rPr>
                <w:rFonts w:hint="eastAsia" w:ascii="Times New Roman" w:hAnsi="Times New Roman" w:eastAsia="楷体" w:cs="楷体"/>
                <w:b w:val="0"/>
                <w:bCs w:val="0"/>
                <w:i w:val="0"/>
                <w:color w:val="000000"/>
                <w:kern w:val="0"/>
                <w:sz w:val="20"/>
                <w:szCs w:val="20"/>
                <w:lang w:val="en-US" w:eastAsia="zh-CN" w:bidi="ar"/>
              </w:rPr>
              <w:t>（区分处理的，只计这一情形，不计其他情形）</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C6715F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D03D27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94DE88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A5599C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CFA9EC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23C81E1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2A1787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5FE680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5A40007">
            <w:pPr>
              <w:shd w:val="clear"/>
              <w:rPr>
                <w:rFonts w:hint="eastAsia" w:ascii="Times New Roman" w:hAnsi="Times New Roman"/>
                <w:b w:val="0"/>
                <w:bCs w:val="0"/>
                <w:i w:val="0"/>
                <w:color w:val="000000"/>
                <w:sz w:val="24"/>
                <w:szCs w:val="24"/>
              </w:rPr>
            </w:pPr>
          </w:p>
        </w:tc>
        <w:tc>
          <w:tcPr>
            <w:tcW w:w="959" w:type="dxa"/>
            <w:vMerge w:val="restart"/>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1BA05A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（三）不予公开</w:t>
            </w: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top"/>
          </w:tcPr>
          <w:p w14:paraId="2B5D451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1</w:t>
            </w:r>
            <w:r>
              <w:rPr>
                <w:rFonts w:hint="eastAsia" w:ascii="Times New Roman" w:hAnsi="Times New Roman" w:eastAsia="宋体" w:cs="宋体"/>
                <w:b w:val="0"/>
                <w:bCs w:val="0"/>
                <w:i w:val="0"/>
                <w:color w:val="000000"/>
                <w:kern w:val="0"/>
                <w:sz w:val="20"/>
                <w:szCs w:val="20"/>
                <w:lang w:val="en-US" w:eastAsia="zh-CN" w:bidi="ar"/>
              </w:rPr>
              <w:t>.属于国家秘密</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871954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24F7B0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258FD0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29A1C49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0AFCBAC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354FBC8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04D4147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5BE64F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E93B415">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B8A16DA">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top"/>
          </w:tcPr>
          <w:p w14:paraId="09BA1D0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2</w:t>
            </w:r>
            <w:r>
              <w:rPr>
                <w:rFonts w:hint="eastAsia" w:ascii="Times New Roman" w:hAnsi="Times New Roman" w:eastAsia="宋体" w:cs="宋体"/>
                <w:b w:val="0"/>
                <w:bCs w:val="0"/>
                <w:i w:val="0"/>
                <w:color w:val="000000"/>
                <w:kern w:val="0"/>
                <w:sz w:val="20"/>
                <w:szCs w:val="20"/>
                <w:lang w:val="en-US" w:eastAsia="zh-CN" w:bidi="ar"/>
              </w:rPr>
              <w:t>.其他法律行政法规禁止公开</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41FD92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7966FA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09C6A1E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A31EAE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4C6DC5B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eastAsia" w:ascii="Times New Roman" w:hAnsi="Times New Roman" w:eastAsia="宋体"/>
                <w:b w:val="0"/>
                <w:bCs w:val="0"/>
                <w:i w:val="0"/>
                <w:color w:val="000000"/>
                <w:lang w:val="en-US" w:eastAsia="zh-CN"/>
              </w:rPr>
            </w:pPr>
            <w:r>
              <w:rPr>
                <w:rFonts w:hint="eastAsia" w:ascii="Times New Roman" w:hAnsi="Times New Roman"/>
                <w:b w:val="0"/>
                <w:bCs w:val="0"/>
                <w:i w:val="0"/>
                <w:color w:val="000000"/>
                <w:lang w:val="en-US" w:eastAsia="zh-CN"/>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7F6B6C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EFCB43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73D324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D64C1E0">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3FDE8099">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top"/>
          </w:tcPr>
          <w:p w14:paraId="44677E8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3</w:t>
            </w:r>
            <w:r>
              <w:rPr>
                <w:rFonts w:hint="eastAsia" w:ascii="Times New Roman" w:hAnsi="Times New Roman" w:eastAsia="宋体" w:cs="宋体"/>
                <w:b w:val="0"/>
                <w:bCs w:val="0"/>
                <w:i w:val="0"/>
                <w:color w:val="000000"/>
                <w:kern w:val="0"/>
                <w:sz w:val="20"/>
                <w:szCs w:val="20"/>
                <w:lang w:val="en-US" w:eastAsia="zh-CN" w:bidi="ar"/>
              </w:rPr>
              <w:t>.危及“三安全一稳定”</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93225A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6CC2C1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FF17A7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0886241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323D506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E887FA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C1B608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026D56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E6A38B5">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0AA458E">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top"/>
          </w:tcPr>
          <w:p w14:paraId="66CA34C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4</w:t>
            </w:r>
            <w:r>
              <w:rPr>
                <w:rFonts w:hint="eastAsia" w:ascii="Times New Roman" w:hAnsi="Times New Roman" w:eastAsia="宋体" w:cs="宋体"/>
                <w:b w:val="0"/>
                <w:bCs w:val="0"/>
                <w:i w:val="0"/>
                <w:color w:val="000000"/>
                <w:kern w:val="0"/>
                <w:sz w:val="20"/>
                <w:szCs w:val="20"/>
                <w:lang w:val="en-US" w:eastAsia="zh-CN" w:bidi="ar"/>
              </w:rPr>
              <w:t>.保护第三方合法权益</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0D088E8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A74B36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0C82EC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2C611A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46C2CC1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C288EA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E7C84B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78F6B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17A34AA">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7CE09255">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top"/>
          </w:tcPr>
          <w:p w14:paraId="21DD915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5</w:t>
            </w:r>
            <w:r>
              <w:rPr>
                <w:rFonts w:hint="eastAsia" w:ascii="Times New Roman" w:hAnsi="Times New Roman" w:eastAsia="宋体" w:cs="宋体"/>
                <w:b w:val="0"/>
                <w:bCs w:val="0"/>
                <w:i w:val="0"/>
                <w:color w:val="000000"/>
                <w:kern w:val="0"/>
                <w:sz w:val="20"/>
                <w:szCs w:val="20"/>
                <w:lang w:val="en-US" w:eastAsia="zh-CN" w:bidi="ar"/>
              </w:rPr>
              <w:t>.属于三类内部事务信息</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F9C972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7575A74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71108A3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BBE368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1BFC709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E583D6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7BD128E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351CEA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56E19B7">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0A9D51E7">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top"/>
          </w:tcPr>
          <w:p w14:paraId="77389D1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6</w:t>
            </w:r>
            <w:r>
              <w:rPr>
                <w:rFonts w:hint="eastAsia" w:ascii="Times New Roman" w:hAnsi="Times New Roman" w:eastAsia="宋体" w:cs="宋体"/>
                <w:b w:val="0"/>
                <w:bCs w:val="0"/>
                <w:i w:val="0"/>
                <w:color w:val="000000"/>
                <w:kern w:val="0"/>
                <w:sz w:val="20"/>
                <w:szCs w:val="20"/>
                <w:lang w:val="en-US" w:eastAsia="zh-CN" w:bidi="ar"/>
              </w:rPr>
              <w:t>.属于四类过程性信息</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9A3BA4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2B5A70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65DBDD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F4DB5A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53A6D0E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CE9A62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9DC8E3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6799FC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174C0E6">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1E749EB">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top"/>
          </w:tcPr>
          <w:p w14:paraId="72DCE6C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7</w:t>
            </w:r>
            <w:r>
              <w:rPr>
                <w:rFonts w:hint="eastAsia" w:ascii="Times New Roman" w:hAnsi="Times New Roman" w:eastAsia="宋体" w:cs="宋体"/>
                <w:b w:val="0"/>
                <w:bCs w:val="0"/>
                <w:i w:val="0"/>
                <w:color w:val="000000"/>
                <w:kern w:val="0"/>
                <w:sz w:val="20"/>
                <w:szCs w:val="20"/>
                <w:lang w:val="en-US" w:eastAsia="zh-CN" w:bidi="ar"/>
              </w:rPr>
              <w:t>.属于行政执法案卷</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379FBD1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AA4CC4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A6E6A5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0E3DA66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5F44F68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CB4BDA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3AC0F2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441B66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B017935">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55DF966">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top"/>
          </w:tcPr>
          <w:p w14:paraId="1912CFA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8</w:t>
            </w:r>
            <w:r>
              <w:rPr>
                <w:rFonts w:hint="eastAsia" w:ascii="Times New Roman" w:hAnsi="Times New Roman" w:eastAsia="宋体" w:cs="宋体"/>
                <w:b w:val="0"/>
                <w:bCs w:val="0"/>
                <w:i w:val="0"/>
                <w:color w:val="000000"/>
                <w:kern w:val="0"/>
                <w:sz w:val="20"/>
                <w:szCs w:val="20"/>
                <w:lang w:val="en-US" w:eastAsia="zh-CN" w:bidi="ar"/>
              </w:rPr>
              <w:t>.属于行政查询事项</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52EEFE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C4D5EA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BB4571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B8912F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5999895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CCC429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2595E5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194CE8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0FF4FDE4">
            <w:pPr>
              <w:shd w:val="clear"/>
              <w:rPr>
                <w:rFonts w:hint="eastAsia" w:ascii="Times New Roman" w:hAnsi="Times New Roman"/>
                <w:b w:val="0"/>
                <w:bCs w:val="0"/>
                <w:i w:val="0"/>
                <w:color w:val="000000"/>
                <w:sz w:val="24"/>
                <w:szCs w:val="24"/>
              </w:rPr>
            </w:pPr>
          </w:p>
        </w:tc>
        <w:tc>
          <w:tcPr>
            <w:tcW w:w="959" w:type="dxa"/>
            <w:vMerge w:val="restart"/>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F2A7BC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（四）无法提供</w:t>
            </w: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top"/>
          </w:tcPr>
          <w:p w14:paraId="3362177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1</w:t>
            </w:r>
            <w:r>
              <w:rPr>
                <w:rFonts w:hint="eastAsia" w:ascii="Times New Roman" w:hAnsi="Times New Roman" w:eastAsia="宋体" w:cs="宋体"/>
                <w:b w:val="0"/>
                <w:bCs w:val="0"/>
                <w:i w:val="0"/>
                <w:color w:val="000000"/>
                <w:kern w:val="0"/>
                <w:sz w:val="20"/>
                <w:szCs w:val="20"/>
                <w:lang w:val="en-US" w:eastAsia="zh-CN" w:bidi="ar"/>
              </w:rPr>
              <w:t>.本机关不掌握相关政府信息</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568DF0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E71B73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2E0669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523AE6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577250A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2D28D02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0BF4E63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3870D7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59221E3">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3B193CE">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top"/>
          </w:tcPr>
          <w:p w14:paraId="75DCA56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2</w:t>
            </w:r>
            <w:r>
              <w:rPr>
                <w:rFonts w:hint="eastAsia" w:ascii="Times New Roman" w:hAnsi="Times New Roman" w:eastAsia="宋体" w:cs="宋体"/>
                <w:b w:val="0"/>
                <w:bCs w:val="0"/>
                <w:i w:val="0"/>
                <w:color w:val="000000"/>
                <w:kern w:val="0"/>
                <w:sz w:val="20"/>
                <w:szCs w:val="20"/>
                <w:lang w:val="en-US" w:eastAsia="zh-CN" w:bidi="ar"/>
              </w:rPr>
              <w:t>.没有现成信息需要另行制作</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EEB354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C9A3D9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0A8C3B0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0D945B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51EC69D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FB0269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C18602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293A1A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5111F4A">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CCBC402">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top"/>
          </w:tcPr>
          <w:p w14:paraId="6B50865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3</w:t>
            </w:r>
            <w:r>
              <w:rPr>
                <w:rFonts w:hint="eastAsia" w:ascii="Times New Roman" w:hAnsi="Times New Roman" w:eastAsia="宋体" w:cs="宋体"/>
                <w:b w:val="0"/>
                <w:bCs w:val="0"/>
                <w:i w:val="0"/>
                <w:color w:val="000000"/>
                <w:kern w:val="0"/>
                <w:sz w:val="20"/>
                <w:szCs w:val="20"/>
                <w:lang w:val="en-US" w:eastAsia="zh-CN" w:bidi="ar"/>
              </w:rPr>
              <w:t>.补正后申请内容仍不明确</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369AC1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390499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6D041B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0995017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0DA1F5E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20CF35A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F2BF95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4ECCF5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3B9208D">
            <w:pPr>
              <w:shd w:val="clear"/>
              <w:rPr>
                <w:rFonts w:hint="eastAsia" w:ascii="Times New Roman" w:hAnsi="Times New Roman"/>
                <w:b w:val="0"/>
                <w:bCs w:val="0"/>
                <w:i w:val="0"/>
                <w:color w:val="000000"/>
                <w:sz w:val="24"/>
                <w:szCs w:val="24"/>
              </w:rPr>
            </w:pPr>
          </w:p>
        </w:tc>
        <w:tc>
          <w:tcPr>
            <w:tcW w:w="959" w:type="dxa"/>
            <w:vMerge w:val="restart"/>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6D5576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（五）不予处理</w:t>
            </w: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top"/>
          </w:tcPr>
          <w:p w14:paraId="50B4264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1</w:t>
            </w:r>
            <w:r>
              <w:rPr>
                <w:rFonts w:hint="eastAsia" w:ascii="Times New Roman" w:hAnsi="Times New Roman" w:eastAsia="宋体" w:cs="宋体"/>
                <w:b w:val="0"/>
                <w:bCs w:val="0"/>
                <w:i w:val="0"/>
                <w:color w:val="000000"/>
                <w:kern w:val="0"/>
                <w:sz w:val="20"/>
                <w:szCs w:val="20"/>
                <w:lang w:val="en-US" w:eastAsia="zh-CN" w:bidi="ar"/>
              </w:rPr>
              <w:t>.信访举报投诉类申请</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DD7D16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490C20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742805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0E190E1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1112C5D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EDDFBC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6E4E6F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50C14F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1A7F4A9">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7278DE76">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top"/>
          </w:tcPr>
          <w:p w14:paraId="3A4293E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2</w:t>
            </w:r>
            <w:r>
              <w:rPr>
                <w:rFonts w:hint="eastAsia" w:ascii="Times New Roman" w:hAnsi="Times New Roman" w:eastAsia="宋体" w:cs="宋体"/>
                <w:b w:val="0"/>
                <w:bCs w:val="0"/>
                <w:i w:val="0"/>
                <w:color w:val="000000"/>
                <w:kern w:val="0"/>
                <w:sz w:val="20"/>
                <w:szCs w:val="20"/>
                <w:lang w:val="en-US" w:eastAsia="zh-CN" w:bidi="ar"/>
              </w:rPr>
              <w:t>.重复申请</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6820C2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28C95B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45C712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98EA51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5ED5C55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242B96D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7E1B520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0B7DFF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D71186D">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CCE0715">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top"/>
          </w:tcPr>
          <w:p w14:paraId="4595C31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3</w:t>
            </w:r>
            <w:r>
              <w:rPr>
                <w:rFonts w:hint="eastAsia" w:ascii="Times New Roman" w:hAnsi="Times New Roman" w:eastAsia="宋体" w:cs="宋体"/>
                <w:b w:val="0"/>
                <w:bCs w:val="0"/>
                <w:i w:val="0"/>
                <w:color w:val="000000"/>
                <w:kern w:val="0"/>
                <w:sz w:val="20"/>
                <w:szCs w:val="20"/>
                <w:lang w:val="en-US" w:eastAsia="zh-CN" w:bidi="ar"/>
              </w:rPr>
              <w:t>.要求提供公开出版物</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9419F5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A7C3DD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554A43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7D201F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106E9AE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F642FF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E3D435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70D356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71102BF">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975562C">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top"/>
          </w:tcPr>
          <w:p w14:paraId="5C2229A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4</w:t>
            </w:r>
            <w:r>
              <w:rPr>
                <w:rFonts w:hint="eastAsia" w:ascii="Times New Roman" w:hAnsi="Times New Roman" w:eastAsia="宋体" w:cs="宋体"/>
                <w:b w:val="0"/>
                <w:bCs w:val="0"/>
                <w:i w:val="0"/>
                <w:color w:val="000000"/>
                <w:kern w:val="0"/>
                <w:sz w:val="20"/>
                <w:szCs w:val="20"/>
                <w:lang w:val="en-US" w:eastAsia="zh-CN" w:bidi="ar"/>
              </w:rPr>
              <w:t>.无正当理由大量反复申请</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1ABD68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75D5AC0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0BE07A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1E0296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42CD411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496275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281465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6098D3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1526D01">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7720BE7">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A09C87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5</w:t>
            </w:r>
            <w:r>
              <w:rPr>
                <w:rFonts w:hint="eastAsia" w:ascii="Times New Roman" w:hAnsi="Times New Roman" w:eastAsia="宋体" w:cs="宋体"/>
                <w:b w:val="0"/>
                <w:bCs w:val="0"/>
                <w:i w:val="0"/>
                <w:color w:val="000000"/>
                <w:kern w:val="0"/>
                <w:sz w:val="20"/>
                <w:szCs w:val="20"/>
                <w:lang w:val="en-US" w:eastAsia="zh-CN" w:bidi="ar"/>
              </w:rPr>
              <w:t>.要求行政机关确认或重新出具已获取信息</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22AC83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9203DA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392F277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63AB83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16C904B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50950F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2EC5C2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0FF23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8E0E850">
            <w:pPr>
              <w:shd w:val="clear"/>
              <w:rPr>
                <w:rFonts w:hint="eastAsia" w:ascii="Times New Roman" w:hAnsi="Times New Roman"/>
                <w:b w:val="0"/>
                <w:bCs w:val="0"/>
                <w:i w:val="0"/>
                <w:color w:val="000000"/>
                <w:sz w:val="24"/>
                <w:szCs w:val="24"/>
              </w:rPr>
            </w:pPr>
          </w:p>
        </w:tc>
        <w:tc>
          <w:tcPr>
            <w:tcW w:w="959" w:type="dxa"/>
            <w:vMerge w:val="restart"/>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35C338A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（六）其他处理</w:t>
            </w: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80EF40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1</w:t>
            </w:r>
            <w:r>
              <w:rPr>
                <w:rFonts w:hint="eastAsia" w:ascii="Times New Roman" w:hAnsi="Times New Roman" w:eastAsia="宋体" w:cs="宋体"/>
                <w:b w:val="0"/>
                <w:bCs w:val="0"/>
                <w:i w:val="0"/>
                <w:color w:val="000000"/>
                <w:kern w:val="0"/>
                <w:sz w:val="20"/>
                <w:szCs w:val="20"/>
                <w:lang w:val="en-US" w:eastAsia="zh-CN" w:bidi="ar"/>
              </w:rPr>
              <w:t>.申请人无正当理由逾期不补正、行政机关不再处理其政府信息公开申请</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33305AF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377FFC7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9C7BEB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C7B8EC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4E35FED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54BBEC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B18C6F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r>
      <w:tr w14:paraId="52CA04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7500098">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1FFB697">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DEF021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both"/>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2</w:t>
            </w:r>
            <w:r>
              <w:rPr>
                <w:rFonts w:hint="eastAsia" w:ascii="Times New Roman" w:hAnsi="Times New Roman" w:eastAsia="宋体" w:cs="宋体"/>
                <w:b w:val="0"/>
                <w:bCs w:val="0"/>
                <w:i w:val="0"/>
                <w:color w:val="000000"/>
                <w:kern w:val="0"/>
                <w:sz w:val="20"/>
                <w:szCs w:val="20"/>
                <w:lang w:val="en-US" w:eastAsia="zh-CN" w:bidi="ar"/>
              </w:rPr>
              <w:t>.申请人逾期未按收费通知要求缴纳费用、行政机关不再处理其政府信息公开申请</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35F82F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2F7DBD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E1221E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31CBC3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494CC70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FDF36D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9784E5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2A6CFB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17810BFE">
            <w:pPr>
              <w:shd w:val="clear"/>
              <w:rPr>
                <w:rFonts w:hint="eastAsia" w:ascii="Times New Roman" w:hAnsi="Times New Roman"/>
                <w:b w:val="0"/>
                <w:bCs w:val="0"/>
                <w:i w:val="0"/>
                <w:color w:val="000000"/>
                <w:sz w:val="24"/>
                <w:szCs w:val="24"/>
              </w:rPr>
            </w:pPr>
          </w:p>
        </w:tc>
        <w:tc>
          <w:tcPr>
            <w:tcW w:w="959" w:type="dxa"/>
            <w:vMerge w:val="continue"/>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32D1F995">
            <w:pPr>
              <w:shd w:val="clear"/>
              <w:rPr>
                <w:rFonts w:hint="eastAsia" w:ascii="Times New Roman" w:hAnsi="Times New Roman"/>
                <w:b w:val="0"/>
                <w:bCs w:val="0"/>
                <w:i w:val="0"/>
                <w:color w:val="000000"/>
                <w:sz w:val="24"/>
                <w:szCs w:val="24"/>
              </w:rPr>
            </w:pPr>
          </w:p>
        </w:tc>
        <w:tc>
          <w:tcPr>
            <w:tcW w:w="3406"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91A8B9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3</w:t>
            </w:r>
            <w:r>
              <w:rPr>
                <w:rFonts w:hint="eastAsia" w:ascii="Times New Roman" w:hAnsi="Times New Roman" w:eastAsia="宋体" w:cs="宋体"/>
                <w:b w:val="0"/>
                <w:bCs w:val="0"/>
                <w:i w:val="0"/>
                <w:color w:val="000000"/>
                <w:kern w:val="0"/>
                <w:sz w:val="20"/>
                <w:szCs w:val="20"/>
                <w:lang w:val="en-US" w:eastAsia="zh-CN" w:bidi="ar"/>
              </w:rPr>
              <w:t>.其他</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107739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4C37368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2A7050D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6943C80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FFFFF"/>
            <w:noWrap w:val="0"/>
            <w:tcMar>
              <w:left w:w="57" w:type="dxa"/>
              <w:right w:w="57" w:type="dxa"/>
            </w:tcMar>
            <w:vAlign w:val="center"/>
          </w:tcPr>
          <w:p w14:paraId="12808DB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56BAA08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FFFFF"/>
            <w:noWrap w:val="0"/>
            <w:tcMar>
              <w:left w:w="57" w:type="dxa"/>
              <w:right w:w="57" w:type="dxa"/>
            </w:tcMar>
            <w:vAlign w:val="center"/>
          </w:tcPr>
          <w:p w14:paraId="2C3CEB0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3B3780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FBD4B4" w:themeColor="accent6" w:themeTint="66" w:sz="6" w:space="0"/>
              <w:left w:val="single" w:color="F79646" w:themeColor="accent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53FDDDFE">
            <w:pPr>
              <w:shd w:val="clear"/>
              <w:rPr>
                <w:rFonts w:hint="eastAsia" w:ascii="Times New Roman" w:hAnsi="Times New Roman"/>
                <w:b w:val="0"/>
                <w:bCs w:val="0"/>
                <w:i w:val="0"/>
                <w:color w:val="000000"/>
                <w:sz w:val="24"/>
                <w:szCs w:val="24"/>
              </w:rPr>
            </w:pPr>
          </w:p>
        </w:tc>
        <w:tc>
          <w:tcPr>
            <w:tcW w:w="4365" w:type="dxa"/>
            <w:gridSpan w:val="2"/>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54EA65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（七）总计</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63637FB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746FF89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26D759F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8A1E5D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110983C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79646" w:themeColor="accent6" w:sz="6" w:space="0"/>
            </w:tcBorders>
            <w:shd w:val="clear" w:color="auto" w:fill="FEF4EC" w:themeFill="accent6" w:themeFillTint="19"/>
            <w:noWrap w:val="0"/>
            <w:tcMar>
              <w:left w:w="57" w:type="dxa"/>
              <w:right w:w="57" w:type="dxa"/>
            </w:tcMar>
            <w:vAlign w:val="center"/>
          </w:tcPr>
          <w:p w14:paraId="4BAD2C2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BD4B4" w:themeColor="accent6" w:themeTint="66" w:sz="6" w:space="0"/>
              <w:right w:val="single" w:color="FBD4B4" w:themeColor="accent6" w:themeTint="66" w:sz="6" w:space="0"/>
            </w:tcBorders>
            <w:shd w:val="clear" w:color="auto" w:fill="FEF4EC" w:themeFill="accent6" w:themeFillTint="19"/>
            <w:noWrap w:val="0"/>
            <w:tcMar>
              <w:left w:w="57" w:type="dxa"/>
              <w:right w:w="57" w:type="dxa"/>
            </w:tcMar>
            <w:vAlign w:val="center"/>
          </w:tcPr>
          <w:p w14:paraId="44661DF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r>
      <w:tr w14:paraId="23133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FBD4B4" w:themeColor="accent6" w:themeTint="66" w:sz="6" w:space="0"/>
              <w:left w:val="single" w:color="F79646" w:themeColor="accent6" w:sz="6" w:space="0"/>
              <w:bottom w:val="single" w:color="F79646" w:themeColor="accent6" w:sz="6" w:space="0"/>
              <w:right w:val="single" w:color="FBD4B4" w:themeColor="accent6" w:themeTint="66" w:sz="6" w:space="0"/>
            </w:tcBorders>
            <w:shd w:val="clear" w:color="auto" w:fill="FFFFFF"/>
            <w:noWrap w:val="0"/>
            <w:tcMar>
              <w:left w:w="57" w:type="dxa"/>
              <w:right w:w="57" w:type="dxa"/>
            </w:tcMar>
            <w:vAlign w:val="center"/>
          </w:tcPr>
          <w:p w14:paraId="69C160C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left"/>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四、结转下年度继续办理</w:t>
            </w:r>
          </w:p>
        </w:tc>
        <w:tc>
          <w:tcPr>
            <w:tcW w:w="714" w:type="dxa"/>
            <w:tcBorders>
              <w:top w:val="single" w:color="FBD4B4" w:themeColor="accent6" w:themeTint="66" w:sz="6" w:space="0"/>
              <w:left w:val="single" w:color="FBD4B4" w:themeColor="accent6" w:themeTint="66" w:sz="6" w:space="0"/>
              <w:bottom w:val="single" w:color="F79646" w:themeColor="accent6" w:sz="6" w:space="0"/>
              <w:right w:val="single" w:color="FBD4B4" w:themeColor="accent6" w:themeTint="66" w:sz="6" w:space="0"/>
            </w:tcBorders>
            <w:shd w:val="clear" w:color="auto" w:fill="FFFFFF"/>
            <w:noWrap w:val="0"/>
            <w:tcMar>
              <w:left w:w="57" w:type="dxa"/>
              <w:right w:w="57" w:type="dxa"/>
            </w:tcMar>
            <w:vAlign w:val="center"/>
          </w:tcPr>
          <w:p w14:paraId="6E66335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79646" w:themeColor="accent6" w:sz="6" w:space="0"/>
              <w:right w:val="single" w:color="FBD4B4" w:themeColor="accent6" w:themeTint="66" w:sz="6" w:space="0"/>
            </w:tcBorders>
            <w:shd w:val="clear" w:color="auto" w:fill="FFFFFF"/>
            <w:noWrap w:val="0"/>
            <w:tcMar>
              <w:left w:w="57" w:type="dxa"/>
              <w:right w:w="57" w:type="dxa"/>
            </w:tcMar>
            <w:vAlign w:val="center"/>
          </w:tcPr>
          <w:p w14:paraId="0A8E1C4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79646" w:themeColor="accent6" w:sz="6" w:space="0"/>
              <w:right w:val="single" w:color="FBD4B4" w:themeColor="accent6" w:themeTint="66" w:sz="6" w:space="0"/>
            </w:tcBorders>
            <w:shd w:val="clear" w:color="auto" w:fill="FFFFFF"/>
            <w:noWrap w:val="0"/>
            <w:tcMar>
              <w:left w:w="57" w:type="dxa"/>
              <w:right w:w="57" w:type="dxa"/>
            </w:tcMar>
            <w:vAlign w:val="center"/>
          </w:tcPr>
          <w:p w14:paraId="129C9B5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hint="default" w:ascii="Times New Roman" w:hAnsi="Times New Roman"/>
                <w:b w:val="0"/>
                <w:bCs w:val="0"/>
                <w:i w:val="0"/>
                <w:color w:val="000000"/>
                <w:lang w:val="en-US"/>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79646" w:themeColor="accent6" w:sz="6" w:space="0"/>
              <w:right w:val="single" w:color="FBD4B4" w:themeColor="accent6" w:themeTint="66" w:sz="6" w:space="0"/>
            </w:tcBorders>
            <w:shd w:val="clear" w:color="auto" w:fill="FFFFFF"/>
            <w:noWrap w:val="0"/>
            <w:tcMar>
              <w:left w:w="57" w:type="dxa"/>
              <w:right w:w="57" w:type="dxa"/>
            </w:tcMar>
            <w:vAlign w:val="center"/>
          </w:tcPr>
          <w:p w14:paraId="7F54DC1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79646" w:themeColor="accent6" w:sz="6" w:space="0"/>
              <w:right w:val="single" w:color="FBD4B4" w:themeColor="accent6" w:themeTint="66" w:sz="6" w:space="0"/>
            </w:tcBorders>
            <w:shd w:val="clear" w:color="auto" w:fill="FFFFFF"/>
            <w:noWrap w:val="0"/>
            <w:tcMar>
              <w:left w:w="57" w:type="dxa"/>
              <w:right w:w="57" w:type="dxa"/>
            </w:tcMar>
            <w:vAlign w:val="center"/>
          </w:tcPr>
          <w:p w14:paraId="305C55C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79646" w:themeColor="accent6" w:sz="6" w:space="0"/>
              <w:right w:val="single" w:color="FBD4B4" w:themeColor="accent6" w:themeTint="66" w:sz="6" w:space="0"/>
            </w:tcBorders>
            <w:shd w:val="clear" w:color="auto" w:fill="FFFFFF"/>
            <w:noWrap w:val="0"/>
            <w:tcMar>
              <w:left w:w="57" w:type="dxa"/>
              <w:right w:w="57" w:type="dxa"/>
            </w:tcMar>
            <w:vAlign w:val="center"/>
          </w:tcPr>
          <w:p w14:paraId="0132A32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jc w:val="center"/>
              <w:rPr>
                <w:rFonts w:ascii="Times New Roman" w:hAnsi="Times New Roman"/>
                <w:b w:val="0"/>
                <w:bCs w:val="0"/>
                <w:i w:val="0"/>
                <w:color w:val="000000"/>
              </w:rPr>
            </w:pPr>
            <w:r>
              <w:rPr>
                <w:rFonts w:hint="eastAsia" w:ascii="Times New Roman" w:hAnsi="Times New Roman" w:cs="Calibri"/>
                <w:b w:val="0"/>
                <w:bCs w:val="0"/>
                <w:i w:val="0"/>
                <w:color w:val="000000"/>
                <w:kern w:val="0"/>
                <w:sz w:val="20"/>
                <w:szCs w:val="20"/>
                <w:lang w:val="en-US" w:eastAsia="zh-CN" w:bidi="ar"/>
              </w:rPr>
              <w:t>0</w:t>
            </w:r>
          </w:p>
        </w:tc>
        <w:tc>
          <w:tcPr>
            <w:tcW w:w="714" w:type="dxa"/>
            <w:tcBorders>
              <w:top w:val="single" w:color="FBD4B4" w:themeColor="accent6" w:themeTint="66" w:sz="6" w:space="0"/>
              <w:left w:val="single" w:color="FBD4B4" w:themeColor="accent6" w:themeTint="66" w:sz="6" w:space="0"/>
              <w:bottom w:val="single" w:color="F79646" w:themeColor="accent6" w:sz="6" w:space="0"/>
              <w:right w:val="single" w:color="F79646" w:themeColor="accent6" w:sz="6" w:space="0"/>
            </w:tcBorders>
            <w:shd w:val="clear" w:color="auto" w:fill="FFFFFF"/>
            <w:noWrap w:val="0"/>
            <w:tcMar>
              <w:left w:w="57" w:type="dxa"/>
              <w:right w:w="57" w:type="dxa"/>
            </w:tcMar>
            <w:vAlign w:val="center"/>
          </w:tcPr>
          <w:p w14:paraId="30FE69DF">
            <w:pPr>
              <w:shd w:val="clear"/>
              <w:jc w:val="center"/>
              <w:rPr>
                <w:rFonts w:hint="eastAsia" w:ascii="Times New Roman" w:hAnsi="Times New Roman" w:eastAsia="宋体"/>
                <w:b w:val="0"/>
                <w:bCs w:val="0"/>
                <w:i w:val="0"/>
                <w:color w:val="000000"/>
                <w:sz w:val="24"/>
                <w:szCs w:val="24"/>
                <w:lang w:val="en-US" w:eastAsia="zh-CN"/>
              </w:rPr>
            </w:pPr>
            <w:r>
              <w:rPr>
                <w:rFonts w:hint="eastAsia" w:ascii="Times New Roman" w:hAnsi="Times New Roman"/>
                <w:b w:val="0"/>
                <w:bCs w:val="0"/>
                <w:i w:val="0"/>
                <w:color w:val="000000"/>
                <w:sz w:val="24"/>
                <w:szCs w:val="24"/>
                <w:lang w:val="en-US" w:eastAsia="zh-CN"/>
              </w:rPr>
              <w:t>0</w:t>
            </w:r>
          </w:p>
        </w:tc>
      </w:tr>
    </w:tbl>
    <w:p w14:paraId="32914E6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eastAsia" w:ascii="Times New Roman" w:hAnsi="Times New Roman" w:eastAsia="宋体" w:cs="宋体"/>
          <w:b/>
          <w:bCs w:val="0"/>
          <w:i w:val="0"/>
          <w:iCs w:val="0"/>
          <w:caps w:val="0"/>
          <w:color w:val="auto"/>
          <w:spacing w:val="0"/>
          <w:sz w:val="24"/>
          <w:szCs w:val="24"/>
        </w:rPr>
      </w:pPr>
    </w:p>
    <w:p w14:paraId="11065E21">
      <w:pPr>
        <w:rPr>
          <w:rFonts w:hint="eastAsia" w:ascii="Times New Roman" w:hAnsi="Times New Roman" w:eastAsia="方正黑体简体" w:cs="黑体"/>
          <w:b/>
          <w:bCs w:val="0"/>
          <w:i w:val="0"/>
          <w:iCs w:val="0"/>
          <w:caps w:val="0"/>
          <w:color w:val="auto"/>
          <w:spacing w:val="0"/>
          <w:sz w:val="32"/>
          <w:szCs w:val="32"/>
          <w:shd w:val="clear" w:color="auto" w:fill="FFFFFF"/>
        </w:rPr>
      </w:pPr>
      <w:r>
        <w:rPr>
          <w:rFonts w:hint="eastAsia" w:ascii="Times New Roman" w:hAnsi="Times New Roman" w:eastAsia="方正黑体简体" w:cs="黑体"/>
          <w:b/>
          <w:bCs w:val="0"/>
          <w:i w:val="0"/>
          <w:iCs w:val="0"/>
          <w:caps w:val="0"/>
          <w:color w:val="auto"/>
          <w:spacing w:val="0"/>
          <w:sz w:val="32"/>
          <w:szCs w:val="32"/>
          <w:shd w:val="clear" w:color="auto" w:fill="FFFFFF"/>
        </w:rPr>
        <w:br w:type="page"/>
      </w:r>
    </w:p>
    <w:p w14:paraId="10183EA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rPr>
      </w:pPr>
      <w:r>
        <w:rPr>
          <w:rFonts w:hint="eastAsia" w:ascii="Times New Roman" w:hAnsi="Times New Roman" w:eastAsia="方正黑体简体" w:cs="方正黑体简体"/>
          <w:b/>
          <w:bCs w:val="0"/>
          <w:i w:val="0"/>
          <w:iCs w:val="0"/>
          <w:caps w:val="0"/>
          <w:color w:val="auto"/>
          <w:spacing w:val="0"/>
          <w:sz w:val="32"/>
          <w:szCs w:val="32"/>
        </w:rPr>
        <w:t>四、政府信息公开行政复议、行政诉讼情况</w:t>
      </w:r>
    </w:p>
    <w:tbl>
      <w:tblPr>
        <w:tblStyle w:val="5"/>
        <w:tblW w:w="95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4"/>
        <w:gridCol w:w="634"/>
        <w:gridCol w:w="634"/>
        <w:gridCol w:w="634"/>
        <w:gridCol w:w="634"/>
        <w:gridCol w:w="634"/>
        <w:gridCol w:w="634"/>
        <w:gridCol w:w="635"/>
        <w:gridCol w:w="635"/>
        <w:gridCol w:w="636"/>
        <w:gridCol w:w="636"/>
        <w:gridCol w:w="636"/>
        <w:gridCol w:w="636"/>
        <w:gridCol w:w="636"/>
        <w:gridCol w:w="636"/>
      </w:tblGrid>
      <w:tr w14:paraId="642980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4F81BD" w:themeColor="accent1" w:sz="6" w:space="0"/>
              <w:left w:val="single" w:color="4F81BD" w:themeColor="accent1" w:sz="6" w:space="0"/>
              <w:bottom w:val="single" w:color="4F81BD" w:themeColor="accent1" w:sz="6" w:space="0"/>
              <w:right w:val="single" w:color="B8CCE4" w:themeColor="accent1" w:themeTint="66" w:sz="6" w:space="0"/>
            </w:tcBorders>
            <w:shd w:val="clear" w:color="auto" w:fill="4F81BD" w:themeFill="accent1"/>
            <w:noWrap w:val="0"/>
            <w:tcMar>
              <w:left w:w="108" w:type="dxa"/>
              <w:right w:w="108" w:type="dxa"/>
            </w:tcMar>
            <w:vAlign w:val="center"/>
          </w:tcPr>
          <w:p w14:paraId="322444A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bCs w:val="0"/>
                <w:i w:val="0"/>
                <w:color w:val="FFFFFF"/>
              </w:rPr>
            </w:pPr>
            <w:r>
              <w:rPr>
                <w:rFonts w:hint="eastAsia" w:ascii="Times New Roman" w:hAnsi="Times New Roman" w:eastAsia="宋体" w:cs="宋体"/>
                <w:b/>
                <w:bCs w:val="0"/>
                <w:i w:val="0"/>
                <w:color w:val="FFFFFF"/>
                <w:kern w:val="0"/>
                <w:sz w:val="20"/>
                <w:szCs w:val="20"/>
                <w:lang w:val="en-US" w:eastAsia="zh-CN" w:bidi="ar"/>
              </w:rPr>
              <w:t>行政复议</w:t>
            </w:r>
          </w:p>
        </w:tc>
        <w:tc>
          <w:tcPr>
            <w:tcW w:w="6428" w:type="dxa"/>
            <w:gridSpan w:val="10"/>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noWrap w:val="0"/>
            <w:tcMar>
              <w:left w:w="108" w:type="dxa"/>
              <w:right w:w="108" w:type="dxa"/>
            </w:tcMar>
            <w:vAlign w:val="center"/>
          </w:tcPr>
          <w:p w14:paraId="04D0F5F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bCs w:val="0"/>
                <w:i w:val="0"/>
                <w:color w:val="FFFFFF"/>
              </w:rPr>
            </w:pPr>
            <w:r>
              <w:rPr>
                <w:rFonts w:hint="eastAsia" w:ascii="Times New Roman" w:hAnsi="Times New Roman" w:eastAsia="宋体" w:cs="宋体"/>
                <w:b/>
                <w:bCs w:val="0"/>
                <w:i w:val="0"/>
                <w:color w:val="FFFFFF"/>
                <w:kern w:val="0"/>
                <w:sz w:val="20"/>
                <w:szCs w:val="20"/>
                <w:lang w:val="en-US" w:eastAsia="zh-CN" w:bidi="ar"/>
              </w:rPr>
              <w:t>行政诉讼</w:t>
            </w:r>
          </w:p>
        </w:tc>
      </w:tr>
      <w:tr w14:paraId="78A03A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642" w:type="dxa"/>
            <w:vMerge w:val="restart"/>
            <w:tcBorders>
              <w:top w:val="single" w:color="4F81BD" w:themeColor="accent1"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0"/>
            <w:tcMar>
              <w:left w:w="108" w:type="dxa"/>
              <w:right w:w="108" w:type="dxa"/>
            </w:tcMar>
            <w:vAlign w:val="center"/>
          </w:tcPr>
          <w:p w14:paraId="1021291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结果维持</w:t>
            </w:r>
          </w:p>
        </w:tc>
        <w:tc>
          <w:tcPr>
            <w:tcW w:w="642" w:type="dxa"/>
            <w:vMerge w:val="restart"/>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0"/>
            <w:tcMar>
              <w:left w:w="108" w:type="dxa"/>
              <w:right w:w="108" w:type="dxa"/>
            </w:tcMar>
            <w:vAlign w:val="center"/>
          </w:tcPr>
          <w:p w14:paraId="16CAEBD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纠正</w:t>
            </w:r>
          </w:p>
        </w:tc>
        <w:tc>
          <w:tcPr>
            <w:tcW w:w="642" w:type="dxa"/>
            <w:vMerge w:val="restart"/>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0"/>
            <w:tcMar>
              <w:left w:w="108" w:type="dxa"/>
              <w:right w:w="108" w:type="dxa"/>
            </w:tcMar>
            <w:vAlign w:val="center"/>
          </w:tcPr>
          <w:p w14:paraId="146D505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其他</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结果</w:t>
            </w:r>
          </w:p>
        </w:tc>
        <w:tc>
          <w:tcPr>
            <w:tcW w:w="642" w:type="dxa"/>
            <w:vMerge w:val="restart"/>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0"/>
            <w:tcMar>
              <w:left w:w="108" w:type="dxa"/>
              <w:right w:w="108" w:type="dxa"/>
            </w:tcMar>
            <w:vAlign w:val="center"/>
          </w:tcPr>
          <w:p w14:paraId="7F9E468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尚未</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审结</w:t>
            </w:r>
          </w:p>
        </w:tc>
        <w:tc>
          <w:tcPr>
            <w:tcW w:w="642" w:type="dxa"/>
            <w:vMerge w:val="restart"/>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0"/>
            <w:tcMar>
              <w:left w:w="108" w:type="dxa"/>
              <w:right w:w="108" w:type="dxa"/>
            </w:tcMar>
            <w:vAlign w:val="center"/>
          </w:tcPr>
          <w:p w14:paraId="330A78B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总计</w:t>
            </w:r>
          </w:p>
        </w:tc>
        <w:tc>
          <w:tcPr>
            <w:tcW w:w="3213" w:type="dxa"/>
            <w:gridSpan w:val="5"/>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0"/>
            <w:tcMar>
              <w:left w:w="108" w:type="dxa"/>
              <w:right w:w="108" w:type="dxa"/>
            </w:tcMar>
            <w:vAlign w:val="center"/>
          </w:tcPr>
          <w:p w14:paraId="721FEBF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未经复议直接起诉</w:t>
            </w:r>
          </w:p>
        </w:tc>
        <w:tc>
          <w:tcPr>
            <w:tcW w:w="3215" w:type="dxa"/>
            <w:gridSpan w:val="5"/>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0"/>
            <w:tcMar>
              <w:left w:w="108" w:type="dxa"/>
              <w:right w:w="108" w:type="dxa"/>
            </w:tcMar>
            <w:vAlign w:val="center"/>
          </w:tcPr>
          <w:p w14:paraId="02A0E26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复议后起诉</w:t>
            </w:r>
          </w:p>
        </w:tc>
      </w:tr>
      <w:tr w14:paraId="72DE5A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642" w:type="dxa"/>
            <w:vMerge w:val="continue"/>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63FAD96C">
            <w:pPr>
              <w:shd w:val="clear"/>
              <w:rPr>
                <w:rFonts w:hint="eastAsia" w:ascii="Times New Roman" w:hAnsi="Times New Roman"/>
                <w:b w:val="0"/>
                <w:bCs w:val="0"/>
                <w:i w:val="0"/>
                <w:color w:val="000000"/>
                <w:sz w:val="24"/>
                <w:szCs w:val="24"/>
              </w:rPr>
            </w:pPr>
          </w:p>
        </w:tc>
        <w:tc>
          <w:tcPr>
            <w:tcW w:w="642" w:type="dxa"/>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3DB20562">
            <w:pPr>
              <w:shd w:val="clear"/>
              <w:rPr>
                <w:rFonts w:hint="eastAsia" w:ascii="Times New Roman" w:hAnsi="Times New Roman"/>
                <w:b w:val="0"/>
                <w:bCs w:val="0"/>
                <w:i w:val="0"/>
                <w:color w:val="000000"/>
                <w:sz w:val="24"/>
                <w:szCs w:val="24"/>
              </w:rPr>
            </w:pPr>
          </w:p>
        </w:tc>
        <w:tc>
          <w:tcPr>
            <w:tcW w:w="642" w:type="dxa"/>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25BFE633">
            <w:pPr>
              <w:shd w:val="clear"/>
              <w:rPr>
                <w:rFonts w:hint="eastAsia" w:ascii="Times New Roman" w:hAnsi="Times New Roman"/>
                <w:b w:val="0"/>
                <w:bCs w:val="0"/>
                <w:i w:val="0"/>
                <w:color w:val="000000"/>
                <w:sz w:val="24"/>
                <w:szCs w:val="24"/>
              </w:rPr>
            </w:pPr>
          </w:p>
        </w:tc>
        <w:tc>
          <w:tcPr>
            <w:tcW w:w="642" w:type="dxa"/>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0BC943B6">
            <w:pPr>
              <w:shd w:val="clear"/>
              <w:rPr>
                <w:rFonts w:hint="eastAsia" w:ascii="Times New Roman" w:hAnsi="Times New Roman"/>
                <w:b w:val="0"/>
                <w:bCs w:val="0"/>
                <w:i w:val="0"/>
                <w:color w:val="000000"/>
                <w:sz w:val="24"/>
                <w:szCs w:val="24"/>
              </w:rPr>
            </w:pPr>
          </w:p>
        </w:tc>
        <w:tc>
          <w:tcPr>
            <w:tcW w:w="642" w:type="dxa"/>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7246D000">
            <w:pPr>
              <w:shd w:val="clear"/>
              <w:rPr>
                <w:rFonts w:hint="eastAsia" w:ascii="Times New Roman" w:hAnsi="Times New Roman"/>
                <w:b w:val="0"/>
                <w:bCs w:val="0"/>
                <w:i w:val="0"/>
                <w:color w:val="000000"/>
                <w:sz w:val="24"/>
                <w:szCs w:val="24"/>
              </w:rPr>
            </w:pPr>
          </w:p>
        </w:tc>
        <w:tc>
          <w:tcPr>
            <w:tcW w:w="642"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6ED4305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维持</w:t>
            </w:r>
          </w:p>
        </w:tc>
        <w:tc>
          <w:tcPr>
            <w:tcW w:w="642"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34D057D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纠正</w:t>
            </w:r>
          </w:p>
        </w:tc>
        <w:tc>
          <w:tcPr>
            <w:tcW w:w="64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68CB42D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其他</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结果</w:t>
            </w:r>
          </w:p>
        </w:tc>
        <w:tc>
          <w:tcPr>
            <w:tcW w:w="64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4ACFCA9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尚未</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审结</w:t>
            </w:r>
          </w:p>
        </w:tc>
        <w:tc>
          <w:tcPr>
            <w:tcW w:w="64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221D100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总计</w:t>
            </w:r>
          </w:p>
        </w:tc>
        <w:tc>
          <w:tcPr>
            <w:tcW w:w="64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37C3680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维持</w:t>
            </w:r>
          </w:p>
        </w:tc>
        <w:tc>
          <w:tcPr>
            <w:tcW w:w="64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566AD97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结果</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纠正</w:t>
            </w:r>
          </w:p>
        </w:tc>
        <w:tc>
          <w:tcPr>
            <w:tcW w:w="64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0032D07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其他</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结果</w:t>
            </w:r>
          </w:p>
        </w:tc>
        <w:tc>
          <w:tcPr>
            <w:tcW w:w="64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noWrap w:val="0"/>
            <w:tcMar>
              <w:left w:w="108" w:type="dxa"/>
              <w:right w:w="108" w:type="dxa"/>
            </w:tcMar>
            <w:vAlign w:val="center"/>
          </w:tcPr>
          <w:p w14:paraId="7CD459D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尚未</w:t>
            </w:r>
            <w:r>
              <w:rPr>
                <w:rFonts w:hint="eastAsia" w:ascii="Times New Roman" w:hAnsi="Times New Roman" w:eastAsia="宋体" w:cs="宋体"/>
                <w:b w:val="0"/>
                <w:bCs w:val="0"/>
                <w:i w:val="0"/>
                <w:color w:val="000000"/>
                <w:kern w:val="0"/>
                <w:sz w:val="20"/>
                <w:szCs w:val="20"/>
                <w:lang w:val="en-US" w:eastAsia="zh-CN" w:bidi="ar"/>
              </w:rPr>
              <w:br w:type="textWrapping"/>
            </w:r>
            <w:r>
              <w:rPr>
                <w:rFonts w:hint="eastAsia" w:ascii="Times New Roman" w:hAnsi="Times New Roman" w:eastAsia="宋体" w:cs="宋体"/>
                <w:b w:val="0"/>
                <w:bCs w:val="0"/>
                <w:i w:val="0"/>
                <w:color w:val="000000"/>
                <w:kern w:val="0"/>
                <w:sz w:val="20"/>
                <w:szCs w:val="20"/>
                <w:lang w:val="en-US" w:eastAsia="zh-CN" w:bidi="ar"/>
              </w:rPr>
              <w:t>审结</w:t>
            </w:r>
          </w:p>
        </w:tc>
        <w:tc>
          <w:tcPr>
            <w:tcW w:w="64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noWrap w:val="0"/>
            <w:tcMar>
              <w:left w:w="108" w:type="dxa"/>
              <w:right w:w="108" w:type="dxa"/>
            </w:tcMar>
            <w:vAlign w:val="center"/>
          </w:tcPr>
          <w:p w14:paraId="0C45866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宋体" w:cs="宋体"/>
                <w:b w:val="0"/>
                <w:bCs w:val="0"/>
                <w:i w:val="0"/>
                <w:color w:val="000000"/>
                <w:kern w:val="0"/>
                <w:sz w:val="20"/>
                <w:szCs w:val="20"/>
                <w:lang w:val="en-US" w:eastAsia="zh-CN" w:bidi="ar"/>
              </w:rPr>
              <w:t>总计</w:t>
            </w:r>
          </w:p>
        </w:tc>
      </w:tr>
      <w:tr w14:paraId="6D47E6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642" w:type="dxa"/>
            <w:tcBorders>
              <w:top w:val="single" w:color="B8CCE4" w:themeColor="accent1" w:themeTint="66" w:sz="6" w:space="0"/>
              <w:left w:val="single" w:color="4F81BD" w:themeColor="accent1"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4D446F1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6182E8C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007FFCD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7E0272B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10AAD9C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66E52DF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2"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0DE2B4A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1B4C3B55">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4DA0091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ascii="Times New Roman" w:hAnsi="Times New Roman"/>
                <w:b w:val="0"/>
                <w:bCs w:val="0"/>
                <w:i w:val="0"/>
                <w:color w:val="000000"/>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0322B7E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0D80B65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5827FE8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0138E13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0"/>
            <w:tcMar>
              <w:left w:w="108" w:type="dxa"/>
              <w:right w:w="108" w:type="dxa"/>
            </w:tcMar>
            <w:vAlign w:val="center"/>
          </w:tcPr>
          <w:p w14:paraId="18CD122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center"/>
              <w:rPr>
                <w:rFonts w:hint="default" w:ascii="Times New Roman" w:hAnsi="Times New Roman"/>
                <w:b w:val="0"/>
                <w:bCs w:val="0"/>
                <w:i w:val="0"/>
                <w:color w:val="000000"/>
                <w:lang w:val="en-US"/>
              </w:rPr>
            </w:pPr>
            <w:r>
              <w:rPr>
                <w:rFonts w:hint="eastAsia" w:ascii="Times New Roman" w:hAnsi="Times New Roman" w:eastAsia="方正黑体简体" w:cs="黑体"/>
                <w:b w:val="0"/>
                <w:bCs w:val="0"/>
                <w:i w:val="0"/>
                <w:color w:val="000000"/>
                <w:kern w:val="0"/>
                <w:sz w:val="20"/>
                <w:szCs w:val="20"/>
                <w:lang w:val="en-US" w:eastAsia="zh-CN" w:bidi="ar"/>
              </w:rPr>
              <w:t>0</w:t>
            </w:r>
          </w:p>
        </w:tc>
        <w:tc>
          <w:tcPr>
            <w:tcW w:w="643" w:type="dxa"/>
            <w:tcBorders>
              <w:top w:val="single" w:color="B8CCE4" w:themeColor="accent1" w:themeTint="66" w:sz="6" w:space="0"/>
              <w:left w:val="single" w:color="B8CCE4" w:themeColor="accent1" w:themeTint="66" w:sz="6" w:space="0"/>
              <w:bottom w:val="single" w:color="4F81BD" w:themeColor="accent1" w:sz="6" w:space="0"/>
              <w:right w:val="single" w:color="4F81BD" w:themeColor="accent1" w:sz="6" w:space="0"/>
            </w:tcBorders>
            <w:shd w:val="clear" w:color="auto" w:fill="FFFFFF"/>
            <w:noWrap w:val="0"/>
            <w:tcMar>
              <w:left w:w="108" w:type="dxa"/>
              <w:right w:w="108" w:type="dxa"/>
            </w:tcMar>
            <w:vAlign w:val="center"/>
          </w:tcPr>
          <w:p w14:paraId="155D4176">
            <w:pPr>
              <w:shd w:val="clear"/>
              <w:jc w:val="center"/>
              <w:rPr>
                <w:rFonts w:hint="eastAsia" w:ascii="Times New Roman" w:hAnsi="Times New Roman" w:eastAsia="宋体"/>
                <w:b w:val="0"/>
                <w:bCs w:val="0"/>
                <w:i w:val="0"/>
                <w:color w:val="000000"/>
                <w:sz w:val="24"/>
                <w:szCs w:val="24"/>
                <w:lang w:val="en-US" w:eastAsia="zh-CN"/>
              </w:rPr>
            </w:pPr>
            <w:r>
              <w:rPr>
                <w:rFonts w:hint="eastAsia" w:ascii="Times New Roman" w:hAnsi="Times New Roman"/>
                <w:b w:val="0"/>
                <w:bCs w:val="0"/>
                <w:i w:val="0"/>
                <w:color w:val="000000"/>
                <w:sz w:val="24"/>
                <w:szCs w:val="24"/>
                <w:lang w:val="en-US" w:eastAsia="zh-CN"/>
              </w:rPr>
              <w:t>0</w:t>
            </w:r>
          </w:p>
        </w:tc>
      </w:tr>
    </w:tbl>
    <w:p w14:paraId="312AB68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rPr>
      </w:pPr>
      <w:r>
        <w:rPr>
          <w:rFonts w:hint="eastAsia" w:ascii="Times New Roman" w:hAnsi="Times New Roman" w:eastAsia="方正黑体简体" w:cs="方正黑体简体"/>
          <w:b/>
          <w:bCs w:val="0"/>
          <w:i w:val="0"/>
          <w:iCs w:val="0"/>
          <w:caps w:val="0"/>
          <w:color w:val="auto"/>
          <w:spacing w:val="0"/>
          <w:sz w:val="32"/>
          <w:szCs w:val="32"/>
        </w:rPr>
        <w:t>五、存在的主要问题及改进情况</w:t>
      </w:r>
    </w:p>
    <w:p w14:paraId="0276740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Times New Roman" w:hAnsi="Times New Roman" w:eastAsia="方正仿宋简体" w:cs="方正仿宋简体"/>
          <w:b/>
          <w:bCs w:val="0"/>
          <w:i w:val="0"/>
          <w:iCs w:val="0"/>
          <w:caps w:val="0"/>
          <w:color w:val="auto"/>
          <w:spacing w:val="0"/>
          <w:sz w:val="32"/>
          <w:szCs w:val="32"/>
        </w:rPr>
      </w:pPr>
      <w:r>
        <w:rPr>
          <w:rFonts w:hint="eastAsia" w:ascii="Times New Roman" w:hAnsi="Times New Roman" w:eastAsia="方正仿宋简体" w:cs="方正仿宋简体"/>
          <w:b/>
          <w:bCs w:val="0"/>
          <w:i w:val="0"/>
          <w:iCs w:val="0"/>
          <w:caps w:val="0"/>
          <w:color w:val="auto"/>
          <w:spacing w:val="0"/>
          <w:sz w:val="32"/>
          <w:szCs w:val="32"/>
        </w:rPr>
        <w:t>2025</w:t>
      </w:r>
      <w:r>
        <w:rPr>
          <w:rFonts w:hint="eastAsia" w:ascii="Times New Roman" w:hAnsi="Times New Roman" w:eastAsia="方正仿宋简体" w:cs="方正仿宋简体"/>
          <w:b/>
          <w:bCs w:val="0"/>
          <w:i w:val="0"/>
          <w:iCs w:val="0"/>
          <w:caps w:val="0"/>
          <w:color w:val="auto"/>
          <w:spacing w:val="0"/>
          <w:sz w:val="32"/>
          <w:szCs w:val="32"/>
        </w:rPr>
        <w:t>年，</w:t>
      </w:r>
      <w:r>
        <w:rPr>
          <w:rFonts w:hint="eastAsia" w:ascii="Times New Roman" w:hAnsi="Times New Roman" w:eastAsia="方正仿宋简体" w:cs="方正仿宋简体"/>
          <w:b/>
          <w:bCs w:val="0"/>
          <w:i w:val="0"/>
          <w:iCs w:val="0"/>
          <w:caps w:val="0"/>
          <w:color w:val="auto"/>
          <w:spacing w:val="0"/>
          <w:sz w:val="32"/>
          <w:szCs w:val="32"/>
          <w:lang w:val="en-US" w:eastAsia="zh-CN"/>
        </w:rPr>
        <w:t>苗馆镇</w:t>
      </w:r>
      <w:r>
        <w:rPr>
          <w:rFonts w:hint="eastAsia" w:ascii="Times New Roman" w:hAnsi="Times New Roman" w:eastAsia="方正仿宋简体" w:cs="方正仿宋简体"/>
          <w:b/>
          <w:bCs w:val="0"/>
          <w:i w:val="0"/>
          <w:iCs w:val="0"/>
          <w:caps w:val="0"/>
          <w:color w:val="auto"/>
          <w:spacing w:val="0"/>
          <w:sz w:val="32"/>
          <w:szCs w:val="32"/>
        </w:rPr>
        <w:t>政府信息公开工作取得了一定成效，但还存在</w:t>
      </w:r>
      <w:r>
        <w:rPr>
          <w:rFonts w:hint="eastAsia" w:ascii="Times New Roman" w:hAnsi="Times New Roman" w:eastAsia="仿宋" w:cs="仿宋"/>
          <w:b/>
          <w:color w:val="auto"/>
          <w:sz w:val="32"/>
          <w:szCs w:val="32"/>
        </w:rPr>
        <w:t>如下问题：</w:t>
      </w:r>
      <w:r>
        <w:rPr>
          <w:rFonts w:hint="eastAsia" w:ascii="Times New Roman" w:hAnsi="Times New Roman" w:eastAsia="仿宋" w:cs="仿宋"/>
          <w:b/>
          <w:color w:val="auto"/>
          <w:sz w:val="32"/>
          <w:szCs w:val="32"/>
          <w:lang w:val="en-US" w:eastAsia="zh-CN"/>
        </w:rPr>
        <w:t>一是</w:t>
      </w:r>
      <w:r>
        <w:rPr>
          <w:rFonts w:hint="eastAsia" w:ascii="Times New Roman" w:hAnsi="Times New Roman" w:eastAsia="方正仿宋简体" w:cs="方正仿宋简体"/>
          <w:b/>
          <w:bCs w:val="0"/>
          <w:i w:val="0"/>
          <w:iCs w:val="0"/>
          <w:caps w:val="0"/>
          <w:color w:val="auto"/>
          <w:spacing w:val="0"/>
          <w:sz w:val="32"/>
          <w:szCs w:val="32"/>
        </w:rPr>
        <w:t>公开信息的动态管理机制有待健全</w:t>
      </w:r>
      <w:r>
        <w:rPr>
          <w:rFonts w:hint="eastAsia" w:ascii="Times New Roman" w:hAnsi="Times New Roman" w:eastAsia="方正仿宋简体" w:cs="方正仿宋简体"/>
          <w:b/>
          <w:bCs w:val="0"/>
          <w:i w:val="0"/>
          <w:iCs w:val="0"/>
          <w:caps w:val="0"/>
          <w:color w:val="auto"/>
          <w:spacing w:val="0"/>
          <w:sz w:val="32"/>
          <w:szCs w:val="32"/>
          <w:lang w:eastAsia="zh-CN"/>
        </w:rPr>
        <w:t>；</w:t>
      </w:r>
      <w:r>
        <w:rPr>
          <w:rFonts w:hint="eastAsia" w:ascii="Times New Roman" w:hAnsi="Times New Roman" w:eastAsia="方正仿宋简体" w:cs="方正仿宋简体"/>
          <w:b/>
          <w:bCs w:val="0"/>
          <w:i w:val="0"/>
          <w:iCs w:val="0"/>
          <w:caps w:val="0"/>
          <w:color w:val="auto"/>
          <w:spacing w:val="0"/>
          <w:sz w:val="32"/>
          <w:szCs w:val="32"/>
          <w:lang w:val="en-US" w:eastAsia="zh-CN"/>
        </w:rPr>
        <w:t>二是</w:t>
      </w:r>
      <w:r>
        <w:rPr>
          <w:rFonts w:hint="eastAsia" w:ascii="Times New Roman" w:hAnsi="Times New Roman" w:eastAsia="方正仿宋简体" w:cs="方正仿宋简体"/>
          <w:b/>
          <w:bCs w:val="0"/>
          <w:i w:val="0"/>
          <w:iCs w:val="0"/>
          <w:caps w:val="0"/>
          <w:color w:val="auto"/>
          <w:spacing w:val="0"/>
          <w:sz w:val="32"/>
          <w:szCs w:val="32"/>
          <w:lang w:eastAsia="zh-CN"/>
        </w:rPr>
        <w:t>政务</w:t>
      </w:r>
      <w:r>
        <w:rPr>
          <w:rFonts w:hint="eastAsia" w:ascii="Times New Roman" w:hAnsi="Times New Roman" w:eastAsia="方正仿宋简体" w:cs="方正仿宋简体"/>
          <w:b/>
          <w:bCs w:val="0"/>
          <w:i w:val="0"/>
          <w:iCs w:val="0"/>
          <w:caps w:val="0"/>
          <w:color w:val="auto"/>
          <w:spacing w:val="0"/>
          <w:sz w:val="32"/>
          <w:szCs w:val="32"/>
        </w:rPr>
        <w:t>公开内容不够具体</w:t>
      </w:r>
      <w:r>
        <w:rPr>
          <w:rFonts w:hint="eastAsia" w:ascii="Times New Roman" w:hAnsi="Times New Roman" w:eastAsia="方正仿宋简体" w:cs="方正仿宋简体"/>
          <w:b/>
          <w:bCs w:val="0"/>
          <w:i w:val="0"/>
          <w:iCs w:val="0"/>
          <w:caps w:val="0"/>
          <w:color w:val="auto"/>
          <w:spacing w:val="0"/>
          <w:sz w:val="32"/>
          <w:szCs w:val="32"/>
          <w:lang w:eastAsia="zh-CN"/>
        </w:rPr>
        <w:t>、</w:t>
      </w:r>
      <w:r>
        <w:rPr>
          <w:rFonts w:hint="eastAsia" w:ascii="Times New Roman" w:hAnsi="Times New Roman" w:eastAsia="方正仿宋简体" w:cs="方正仿宋简体"/>
          <w:b/>
          <w:bCs w:val="0"/>
          <w:i w:val="0"/>
          <w:iCs w:val="0"/>
          <w:caps w:val="0"/>
          <w:color w:val="auto"/>
          <w:spacing w:val="0"/>
          <w:sz w:val="32"/>
          <w:szCs w:val="32"/>
        </w:rPr>
        <w:t>重点不够突出等问题。</w:t>
      </w:r>
    </w:p>
    <w:p w14:paraId="3BE9909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Times New Roman" w:hAnsi="Times New Roman" w:eastAsia="方正仿宋简体" w:cs="方正仿宋简体"/>
          <w:b/>
          <w:bCs w:val="0"/>
          <w:i w:val="0"/>
          <w:iCs w:val="0"/>
          <w:caps w:val="0"/>
          <w:color w:val="auto"/>
          <w:spacing w:val="0"/>
          <w:sz w:val="32"/>
          <w:szCs w:val="32"/>
        </w:rPr>
      </w:pPr>
      <w:r>
        <w:rPr>
          <w:rFonts w:hint="eastAsia" w:ascii="Times New Roman" w:hAnsi="Times New Roman" w:eastAsia="方正仿宋简体" w:cs="方正仿宋简体"/>
          <w:b/>
          <w:bCs w:val="0"/>
          <w:i w:val="0"/>
          <w:iCs w:val="0"/>
          <w:caps w:val="0"/>
          <w:color w:val="auto"/>
          <w:spacing w:val="0"/>
          <w:sz w:val="32"/>
          <w:szCs w:val="32"/>
          <w:lang w:val="en-US" w:eastAsia="zh-CN"/>
        </w:rPr>
        <w:t>针对存在问题，苗馆镇人民政府将做好以下工作：</w:t>
      </w:r>
      <w:r>
        <w:rPr>
          <w:rFonts w:hint="eastAsia" w:ascii="Times New Roman" w:hAnsi="Times New Roman" w:eastAsia="方正仿宋简体" w:cs="方正仿宋简体"/>
          <w:b/>
          <w:bCs w:val="0"/>
          <w:i w:val="0"/>
          <w:iCs w:val="0"/>
          <w:caps w:val="0"/>
          <w:color w:val="auto"/>
          <w:spacing w:val="0"/>
          <w:sz w:val="32"/>
          <w:szCs w:val="32"/>
        </w:rPr>
        <w:t>一是健全动态管理机制。明确各类公开信息的更新周期、责任主体与审查流程，对已公开信息进行常态化巡查与及时调整。二是进一步</w:t>
      </w:r>
      <w:r>
        <w:rPr>
          <w:rFonts w:hint="eastAsia" w:ascii="Times New Roman" w:hAnsi="Times New Roman" w:eastAsia="方正仿宋简体" w:cs="方正仿宋简体"/>
          <w:b/>
          <w:bCs w:val="0"/>
          <w:i w:val="0"/>
          <w:iCs w:val="0"/>
          <w:caps w:val="0"/>
          <w:color w:val="auto"/>
          <w:spacing w:val="0"/>
          <w:sz w:val="32"/>
          <w:szCs w:val="32"/>
          <w:lang w:eastAsia="zh-CN"/>
        </w:rPr>
        <w:t>以</w:t>
      </w:r>
      <w:r>
        <w:rPr>
          <w:rFonts w:hint="eastAsia" w:ascii="Times New Roman" w:hAnsi="Times New Roman" w:eastAsia="方正仿宋简体" w:cs="方正仿宋简体"/>
          <w:b/>
          <w:bCs w:val="0"/>
          <w:i w:val="0"/>
          <w:iCs w:val="0"/>
          <w:caps w:val="0"/>
          <w:color w:val="auto"/>
          <w:spacing w:val="0"/>
          <w:sz w:val="32"/>
          <w:szCs w:val="32"/>
        </w:rPr>
        <w:t>需求</w:t>
      </w:r>
      <w:r>
        <w:rPr>
          <w:rFonts w:hint="eastAsia" w:ascii="Times New Roman" w:hAnsi="Times New Roman" w:eastAsia="方正仿宋简体" w:cs="方正仿宋简体"/>
          <w:b/>
          <w:bCs w:val="0"/>
          <w:i w:val="0"/>
          <w:iCs w:val="0"/>
          <w:caps w:val="0"/>
          <w:color w:val="auto"/>
          <w:spacing w:val="0"/>
          <w:sz w:val="32"/>
          <w:szCs w:val="32"/>
          <w:lang w:eastAsia="zh-CN"/>
        </w:rPr>
        <w:t>为导向</w:t>
      </w:r>
      <w:r>
        <w:rPr>
          <w:rFonts w:hint="eastAsia" w:ascii="Times New Roman" w:hAnsi="Times New Roman" w:eastAsia="方正仿宋简体" w:cs="方正仿宋简体"/>
          <w:b/>
          <w:bCs w:val="0"/>
          <w:i w:val="0"/>
          <w:iCs w:val="0"/>
          <w:caps w:val="0"/>
          <w:color w:val="auto"/>
          <w:spacing w:val="0"/>
          <w:sz w:val="32"/>
          <w:szCs w:val="32"/>
        </w:rPr>
        <w:t>丰富政务公开内容，着力抓好与民生发展密切相关的政务公开，保证公开信息的完整性和准确性，确保政府信息公开工作按照既定工作程序高效运作。</w:t>
      </w:r>
    </w:p>
    <w:p w14:paraId="420F507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Times New Roman" w:hAnsi="Times New Roman" w:eastAsia="方正黑体简体" w:cs="方正黑体简体"/>
          <w:b/>
          <w:bCs w:val="0"/>
          <w:i w:val="0"/>
          <w:iCs w:val="0"/>
          <w:caps w:val="0"/>
          <w:color w:val="auto"/>
          <w:spacing w:val="0"/>
          <w:sz w:val="32"/>
          <w:szCs w:val="32"/>
        </w:rPr>
      </w:pPr>
      <w:r>
        <w:rPr>
          <w:rFonts w:hint="eastAsia" w:ascii="Times New Roman" w:hAnsi="Times New Roman" w:eastAsia="方正黑体简体" w:cs="方正黑体简体"/>
          <w:b/>
          <w:bCs w:val="0"/>
          <w:i w:val="0"/>
          <w:iCs w:val="0"/>
          <w:caps w:val="0"/>
          <w:color w:val="auto"/>
          <w:spacing w:val="0"/>
          <w:sz w:val="32"/>
          <w:szCs w:val="32"/>
        </w:rPr>
        <w:t>六、其他需要报告的事项</w:t>
      </w:r>
    </w:p>
    <w:p w14:paraId="28F1811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Times New Roman" w:hAnsi="Times New Roman" w:eastAsia="方正楷体简体" w:cs="方正楷体简体"/>
          <w:b/>
          <w:bCs w:val="0"/>
          <w:i w:val="0"/>
          <w:iCs w:val="0"/>
          <w:caps w:val="0"/>
          <w:color w:val="auto"/>
          <w:spacing w:val="0"/>
          <w:sz w:val="32"/>
          <w:szCs w:val="32"/>
        </w:rPr>
      </w:pPr>
      <w:r>
        <w:rPr>
          <w:rFonts w:hint="eastAsia" w:ascii="Times New Roman" w:hAnsi="Times New Roman" w:eastAsia="方正楷体简体" w:cs="方正楷体简体"/>
          <w:b/>
          <w:bCs w:val="0"/>
          <w:i w:val="0"/>
          <w:iCs w:val="0"/>
          <w:caps w:val="0"/>
          <w:color w:val="auto"/>
          <w:spacing w:val="0"/>
          <w:sz w:val="32"/>
          <w:szCs w:val="32"/>
        </w:rPr>
        <w:t>（一）依据《政府信息公开信息处理费管理办法》收取信息处理费的情况</w:t>
      </w:r>
    </w:p>
    <w:p w14:paraId="21E2FE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default" w:ascii="Times New Roman" w:hAnsi="Times New Roman" w:eastAsia="方正仿宋简体" w:cs="Times New Roman"/>
          <w:b/>
          <w:bCs w:val="0"/>
          <w:i w:val="0"/>
          <w:iCs w:val="0"/>
          <w:caps w:val="0"/>
          <w:color w:val="auto"/>
          <w:spacing w:val="0"/>
          <w:sz w:val="32"/>
          <w:szCs w:val="32"/>
        </w:rPr>
      </w:pPr>
      <w:r>
        <w:rPr>
          <w:rFonts w:hint="default" w:ascii="Times New Roman" w:hAnsi="Times New Roman" w:eastAsia="方正仿宋简体" w:cs="Times New Roman"/>
          <w:b/>
          <w:bCs w:val="0"/>
          <w:i w:val="0"/>
          <w:iCs w:val="0"/>
          <w:caps w:val="0"/>
          <w:color w:val="auto"/>
          <w:spacing w:val="0"/>
          <w:sz w:val="32"/>
          <w:szCs w:val="32"/>
        </w:rPr>
        <w:t>依据《国务院办公厅关于印发〈政府信息公开信息处理费管理办法〉的通知》（国办函〔2020〕109号）和《山东省人民政府办公厅关于做好政府信息公开信息处理费管理工作有关事项的通知》（鲁政办字〔2020〕179号），2025年，</w:t>
      </w:r>
      <w:r>
        <w:rPr>
          <w:rFonts w:hint="eastAsia" w:ascii="Times New Roman" w:hAnsi="Times New Roman" w:eastAsia="方正仿宋简体" w:cs="Times New Roman"/>
          <w:b/>
          <w:bCs w:val="0"/>
          <w:i w:val="0"/>
          <w:iCs w:val="0"/>
          <w:caps w:val="0"/>
          <w:color w:val="auto"/>
          <w:spacing w:val="0"/>
          <w:sz w:val="32"/>
          <w:szCs w:val="32"/>
          <w:lang w:val="en-US" w:eastAsia="zh-CN"/>
        </w:rPr>
        <w:t>苗馆镇</w:t>
      </w:r>
      <w:r>
        <w:rPr>
          <w:rFonts w:hint="default" w:ascii="Times New Roman" w:hAnsi="Times New Roman" w:eastAsia="方正仿宋简体" w:cs="Times New Roman"/>
          <w:b/>
          <w:bCs w:val="0"/>
          <w:i w:val="0"/>
          <w:iCs w:val="0"/>
          <w:caps w:val="0"/>
          <w:color w:val="auto"/>
          <w:spacing w:val="0"/>
          <w:sz w:val="32"/>
          <w:szCs w:val="32"/>
        </w:rPr>
        <w:t>在开展政府信息公开工作中未收取信息处理费。</w:t>
      </w:r>
    </w:p>
    <w:p w14:paraId="0373A9E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Times New Roman" w:hAnsi="Times New Roman" w:eastAsia="方正楷体简体" w:cs="方正楷体简体"/>
          <w:b/>
          <w:bCs w:val="0"/>
          <w:i w:val="0"/>
          <w:iCs w:val="0"/>
          <w:caps w:val="0"/>
          <w:color w:val="auto"/>
          <w:spacing w:val="0"/>
          <w:sz w:val="32"/>
          <w:szCs w:val="32"/>
        </w:rPr>
      </w:pPr>
      <w:r>
        <w:rPr>
          <w:rFonts w:hint="eastAsia" w:ascii="Times New Roman" w:hAnsi="Times New Roman" w:eastAsia="方正楷体简体" w:cs="方正楷体简体"/>
          <w:b/>
          <w:bCs w:val="0"/>
          <w:i w:val="0"/>
          <w:iCs w:val="0"/>
          <w:caps w:val="0"/>
          <w:color w:val="auto"/>
          <w:spacing w:val="0"/>
          <w:sz w:val="32"/>
          <w:szCs w:val="32"/>
        </w:rPr>
        <w:t>（二）落实上级年度政务公开工作要点情况。</w:t>
      </w:r>
    </w:p>
    <w:p w14:paraId="3E83893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Times New Roman" w:hAnsi="Times New Roman" w:eastAsia="方正仿宋简体" w:cs="Times New Roman"/>
          <w:b/>
          <w:bCs w:val="0"/>
          <w:i w:val="0"/>
          <w:iCs w:val="0"/>
          <w:caps w:val="0"/>
          <w:color w:val="auto"/>
          <w:spacing w:val="0"/>
          <w:sz w:val="32"/>
          <w:szCs w:val="32"/>
        </w:rPr>
      </w:pPr>
      <w:r>
        <w:rPr>
          <w:rFonts w:hint="eastAsia" w:ascii="Times New Roman" w:hAnsi="Times New Roman" w:eastAsia="方正仿宋简体" w:cs="Times New Roman"/>
          <w:b/>
          <w:bCs w:val="0"/>
          <w:i w:val="0"/>
          <w:iCs w:val="0"/>
          <w:caps w:val="0"/>
          <w:color w:val="auto"/>
          <w:spacing w:val="0"/>
          <w:sz w:val="32"/>
          <w:szCs w:val="32"/>
          <w:lang w:val="en-US" w:eastAsia="zh-CN"/>
        </w:rPr>
        <w:t>苗馆</w:t>
      </w:r>
      <w:r>
        <w:rPr>
          <w:rFonts w:hint="eastAsia" w:ascii="Times New Roman" w:hAnsi="Times New Roman" w:eastAsia="方正仿宋简体" w:cs="Times New Roman"/>
          <w:b/>
          <w:bCs w:val="0"/>
          <w:i w:val="0"/>
          <w:iCs w:val="0"/>
          <w:caps w:val="0"/>
          <w:color w:val="auto"/>
          <w:spacing w:val="0"/>
          <w:sz w:val="32"/>
          <w:szCs w:val="32"/>
        </w:rPr>
        <w:t>镇严格</w:t>
      </w:r>
      <w:r>
        <w:rPr>
          <w:rFonts w:hint="eastAsia" w:ascii="Times New Roman" w:hAnsi="Times New Roman" w:eastAsia="方正仿宋简体" w:cs="Times New Roman"/>
          <w:b/>
          <w:bCs w:val="0"/>
          <w:i w:val="0"/>
          <w:iCs w:val="0"/>
          <w:caps w:val="0"/>
          <w:color w:val="auto"/>
          <w:spacing w:val="0"/>
          <w:sz w:val="32"/>
          <w:szCs w:val="32"/>
          <w:lang w:eastAsia="zh-CN"/>
        </w:rPr>
        <w:t>按照</w:t>
      </w:r>
      <w:r>
        <w:rPr>
          <w:rFonts w:hint="eastAsia" w:ascii="Times New Roman" w:hAnsi="Times New Roman" w:eastAsia="方正仿宋简体" w:cs="Times New Roman"/>
          <w:b/>
          <w:bCs w:val="0"/>
          <w:i w:val="0"/>
          <w:iCs w:val="0"/>
          <w:caps w:val="0"/>
          <w:color w:val="auto"/>
          <w:spacing w:val="0"/>
          <w:sz w:val="32"/>
          <w:szCs w:val="32"/>
        </w:rPr>
        <w:t>要求落实上级年度政务公开工作。始终</w:t>
      </w:r>
      <w:r>
        <w:rPr>
          <w:rFonts w:hint="eastAsia" w:ascii="Times New Roman" w:hAnsi="Times New Roman" w:eastAsia="方正仿宋简体" w:cs="Times New Roman"/>
          <w:b/>
          <w:bCs w:val="0"/>
          <w:i w:val="0"/>
          <w:iCs w:val="0"/>
          <w:caps w:val="0"/>
          <w:color w:val="auto"/>
          <w:spacing w:val="0"/>
          <w:sz w:val="32"/>
          <w:szCs w:val="32"/>
          <w:lang w:eastAsia="zh-CN"/>
        </w:rPr>
        <w:t>秉持</w:t>
      </w:r>
      <w:r>
        <w:rPr>
          <w:rFonts w:hint="eastAsia" w:ascii="Times New Roman" w:hAnsi="Times New Roman" w:eastAsia="方正仿宋简体" w:cs="Times New Roman"/>
          <w:b/>
          <w:bCs w:val="0"/>
          <w:i w:val="0"/>
          <w:iCs w:val="0"/>
          <w:caps w:val="0"/>
          <w:color w:val="auto"/>
          <w:spacing w:val="0"/>
          <w:sz w:val="32"/>
          <w:szCs w:val="32"/>
        </w:rPr>
        <w:t>以人民为中心的发展思想，认真贯彻落实各项政务公开举措，持续加大政务公开力度。线上利用微信群、</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中国</w:t>
      </w:r>
      <w:r>
        <w:rPr>
          <w:rFonts w:hint="eastAsia" w:ascii="Times New Roman" w:hAnsi="Times New Roman" w:eastAsia="方正仿宋简体" w:cs="Times New Roman"/>
          <w:b/>
          <w:bCs w:val="0"/>
          <w:color w:val="auto"/>
          <w:sz w:val="32"/>
          <w:szCs w:val="32"/>
          <w:lang w:val="en-US" w:eastAsia="zh-CN"/>
        </w:rPr>
        <w:t>·</w:t>
      </w:r>
      <w:r>
        <w:rPr>
          <w:rFonts w:hint="default" w:ascii="Times New Roman" w:hAnsi="Times New Roman" w:eastAsia="方正仿宋简体" w:cs="Times New Roman"/>
          <w:b/>
          <w:bCs w:val="0"/>
          <w:color w:val="auto"/>
          <w:sz w:val="32"/>
          <w:szCs w:val="32"/>
        </w:rPr>
        <w:t>泗水党政门户网站</w:t>
      </w:r>
      <w:r>
        <w:rPr>
          <w:rFonts w:hint="default" w:ascii="Times New Roman" w:hAnsi="Times New Roman" w:eastAsia="方正仿宋简体" w:cs="Times New Roman"/>
          <w:b/>
          <w:bCs w:val="0"/>
          <w:color w:val="auto"/>
          <w:sz w:val="32"/>
          <w:szCs w:val="32"/>
          <w:lang w:eastAsia="zh-CN"/>
        </w:rPr>
        <w:t>”</w:t>
      </w:r>
      <w:r>
        <w:rPr>
          <w:rFonts w:hint="eastAsia" w:ascii="Times New Roman" w:hAnsi="Times New Roman" w:eastAsia="方正仿宋简体" w:cs="Times New Roman"/>
          <w:b/>
          <w:bCs w:val="0"/>
          <w:i w:val="0"/>
          <w:iCs w:val="0"/>
          <w:caps w:val="0"/>
          <w:color w:val="auto"/>
          <w:spacing w:val="0"/>
          <w:sz w:val="32"/>
          <w:szCs w:val="32"/>
        </w:rPr>
        <w:t>及时回应群众关切</w:t>
      </w:r>
      <w:r>
        <w:rPr>
          <w:rFonts w:hint="eastAsia" w:ascii="Times New Roman" w:hAnsi="Times New Roman" w:eastAsia="方正仿宋简体" w:cs="Times New Roman"/>
          <w:b/>
          <w:bCs w:val="0"/>
          <w:i w:val="0"/>
          <w:iCs w:val="0"/>
          <w:caps w:val="0"/>
          <w:color w:val="auto"/>
          <w:spacing w:val="0"/>
          <w:sz w:val="32"/>
          <w:szCs w:val="32"/>
          <w:lang w:eastAsia="zh-CN"/>
        </w:rPr>
        <w:t>；</w:t>
      </w:r>
      <w:r>
        <w:rPr>
          <w:rFonts w:hint="eastAsia" w:ascii="Times New Roman" w:hAnsi="Times New Roman" w:eastAsia="方正仿宋简体" w:cs="Times New Roman"/>
          <w:b/>
          <w:bCs w:val="0"/>
          <w:i w:val="0"/>
          <w:iCs w:val="0"/>
          <w:caps w:val="0"/>
          <w:color w:val="auto"/>
          <w:spacing w:val="0"/>
          <w:sz w:val="32"/>
          <w:szCs w:val="32"/>
        </w:rPr>
        <w:t>线下在镇为民服务大厅设立政务公开专区，便于群众进行政务查询。依法保障人民群众知情权、参与权和监督权。</w:t>
      </w:r>
    </w:p>
    <w:p w14:paraId="691A70C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Times New Roman" w:hAnsi="Times New Roman" w:eastAsia="方正楷体简体" w:cs="方正楷体简体"/>
          <w:b/>
          <w:bCs w:val="0"/>
          <w:i w:val="0"/>
          <w:iCs w:val="0"/>
          <w:caps w:val="0"/>
          <w:color w:val="auto"/>
          <w:spacing w:val="0"/>
          <w:sz w:val="32"/>
          <w:szCs w:val="32"/>
        </w:rPr>
      </w:pPr>
      <w:r>
        <w:rPr>
          <w:rFonts w:hint="eastAsia" w:ascii="Times New Roman" w:hAnsi="Times New Roman" w:eastAsia="方正楷体简体" w:cs="方正楷体简体"/>
          <w:b/>
          <w:bCs w:val="0"/>
          <w:i w:val="0"/>
          <w:iCs w:val="0"/>
          <w:caps w:val="0"/>
          <w:color w:val="auto"/>
          <w:spacing w:val="0"/>
          <w:sz w:val="32"/>
          <w:szCs w:val="32"/>
        </w:rPr>
        <w:t>（</w:t>
      </w:r>
      <w:r>
        <w:rPr>
          <w:rFonts w:hint="eastAsia" w:ascii="Times New Roman" w:hAnsi="Times New Roman" w:eastAsia="方正楷体简体" w:cs="方正楷体简体"/>
          <w:b/>
          <w:bCs w:val="0"/>
          <w:i w:val="0"/>
          <w:iCs w:val="0"/>
          <w:caps w:val="0"/>
          <w:color w:val="auto"/>
          <w:spacing w:val="0"/>
          <w:sz w:val="32"/>
          <w:szCs w:val="32"/>
          <w:lang w:val="en-US" w:eastAsia="zh-CN"/>
        </w:rPr>
        <w:t>三）</w:t>
      </w:r>
      <w:r>
        <w:rPr>
          <w:rFonts w:hint="eastAsia" w:ascii="Times New Roman" w:hAnsi="Times New Roman" w:eastAsia="方正楷体简体" w:cs="方正楷体简体"/>
          <w:b/>
          <w:bCs w:val="0"/>
          <w:i w:val="0"/>
          <w:iCs w:val="0"/>
          <w:caps w:val="0"/>
          <w:color w:val="auto"/>
          <w:spacing w:val="0"/>
          <w:sz w:val="32"/>
          <w:szCs w:val="32"/>
        </w:rPr>
        <w:t>人大代表建议和政协提案办理结果公开情况。</w:t>
      </w:r>
    </w:p>
    <w:p w14:paraId="275954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Times New Roman" w:hAnsi="Times New Roman" w:eastAsia="方正仿宋简体" w:cs="Times New Roman"/>
          <w:b/>
          <w:bCs w:val="0"/>
          <w:i w:val="0"/>
          <w:iCs w:val="0"/>
          <w:caps w:val="0"/>
          <w:color w:val="auto"/>
          <w:spacing w:val="0"/>
          <w:sz w:val="32"/>
          <w:szCs w:val="32"/>
        </w:rPr>
      </w:pPr>
      <w:r>
        <w:rPr>
          <w:rFonts w:hint="eastAsia" w:ascii="Times New Roman" w:hAnsi="Times New Roman" w:eastAsia="方正仿宋简体" w:cs="Times New Roman"/>
          <w:b/>
          <w:bCs w:val="0"/>
          <w:i w:val="0"/>
          <w:iCs w:val="0"/>
          <w:caps w:val="0"/>
          <w:color w:val="auto"/>
          <w:spacing w:val="0"/>
          <w:sz w:val="32"/>
          <w:szCs w:val="32"/>
        </w:rPr>
        <w:t>2025年，</w:t>
      </w:r>
      <w:r>
        <w:rPr>
          <w:rFonts w:hint="eastAsia" w:ascii="Times New Roman" w:hAnsi="Times New Roman" w:eastAsia="方正仿宋简体" w:cs="Times New Roman"/>
          <w:b/>
          <w:bCs w:val="0"/>
          <w:i w:val="0"/>
          <w:iCs w:val="0"/>
          <w:caps w:val="0"/>
          <w:color w:val="auto"/>
          <w:spacing w:val="0"/>
          <w:sz w:val="32"/>
          <w:szCs w:val="32"/>
          <w:lang w:val="en-US" w:eastAsia="zh-CN"/>
        </w:rPr>
        <w:t>苗馆镇</w:t>
      </w:r>
      <w:r>
        <w:rPr>
          <w:rFonts w:hint="eastAsia" w:ascii="Times New Roman" w:hAnsi="Times New Roman" w:eastAsia="方正仿宋简体" w:cs="Times New Roman"/>
          <w:b/>
          <w:bCs w:val="0"/>
          <w:i w:val="0"/>
          <w:iCs w:val="0"/>
          <w:caps w:val="0"/>
          <w:color w:val="auto"/>
          <w:spacing w:val="0"/>
          <w:sz w:val="32"/>
          <w:szCs w:val="32"/>
        </w:rPr>
        <w:t>共承办人大建议、政协提案0件。</w:t>
      </w:r>
    </w:p>
    <w:p w14:paraId="244158B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Times New Roman" w:hAnsi="Times New Roman" w:eastAsia="方正楷体简体" w:cs="方正楷体简体"/>
          <w:b/>
          <w:bCs w:val="0"/>
          <w:i w:val="0"/>
          <w:iCs w:val="0"/>
          <w:caps w:val="0"/>
          <w:color w:val="auto"/>
          <w:spacing w:val="0"/>
          <w:sz w:val="32"/>
          <w:szCs w:val="32"/>
        </w:rPr>
      </w:pPr>
      <w:r>
        <w:rPr>
          <w:rFonts w:hint="eastAsia" w:ascii="Times New Roman" w:hAnsi="Times New Roman" w:eastAsia="方正楷体简体" w:cs="方正楷体简体"/>
          <w:b/>
          <w:bCs w:val="0"/>
          <w:i w:val="0"/>
          <w:iCs w:val="0"/>
          <w:caps w:val="0"/>
          <w:color w:val="auto"/>
          <w:spacing w:val="0"/>
          <w:sz w:val="32"/>
          <w:szCs w:val="32"/>
        </w:rPr>
        <w:t>（四）年度政务公开工作创新情况。</w:t>
      </w:r>
    </w:p>
    <w:p w14:paraId="1ABA6CB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Times New Roman" w:hAnsi="Times New Roman" w:eastAsia="方正仿宋简体" w:cs="Times New Roman"/>
          <w:b/>
          <w:bCs w:val="0"/>
          <w:i w:val="0"/>
          <w:iCs w:val="0"/>
          <w:caps w:val="0"/>
          <w:color w:val="auto"/>
          <w:spacing w:val="0"/>
          <w:sz w:val="32"/>
          <w:szCs w:val="32"/>
        </w:rPr>
      </w:pPr>
      <w:r>
        <w:rPr>
          <w:rFonts w:hint="eastAsia" w:ascii="Times New Roman" w:hAnsi="Times New Roman" w:eastAsia="方正仿宋简体" w:cs="Times New Roman"/>
          <w:b/>
          <w:bCs w:val="0"/>
          <w:i w:val="0"/>
          <w:iCs w:val="0"/>
          <w:caps w:val="0"/>
          <w:color w:val="auto"/>
          <w:spacing w:val="0"/>
          <w:sz w:val="32"/>
          <w:szCs w:val="32"/>
        </w:rPr>
        <w:t>在</w:t>
      </w:r>
      <w:r>
        <w:rPr>
          <w:rFonts w:hint="eastAsia" w:ascii="Times New Roman" w:hAnsi="Times New Roman" w:eastAsia="方正仿宋简体" w:cs="Times New Roman"/>
          <w:b/>
          <w:bCs w:val="0"/>
          <w:i w:val="0"/>
          <w:iCs w:val="0"/>
          <w:caps w:val="0"/>
          <w:color w:val="auto"/>
          <w:spacing w:val="0"/>
          <w:sz w:val="32"/>
          <w:szCs w:val="32"/>
          <w:lang w:val="en-US" w:eastAsia="zh-CN"/>
        </w:rPr>
        <w:t>镇</w:t>
      </w:r>
      <w:r>
        <w:rPr>
          <w:rFonts w:hint="eastAsia" w:ascii="Times New Roman" w:hAnsi="Times New Roman" w:eastAsia="方正仿宋简体" w:cs="Times New Roman"/>
          <w:b/>
          <w:bCs w:val="0"/>
          <w:i w:val="0"/>
          <w:iCs w:val="0"/>
          <w:caps w:val="0"/>
          <w:color w:val="auto"/>
          <w:spacing w:val="0"/>
          <w:sz w:val="32"/>
          <w:szCs w:val="32"/>
        </w:rPr>
        <w:t>便民服务中心打造“</w:t>
      </w:r>
      <w:r>
        <w:rPr>
          <w:rFonts w:hint="eastAsia" w:ascii="Times New Roman" w:hAnsi="Times New Roman" w:eastAsia="方正仿宋简体" w:cs="Times New Roman"/>
          <w:b/>
          <w:bCs w:val="0"/>
          <w:i w:val="0"/>
          <w:iCs w:val="0"/>
          <w:caps w:val="0"/>
          <w:color w:val="auto"/>
          <w:spacing w:val="0"/>
          <w:sz w:val="32"/>
          <w:szCs w:val="32"/>
          <w:lang w:val="en-US" w:eastAsia="zh-CN"/>
        </w:rPr>
        <w:t>高效办成一件事</w:t>
      </w:r>
      <w:r>
        <w:rPr>
          <w:rFonts w:hint="eastAsia" w:ascii="Times New Roman" w:hAnsi="Times New Roman" w:eastAsia="方正仿宋简体" w:cs="Times New Roman"/>
          <w:b/>
          <w:bCs w:val="0"/>
          <w:i w:val="0"/>
          <w:iCs w:val="0"/>
          <w:caps w:val="0"/>
          <w:color w:val="auto"/>
          <w:spacing w:val="0"/>
          <w:sz w:val="32"/>
          <w:szCs w:val="32"/>
        </w:rPr>
        <w:t>”</w:t>
      </w:r>
      <w:r>
        <w:rPr>
          <w:rFonts w:hint="eastAsia" w:ascii="Times New Roman" w:hAnsi="Times New Roman" w:eastAsia="方正仿宋简体" w:cs="Times New Roman"/>
          <w:b/>
          <w:bCs w:val="0"/>
          <w:i w:val="0"/>
          <w:iCs w:val="0"/>
          <w:caps w:val="0"/>
          <w:color w:val="auto"/>
          <w:spacing w:val="0"/>
          <w:sz w:val="32"/>
          <w:szCs w:val="32"/>
          <w:lang w:val="en-US" w:eastAsia="zh-CN"/>
        </w:rPr>
        <w:t>窗口</w:t>
      </w:r>
      <w:r>
        <w:rPr>
          <w:rFonts w:hint="eastAsia" w:ascii="Times New Roman" w:hAnsi="Times New Roman" w:eastAsia="方正仿宋简体" w:cs="Times New Roman"/>
          <w:b/>
          <w:bCs w:val="0"/>
          <w:i w:val="0"/>
          <w:iCs w:val="0"/>
          <w:caps w:val="0"/>
          <w:color w:val="auto"/>
          <w:spacing w:val="0"/>
          <w:sz w:val="32"/>
          <w:szCs w:val="32"/>
        </w:rPr>
        <w:t>，集成民政、医保等</w:t>
      </w:r>
      <w:r>
        <w:rPr>
          <w:rFonts w:hint="eastAsia" w:ascii="Times New Roman" w:hAnsi="Times New Roman" w:eastAsia="方正仿宋简体" w:cs="Times New Roman"/>
          <w:b/>
          <w:bCs w:val="0"/>
          <w:i w:val="0"/>
          <w:iCs w:val="0"/>
          <w:caps w:val="0"/>
          <w:color w:val="auto"/>
          <w:spacing w:val="0"/>
          <w:sz w:val="32"/>
          <w:szCs w:val="32"/>
          <w:lang w:val="en-US" w:eastAsia="zh-CN"/>
        </w:rPr>
        <w:t>9</w:t>
      </w:r>
      <w:r>
        <w:rPr>
          <w:rFonts w:hint="eastAsia" w:ascii="Times New Roman" w:hAnsi="Times New Roman" w:eastAsia="方正仿宋简体" w:cs="Times New Roman"/>
          <w:b/>
          <w:bCs w:val="0"/>
          <w:i w:val="0"/>
          <w:iCs w:val="0"/>
          <w:caps w:val="0"/>
          <w:color w:val="auto"/>
          <w:spacing w:val="0"/>
          <w:sz w:val="32"/>
          <w:szCs w:val="32"/>
        </w:rPr>
        <w:t>个业务窗口入驻，同步优化公开服务指引，为群众提供政策咨询、办事服务的全流程引导。聚焦补贴申领、社保参保等高频咨询事项，通过</w:t>
      </w:r>
      <w:r>
        <w:rPr>
          <w:rFonts w:hint="eastAsia" w:ascii="Times New Roman" w:hAnsi="Times New Roman" w:eastAsia="方正仿宋简体" w:cs="Times New Roman"/>
          <w:b/>
          <w:bCs w:val="0"/>
          <w:i w:val="0"/>
          <w:iCs w:val="0"/>
          <w:caps w:val="0"/>
          <w:color w:val="auto"/>
          <w:spacing w:val="0"/>
          <w:sz w:val="32"/>
          <w:szCs w:val="32"/>
          <w:lang w:val="en-US" w:eastAsia="zh-CN"/>
        </w:rPr>
        <w:t>滚屏播放、</w:t>
      </w:r>
      <w:r>
        <w:rPr>
          <w:rFonts w:hint="eastAsia" w:ascii="Times New Roman" w:hAnsi="Times New Roman" w:eastAsia="方正仿宋简体" w:cs="Times New Roman"/>
          <w:b/>
          <w:bCs w:val="0"/>
          <w:i w:val="0"/>
          <w:iCs w:val="0"/>
          <w:caps w:val="0"/>
          <w:color w:val="auto"/>
          <w:spacing w:val="0"/>
          <w:sz w:val="32"/>
          <w:szCs w:val="32"/>
        </w:rPr>
        <w:t>政策宣传折页等载体向群众公开，推动政务服务与信息公开深度融合。</w:t>
      </w:r>
    </w:p>
    <w:p w14:paraId="164345B9">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方正楷体简体" w:cs="方正楷体简体"/>
          <w:b/>
          <w:bCs w:val="0"/>
          <w:i w:val="0"/>
          <w:iCs w:val="0"/>
          <w:caps w:val="0"/>
          <w:color w:val="auto"/>
          <w:spacing w:val="0"/>
          <w:kern w:val="0"/>
          <w:sz w:val="32"/>
          <w:szCs w:val="32"/>
          <w:lang w:val="en-US" w:eastAsia="zh-CN" w:bidi="ar"/>
        </w:rPr>
      </w:pPr>
      <w:r>
        <w:rPr>
          <w:rFonts w:hint="eastAsia" w:ascii="Times New Roman" w:hAnsi="Times New Roman" w:eastAsia="方正楷体简体" w:cs="方正楷体简体"/>
          <w:b/>
          <w:bCs w:val="0"/>
          <w:i w:val="0"/>
          <w:iCs w:val="0"/>
          <w:caps w:val="0"/>
          <w:color w:val="auto"/>
          <w:spacing w:val="0"/>
          <w:kern w:val="0"/>
          <w:sz w:val="32"/>
          <w:szCs w:val="32"/>
          <w:lang w:val="en-US" w:eastAsia="zh-CN" w:bidi="ar"/>
        </w:rPr>
        <w:t>（五）本行政机关政府信息公开工作年度报告数据统计需要说明的事项。</w:t>
      </w:r>
    </w:p>
    <w:p w14:paraId="413E23A0">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仿宋" w:cs="仿宋"/>
          <w:b/>
          <w:bCs w:val="0"/>
          <w:color w:val="auto"/>
          <w:sz w:val="32"/>
          <w:szCs w:val="32"/>
        </w:rPr>
      </w:pPr>
      <w:r>
        <w:rPr>
          <w:rFonts w:hint="eastAsia" w:ascii="Times New Roman" w:hAnsi="Times New Roman" w:eastAsia="方正仿宋简体" w:cs="Times New Roman"/>
          <w:b/>
          <w:bCs w:val="0"/>
          <w:i w:val="0"/>
          <w:iCs w:val="0"/>
          <w:caps w:val="0"/>
          <w:color w:val="auto"/>
          <w:spacing w:val="0"/>
          <w:kern w:val="0"/>
          <w:sz w:val="32"/>
          <w:szCs w:val="32"/>
          <w:lang w:val="en-US" w:eastAsia="zh-CN" w:bidi="ar"/>
        </w:rPr>
        <w:t>本年度报告中所列数据统计期限从2025年1月1日到12月31日止。</w:t>
      </w:r>
    </w:p>
    <w:p w14:paraId="5C9C2ED6">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方正楷体简体" w:cs="方正楷体简体"/>
          <w:b/>
          <w:bCs w:val="0"/>
          <w:i w:val="0"/>
          <w:iCs w:val="0"/>
          <w:caps w:val="0"/>
          <w:color w:val="auto"/>
          <w:spacing w:val="0"/>
          <w:kern w:val="0"/>
          <w:sz w:val="32"/>
          <w:szCs w:val="32"/>
          <w:lang w:val="en-US" w:eastAsia="zh-CN" w:bidi="ar"/>
        </w:rPr>
      </w:pPr>
      <w:r>
        <w:rPr>
          <w:rFonts w:hint="eastAsia" w:ascii="Times New Roman" w:hAnsi="Times New Roman" w:eastAsia="方正楷体简体" w:cs="方正楷体简体"/>
          <w:b/>
          <w:bCs w:val="0"/>
          <w:i w:val="0"/>
          <w:iCs w:val="0"/>
          <w:caps w:val="0"/>
          <w:color w:val="auto"/>
          <w:spacing w:val="0"/>
          <w:kern w:val="0"/>
          <w:sz w:val="32"/>
          <w:szCs w:val="32"/>
          <w:lang w:val="en-US" w:eastAsia="zh-CN" w:bidi="ar"/>
        </w:rPr>
        <w:t>（六）本行政机关认为需要报告的其他事项。</w:t>
      </w:r>
    </w:p>
    <w:p w14:paraId="313695F9">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仿宋" w:cs="仿宋"/>
          <w:b/>
          <w:bCs w:val="0"/>
          <w:color w:val="auto"/>
          <w:sz w:val="32"/>
          <w:szCs w:val="32"/>
        </w:rPr>
      </w:pPr>
      <w:r>
        <w:rPr>
          <w:rFonts w:hint="eastAsia" w:ascii="Times New Roman" w:hAnsi="Times New Roman" w:eastAsia="方正仿宋简体" w:cs="Times New Roman"/>
          <w:b/>
          <w:bCs w:val="0"/>
          <w:i w:val="0"/>
          <w:iCs w:val="0"/>
          <w:caps w:val="0"/>
          <w:color w:val="auto"/>
          <w:spacing w:val="0"/>
          <w:kern w:val="0"/>
          <w:sz w:val="32"/>
          <w:szCs w:val="32"/>
          <w:lang w:val="en-US" w:eastAsia="zh-CN" w:bidi="ar"/>
        </w:rPr>
        <w:t>无。</w:t>
      </w:r>
    </w:p>
    <w:p w14:paraId="300C46E5">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方正楷体简体" w:cs="方正楷体简体"/>
          <w:b/>
          <w:bCs w:val="0"/>
          <w:i w:val="0"/>
          <w:iCs w:val="0"/>
          <w:caps w:val="0"/>
          <w:color w:val="auto"/>
          <w:spacing w:val="0"/>
          <w:kern w:val="0"/>
          <w:sz w:val="32"/>
          <w:szCs w:val="32"/>
          <w:lang w:val="en-US" w:eastAsia="zh-CN" w:bidi="ar"/>
        </w:rPr>
      </w:pPr>
      <w:r>
        <w:rPr>
          <w:rFonts w:hint="eastAsia" w:ascii="Times New Roman" w:hAnsi="Times New Roman" w:eastAsia="方正楷体简体" w:cs="方正楷体简体"/>
          <w:b/>
          <w:bCs w:val="0"/>
          <w:i w:val="0"/>
          <w:iCs w:val="0"/>
          <w:caps w:val="0"/>
          <w:color w:val="auto"/>
          <w:spacing w:val="0"/>
          <w:kern w:val="0"/>
          <w:sz w:val="32"/>
          <w:szCs w:val="32"/>
          <w:lang w:val="en-US" w:eastAsia="zh-CN" w:bidi="ar"/>
        </w:rPr>
        <w:t>（七）其他有关文件专门要求通过政府信息公开工作年度报告予以报告的事项。</w:t>
      </w:r>
    </w:p>
    <w:p w14:paraId="257D711B">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仿宋" w:cs="仿宋"/>
          <w:b/>
          <w:bCs w:val="0"/>
          <w:color w:val="auto"/>
          <w:sz w:val="32"/>
          <w:szCs w:val="32"/>
        </w:rPr>
      </w:pPr>
      <w:r>
        <w:rPr>
          <w:rFonts w:hint="eastAsia" w:ascii="Times New Roman" w:hAnsi="Times New Roman" w:eastAsia="方正仿宋简体" w:cs="Times New Roman"/>
          <w:b/>
          <w:bCs w:val="0"/>
          <w:i w:val="0"/>
          <w:iCs w:val="0"/>
          <w:caps w:val="0"/>
          <w:color w:val="auto"/>
          <w:spacing w:val="0"/>
          <w:kern w:val="0"/>
          <w:sz w:val="32"/>
          <w:szCs w:val="32"/>
          <w:lang w:val="en-US" w:eastAsia="zh-CN" w:bidi="ar"/>
        </w:rPr>
        <w:t>无。</w:t>
      </w:r>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3ED0C1-346A-4E28-9185-D87536C728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ECB4AD2-5295-4397-9FF4-EBFA86155B5F}"/>
  </w:font>
  <w:font w:name="方正小标宋简体">
    <w:panose1 w:val="03000509000000000000"/>
    <w:charset w:val="86"/>
    <w:family w:val="script"/>
    <w:pitch w:val="default"/>
    <w:sig w:usb0="00000001" w:usb1="080E0000" w:usb2="00000000" w:usb3="00000000" w:csb0="00040000" w:csb1="00000000"/>
    <w:embedRegular r:id="rId3" w:fontKey="{7DD243CC-B136-4EA1-B693-C2A6A5F4C436}"/>
  </w:font>
  <w:font w:name="方正仿宋简体">
    <w:panose1 w:val="03000509000000000000"/>
    <w:charset w:val="86"/>
    <w:family w:val="auto"/>
    <w:pitch w:val="default"/>
    <w:sig w:usb0="00000001" w:usb1="080E0000" w:usb2="00000000" w:usb3="00000000" w:csb0="00040000" w:csb1="00000000"/>
    <w:embedRegular r:id="rId4" w:fontKey="{B932549D-BE63-4942-8617-3C23CED7B432}"/>
  </w:font>
  <w:font w:name="方正黑体简体">
    <w:panose1 w:val="03000509000000000000"/>
    <w:charset w:val="86"/>
    <w:family w:val="auto"/>
    <w:pitch w:val="default"/>
    <w:sig w:usb0="00000001" w:usb1="080E0000" w:usb2="00000000" w:usb3="00000000" w:csb0="00040000" w:csb1="00000000"/>
    <w:embedRegular r:id="rId5" w:fontKey="{A1FE4354-1C19-41CE-A5AC-0BBF9D29859D}"/>
  </w:font>
  <w:font w:name="方正楷体简体">
    <w:panose1 w:val="03000509000000000000"/>
    <w:charset w:val="86"/>
    <w:family w:val="auto"/>
    <w:pitch w:val="default"/>
    <w:sig w:usb0="00000001" w:usb1="080E0000" w:usb2="00000000" w:usb3="00000000" w:csb0="00040000" w:csb1="00000000"/>
    <w:embedRegular r:id="rId6" w:fontKey="{020473D1-485F-46BD-93D2-822DE311F2F2}"/>
  </w:font>
  <w:font w:name="楷体">
    <w:panose1 w:val="02010609060101010101"/>
    <w:charset w:val="86"/>
    <w:family w:val="auto"/>
    <w:pitch w:val="default"/>
    <w:sig w:usb0="800002BF" w:usb1="38CF7CFA" w:usb2="00000016" w:usb3="00000000" w:csb0="00040001" w:csb1="00000000"/>
    <w:embedRegular r:id="rId7" w:fontKey="{6E804161-02D5-48C1-A1DF-206B0409E30E}"/>
  </w:font>
  <w:font w:name="仿宋">
    <w:panose1 w:val="02010609060101010101"/>
    <w:charset w:val="86"/>
    <w:family w:val="auto"/>
    <w:pitch w:val="default"/>
    <w:sig w:usb0="800002BF" w:usb1="38CF7CFA" w:usb2="00000016" w:usb3="00000000" w:csb0="00040001" w:csb1="00000000"/>
    <w:embedRegular r:id="rId8" w:fontKey="{E4F92C1F-C6C0-4ED4-AC5C-D5387C0C54CD}"/>
  </w:font>
  <w:font w:name="h">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hakuyoxingshu7000">
    <w:panose1 w:val="02000600000000000000"/>
    <w:charset w:val="86"/>
    <w:family w:val="auto"/>
    <w:pitch w:val="default"/>
    <w:sig w:usb0="FFFFFFFF" w:usb1="E9FFFFFF" w:usb2="0000003F" w:usb3="00000000" w:csb0="603F00FF" w:csb1="FFFF0000"/>
  </w:font>
  <w:font w:name="ht">
    <w:altName w:val="AMGDT"/>
    <w:panose1 w:val="00000000000000000000"/>
    <w:charset w:val="00"/>
    <w:family w:val="auto"/>
    <w:pitch w:val="default"/>
    <w:sig w:usb0="00000000" w:usb1="00000000" w:usb2="00000000" w:usb3="00000000" w:csb0="00000000" w:csb1="00000000"/>
  </w:font>
  <w:font w:name="方正">
    <w:altName w:val="AMGDT"/>
    <w:panose1 w:val="00000000000000000000"/>
    <w:charset w:val="00"/>
    <w:family w:val="auto"/>
    <w:pitch w:val="default"/>
    <w:sig w:usb0="00000000" w:usb1="00000000" w:usb2="00000000" w:usb3="00000000" w:csb0="00000000" w:csb1="00000000"/>
  </w:font>
  <w:font w:name="方正VDL角锐黑 简 ExtraBold">
    <w:panose1 w:val="02000900000000000000"/>
    <w:charset w:val="86"/>
    <w:family w:val="auto"/>
    <w:pitch w:val="default"/>
    <w:sig w:usb0="A00002BF" w:usb1="184F6CFA" w:usb2="00000012" w:usb3="00000000" w:csb0="00040001" w:csb1="00000000"/>
  </w:font>
  <w:font w:name="方正黑体">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18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01FF5B">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001FF5B">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FD29F"/>
    <w:rsid w:val="054933A7"/>
    <w:rsid w:val="0A071A84"/>
    <w:rsid w:val="0B604D13"/>
    <w:rsid w:val="0EC248F6"/>
    <w:rsid w:val="116C40B9"/>
    <w:rsid w:val="159168BC"/>
    <w:rsid w:val="18B60F11"/>
    <w:rsid w:val="1DED3012"/>
    <w:rsid w:val="213E60BE"/>
    <w:rsid w:val="245A0E58"/>
    <w:rsid w:val="278B1E2A"/>
    <w:rsid w:val="2EF12C10"/>
    <w:rsid w:val="314C1304"/>
    <w:rsid w:val="31777275"/>
    <w:rsid w:val="37FFD29F"/>
    <w:rsid w:val="3EB26AE9"/>
    <w:rsid w:val="492E530C"/>
    <w:rsid w:val="4A442078"/>
    <w:rsid w:val="4D2D5DEF"/>
    <w:rsid w:val="59834F7A"/>
    <w:rsid w:val="6AF931C2"/>
    <w:rsid w:val="6DA77E0F"/>
    <w:rsid w:val="6DAF1A40"/>
    <w:rsid w:val="79D950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1280</Words>
  <Characters>1336</Characters>
  <Lines>0</Lines>
  <Paragraphs>0</Paragraphs>
  <TotalTime>17</TotalTime>
  <ScaleCrop>false</ScaleCrop>
  <LinksUpToDate>false</LinksUpToDate>
  <CharactersWithSpaces>1336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2025-01-15T16:51:00Z</dcterms:created>
  <dc:creator>user</dc:creator>
  <cp:lastModifiedBy>WPS_1661510369</cp:lastModifiedBy>
  <dcterms:modified xsi:type="dcterms:W3CDTF">2026-01-20T09:21:21Z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99A26C5B08344DF5A1DB93F84063BE93_13</vt:lpwstr>
  </property>
  <property fmtid="{D5CDD505-2E9C-101B-9397-08002B2CF9AE}" pid="4" name="KSOTemplateDocerSaveRecord">
    <vt:lpwstr>eyJoZGlkIjoiZDdkYjU2OTVhYjhjNzllZmIzODYxZGFmMGY4MmQxMjEiLCJ1c2VySWQiOiIxMzk2NDg5MTM2In0=</vt:lpwstr>
  </property>
</Properties>
</file>