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jc w:val="center"/>
        <w:rPr>
          <w:rFonts w:ascii="方正小标宋简体" w:eastAsia="方正小标宋简体"/>
          <w:b/>
          <w:sz w:val="48"/>
          <w:szCs w:val="48"/>
        </w:rPr>
      </w:pPr>
      <w:r>
        <w:rPr>
          <w:rFonts w:hint="eastAsia" w:ascii="方正小标宋简体" w:eastAsia="方正小标宋简体"/>
          <w:b/>
          <w:sz w:val="48"/>
          <w:szCs w:val="48"/>
        </w:rPr>
        <w:t>泗水县自然资源领域基层政务公开标准目录</w:t>
      </w:r>
    </w:p>
    <w:tbl>
      <w:tblPr>
        <w:tblStyle w:val="6"/>
        <w:tblpPr w:leftFromText="180" w:rightFromText="180" w:vertAnchor="page" w:horzAnchor="margin" w:tblpXSpec="center" w:tblpY="2162"/>
        <w:tblW w:w="15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50"/>
        <w:gridCol w:w="992"/>
        <w:gridCol w:w="2977"/>
        <w:gridCol w:w="2297"/>
        <w:gridCol w:w="1470"/>
        <w:gridCol w:w="798"/>
        <w:gridCol w:w="1843"/>
        <w:gridCol w:w="567"/>
        <w:gridCol w:w="709"/>
        <w:gridCol w:w="567"/>
        <w:gridCol w:w="850"/>
        <w:gridCol w:w="56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34" w:type="dxa"/>
            <w:vMerge w:val="restart"/>
            <w:shd w:val="clear" w:color="000000" w:fill="FFFFFF"/>
            <w:vAlign w:val="center"/>
          </w:tcPr>
          <w:p>
            <w:pPr>
              <w:widowControl/>
              <w:spacing w:line="440" w:lineRule="exact"/>
              <w:jc w:val="center"/>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序号</w:t>
            </w:r>
          </w:p>
        </w:tc>
        <w:tc>
          <w:tcPr>
            <w:tcW w:w="1842" w:type="dxa"/>
            <w:gridSpan w:val="2"/>
            <w:shd w:val="clear" w:color="000000" w:fill="FFFFFF"/>
            <w:vAlign w:val="center"/>
          </w:tcPr>
          <w:p>
            <w:pPr>
              <w:widowControl/>
              <w:spacing w:line="440" w:lineRule="exact"/>
              <w:jc w:val="center"/>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公开事项</w:t>
            </w:r>
          </w:p>
        </w:tc>
        <w:tc>
          <w:tcPr>
            <w:tcW w:w="2977" w:type="dxa"/>
            <w:vMerge w:val="restart"/>
            <w:shd w:val="clear" w:color="000000" w:fill="FFFFFF"/>
            <w:vAlign w:val="center"/>
          </w:tcPr>
          <w:p>
            <w:pPr>
              <w:widowControl/>
              <w:spacing w:line="440" w:lineRule="exact"/>
              <w:jc w:val="center"/>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公开内容（要素）</w:t>
            </w:r>
          </w:p>
        </w:tc>
        <w:tc>
          <w:tcPr>
            <w:tcW w:w="2297" w:type="dxa"/>
            <w:vMerge w:val="restart"/>
            <w:shd w:val="clear" w:color="000000" w:fill="FFFFFF"/>
            <w:vAlign w:val="center"/>
          </w:tcPr>
          <w:p>
            <w:pPr>
              <w:widowControl/>
              <w:spacing w:line="440" w:lineRule="exact"/>
              <w:jc w:val="center"/>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公开依据</w:t>
            </w:r>
          </w:p>
        </w:tc>
        <w:tc>
          <w:tcPr>
            <w:tcW w:w="1470" w:type="dxa"/>
            <w:vMerge w:val="restart"/>
            <w:shd w:val="clear" w:color="000000" w:fill="FFFFFF"/>
            <w:vAlign w:val="center"/>
          </w:tcPr>
          <w:p>
            <w:pPr>
              <w:widowControl/>
              <w:spacing w:line="440" w:lineRule="exact"/>
              <w:jc w:val="center"/>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公开时限</w:t>
            </w:r>
          </w:p>
        </w:tc>
        <w:tc>
          <w:tcPr>
            <w:tcW w:w="798" w:type="dxa"/>
            <w:vMerge w:val="restart"/>
            <w:shd w:val="clear" w:color="000000" w:fill="FFFFFF"/>
            <w:vAlign w:val="center"/>
          </w:tcPr>
          <w:p>
            <w:pPr>
              <w:widowControl/>
              <w:spacing w:line="440" w:lineRule="exact"/>
              <w:jc w:val="center"/>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公开主体</w:t>
            </w:r>
          </w:p>
        </w:tc>
        <w:tc>
          <w:tcPr>
            <w:tcW w:w="1843" w:type="dxa"/>
            <w:vMerge w:val="restart"/>
            <w:shd w:val="clear" w:color="000000" w:fill="FFFFFF"/>
            <w:vAlign w:val="center"/>
          </w:tcPr>
          <w:p>
            <w:pPr>
              <w:widowControl/>
              <w:spacing w:line="440" w:lineRule="exact"/>
              <w:jc w:val="center"/>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公开渠道和载体</w:t>
            </w:r>
          </w:p>
        </w:tc>
        <w:tc>
          <w:tcPr>
            <w:tcW w:w="1276" w:type="dxa"/>
            <w:gridSpan w:val="2"/>
            <w:shd w:val="clear" w:color="000000" w:fill="FFFFFF"/>
            <w:vAlign w:val="center"/>
          </w:tcPr>
          <w:p>
            <w:pPr>
              <w:widowControl/>
              <w:spacing w:line="440" w:lineRule="exact"/>
              <w:jc w:val="center"/>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公开对象</w:t>
            </w:r>
          </w:p>
        </w:tc>
        <w:tc>
          <w:tcPr>
            <w:tcW w:w="1417" w:type="dxa"/>
            <w:gridSpan w:val="2"/>
            <w:shd w:val="clear" w:color="000000" w:fill="FFFFFF"/>
            <w:vAlign w:val="center"/>
          </w:tcPr>
          <w:p>
            <w:pPr>
              <w:widowControl/>
              <w:spacing w:line="440" w:lineRule="exact"/>
              <w:jc w:val="center"/>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公开方式</w:t>
            </w:r>
          </w:p>
        </w:tc>
        <w:tc>
          <w:tcPr>
            <w:tcW w:w="1418" w:type="dxa"/>
            <w:gridSpan w:val="2"/>
            <w:shd w:val="clear" w:color="000000" w:fill="FFFFFF"/>
            <w:vAlign w:val="center"/>
          </w:tcPr>
          <w:p>
            <w:pPr>
              <w:widowControl/>
              <w:spacing w:line="440" w:lineRule="exact"/>
              <w:jc w:val="center"/>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4" w:type="dxa"/>
            <w:vMerge w:val="continue"/>
            <w:vAlign w:val="center"/>
          </w:tcPr>
          <w:p>
            <w:pPr>
              <w:widowControl/>
              <w:spacing w:line="440" w:lineRule="exact"/>
              <w:jc w:val="center"/>
              <w:rPr>
                <w:rFonts w:ascii="微软雅黑" w:hAnsi="微软雅黑" w:eastAsia="微软雅黑" w:cs="宋体"/>
                <w:color w:val="333333"/>
                <w:kern w:val="0"/>
                <w:sz w:val="28"/>
                <w:szCs w:val="28"/>
              </w:rPr>
            </w:pPr>
          </w:p>
        </w:tc>
        <w:tc>
          <w:tcPr>
            <w:tcW w:w="850" w:type="dxa"/>
            <w:shd w:val="clear" w:color="000000" w:fill="FFFFFF"/>
            <w:vAlign w:val="center"/>
          </w:tcPr>
          <w:p>
            <w:pPr>
              <w:widowControl/>
              <w:spacing w:line="440" w:lineRule="exact"/>
              <w:jc w:val="center"/>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一级事项</w:t>
            </w:r>
          </w:p>
        </w:tc>
        <w:tc>
          <w:tcPr>
            <w:tcW w:w="992" w:type="dxa"/>
            <w:shd w:val="clear" w:color="000000" w:fill="FFFFFF"/>
            <w:vAlign w:val="center"/>
          </w:tcPr>
          <w:p>
            <w:pPr>
              <w:widowControl/>
              <w:spacing w:line="440" w:lineRule="exact"/>
              <w:jc w:val="center"/>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二级事项</w:t>
            </w:r>
          </w:p>
        </w:tc>
        <w:tc>
          <w:tcPr>
            <w:tcW w:w="2977" w:type="dxa"/>
            <w:vMerge w:val="continue"/>
            <w:vAlign w:val="center"/>
          </w:tcPr>
          <w:p>
            <w:pPr>
              <w:widowControl/>
              <w:spacing w:line="440" w:lineRule="exact"/>
              <w:jc w:val="left"/>
              <w:rPr>
                <w:rFonts w:ascii="微软雅黑" w:hAnsi="微软雅黑" w:eastAsia="微软雅黑" w:cs="宋体"/>
                <w:color w:val="333333"/>
                <w:kern w:val="0"/>
                <w:sz w:val="28"/>
                <w:szCs w:val="28"/>
              </w:rPr>
            </w:pPr>
          </w:p>
        </w:tc>
        <w:tc>
          <w:tcPr>
            <w:tcW w:w="2297" w:type="dxa"/>
            <w:vMerge w:val="continue"/>
            <w:vAlign w:val="center"/>
          </w:tcPr>
          <w:p>
            <w:pPr>
              <w:widowControl/>
              <w:spacing w:line="440" w:lineRule="exact"/>
              <w:jc w:val="left"/>
              <w:rPr>
                <w:rFonts w:ascii="微软雅黑" w:hAnsi="微软雅黑" w:eastAsia="微软雅黑" w:cs="宋体"/>
                <w:color w:val="333333"/>
                <w:kern w:val="0"/>
                <w:sz w:val="28"/>
                <w:szCs w:val="28"/>
              </w:rPr>
            </w:pPr>
          </w:p>
        </w:tc>
        <w:tc>
          <w:tcPr>
            <w:tcW w:w="1470" w:type="dxa"/>
            <w:vMerge w:val="continue"/>
            <w:vAlign w:val="center"/>
          </w:tcPr>
          <w:p>
            <w:pPr>
              <w:widowControl/>
              <w:spacing w:line="440" w:lineRule="exact"/>
              <w:jc w:val="left"/>
              <w:rPr>
                <w:rFonts w:ascii="微软雅黑" w:hAnsi="微软雅黑" w:eastAsia="微软雅黑" w:cs="宋体"/>
                <w:color w:val="333333"/>
                <w:kern w:val="0"/>
                <w:sz w:val="28"/>
                <w:szCs w:val="28"/>
              </w:rPr>
            </w:pPr>
          </w:p>
        </w:tc>
        <w:tc>
          <w:tcPr>
            <w:tcW w:w="798" w:type="dxa"/>
            <w:vMerge w:val="continue"/>
            <w:vAlign w:val="center"/>
          </w:tcPr>
          <w:p>
            <w:pPr>
              <w:widowControl/>
              <w:spacing w:line="440" w:lineRule="exact"/>
              <w:jc w:val="left"/>
              <w:rPr>
                <w:rFonts w:ascii="微软雅黑" w:hAnsi="微软雅黑" w:eastAsia="微软雅黑" w:cs="宋体"/>
                <w:color w:val="333333"/>
                <w:kern w:val="0"/>
                <w:sz w:val="28"/>
                <w:szCs w:val="28"/>
              </w:rPr>
            </w:pPr>
          </w:p>
        </w:tc>
        <w:tc>
          <w:tcPr>
            <w:tcW w:w="1843" w:type="dxa"/>
            <w:vMerge w:val="continue"/>
            <w:vAlign w:val="center"/>
          </w:tcPr>
          <w:p>
            <w:pPr>
              <w:widowControl/>
              <w:spacing w:line="440" w:lineRule="exact"/>
              <w:jc w:val="left"/>
              <w:rPr>
                <w:rFonts w:ascii="微软雅黑" w:hAnsi="微软雅黑" w:eastAsia="微软雅黑" w:cs="宋体"/>
                <w:color w:val="333333"/>
                <w:kern w:val="0"/>
                <w:sz w:val="28"/>
                <w:szCs w:val="28"/>
              </w:rPr>
            </w:pPr>
          </w:p>
        </w:tc>
        <w:tc>
          <w:tcPr>
            <w:tcW w:w="567" w:type="dxa"/>
            <w:shd w:val="clear" w:color="000000" w:fill="FFFFFF"/>
            <w:vAlign w:val="center"/>
          </w:tcPr>
          <w:p>
            <w:pPr>
              <w:widowControl/>
              <w:spacing w:line="440" w:lineRule="exact"/>
              <w:jc w:val="center"/>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全社会</w:t>
            </w:r>
          </w:p>
        </w:tc>
        <w:tc>
          <w:tcPr>
            <w:tcW w:w="709" w:type="dxa"/>
            <w:shd w:val="clear" w:color="000000" w:fill="FFFFFF"/>
            <w:vAlign w:val="center"/>
          </w:tcPr>
          <w:p>
            <w:pPr>
              <w:widowControl/>
              <w:spacing w:line="440" w:lineRule="exact"/>
              <w:jc w:val="center"/>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特定群众</w:t>
            </w:r>
          </w:p>
        </w:tc>
        <w:tc>
          <w:tcPr>
            <w:tcW w:w="567" w:type="dxa"/>
            <w:shd w:val="clear" w:color="000000" w:fill="FFFFFF"/>
            <w:vAlign w:val="center"/>
          </w:tcPr>
          <w:p>
            <w:pPr>
              <w:widowControl/>
              <w:spacing w:line="440" w:lineRule="exact"/>
              <w:jc w:val="center"/>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主动</w:t>
            </w:r>
          </w:p>
        </w:tc>
        <w:tc>
          <w:tcPr>
            <w:tcW w:w="850" w:type="dxa"/>
            <w:shd w:val="clear" w:color="000000" w:fill="FFFFFF"/>
            <w:vAlign w:val="center"/>
          </w:tcPr>
          <w:p>
            <w:pPr>
              <w:widowControl/>
              <w:spacing w:line="440" w:lineRule="exact"/>
              <w:jc w:val="center"/>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依申请公开</w:t>
            </w:r>
          </w:p>
        </w:tc>
        <w:tc>
          <w:tcPr>
            <w:tcW w:w="567" w:type="dxa"/>
            <w:shd w:val="clear" w:color="000000" w:fill="FFFFFF"/>
            <w:vAlign w:val="center"/>
          </w:tcPr>
          <w:p>
            <w:pPr>
              <w:widowControl/>
              <w:spacing w:line="440" w:lineRule="exact"/>
              <w:jc w:val="center"/>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县级</w:t>
            </w:r>
          </w:p>
        </w:tc>
        <w:tc>
          <w:tcPr>
            <w:tcW w:w="851" w:type="dxa"/>
            <w:shd w:val="clear" w:color="000000" w:fill="FFFFFF"/>
            <w:vAlign w:val="center"/>
          </w:tcPr>
          <w:p>
            <w:pPr>
              <w:widowControl/>
              <w:spacing w:line="440" w:lineRule="exact"/>
              <w:jc w:val="center"/>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镇、村级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1</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机构信息</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自然资源主管部门及派出机构、公共服务机构信息</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机构名称、机构职能、内设机构、办公地址、办公时间、办公电话、负责人姓名、权责清单</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《政府信息公开条例》《关于推行地方各级政府工作部门权力清单制度的指导意见》（中办发〔2015〕21号）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信息形成或者变更之日起20个工作日内</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■公开查阅点</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2</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公共服务</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政策文件</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本级政府及自然资源主管部门出台的自然资源政策文件及相关解读</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《政府信息公开条例》《自然资源规范性文件管理规定》（自然资源部令第2号）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信息形成或者变更之日起20个工作日内</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 xml:space="preserve">■公开查阅点         </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3</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公共服务</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自然资源领域专项规划</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矿产资源、基础测绘等规划（涉密信息、法律法规规定不予公开的除外）</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《政府信息公开条例》《测绘法》《矿产资源规划编制实施办法》</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信息形成或者变更之日起20个工作日内</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 xml:space="preserve">■公开查阅点        </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4</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公共服务</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重大决策预公开</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自然资源领域重大决策事项的意见征集（含意见的采纳情况）等（依法不予公开的决策事项除外）</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《重大行政决策程序暂行条例》</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向社会公开征求意见一般不少于30日；因情况紧急等原因需缩短期限的，公开征求意见时应予以说明</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 xml:space="preserve">■公开查阅点       </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6"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5</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公共服务</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回应关切</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对涉及自然资源领域经济社会热点、咨询的相关问题等进行回应</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w w:val="90"/>
                <w:kern w:val="0"/>
                <w:sz w:val="28"/>
                <w:szCs w:val="28"/>
              </w:rPr>
            </w:pPr>
            <w:r>
              <w:rPr>
                <w:rFonts w:hint="eastAsia" w:ascii="方正楷体简体" w:hAnsi="宋体" w:eastAsia="方正楷体简体" w:cs="宋体"/>
                <w:color w:val="333333"/>
                <w:w w:val="90"/>
                <w:kern w:val="0"/>
                <w:sz w:val="28"/>
                <w:szCs w:val="28"/>
              </w:rPr>
              <w:t>《国务院办公厅关于在政务公开工作中进一步做好政务舆情回应的通知》（国办发〔2016〕61号）《国务院办公厅印发＜关于全面推进政务公开工作的意见＞实施细则的通知》（国办发〔2016〕80号）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及时回应</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 xml:space="preserve">■发布会／听证会      </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6</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公共服务</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办事指南</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适用范围、项目信息、审批依据、受理机构、决定机构、申请条件、申请材料、申请接收、办理流程、办结时限、收费依据及标准、审批结果、结果送达、咨询途径、监督和投诉渠道、办公地址和时间</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《政府信息公开条例》《国务院办公厅关于简化优化公共服务流程方便基层群众办事创业的通知》（国办发〔2015〕86号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实时公开</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■公开查阅点</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■县为民服务中心</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7</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财政</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财政信息</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县级自然资源主管部门财政预决算及政府集中采购信息</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《政府信息公开条例》</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信息形成或者变更之日20个工作日内</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8</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调查监测</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国土调查基本信息</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spacing w:val="-10"/>
                <w:kern w:val="0"/>
                <w:sz w:val="28"/>
                <w:szCs w:val="28"/>
              </w:rPr>
            </w:pPr>
            <w:r>
              <w:rPr>
                <w:rFonts w:hint="eastAsia" w:ascii="方正楷体简体" w:hAnsi="宋体" w:eastAsia="方正楷体简体" w:cs="宋体"/>
                <w:color w:val="333333"/>
                <w:spacing w:val="-10"/>
                <w:kern w:val="0"/>
                <w:sz w:val="28"/>
                <w:szCs w:val="28"/>
              </w:rPr>
              <w:t>国土利用现状主要数据（涉密信息、法律法规规定不予公开的除外）</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《政府信息公开条例》《土地调查条例》</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信息形成之日起20个工作日内</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9</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调查监测</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国土调查地类信息</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所辖区域内特定范围或地块的国土调查地类信息（涉密信息、法律法规规定不予公开的除外）</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《政府信息公开条例》《土地调查条例》</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收到政府信息公开申请起20个工作日内</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■其他</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10</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调查监测</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地理国情监测成果</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地理国情监测信息（涉密信息、法律法规规定不予公开的除外）</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《关于全面开展地理国情监测的指导意见》（国测国发〔2017〕8号）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信息形成或者变更之日起20个工作日内</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 xml:space="preserve">■公开查阅点       </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11</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确权登记</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不动产登记</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不同登记类型申请登记或申请登记资料查询所需的材料目录、示范文本、办理时限、收费依据和标准等信息</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w w:val="90"/>
                <w:kern w:val="0"/>
                <w:sz w:val="28"/>
                <w:szCs w:val="28"/>
              </w:rPr>
            </w:pPr>
            <w:r>
              <w:rPr>
                <w:rFonts w:hint="eastAsia" w:ascii="方正楷体简体" w:hAnsi="宋体" w:eastAsia="方正楷体简体" w:cs="宋体"/>
                <w:color w:val="333333"/>
                <w:w w:val="90"/>
                <w:kern w:val="0"/>
                <w:sz w:val="28"/>
                <w:szCs w:val="28"/>
              </w:rPr>
              <w:t>《不动产登记暂行条例》《不动产登记暂行条例实施细则》《国家发展改革委财政部关于不动产登记收费标准等有关问题的通知》（发改价格规〔2016〕2559号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实时公开</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■公开查阅点</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■县为民服务中心</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12</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确权登记</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自然资源登簿前公告</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spacing w:val="-14"/>
                <w:kern w:val="0"/>
                <w:sz w:val="28"/>
                <w:szCs w:val="28"/>
              </w:rPr>
            </w:pPr>
            <w:r>
              <w:rPr>
                <w:rFonts w:hint="eastAsia" w:ascii="方正楷体简体" w:hAnsi="宋体" w:eastAsia="方正楷体简体" w:cs="宋体"/>
                <w:color w:val="333333"/>
                <w:spacing w:val="-14"/>
                <w:kern w:val="0"/>
                <w:sz w:val="28"/>
                <w:szCs w:val="28"/>
              </w:rPr>
              <w:t>自然资源拟登簿事项（涉及国家秘密以及《不动产登记暂行条例》规定的不动产登记的相关内容除外）</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《自然资源统一确权登记暂行办法》（自然资发〔2019〕116号）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公告期不少于15个工作日</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■公开查阅点</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■县为民服务中心</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13</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确权登记</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自然资源确权登记结果公开</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spacing w:val="-14"/>
                <w:kern w:val="0"/>
                <w:sz w:val="28"/>
                <w:szCs w:val="28"/>
              </w:rPr>
              <w:t>自然资源登记簿等登记结果信息（涉及国家秘密以及《不动产登记暂行条例》规定的不动产登记的相关内容除外）</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《自然资源统一确权登记暂行办法》（自然资发〔2019〕116号）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信息形成或者变更之日起20个工作日内</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■公开查阅点</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■县为民服务中心心</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9"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14</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国有土地使用权出让和划拨</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土地供应计划</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国有建设用地供应总量、结构、布局、时序和方式；落实计划供应的宗地等</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务院办公厅关于推进公共资源配置领域政府信息公开的意见》（国办发〔2017〕97号）《招标拍卖挂牌出让国有建设用地使用权规定》（国土资源部令第39号）《国有建设用地供应计划编制规范（试行）》（国土资发〔2010〕117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每年3月31日前</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■其他</w:t>
            </w:r>
            <w:r>
              <w:rPr>
                <w:rFonts w:hint="eastAsia" w:ascii="方正楷体简体" w:hAnsi="宋体" w:eastAsia="方正楷体简体" w:cs="宋体"/>
                <w:color w:val="333333"/>
                <w:kern w:val="0"/>
                <w:sz w:val="28"/>
                <w:szCs w:val="28"/>
                <w:u w:val="single"/>
              </w:rPr>
              <w:t>中国土地市场网</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0"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15</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国有土地使用权出让和划拨</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土地出让公告</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国有建设用地使用权出让公告、项目概况、澄清或者修改事项、联系方式</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务院办公厅关于推进公共资源配置领域政府信息公开的意见》（国办发〔2017〕97号）《招标拍卖挂牌出让国有建设用地使用权规定》（国土资源部令第39号）《国土资源部关于印发＜招标拍卖挂牌出让国有土地使用权规范＞（试行）和＜协议出让国有土地使用权规范＞（试行）的通知》（国土资发〔2006〕114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组织招拍挂活动20日前</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■其他</w:t>
            </w:r>
            <w:r>
              <w:rPr>
                <w:rFonts w:hint="eastAsia" w:ascii="方正楷体简体" w:hAnsi="宋体" w:eastAsia="方正楷体简体" w:cs="宋体"/>
                <w:color w:val="333333"/>
                <w:kern w:val="0"/>
                <w:sz w:val="28"/>
                <w:szCs w:val="28"/>
                <w:u w:val="single"/>
              </w:rPr>
              <w:t>中国土地市场网</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16</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国有土地使用权出让和划拨</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土地出让结果</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国有建设用地使用权出让结果信息（成交单位、土地位置、面积、用途、开发程度</w:t>
            </w:r>
            <w:bookmarkStart w:id="0" w:name="_GoBack"/>
            <w:bookmarkEnd w:id="0"/>
            <w:r>
              <w:rPr>
                <w:rFonts w:hint="eastAsia" w:ascii="方正楷体简体" w:hAnsi="宋体" w:eastAsia="方正楷体简体" w:cs="宋体"/>
                <w:color w:val="333333"/>
                <w:kern w:val="0"/>
                <w:sz w:val="28"/>
                <w:szCs w:val="28"/>
              </w:rPr>
              <w:t>、容积率、出让年限、供地方式、受让人、成交价格、成交时间）</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w w:val="90"/>
                <w:kern w:val="0"/>
                <w:sz w:val="28"/>
                <w:szCs w:val="28"/>
              </w:rPr>
            </w:pPr>
            <w:r>
              <w:rPr>
                <w:rFonts w:hint="eastAsia" w:ascii="方正楷体简体" w:hAnsi="宋体" w:eastAsia="方正楷体简体" w:cs="宋体"/>
                <w:color w:val="333333"/>
                <w:w w:val="90"/>
                <w:kern w:val="0"/>
                <w:sz w:val="28"/>
                <w:szCs w:val="28"/>
              </w:rPr>
              <w:t>《国务院办公厅关于推进公共资源配置领域政府信息公开的意见》（国办发〔2017〕97号）《招标拍卖挂牌出让国有建设用地使用权规定》（国土资源部令第39号）《国土资源部关于印发＜招标拍卖挂牌出让国有土地使用权规范＞（试行）和＜协议出让国有土地使用权规范＞（试行）的通知》（国土资发〔2006〕114号）《关于加强房地产用地供应和监管有关问题的通知》（国土资发〔2010〕34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信息形成或者变更之日起10个工作日内</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■其他</w:t>
            </w:r>
            <w:r>
              <w:rPr>
                <w:rFonts w:hint="eastAsia" w:ascii="方正楷体简体" w:hAnsi="宋体" w:eastAsia="方正楷体简体" w:cs="宋体"/>
                <w:color w:val="333333"/>
                <w:kern w:val="0"/>
                <w:sz w:val="28"/>
                <w:szCs w:val="28"/>
                <w:u w:val="single"/>
              </w:rPr>
              <w:t>中国土地市场网</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17</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国有土地使用权出让和划拨</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划拨用地批前公示</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公示用地的申请人、项目名称、项目类型、申请用地面积等情况</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《国土资源部关于贯彻落实く国务院关于促进节约集约用地的通知＞的通知》（国土资发〔2008〕16号）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划拨用地报批10日前</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■其他</w:t>
            </w:r>
            <w:r>
              <w:rPr>
                <w:rFonts w:hint="eastAsia" w:ascii="方正楷体简体" w:hAnsi="宋体" w:eastAsia="方正楷体简体" w:cs="宋体"/>
                <w:color w:val="333333"/>
                <w:kern w:val="0"/>
                <w:sz w:val="28"/>
                <w:szCs w:val="28"/>
                <w:u w:val="single"/>
              </w:rPr>
              <w:t>中国土地市场网</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18</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国有土地使用权出让和划拨</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划拨用地结果公示</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公示用地项目名称、土地使用权人、地块的位置、用途、面积、空间范围、土地使用条件、开竣工时间等</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《国土资源部关于贯彻落实く国务院关于促进节约集约用地的通知＞的通知》（国土资发〔2008〕16号）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信息形成或者变更之日起20个工作日</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■其他</w:t>
            </w:r>
            <w:r>
              <w:rPr>
                <w:rFonts w:hint="eastAsia" w:ascii="方正楷体简体" w:hAnsi="宋体" w:eastAsia="方正楷体简体" w:cs="宋体"/>
                <w:color w:val="333333"/>
                <w:kern w:val="0"/>
                <w:sz w:val="28"/>
                <w:szCs w:val="28"/>
                <w:u w:val="single"/>
              </w:rPr>
              <w:t>中国土地市场网</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19</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国有土地使用权出让和划拨</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闲置土地</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闲置土地位置、国有建设用地使用权人名称、闲置时间等信息</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《闲置土地处置办法》（国土资源部令第53号）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《闲置土地认定书》下达后20 个工作日内</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■精准推送</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20</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国有土地使用权出让和划拨</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住宅用地信息公开</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存量住宅用地项目具体位置、土地面积、开发企业信息</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《自然资源部办公厅关于进一步规范存量住宅用地信息公开工作的函》（自然资办函〔2021〕1432号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每季度初10日内要完成存量住宅用地信息更新</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534"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21</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国有土地使用权出让和划拨</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地价信息</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县（市、区）基准地价、标定地价及调整信息</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《城市房地产管理法》《国务院关于加强国有土地资产管理的通知》（国发〔2001〕15号）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信息形成或者变更之日起20个工作日内</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34"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22</w:t>
            </w:r>
          </w:p>
        </w:tc>
        <w:tc>
          <w:tcPr>
            <w:tcW w:w="850"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国土空间规划编制</w:t>
            </w:r>
          </w:p>
        </w:tc>
        <w:tc>
          <w:tcPr>
            <w:tcW w:w="992"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详细规划（城镇开发边界内）</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批前公示：规划草案（涉密信息、法律法规规定不予公开的除外）</w:t>
            </w:r>
          </w:p>
        </w:tc>
        <w:tc>
          <w:tcPr>
            <w:tcW w:w="2297" w:type="dxa"/>
            <w:vMerge w:val="restart"/>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《土地管理法》《城乡规划法》《政府信息公开条例》</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批前公示时间不得少于30日</w:t>
            </w:r>
          </w:p>
        </w:tc>
        <w:tc>
          <w:tcPr>
            <w:tcW w:w="798"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vMerge w:val="restart"/>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■其他</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534"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850"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992"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批后公布：规划批准文件、规划文本及图件（涉密信息、法律法规规定不予公开的除外）</w:t>
            </w:r>
          </w:p>
        </w:tc>
        <w:tc>
          <w:tcPr>
            <w:tcW w:w="2297" w:type="dxa"/>
            <w:vMerge w:val="continue"/>
            <w:vAlign w:val="center"/>
          </w:tcPr>
          <w:p>
            <w:pPr>
              <w:widowControl/>
              <w:spacing w:line="440" w:lineRule="exact"/>
              <w:jc w:val="left"/>
              <w:rPr>
                <w:rFonts w:ascii="方正楷体简体" w:hAnsi="宋体" w:eastAsia="方正楷体简体" w:cs="宋体"/>
                <w:color w:val="333333"/>
                <w:kern w:val="0"/>
                <w:sz w:val="28"/>
                <w:szCs w:val="28"/>
              </w:rPr>
            </w:pP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收到政府信息公开申请起20个工作日内</w:t>
            </w:r>
          </w:p>
        </w:tc>
        <w:tc>
          <w:tcPr>
            <w:tcW w:w="798"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1843" w:type="dxa"/>
            <w:vMerge w:val="continue"/>
            <w:vAlign w:val="center"/>
          </w:tcPr>
          <w:p>
            <w:pPr>
              <w:widowControl/>
              <w:spacing w:line="440" w:lineRule="exact"/>
              <w:jc w:val="left"/>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567"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851"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534"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23</w:t>
            </w:r>
          </w:p>
        </w:tc>
        <w:tc>
          <w:tcPr>
            <w:tcW w:w="850"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国土空间规划编制</w:t>
            </w:r>
          </w:p>
        </w:tc>
        <w:tc>
          <w:tcPr>
            <w:tcW w:w="992"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乡（镇）国土空间总体规划</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批前公示：规划草案（涉密信息、法律法规规定不予公开的除外）</w:t>
            </w:r>
          </w:p>
        </w:tc>
        <w:tc>
          <w:tcPr>
            <w:tcW w:w="2297" w:type="dxa"/>
            <w:vMerge w:val="restart"/>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《土地管理法》《城乡规划法》《政府信息公开条例》</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批前公示时间不得少于30日</w:t>
            </w:r>
          </w:p>
        </w:tc>
        <w:tc>
          <w:tcPr>
            <w:tcW w:w="798"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乡镇人民政府</w:t>
            </w:r>
          </w:p>
        </w:tc>
        <w:tc>
          <w:tcPr>
            <w:tcW w:w="1843" w:type="dxa"/>
            <w:vMerge w:val="restart"/>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 xml:space="preserve">■公开查阅点        </w:t>
            </w:r>
          </w:p>
        </w:tc>
        <w:tc>
          <w:tcPr>
            <w:tcW w:w="567"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851"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534"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850"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992"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批后公布：规划批准文件、规划文本及图件（涉密信息、法律法规规定不予公开的除外）</w:t>
            </w:r>
          </w:p>
        </w:tc>
        <w:tc>
          <w:tcPr>
            <w:tcW w:w="2297" w:type="dxa"/>
            <w:vMerge w:val="continue"/>
            <w:vAlign w:val="center"/>
          </w:tcPr>
          <w:p>
            <w:pPr>
              <w:widowControl/>
              <w:spacing w:line="440" w:lineRule="exact"/>
              <w:jc w:val="left"/>
              <w:rPr>
                <w:rFonts w:ascii="方正楷体简体" w:hAnsi="宋体" w:eastAsia="方正楷体简体" w:cs="宋体"/>
                <w:color w:val="333333"/>
                <w:kern w:val="0"/>
                <w:sz w:val="28"/>
                <w:szCs w:val="28"/>
              </w:rPr>
            </w:pP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批后公布应在规划批准后20个工作日内向社会公布</w:t>
            </w:r>
          </w:p>
        </w:tc>
        <w:tc>
          <w:tcPr>
            <w:tcW w:w="798"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1843" w:type="dxa"/>
            <w:vMerge w:val="continue"/>
            <w:vAlign w:val="center"/>
          </w:tcPr>
          <w:p>
            <w:pPr>
              <w:widowControl/>
              <w:spacing w:line="440" w:lineRule="exact"/>
              <w:jc w:val="left"/>
              <w:rPr>
                <w:rFonts w:ascii="方正楷体简体" w:hAnsi="宋体" w:eastAsia="方正楷体简体" w:cs="宋体"/>
                <w:color w:val="333333"/>
                <w:kern w:val="0"/>
                <w:sz w:val="28"/>
                <w:szCs w:val="28"/>
              </w:rPr>
            </w:pPr>
          </w:p>
        </w:tc>
        <w:tc>
          <w:tcPr>
            <w:tcW w:w="567"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709"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850"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851"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534"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24</w:t>
            </w:r>
          </w:p>
        </w:tc>
        <w:tc>
          <w:tcPr>
            <w:tcW w:w="850"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国土空间规划编制</w:t>
            </w:r>
          </w:p>
        </w:tc>
        <w:tc>
          <w:tcPr>
            <w:tcW w:w="992"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村庄规划</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批前公示：规划草案（涉密信息、法律法规规定不予公开的除外）</w:t>
            </w:r>
          </w:p>
        </w:tc>
        <w:tc>
          <w:tcPr>
            <w:tcW w:w="2297" w:type="dxa"/>
            <w:vMerge w:val="restart"/>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《土地管理法》《城乡规划法》《政府信息公开条例》</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批前公示时间不得少于30日</w:t>
            </w:r>
          </w:p>
        </w:tc>
        <w:tc>
          <w:tcPr>
            <w:tcW w:w="798"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乡镇人民政府</w:t>
            </w:r>
          </w:p>
        </w:tc>
        <w:tc>
          <w:tcPr>
            <w:tcW w:w="1843" w:type="dxa"/>
            <w:vMerge w:val="restart"/>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■发布会/听证会</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■社区/企事业单位/村公示栏</w:t>
            </w:r>
          </w:p>
        </w:tc>
        <w:tc>
          <w:tcPr>
            <w:tcW w:w="567"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851" w:type="dxa"/>
            <w:vMerge w:val="restart"/>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534"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850"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992"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批后公布：规划批准文件、规划文本及图件（涉密信息、法律法规规定不予公开的除外）</w:t>
            </w:r>
          </w:p>
        </w:tc>
        <w:tc>
          <w:tcPr>
            <w:tcW w:w="2297" w:type="dxa"/>
            <w:vMerge w:val="continue"/>
            <w:vAlign w:val="center"/>
          </w:tcPr>
          <w:p>
            <w:pPr>
              <w:widowControl/>
              <w:spacing w:line="440" w:lineRule="exact"/>
              <w:jc w:val="left"/>
              <w:rPr>
                <w:rFonts w:ascii="方正楷体简体" w:hAnsi="宋体" w:eastAsia="方正楷体简体" w:cs="宋体"/>
                <w:color w:val="333333"/>
                <w:kern w:val="0"/>
                <w:sz w:val="28"/>
                <w:szCs w:val="28"/>
              </w:rPr>
            </w:pP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批后公布应在规划批准后20个工作日内向社会公布</w:t>
            </w:r>
          </w:p>
        </w:tc>
        <w:tc>
          <w:tcPr>
            <w:tcW w:w="798"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1843" w:type="dxa"/>
            <w:vMerge w:val="continue"/>
            <w:vAlign w:val="center"/>
          </w:tcPr>
          <w:p>
            <w:pPr>
              <w:widowControl/>
              <w:spacing w:line="440" w:lineRule="exact"/>
              <w:jc w:val="left"/>
              <w:rPr>
                <w:rFonts w:ascii="方正楷体简体" w:hAnsi="宋体" w:eastAsia="方正楷体简体" w:cs="宋体"/>
                <w:color w:val="333333"/>
                <w:kern w:val="0"/>
                <w:sz w:val="28"/>
                <w:szCs w:val="28"/>
              </w:rPr>
            </w:pPr>
          </w:p>
        </w:tc>
        <w:tc>
          <w:tcPr>
            <w:tcW w:w="567"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709"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850"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c>
          <w:tcPr>
            <w:tcW w:w="851" w:type="dxa"/>
            <w:vMerge w:val="continue"/>
            <w:vAlign w:val="center"/>
          </w:tcPr>
          <w:p>
            <w:pPr>
              <w:widowControl/>
              <w:spacing w:line="440" w:lineRule="exact"/>
              <w:jc w:val="center"/>
              <w:rPr>
                <w:rFonts w:ascii="方正楷体简体" w:hAnsi="宋体" w:eastAsia="方正楷体简体" w:cs="宋体"/>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25</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规划许可</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建设项目</w:t>
            </w:r>
            <w:r>
              <w:rPr>
                <w:rFonts w:hint="eastAsia" w:ascii="方正楷体简体" w:hAnsi="宋体" w:eastAsia="方正楷体简体" w:cs="宋体"/>
                <w:color w:val="333333"/>
                <w:kern w:val="0"/>
                <w:sz w:val="28"/>
                <w:szCs w:val="28"/>
              </w:rPr>
              <w:br w:type="textWrapping"/>
            </w:r>
            <w:r>
              <w:rPr>
                <w:rFonts w:hint="eastAsia" w:ascii="方正楷体简体" w:hAnsi="宋体" w:eastAsia="方正楷体简体" w:cs="宋体"/>
                <w:color w:val="333333"/>
                <w:kern w:val="0"/>
                <w:sz w:val="28"/>
                <w:szCs w:val="28"/>
              </w:rPr>
              <w:t>用地预审</w:t>
            </w:r>
            <w:r>
              <w:rPr>
                <w:rFonts w:hint="eastAsia" w:ascii="方正楷体简体" w:hAnsi="宋体" w:eastAsia="方正楷体简体" w:cs="宋体"/>
                <w:color w:val="333333"/>
                <w:kern w:val="0"/>
                <w:sz w:val="28"/>
                <w:szCs w:val="28"/>
              </w:rPr>
              <w:br w:type="textWrapping"/>
            </w:r>
            <w:r>
              <w:rPr>
                <w:rFonts w:hint="eastAsia" w:ascii="方正楷体简体" w:hAnsi="宋体" w:eastAsia="方正楷体简体" w:cs="宋体"/>
                <w:color w:val="333333"/>
                <w:kern w:val="0"/>
                <w:sz w:val="28"/>
                <w:szCs w:val="28"/>
              </w:rPr>
              <w:t>与选址意</w:t>
            </w:r>
            <w:r>
              <w:rPr>
                <w:rFonts w:hint="eastAsia" w:ascii="方正楷体简体" w:hAnsi="宋体" w:eastAsia="方正楷体简体" w:cs="宋体"/>
                <w:color w:val="333333"/>
                <w:kern w:val="0"/>
                <w:sz w:val="28"/>
                <w:szCs w:val="28"/>
              </w:rPr>
              <w:br w:type="textWrapping"/>
            </w:r>
            <w:r>
              <w:rPr>
                <w:rFonts w:hint="eastAsia" w:ascii="方正楷体简体" w:hAnsi="宋体" w:eastAsia="方正楷体简体" w:cs="宋体"/>
                <w:color w:val="333333"/>
                <w:kern w:val="0"/>
                <w:sz w:val="28"/>
                <w:szCs w:val="28"/>
              </w:rPr>
              <w:t>见书</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建设项目用地预审与选址意见书证载内容（涉密信息、法律法规规定不予公</w:t>
            </w:r>
            <w:r>
              <w:rPr>
                <w:rFonts w:hint="eastAsia" w:ascii="方正楷体简体" w:hAnsi="宋体" w:eastAsia="方正楷体简体" w:cs="宋体"/>
                <w:color w:val="333333"/>
                <w:kern w:val="0"/>
                <w:sz w:val="28"/>
                <w:szCs w:val="28"/>
              </w:rPr>
              <w:br w:type="textWrapping"/>
            </w:r>
            <w:r>
              <w:rPr>
                <w:rFonts w:hint="eastAsia" w:ascii="方正楷体简体" w:hAnsi="宋体" w:eastAsia="方正楷体简体" w:cs="宋体"/>
                <w:color w:val="333333"/>
                <w:kern w:val="0"/>
                <w:sz w:val="28"/>
                <w:szCs w:val="28"/>
              </w:rPr>
              <w:t>开的除外）</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《行政许可法》《土地管理法》《城乡规划法》《政府信息公开条例》《国务院办公厅关于运用大数据加强对市场主体服务和监管的若干意见》（ 国办发〔2015〕51 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作出行政决定之日起7个工作日</w:t>
            </w:r>
            <w:r>
              <w:rPr>
                <w:rFonts w:hint="eastAsia" w:ascii="方正楷体简体" w:hAnsi="宋体" w:eastAsia="方正楷体简体" w:cs="宋体"/>
                <w:color w:val="333333"/>
                <w:kern w:val="0"/>
                <w:sz w:val="28"/>
                <w:szCs w:val="28"/>
              </w:rPr>
              <w:br w:type="textWrapping"/>
            </w:r>
            <w:r>
              <w:rPr>
                <w:rFonts w:hint="eastAsia" w:ascii="方正楷体简体" w:hAnsi="宋体" w:eastAsia="方正楷体简体" w:cs="宋体"/>
                <w:color w:val="333333"/>
                <w:kern w:val="0"/>
                <w:sz w:val="28"/>
                <w:szCs w:val="28"/>
              </w:rPr>
              <w:t>内，法律法规另有规定的从其规定</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县行政审批服务局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■县为民服务中心</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26</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规划许可</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建设用地、临时建设用地规划许可</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建设用地、临时建设用地规划许可证证载内容（涉密信息、法律法规规定不予公开的除外）</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《行政许可法》《城乡规划法》《政府信息公开条例》《国务院办公厅关于运用大数据加强对市场主体服务和监管的若干意见》（国办发〔2015〕51 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作出行政决定之日起7个工作日</w:t>
            </w:r>
            <w:r>
              <w:rPr>
                <w:rFonts w:hint="eastAsia" w:ascii="方正楷体简体" w:hAnsi="宋体" w:eastAsia="方正楷体简体" w:cs="宋体"/>
                <w:color w:val="333333"/>
                <w:kern w:val="0"/>
                <w:sz w:val="28"/>
                <w:szCs w:val="28"/>
              </w:rPr>
              <w:br w:type="textWrapping"/>
            </w:r>
            <w:r>
              <w:rPr>
                <w:rFonts w:hint="eastAsia" w:ascii="方正楷体简体" w:hAnsi="宋体" w:eastAsia="方正楷体简体" w:cs="宋体"/>
                <w:color w:val="333333"/>
                <w:kern w:val="0"/>
                <w:sz w:val="28"/>
                <w:szCs w:val="28"/>
              </w:rPr>
              <w:t>内，法律法规另有规定的从其规定</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县行政审批服务局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■县为民服务中心</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27</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规划许可</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建设工程、临时建设工程规划许可</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建设工程、临时建设工程规划许可证证载内容（涉密信息、法律法规规定不予公开的除外）</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《行政许可法》《城乡规划法》《政府信息公开条例》《国务院办公厅关于运用大数据加强对市场主体服务和监管的若干意见》（国办发〔2015〕51 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作出行政决定之日起7个工作日</w:t>
            </w:r>
            <w:r>
              <w:rPr>
                <w:rFonts w:hint="eastAsia" w:ascii="方正楷体简体" w:hAnsi="宋体" w:eastAsia="方正楷体简体" w:cs="宋体"/>
                <w:color w:val="333333"/>
                <w:kern w:val="0"/>
                <w:sz w:val="28"/>
                <w:szCs w:val="28"/>
              </w:rPr>
              <w:br w:type="textWrapping"/>
            </w:r>
            <w:r>
              <w:rPr>
                <w:rFonts w:hint="eastAsia" w:ascii="方正楷体简体" w:hAnsi="宋体" w:eastAsia="方正楷体简体" w:cs="宋体"/>
                <w:color w:val="333333"/>
                <w:kern w:val="0"/>
                <w:sz w:val="28"/>
                <w:szCs w:val="28"/>
              </w:rPr>
              <w:t>内，法律法规另有规定的从其规定</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县行政审批服务局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■县为民服务中心</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28</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规划许可</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乡村建设规划许可</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乡村建设规划许可证证载内容（涉密信息、法律法规规定不予公开的除外）</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《行政许可法》《城乡规划法》《政府信息公开条例》《国务院办公厅关于运用大数据加强对市场主体服务和监管的若干意见》（国办发〔2015〕51 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作出行政决定之日起7个工作日</w:t>
            </w:r>
            <w:r>
              <w:rPr>
                <w:rFonts w:hint="eastAsia" w:ascii="方正楷体简体" w:hAnsi="宋体" w:eastAsia="方正楷体简体" w:cs="宋体"/>
                <w:color w:val="333333"/>
                <w:kern w:val="0"/>
                <w:sz w:val="28"/>
                <w:szCs w:val="28"/>
              </w:rPr>
              <w:br w:type="textWrapping"/>
            </w:r>
            <w:r>
              <w:rPr>
                <w:rFonts w:hint="eastAsia" w:ascii="方正楷体简体" w:hAnsi="宋体" w:eastAsia="方正楷体简体" w:cs="宋体"/>
                <w:color w:val="333333"/>
                <w:kern w:val="0"/>
                <w:sz w:val="28"/>
                <w:szCs w:val="28"/>
              </w:rPr>
              <w:t>内，法律法规另有规定的从其规定</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县行政审批服务局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■县为民服务中心</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29</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矿山地质环境保护与土地复垦方案审查</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审查结果</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拟通过审查的矿山地质环境保护与土地复垦方案公示、矿山地质环境保护与土地复垦方案审查结果公告</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信息公开条例》《国务院办公厅关于推进公共资源配置领域政府信息公开的意见》(国办发〔2017〕97号)《土地复垦条例实施办法》(国土资源部第56号令)《关于加强矿山地质环境恢复和综合治理的指导意见》(国土资发〔2016〕63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方案公示不得少于7个工作日，方案通过之日起20个工作日内公告</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 xml:space="preserve">■公开查阅点       </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30</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生态修复项目批准</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批准服务信息</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申报要求、申报材料清单、批准流程、办理时限、受理机构联系方式、监督举报方式等</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《政府信息公开条例》《国务院办公厅关于推进重大建设项目批准和实施领域政府信息公开的意见》（国办发〔2017〕94号）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实时公开</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 xml:space="preserve">■公开查阅点       </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31</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生态修复重大工程实施</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招标投标信息</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资格预审公告、招标公告、中标候选人公示、中标结果公示、合同订立及履行情况、招标投标违法处罚信息等</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《政府信息公开条例》《国务院办公厅关于推进重大建设项目批准和实施领域政府信息公开的意见》（国办发〔2017〕94号）《招标公告和公示信息发布管理办法》（发展改革委令〔2017〕10号）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信息形成或者变更之日起 20个工作日内</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乡镇人民政府/街道办事处</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 xml:space="preserve">■公开查阅点       </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color w:val="333333"/>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6"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32</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生态修复重大工程实施</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重大设计变更信息</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项目设计变更原因，主要变更内容、变更依据、批准单位、变更结果等</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《政府信息公开条例》《国务院办公厅关于推进重大建设项目批准和实施领域政府信息公开的意见》（国办发〔2017〕94号）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信息形成或者变更之日起20个工作日内</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乡镇人民政府/街道办事处</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 xml:space="preserve">■公开查阅点       </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color w:val="333333"/>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33</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生态修复重大工程实施</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施工有关信息</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项目名称，实施期限，实施单位及责任人，设计、施工、监理单位及其主要负责人、项目负责人信息、资质情况，施工单位项目管理机构设置、工作职责、主要管理制度，施工期环境保护措施落实情况等</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《政府信息公开条例》《国务院办公厅关于推进重大建设项目批准和实施领域政府信息公开的意见》（国办发〔2017〕94号）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信息形成或者变更之日起20个工作日内</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镇人民政府/街道办事处</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 xml:space="preserve">■公开查阅点       </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color w:val="333333"/>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3"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34</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生态修复重大工程实施</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质量安全监督信息</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质量安全监督机构及其联系方式、质量安全行政处罚情况等</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《政府信息公开条例》《国务院办公厅关于推进重大建设项目批准和实施领域政府信息公开的意见》（国办发〔2017〕94号）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信息形成或者变更之日起 20个工作日内</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镇人民政府/街道办事处</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 xml:space="preserve">■公开查阅点       </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color w:val="333333"/>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35</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生态修复重大工程实施</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工程竣工信息</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竣工验收时间、工程质量验收结果，竣工验收备案时间、备案编号、备案部门、交付使用时间，竣工决算审计单位、审计结论、财务决算金额等</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《政府信息公开条例》《国务院办公厅关于推进重大建设项目批准和实施领域政府信息公开的意见》（国办发〔2017〕94号）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信息形成或者变更之日起 20个工作日内</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镇人民政府/街道办事处</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 xml:space="preserve">■公开查阅点       </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color w:val="333333"/>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36</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用地审批</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农村集体经济组织兴办企业用地审核</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审批结果信息和相关批复文件（建设使用集体所有土地决定书等）</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《政府信息公开条例》《土地管理法》《国务院办公厅关于运用大数据加强对市场主体服务和监管的若干意见》（国办发〔2015〕51号）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作出行政决定之日起7个工作日</w:t>
            </w:r>
            <w:r>
              <w:rPr>
                <w:rFonts w:hint="eastAsia" w:ascii="方正楷体简体" w:hAnsi="宋体" w:eastAsia="方正楷体简体" w:cs="宋体"/>
                <w:color w:val="333333"/>
                <w:kern w:val="0"/>
                <w:sz w:val="28"/>
                <w:szCs w:val="28"/>
              </w:rPr>
              <w:br w:type="textWrapping"/>
            </w:r>
            <w:r>
              <w:rPr>
                <w:rFonts w:hint="eastAsia" w:ascii="方正楷体简体" w:hAnsi="宋体" w:eastAsia="方正楷体简体" w:cs="宋体"/>
                <w:color w:val="333333"/>
                <w:kern w:val="0"/>
                <w:sz w:val="28"/>
                <w:szCs w:val="28"/>
              </w:rPr>
              <w:t>内，法律法规另有规定的从其规定</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县行政审批服务局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hint="eastAsia"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■社区/企事业单位/村公示栏</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■县为民服务中心</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37</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用地审批</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乡（镇）村公共设施、公益事业建设用地审核</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审批结果信息和相关批复文件（划拨决定书等）</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《政府信息公开条例》《土地管理法》《国务院办公厅关于运用大数据加强对市场主体服务和监管的若干意见》（国办发〔2015〕51号）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作出行政决定之日起7个工作日</w:t>
            </w:r>
            <w:r>
              <w:rPr>
                <w:rFonts w:hint="eastAsia" w:ascii="方正楷体简体" w:hAnsi="宋体" w:eastAsia="方正楷体简体" w:cs="宋体"/>
                <w:color w:val="333333"/>
                <w:kern w:val="0"/>
                <w:sz w:val="28"/>
                <w:szCs w:val="28"/>
              </w:rPr>
              <w:br w:type="textWrapping"/>
            </w:r>
            <w:r>
              <w:rPr>
                <w:rFonts w:hint="eastAsia" w:ascii="方正楷体简体" w:hAnsi="宋体" w:eastAsia="方正楷体简体" w:cs="宋体"/>
                <w:color w:val="333333"/>
                <w:kern w:val="0"/>
                <w:sz w:val="28"/>
                <w:szCs w:val="28"/>
              </w:rPr>
              <w:t>内，法律法规另有规定的从其规定</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县行政审批服务局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hint="eastAsia"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■社区/企事业单位/村公示栏</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■县为民服务中心</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38</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用地审批</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临时用地审批</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审批结果信息和相关批复文件（临时用地批准书等）</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spacing w:val="-10"/>
                <w:kern w:val="0"/>
                <w:sz w:val="28"/>
                <w:szCs w:val="28"/>
              </w:rPr>
            </w:pPr>
            <w:r>
              <w:rPr>
                <w:rFonts w:hint="eastAsia" w:ascii="方正楷体简体" w:hAnsi="宋体" w:eastAsia="方正楷体简体" w:cs="宋体"/>
                <w:color w:val="333333"/>
                <w:spacing w:val="-10"/>
                <w:kern w:val="0"/>
                <w:sz w:val="28"/>
                <w:szCs w:val="28"/>
              </w:rPr>
              <w:t>《政府信息公开条例》《土地管理法》《国务院办公厅关于运用大数据加强对市场主体服务和监管的若干意见》（国办发〔2015〕51号）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spacing w:val="-10"/>
                <w:kern w:val="0"/>
                <w:sz w:val="28"/>
                <w:szCs w:val="28"/>
              </w:rPr>
            </w:pPr>
            <w:r>
              <w:rPr>
                <w:rFonts w:hint="eastAsia" w:ascii="方正楷体简体" w:hAnsi="宋体" w:eastAsia="方正楷体简体" w:cs="宋体"/>
                <w:color w:val="333333"/>
                <w:spacing w:val="-10"/>
                <w:kern w:val="0"/>
                <w:sz w:val="28"/>
                <w:szCs w:val="28"/>
              </w:rPr>
              <w:t>作出行政决定之日起7个工作日内，法律法规另有规定的从其规定</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hint="eastAsia"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■公开查阅点</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39</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用地审批</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农用地转用审批</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w w:val="90"/>
                <w:kern w:val="0"/>
                <w:sz w:val="28"/>
                <w:szCs w:val="28"/>
              </w:rPr>
            </w:pPr>
            <w:r>
              <w:rPr>
                <w:rFonts w:hint="eastAsia" w:ascii="方正楷体简体" w:hAnsi="宋体" w:eastAsia="方正楷体简体" w:cs="宋体"/>
                <w:color w:val="333333"/>
                <w:w w:val="90"/>
                <w:kern w:val="0"/>
                <w:sz w:val="28"/>
                <w:szCs w:val="28"/>
              </w:rPr>
              <w:t>1.经有批准权的人民政府审批通过的申报材料，包括建设用地请示、农用地转用方案等；2.农用地转用批准文件，包括国务院批准农用地转用批复文件、省级人民政府批准农用地转用批复文件、地方人民政府转发农用地转用批复文件、其他涉及农用地转用的批准文件等。</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《政府信息公开条例》《土地管理法》</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收到农用地转用批复文件之日起20个工作日内</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hint="eastAsia"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■公开查阅点</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40</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农村集体土地征收</w:t>
            </w:r>
          </w:p>
        </w:tc>
        <w:tc>
          <w:tcPr>
            <w:tcW w:w="992"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征地管理政策</w:t>
            </w:r>
          </w:p>
        </w:tc>
        <w:tc>
          <w:tcPr>
            <w:tcW w:w="2977" w:type="dxa"/>
            <w:shd w:val="clear" w:color="000000" w:fill="FFFFFF"/>
            <w:vAlign w:val="center"/>
          </w:tcPr>
          <w:p>
            <w:pPr>
              <w:widowControl/>
              <w:spacing w:line="440" w:lineRule="exact"/>
              <w:jc w:val="left"/>
              <w:rPr>
                <w:rFonts w:ascii="方正楷体简体" w:hAnsi="宋体" w:eastAsia="方正楷体简体" w:cs="宋体"/>
                <w:color w:val="333333"/>
                <w:w w:val="90"/>
                <w:kern w:val="0"/>
                <w:sz w:val="28"/>
                <w:szCs w:val="28"/>
              </w:rPr>
            </w:pPr>
            <w:r>
              <w:rPr>
                <w:rFonts w:hint="eastAsia" w:ascii="方正楷体简体" w:hAnsi="宋体" w:eastAsia="方正楷体简体" w:cs="宋体"/>
                <w:color w:val="333333"/>
                <w:w w:val="90"/>
                <w:kern w:val="0"/>
                <w:sz w:val="28"/>
                <w:szCs w:val="28"/>
              </w:rPr>
              <w:t>征地补偿安置法律以及适用于本地区的政策、技术标准等规定要求；征地前期工作、征地审查报批、征地组织实施规范性文件；征收农用地区片综合地价；地上附着物和青苗补偿费标准；被征地农民安置与社会保障有关规定：省级政府制订的征地补偿安置协议示范文本等材料</w:t>
            </w:r>
          </w:p>
        </w:tc>
        <w:tc>
          <w:tcPr>
            <w:tcW w:w="2297"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《政府信息公开条例》</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自形成或者变更之日起20个工作日内予以公开，法律法规另有规定的从其规定</w:t>
            </w:r>
          </w:p>
        </w:tc>
        <w:tc>
          <w:tcPr>
            <w:tcW w:w="798"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县自然资源和规划局</w:t>
            </w:r>
          </w:p>
        </w:tc>
        <w:tc>
          <w:tcPr>
            <w:tcW w:w="1843"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■政府网站</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■县为民服务中心</w:t>
            </w:r>
          </w:p>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■其他：征地信息公开平台</w:t>
            </w: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709"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0"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p>
        </w:tc>
        <w:tc>
          <w:tcPr>
            <w:tcW w:w="567" w:type="dxa"/>
            <w:shd w:val="clear" w:color="000000" w:fill="FFFFFF"/>
            <w:vAlign w:val="center"/>
          </w:tcPr>
          <w:p>
            <w:pPr>
              <w:widowControl/>
              <w:spacing w:line="440" w:lineRule="exact"/>
              <w:jc w:val="center"/>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w:t>
            </w: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534"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41</w:t>
            </w:r>
          </w:p>
        </w:tc>
        <w:tc>
          <w:tcPr>
            <w:tcW w:w="850"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农村集体土地征收</w:t>
            </w:r>
          </w:p>
        </w:tc>
        <w:tc>
          <w:tcPr>
            <w:tcW w:w="992"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征地法定公告</w:t>
            </w:r>
          </w:p>
        </w:tc>
        <w:tc>
          <w:tcPr>
            <w:tcW w:w="2977" w:type="dxa"/>
            <w:vMerge w:val="restart"/>
            <w:shd w:val="clear" w:color="auto" w:fill="auto"/>
            <w:vAlign w:val="center"/>
          </w:tcPr>
          <w:p>
            <w:pPr>
              <w:widowControl/>
              <w:spacing w:line="440" w:lineRule="exact"/>
              <w:jc w:val="left"/>
              <w:rPr>
                <w:rFonts w:ascii="方正楷体简体" w:hAnsi="宋体" w:eastAsia="方正楷体简体" w:cs="宋体"/>
                <w:w w:val="90"/>
                <w:kern w:val="0"/>
                <w:sz w:val="28"/>
                <w:szCs w:val="28"/>
              </w:rPr>
            </w:pPr>
            <w:r>
              <w:rPr>
                <w:rFonts w:hint="eastAsia" w:ascii="方正楷体简体" w:hAnsi="宋体" w:eastAsia="方正楷体简体" w:cs="宋体"/>
                <w:w w:val="90"/>
                <w:kern w:val="0"/>
                <w:sz w:val="28"/>
                <w:szCs w:val="28"/>
              </w:rPr>
              <w:t>征收土地预公告、征地补偿安置公告自形成之日起，在乡（镇）和村、村民小组公示栏公开：征收土地预公告不少于10个工作日，征地补偿安置公告不少于301．征收土地预公告，公布征收范围、征收目的、开展土地现状调查的安排以及不得抢栽抢建的有关要求等：2．征地补偿安置公告，公布《征地补偿安置方案》全文，包括征收范围、土地现状、征收目的、补偿方式和标准、安置对象、安置方式、社会保障等内容，以及办理补偿登记的方式和期限、异议反馈渠道等：3．征收土地公告，公布征地批准机关、批准文号、批准时间、批准用途，征收范围、组织实施征收具体工作安排以及救济途径等。</w:t>
            </w:r>
          </w:p>
        </w:tc>
        <w:tc>
          <w:tcPr>
            <w:tcW w:w="2297" w:type="dxa"/>
            <w:vMerge w:val="restart"/>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《土地管理法》《土地管理法实施条例》</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w w:val="90"/>
                <w:kern w:val="0"/>
                <w:sz w:val="24"/>
                <w:szCs w:val="24"/>
              </w:rPr>
            </w:pPr>
            <w:r>
              <w:rPr>
                <w:rFonts w:hint="eastAsia" w:ascii="方正楷体简体" w:hAnsi="宋体" w:eastAsia="方正楷体简体" w:cs="宋体"/>
                <w:color w:val="333333"/>
                <w:w w:val="90"/>
                <w:kern w:val="0"/>
                <w:sz w:val="24"/>
                <w:szCs w:val="24"/>
              </w:rPr>
              <w:t>征收土地预公告、征地补偿安置公告自形成之日起，在乡（镇）和村、村民小组公示栏公开：征收土地预公告不少于10个工作日，征地补偿安置公告不少于30日；征收土地公告自收到批准文件之日起15个工作日内，在乡（镇）和村、村民小组公示栏公开不少于5个工作日</w:t>
            </w:r>
          </w:p>
        </w:tc>
        <w:tc>
          <w:tcPr>
            <w:tcW w:w="798"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县自然资源和规划局</w:t>
            </w:r>
          </w:p>
        </w:tc>
        <w:tc>
          <w:tcPr>
            <w:tcW w:w="1843" w:type="dxa"/>
            <w:vMerge w:val="restart"/>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■政府网站</w:t>
            </w:r>
          </w:p>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■社区/企事业单位/村公示栏</w:t>
            </w:r>
          </w:p>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■其他：征地信息公开平台</w:t>
            </w:r>
          </w:p>
        </w:tc>
        <w:tc>
          <w:tcPr>
            <w:tcW w:w="567"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709"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√法律要求在特定群体公开</w:t>
            </w:r>
          </w:p>
        </w:tc>
        <w:tc>
          <w:tcPr>
            <w:tcW w:w="567"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0"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√具体见时限要求栏</w:t>
            </w:r>
          </w:p>
        </w:tc>
        <w:tc>
          <w:tcPr>
            <w:tcW w:w="567"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1"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534" w:type="dxa"/>
            <w:vMerge w:val="continue"/>
            <w:vAlign w:val="center"/>
          </w:tcPr>
          <w:p>
            <w:pPr>
              <w:widowControl/>
              <w:spacing w:line="440" w:lineRule="exact"/>
              <w:jc w:val="center"/>
              <w:rPr>
                <w:rFonts w:ascii="方正楷体简体" w:hAnsi="宋体" w:eastAsia="方正楷体简体" w:cs="宋体"/>
                <w:kern w:val="0"/>
                <w:sz w:val="28"/>
                <w:szCs w:val="28"/>
              </w:rPr>
            </w:pPr>
          </w:p>
        </w:tc>
        <w:tc>
          <w:tcPr>
            <w:tcW w:w="850" w:type="dxa"/>
            <w:vMerge w:val="continue"/>
            <w:vAlign w:val="center"/>
          </w:tcPr>
          <w:p>
            <w:pPr>
              <w:widowControl/>
              <w:spacing w:line="440" w:lineRule="exact"/>
              <w:jc w:val="center"/>
              <w:rPr>
                <w:rFonts w:ascii="方正楷体简体" w:hAnsi="宋体" w:eastAsia="方正楷体简体" w:cs="宋体"/>
                <w:kern w:val="0"/>
                <w:sz w:val="28"/>
                <w:szCs w:val="28"/>
              </w:rPr>
            </w:pPr>
          </w:p>
        </w:tc>
        <w:tc>
          <w:tcPr>
            <w:tcW w:w="992" w:type="dxa"/>
            <w:vMerge w:val="continue"/>
            <w:vAlign w:val="center"/>
          </w:tcPr>
          <w:p>
            <w:pPr>
              <w:widowControl/>
              <w:spacing w:line="440" w:lineRule="exact"/>
              <w:jc w:val="center"/>
              <w:rPr>
                <w:rFonts w:ascii="方正楷体简体" w:hAnsi="宋体" w:eastAsia="方正楷体简体" w:cs="宋体"/>
                <w:kern w:val="0"/>
                <w:sz w:val="28"/>
                <w:szCs w:val="28"/>
              </w:rPr>
            </w:pPr>
          </w:p>
        </w:tc>
        <w:tc>
          <w:tcPr>
            <w:tcW w:w="2977" w:type="dxa"/>
            <w:vMerge w:val="continue"/>
            <w:vAlign w:val="center"/>
          </w:tcPr>
          <w:p>
            <w:pPr>
              <w:widowControl/>
              <w:spacing w:line="440" w:lineRule="exact"/>
              <w:jc w:val="left"/>
              <w:rPr>
                <w:rFonts w:ascii="方正楷体简体" w:hAnsi="宋体" w:eastAsia="方正楷体简体" w:cs="宋体"/>
                <w:kern w:val="0"/>
                <w:sz w:val="28"/>
                <w:szCs w:val="28"/>
              </w:rPr>
            </w:pPr>
          </w:p>
        </w:tc>
        <w:tc>
          <w:tcPr>
            <w:tcW w:w="2297" w:type="dxa"/>
            <w:vMerge w:val="continue"/>
            <w:vAlign w:val="center"/>
          </w:tcPr>
          <w:p>
            <w:pPr>
              <w:widowControl/>
              <w:spacing w:line="440" w:lineRule="exact"/>
              <w:jc w:val="left"/>
              <w:rPr>
                <w:rFonts w:ascii="方正楷体简体" w:hAnsi="宋体" w:eastAsia="方正楷体简体" w:cs="宋体"/>
                <w:kern w:val="0"/>
                <w:sz w:val="28"/>
                <w:szCs w:val="28"/>
              </w:rPr>
            </w:pP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w w:val="90"/>
                <w:kern w:val="0"/>
                <w:sz w:val="24"/>
                <w:szCs w:val="24"/>
              </w:rPr>
            </w:pPr>
            <w:r>
              <w:rPr>
                <w:rFonts w:hint="eastAsia" w:ascii="方正楷体简体" w:hAnsi="宋体" w:eastAsia="方正楷体简体" w:cs="宋体"/>
                <w:color w:val="333333"/>
                <w:w w:val="90"/>
                <w:kern w:val="0"/>
                <w:sz w:val="24"/>
                <w:szCs w:val="24"/>
              </w:rPr>
              <w:t>张贴公示结束后在政府网站、征地信息公开平台公示</w:t>
            </w:r>
          </w:p>
        </w:tc>
        <w:tc>
          <w:tcPr>
            <w:tcW w:w="798" w:type="dxa"/>
            <w:vMerge w:val="continue"/>
            <w:vAlign w:val="center"/>
          </w:tcPr>
          <w:p>
            <w:pPr>
              <w:widowControl/>
              <w:spacing w:line="440" w:lineRule="exact"/>
              <w:jc w:val="center"/>
              <w:rPr>
                <w:rFonts w:ascii="方正楷体简体" w:hAnsi="宋体" w:eastAsia="方正楷体简体" w:cs="宋体"/>
                <w:kern w:val="0"/>
                <w:sz w:val="28"/>
                <w:szCs w:val="28"/>
              </w:rPr>
            </w:pPr>
          </w:p>
        </w:tc>
        <w:tc>
          <w:tcPr>
            <w:tcW w:w="1843" w:type="dxa"/>
            <w:vMerge w:val="continue"/>
            <w:vAlign w:val="center"/>
          </w:tcPr>
          <w:p>
            <w:pPr>
              <w:widowControl/>
              <w:spacing w:line="440" w:lineRule="exact"/>
              <w:jc w:val="left"/>
              <w:rPr>
                <w:rFonts w:ascii="方正楷体简体" w:hAnsi="宋体" w:eastAsia="方正楷体简体" w:cs="宋体"/>
                <w:kern w:val="0"/>
                <w:sz w:val="28"/>
                <w:szCs w:val="28"/>
              </w:rPr>
            </w:pPr>
          </w:p>
        </w:tc>
        <w:tc>
          <w:tcPr>
            <w:tcW w:w="567" w:type="dxa"/>
            <w:vMerge w:val="continue"/>
            <w:vAlign w:val="center"/>
          </w:tcPr>
          <w:p>
            <w:pPr>
              <w:widowControl/>
              <w:spacing w:line="440" w:lineRule="exact"/>
              <w:jc w:val="center"/>
              <w:rPr>
                <w:rFonts w:ascii="方正楷体简体" w:hAnsi="宋体" w:eastAsia="方正楷体简体" w:cs="宋体"/>
                <w:kern w:val="0"/>
                <w:sz w:val="28"/>
                <w:szCs w:val="28"/>
              </w:rPr>
            </w:pPr>
          </w:p>
        </w:tc>
        <w:tc>
          <w:tcPr>
            <w:tcW w:w="709" w:type="dxa"/>
            <w:vMerge w:val="continue"/>
            <w:vAlign w:val="center"/>
          </w:tcPr>
          <w:p>
            <w:pPr>
              <w:widowControl/>
              <w:spacing w:line="440" w:lineRule="exact"/>
              <w:jc w:val="center"/>
              <w:rPr>
                <w:rFonts w:ascii="方正楷体简体" w:hAnsi="宋体" w:eastAsia="方正楷体简体" w:cs="宋体"/>
                <w:kern w:val="0"/>
                <w:sz w:val="28"/>
                <w:szCs w:val="28"/>
              </w:rPr>
            </w:pPr>
          </w:p>
        </w:tc>
        <w:tc>
          <w:tcPr>
            <w:tcW w:w="567" w:type="dxa"/>
            <w:vMerge w:val="continue"/>
            <w:vAlign w:val="center"/>
          </w:tcPr>
          <w:p>
            <w:pPr>
              <w:widowControl/>
              <w:spacing w:line="440" w:lineRule="exact"/>
              <w:jc w:val="center"/>
              <w:rPr>
                <w:rFonts w:ascii="方正楷体简体" w:hAnsi="宋体" w:eastAsia="方正楷体简体" w:cs="宋体"/>
                <w:kern w:val="0"/>
                <w:sz w:val="28"/>
                <w:szCs w:val="28"/>
              </w:rPr>
            </w:pPr>
          </w:p>
        </w:tc>
        <w:tc>
          <w:tcPr>
            <w:tcW w:w="850" w:type="dxa"/>
            <w:vMerge w:val="continue"/>
            <w:vAlign w:val="center"/>
          </w:tcPr>
          <w:p>
            <w:pPr>
              <w:widowControl/>
              <w:spacing w:line="440" w:lineRule="exact"/>
              <w:jc w:val="center"/>
              <w:rPr>
                <w:rFonts w:ascii="方正楷体简体" w:hAnsi="宋体" w:eastAsia="方正楷体简体" w:cs="宋体"/>
                <w:kern w:val="0"/>
                <w:sz w:val="28"/>
                <w:szCs w:val="28"/>
              </w:rPr>
            </w:pPr>
          </w:p>
        </w:tc>
        <w:tc>
          <w:tcPr>
            <w:tcW w:w="567" w:type="dxa"/>
            <w:vMerge w:val="continue"/>
            <w:vAlign w:val="center"/>
          </w:tcPr>
          <w:p>
            <w:pPr>
              <w:widowControl/>
              <w:spacing w:line="440" w:lineRule="exact"/>
              <w:jc w:val="center"/>
              <w:rPr>
                <w:rFonts w:ascii="方正楷体简体" w:hAnsi="宋体" w:eastAsia="方正楷体简体" w:cs="宋体"/>
                <w:kern w:val="0"/>
                <w:sz w:val="28"/>
                <w:szCs w:val="28"/>
              </w:rPr>
            </w:pPr>
          </w:p>
        </w:tc>
        <w:tc>
          <w:tcPr>
            <w:tcW w:w="851" w:type="dxa"/>
            <w:vMerge w:val="continue"/>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trPr>
        <w:tc>
          <w:tcPr>
            <w:tcW w:w="534"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42</w:t>
            </w:r>
          </w:p>
        </w:tc>
        <w:tc>
          <w:tcPr>
            <w:tcW w:w="850"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农村集体土地征收</w:t>
            </w:r>
          </w:p>
        </w:tc>
        <w:tc>
          <w:tcPr>
            <w:tcW w:w="992"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征地工作程序</w:t>
            </w:r>
          </w:p>
        </w:tc>
        <w:tc>
          <w:tcPr>
            <w:tcW w:w="2977" w:type="dxa"/>
            <w:vMerge w:val="restart"/>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征地工作中涉及对农村集体经济组织的相关材料：1</w:t>
            </w:r>
            <w:r>
              <w:rPr>
                <w:rFonts w:hint="eastAsia" w:ascii="方正楷体简体" w:hAnsi="宋体" w:eastAsia="方正楷体简体" w:cs="宋体"/>
                <w:kern w:val="0"/>
                <w:sz w:val="28"/>
                <w:szCs w:val="28"/>
                <w:lang w:val="en-US" w:eastAsia="zh-CN"/>
              </w:rPr>
              <w:t>.</w:t>
            </w:r>
            <w:r>
              <w:rPr>
                <w:rFonts w:hint="eastAsia" w:ascii="方正楷体简体" w:hAnsi="宋体" w:eastAsia="方正楷体简体" w:cs="宋体"/>
                <w:kern w:val="0"/>
                <w:sz w:val="28"/>
                <w:szCs w:val="28"/>
              </w:rPr>
              <w:t>土地现状调查相关材料，公布征收土地勘测调查表、地上附着物和青苗调查情况表等（涉及土地勘测定界图件（涉密除外）的，图件应按规定进行技术处理）;2.征地补偿安置方案听证相关材料，组织听证的，公布《听证通知书》、听证处理意见等；3．征地补偿登记相关材料，涉及农民集体所有补偿内容的登记材料，应予公开：涉及个人补偿内容的登记材料，经本人同意的，可以公开；4，征地补偿安置协议，与土地所有权人签订的协议应予公开；与土地使用权人签订的协议，经本人同意的，可以公开；5.征地补偿安置费用支付凭证，对土地所有权人的补偿费用支付凭证应予公开；对土地使用权人补偿费用支付凭证，经本人同意的，可以公开（不含农村集体经济组织内部土地补偿费用分配、使用情况）</w:t>
            </w:r>
          </w:p>
        </w:tc>
        <w:tc>
          <w:tcPr>
            <w:tcW w:w="2297" w:type="dxa"/>
            <w:vMerge w:val="restart"/>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《土地管理法》《土地管理法实施条例》</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信息形成后5个工作日内，在村、村民小组公示栏公开不少于5个工作日；征地社会稳定风险评估相关材料在收到批准后，依申请公开：听证相关材料时限要求还应符合听证相关规定</w:t>
            </w:r>
          </w:p>
          <w:p>
            <w:pPr>
              <w:rPr>
                <w:rFonts w:ascii="方正楷体简体" w:hAnsi="宋体" w:eastAsia="方正楷体简体" w:cs="宋体"/>
                <w:sz w:val="28"/>
                <w:szCs w:val="28"/>
              </w:rPr>
            </w:pPr>
          </w:p>
          <w:p>
            <w:pPr>
              <w:rPr>
                <w:rFonts w:ascii="方正楷体简体" w:hAnsi="宋体" w:eastAsia="方正楷体简体" w:cs="宋体"/>
                <w:sz w:val="28"/>
                <w:szCs w:val="28"/>
              </w:rPr>
            </w:pPr>
          </w:p>
          <w:p>
            <w:pPr>
              <w:rPr>
                <w:rFonts w:ascii="方正楷体简体" w:hAnsi="宋体" w:eastAsia="方正楷体简体" w:cs="宋体"/>
                <w:sz w:val="28"/>
                <w:szCs w:val="28"/>
              </w:rPr>
            </w:pPr>
          </w:p>
        </w:tc>
        <w:tc>
          <w:tcPr>
            <w:tcW w:w="798"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县自然资源和规划局</w:t>
            </w:r>
          </w:p>
        </w:tc>
        <w:tc>
          <w:tcPr>
            <w:tcW w:w="1843" w:type="dxa"/>
            <w:vMerge w:val="restart"/>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■政府网站</w:t>
            </w:r>
          </w:p>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■社区/企事业单位/村公示栏</w:t>
            </w:r>
          </w:p>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■其他：征地信息公开平台</w:t>
            </w:r>
          </w:p>
        </w:tc>
        <w:tc>
          <w:tcPr>
            <w:tcW w:w="567"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709"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√法律要求在特定群体公开</w:t>
            </w:r>
          </w:p>
        </w:tc>
        <w:tc>
          <w:tcPr>
            <w:tcW w:w="567"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0"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√具体见时限要求栏</w:t>
            </w:r>
          </w:p>
        </w:tc>
        <w:tc>
          <w:tcPr>
            <w:tcW w:w="567"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1" w:type="dxa"/>
            <w:vMerge w:val="restart"/>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4" w:hRule="atLeast"/>
        </w:trPr>
        <w:tc>
          <w:tcPr>
            <w:tcW w:w="534" w:type="dxa"/>
            <w:vMerge w:val="continue"/>
            <w:vAlign w:val="center"/>
          </w:tcPr>
          <w:p>
            <w:pPr>
              <w:widowControl/>
              <w:spacing w:line="440" w:lineRule="exact"/>
              <w:jc w:val="center"/>
              <w:rPr>
                <w:rFonts w:ascii="方正楷体简体" w:hAnsi="宋体" w:eastAsia="方正楷体简体" w:cs="宋体"/>
                <w:kern w:val="0"/>
                <w:sz w:val="28"/>
                <w:szCs w:val="28"/>
              </w:rPr>
            </w:pPr>
          </w:p>
        </w:tc>
        <w:tc>
          <w:tcPr>
            <w:tcW w:w="850" w:type="dxa"/>
            <w:vMerge w:val="continue"/>
            <w:vAlign w:val="center"/>
          </w:tcPr>
          <w:p>
            <w:pPr>
              <w:widowControl/>
              <w:spacing w:line="440" w:lineRule="exact"/>
              <w:jc w:val="center"/>
              <w:rPr>
                <w:rFonts w:ascii="方正楷体简体" w:hAnsi="宋体" w:eastAsia="方正楷体简体" w:cs="宋体"/>
                <w:kern w:val="0"/>
                <w:sz w:val="28"/>
                <w:szCs w:val="28"/>
              </w:rPr>
            </w:pPr>
          </w:p>
        </w:tc>
        <w:tc>
          <w:tcPr>
            <w:tcW w:w="992" w:type="dxa"/>
            <w:vMerge w:val="continue"/>
            <w:vAlign w:val="center"/>
          </w:tcPr>
          <w:p>
            <w:pPr>
              <w:widowControl/>
              <w:spacing w:line="440" w:lineRule="exact"/>
              <w:jc w:val="center"/>
              <w:rPr>
                <w:rFonts w:ascii="方正楷体简体" w:hAnsi="宋体" w:eastAsia="方正楷体简体" w:cs="宋体"/>
                <w:kern w:val="0"/>
                <w:sz w:val="28"/>
                <w:szCs w:val="28"/>
              </w:rPr>
            </w:pPr>
          </w:p>
        </w:tc>
        <w:tc>
          <w:tcPr>
            <w:tcW w:w="2977" w:type="dxa"/>
            <w:vMerge w:val="continue"/>
            <w:vAlign w:val="center"/>
          </w:tcPr>
          <w:p>
            <w:pPr>
              <w:widowControl/>
              <w:spacing w:line="440" w:lineRule="exact"/>
              <w:jc w:val="left"/>
              <w:rPr>
                <w:rFonts w:ascii="方正楷体简体" w:hAnsi="宋体" w:eastAsia="方正楷体简体" w:cs="宋体"/>
                <w:kern w:val="0"/>
                <w:sz w:val="28"/>
                <w:szCs w:val="28"/>
              </w:rPr>
            </w:pPr>
          </w:p>
        </w:tc>
        <w:tc>
          <w:tcPr>
            <w:tcW w:w="2297" w:type="dxa"/>
            <w:vMerge w:val="continue"/>
            <w:vAlign w:val="center"/>
          </w:tcPr>
          <w:p>
            <w:pPr>
              <w:widowControl/>
              <w:spacing w:line="440" w:lineRule="exact"/>
              <w:jc w:val="left"/>
              <w:rPr>
                <w:rFonts w:ascii="方正楷体简体" w:hAnsi="宋体" w:eastAsia="方正楷体简体" w:cs="宋体"/>
                <w:kern w:val="0"/>
                <w:sz w:val="28"/>
                <w:szCs w:val="28"/>
              </w:rPr>
            </w:pP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自收到批准文件之日起15个工作日内，上述信息在政府网站、征地信息公开平台公开</w:t>
            </w:r>
          </w:p>
        </w:tc>
        <w:tc>
          <w:tcPr>
            <w:tcW w:w="798" w:type="dxa"/>
            <w:vMerge w:val="continue"/>
            <w:vAlign w:val="center"/>
          </w:tcPr>
          <w:p>
            <w:pPr>
              <w:widowControl/>
              <w:spacing w:line="440" w:lineRule="exact"/>
              <w:jc w:val="center"/>
              <w:rPr>
                <w:rFonts w:ascii="方正楷体简体" w:hAnsi="宋体" w:eastAsia="方正楷体简体" w:cs="宋体"/>
                <w:kern w:val="0"/>
                <w:sz w:val="28"/>
                <w:szCs w:val="28"/>
              </w:rPr>
            </w:pPr>
          </w:p>
        </w:tc>
        <w:tc>
          <w:tcPr>
            <w:tcW w:w="1843" w:type="dxa"/>
            <w:vMerge w:val="continue"/>
            <w:vAlign w:val="center"/>
          </w:tcPr>
          <w:p>
            <w:pPr>
              <w:widowControl/>
              <w:spacing w:line="440" w:lineRule="exact"/>
              <w:jc w:val="left"/>
              <w:rPr>
                <w:rFonts w:ascii="方正楷体简体" w:hAnsi="宋体" w:eastAsia="方正楷体简体" w:cs="宋体"/>
                <w:kern w:val="0"/>
                <w:sz w:val="28"/>
                <w:szCs w:val="28"/>
              </w:rPr>
            </w:pPr>
          </w:p>
        </w:tc>
        <w:tc>
          <w:tcPr>
            <w:tcW w:w="567" w:type="dxa"/>
            <w:vMerge w:val="continue"/>
            <w:vAlign w:val="center"/>
          </w:tcPr>
          <w:p>
            <w:pPr>
              <w:widowControl/>
              <w:spacing w:line="440" w:lineRule="exact"/>
              <w:jc w:val="center"/>
              <w:rPr>
                <w:rFonts w:ascii="方正楷体简体" w:hAnsi="宋体" w:eastAsia="方正楷体简体" w:cs="宋体"/>
                <w:kern w:val="0"/>
                <w:sz w:val="28"/>
                <w:szCs w:val="28"/>
              </w:rPr>
            </w:pPr>
          </w:p>
        </w:tc>
        <w:tc>
          <w:tcPr>
            <w:tcW w:w="709" w:type="dxa"/>
            <w:vMerge w:val="continue"/>
            <w:vAlign w:val="center"/>
          </w:tcPr>
          <w:p>
            <w:pPr>
              <w:widowControl/>
              <w:spacing w:line="440" w:lineRule="exact"/>
              <w:jc w:val="center"/>
              <w:rPr>
                <w:rFonts w:ascii="方正楷体简体" w:hAnsi="宋体" w:eastAsia="方正楷体简体" w:cs="宋体"/>
                <w:kern w:val="0"/>
                <w:sz w:val="28"/>
                <w:szCs w:val="28"/>
              </w:rPr>
            </w:pPr>
          </w:p>
        </w:tc>
        <w:tc>
          <w:tcPr>
            <w:tcW w:w="567" w:type="dxa"/>
            <w:vMerge w:val="continue"/>
            <w:vAlign w:val="center"/>
          </w:tcPr>
          <w:p>
            <w:pPr>
              <w:widowControl/>
              <w:spacing w:line="440" w:lineRule="exact"/>
              <w:jc w:val="center"/>
              <w:rPr>
                <w:rFonts w:ascii="方正楷体简体" w:hAnsi="宋体" w:eastAsia="方正楷体简体" w:cs="宋体"/>
                <w:kern w:val="0"/>
                <w:sz w:val="28"/>
                <w:szCs w:val="28"/>
              </w:rPr>
            </w:pPr>
          </w:p>
        </w:tc>
        <w:tc>
          <w:tcPr>
            <w:tcW w:w="850" w:type="dxa"/>
            <w:vMerge w:val="continue"/>
            <w:vAlign w:val="center"/>
          </w:tcPr>
          <w:p>
            <w:pPr>
              <w:widowControl/>
              <w:spacing w:line="440" w:lineRule="exact"/>
              <w:jc w:val="center"/>
              <w:rPr>
                <w:rFonts w:ascii="方正楷体简体" w:hAnsi="宋体" w:eastAsia="方正楷体简体" w:cs="宋体"/>
                <w:kern w:val="0"/>
                <w:sz w:val="28"/>
                <w:szCs w:val="28"/>
              </w:rPr>
            </w:pPr>
          </w:p>
        </w:tc>
        <w:tc>
          <w:tcPr>
            <w:tcW w:w="567" w:type="dxa"/>
            <w:vMerge w:val="continue"/>
            <w:vAlign w:val="center"/>
          </w:tcPr>
          <w:p>
            <w:pPr>
              <w:widowControl/>
              <w:spacing w:line="440" w:lineRule="exact"/>
              <w:jc w:val="center"/>
              <w:rPr>
                <w:rFonts w:ascii="方正楷体简体" w:hAnsi="宋体" w:eastAsia="方正楷体简体" w:cs="宋体"/>
                <w:kern w:val="0"/>
                <w:sz w:val="28"/>
                <w:szCs w:val="28"/>
              </w:rPr>
            </w:pPr>
          </w:p>
        </w:tc>
        <w:tc>
          <w:tcPr>
            <w:tcW w:w="851" w:type="dxa"/>
            <w:vMerge w:val="continue"/>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9"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43</w:t>
            </w:r>
          </w:p>
        </w:tc>
        <w:tc>
          <w:tcPr>
            <w:tcW w:w="850"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农村集体土地征收</w:t>
            </w:r>
          </w:p>
        </w:tc>
        <w:tc>
          <w:tcPr>
            <w:tcW w:w="992"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征地申报批准相关材料</w:t>
            </w:r>
          </w:p>
        </w:tc>
        <w:tc>
          <w:tcPr>
            <w:tcW w:w="2977"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1.县级人民政府组织征地报批经审批通过的相关材料，包括县级人民政府建设用地请示，征收土地申请等；2．征地批准文件，包括国务院批准征地批复文件、省级人民政府批准征地批复文件、地方人民政府转发征地批复、其他征地批准文件等（涉密除外）</w:t>
            </w:r>
          </w:p>
        </w:tc>
        <w:tc>
          <w:tcPr>
            <w:tcW w:w="2297"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《土地管理法》《土地管理法实施条例》</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自收到批准文件之日起15个工作日内</w:t>
            </w:r>
          </w:p>
        </w:tc>
        <w:tc>
          <w:tcPr>
            <w:tcW w:w="798"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县自然资源和规划局</w:t>
            </w:r>
          </w:p>
        </w:tc>
        <w:tc>
          <w:tcPr>
            <w:tcW w:w="1843"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■政府网站</w:t>
            </w:r>
          </w:p>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■其他：征地信息公开平台</w:t>
            </w: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709"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0"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44</w:t>
            </w:r>
          </w:p>
        </w:tc>
        <w:tc>
          <w:tcPr>
            <w:tcW w:w="850"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耕地保护</w:t>
            </w:r>
          </w:p>
        </w:tc>
        <w:tc>
          <w:tcPr>
            <w:tcW w:w="992"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补充耕地项目</w:t>
            </w:r>
          </w:p>
        </w:tc>
        <w:tc>
          <w:tcPr>
            <w:tcW w:w="2977"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项目名称、所在地、验收日期、补充耕地位置、面积等信息</w:t>
            </w:r>
          </w:p>
        </w:tc>
        <w:tc>
          <w:tcPr>
            <w:tcW w:w="2297"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《政府信息公开条例》《关于主动公开补充耕地项目与地块信息的公告》（自然资源部公告2021年第25号）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信息形成或者变更之日起20个工作日内</w:t>
            </w:r>
          </w:p>
        </w:tc>
        <w:tc>
          <w:tcPr>
            <w:tcW w:w="798"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县自然资源和规划局</w:t>
            </w:r>
          </w:p>
        </w:tc>
        <w:tc>
          <w:tcPr>
            <w:tcW w:w="1843"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■政府网站</w:t>
            </w: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709"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0"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45</w:t>
            </w:r>
          </w:p>
        </w:tc>
        <w:tc>
          <w:tcPr>
            <w:tcW w:w="850"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耕地保护</w:t>
            </w:r>
          </w:p>
        </w:tc>
        <w:tc>
          <w:tcPr>
            <w:tcW w:w="992"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设施农业用地监管</w:t>
            </w:r>
          </w:p>
        </w:tc>
        <w:tc>
          <w:tcPr>
            <w:tcW w:w="2977"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项目名称、位置、用途、类型、生产期限、用地情况等</w:t>
            </w:r>
          </w:p>
        </w:tc>
        <w:tc>
          <w:tcPr>
            <w:tcW w:w="2297"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《政府信息公开条例》《自然资源部办公厅关于设施农业用地上图入库有关事项的通知》（自然资办函（2020） 1328 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信息形成或者获取之日起20个工作日内</w:t>
            </w:r>
          </w:p>
        </w:tc>
        <w:tc>
          <w:tcPr>
            <w:tcW w:w="798"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县自然资源和规划局</w:t>
            </w:r>
          </w:p>
        </w:tc>
        <w:tc>
          <w:tcPr>
            <w:tcW w:w="1843"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■政府网站</w:t>
            </w: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709"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0"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2"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46</w:t>
            </w:r>
          </w:p>
        </w:tc>
        <w:tc>
          <w:tcPr>
            <w:tcW w:w="850"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地质灾害防治和治理</w:t>
            </w:r>
          </w:p>
        </w:tc>
        <w:tc>
          <w:tcPr>
            <w:tcW w:w="992"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预警预报</w:t>
            </w:r>
          </w:p>
        </w:tc>
        <w:tc>
          <w:tcPr>
            <w:tcW w:w="2977"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地质灾害类预报信息</w:t>
            </w:r>
          </w:p>
        </w:tc>
        <w:tc>
          <w:tcPr>
            <w:tcW w:w="2297"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《地质灾害防治条例》</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实时公开</w:t>
            </w:r>
          </w:p>
        </w:tc>
        <w:tc>
          <w:tcPr>
            <w:tcW w:w="798"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县自然资源和规划局</w:t>
            </w:r>
          </w:p>
        </w:tc>
        <w:tc>
          <w:tcPr>
            <w:tcW w:w="1843"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■政府网站</w:t>
            </w:r>
          </w:p>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■发布会/听证会</w:t>
            </w:r>
            <w:r>
              <w:rPr>
                <w:rFonts w:hint="eastAsia" w:ascii="方正楷体简体" w:hAnsi="宋体" w:eastAsia="方正楷体简体" w:cs="宋体"/>
                <w:kern w:val="0"/>
                <w:sz w:val="28"/>
                <w:szCs w:val="28"/>
              </w:rPr>
              <w:br w:type="textWrapping"/>
            </w:r>
            <w:r>
              <w:rPr>
                <w:rFonts w:hint="eastAsia" w:ascii="方正楷体简体" w:hAnsi="宋体" w:eastAsia="方正楷体简体" w:cs="宋体"/>
                <w:kern w:val="0"/>
                <w:sz w:val="28"/>
                <w:szCs w:val="28"/>
              </w:rPr>
              <w:t>■广播电视</w:t>
            </w:r>
          </w:p>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■入户/现场</w:t>
            </w:r>
          </w:p>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■社区/企事业单位/村公示栏</w:t>
            </w:r>
          </w:p>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■精准推送</w:t>
            </w: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709"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0"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47</w:t>
            </w:r>
          </w:p>
        </w:tc>
        <w:tc>
          <w:tcPr>
            <w:tcW w:w="850"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地质灾害防治和治理</w:t>
            </w:r>
          </w:p>
        </w:tc>
        <w:tc>
          <w:tcPr>
            <w:tcW w:w="992"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年度地质灾害防治方案</w:t>
            </w:r>
          </w:p>
        </w:tc>
        <w:tc>
          <w:tcPr>
            <w:tcW w:w="2977"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县级以上地方人民政府区自然资源主管部门制定的年度地质灾害防治方案</w:t>
            </w:r>
          </w:p>
        </w:tc>
        <w:tc>
          <w:tcPr>
            <w:tcW w:w="2297"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《地质灾害防治条例》</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信息形成或者变更之日起20个工作日内</w:t>
            </w:r>
          </w:p>
        </w:tc>
        <w:tc>
          <w:tcPr>
            <w:tcW w:w="798"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县自然资源和规划局</w:t>
            </w:r>
          </w:p>
        </w:tc>
        <w:tc>
          <w:tcPr>
            <w:tcW w:w="1843"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■政府网站</w:t>
            </w: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709"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0"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5"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48</w:t>
            </w:r>
          </w:p>
        </w:tc>
        <w:tc>
          <w:tcPr>
            <w:tcW w:w="850"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监督检查</w:t>
            </w:r>
          </w:p>
        </w:tc>
        <w:tc>
          <w:tcPr>
            <w:tcW w:w="992"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双随机一公开</w:t>
            </w:r>
          </w:p>
        </w:tc>
        <w:tc>
          <w:tcPr>
            <w:tcW w:w="2977"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随机抽查事项清单，主要包括抽查依据、抽查主体、抽查内容、抽查方式等；抽查情况及查处结果</w:t>
            </w:r>
          </w:p>
        </w:tc>
        <w:tc>
          <w:tcPr>
            <w:tcW w:w="2297"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r>
              <w:rPr>
                <w:rFonts w:hint="eastAsia" w:ascii="方正楷体简体" w:hAnsi="宋体" w:eastAsia="方正楷体简体" w:cs="宋体"/>
                <w:w w:val="90"/>
                <w:kern w:val="0"/>
                <w:sz w:val="28"/>
                <w:szCs w:val="28"/>
              </w:rPr>
              <w:t>国务院办公厅关于推广随机抽查规范事中事后监管的通知》（国办发〔2015〕58号）《国务院关于在市场监管领域全面推行部门联合“双随机、一公开”监管的意见》（国发〔2019〕5号）《国务院关于加强和规范事中事后监管的指导意见》（国发〔2019〕18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信息形成或者变更之日起20个工作日内</w:t>
            </w:r>
          </w:p>
        </w:tc>
        <w:tc>
          <w:tcPr>
            <w:tcW w:w="798"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县自然资源和规划局</w:t>
            </w:r>
          </w:p>
        </w:tc>
        <w:tc>
          <w:tcPr>
            <w:tcW w:w="1843"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■政府网站</w:t>
            </w:r>
          </w:p>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 xml:space="preserve">■公开查阅点        </w:t>
            </w: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709"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0"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49</w:t>
            </w:r>
          </w:p>
        </w:tc>
        <w:tc>
          <w:tcPr>
            <w:tcW w:w="850"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行政处罚</w:t>
            </w:r>
          </w:p>
        </w:tc>
        <w:tc>
          <w:tcPr>
            <w:tcW w:w="992"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行政处罚基本信息</w:t>
            </w:r>
          </w:p>
        </w:tc>
        <w:tc>
          <w:tcPr>
            <w:tcW w:w="2977"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实施机关、立案依据、实施程序和救济渠道等信息</w:t>
            </w:r>
          </w:p>
        </w:tc>
        <w:tc>
          <w:tcPr>
            <w:tcW w:w="2297"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《行政处罚法》《政府信息公开条例》《关于全面推行行政执法公示制度执法全过程记录制度重大执法决定法制审核制度的指导意见》(国办发〔2018〕 118 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信息形成或者变更之日起20个工作日内</w:t>
            </w:r>
          </w:p>
        </w:tc>
        <w:tc>
          <w:tcPr>
            <w:tcW w:w="798"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县自然资源和规划局</w:t>
            </w:r>
          </w:p>
        </w:tc>
        <w:tc>
          <w:tcPr>
            <w:tcW w:w="1843"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■政府网站</w:t>
            </w:r>
          </w:p>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 xml:space="preserve">■公开查阅点                </w:t>
            </w: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709"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0"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534"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50</w:t>
            </w:r>
          </w:p>
        </w:tc>
        <w:tc>
          <w:tcPr>
            <w:tcW w:w="850"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行政处罚</w:t>
            </w:r>
          </w:p>
        </w:tc>
        <w:tc>
          <w:tcPr>
            <w:tcW w:w="992"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行政处罚决定信息</w:t>
            </w:r>
          </w:p>
        </w:tc>
        <w:tc>
          <w:tcPr>
            <w:tcW w:w="2977"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具有一定社会影响的行政处罚决定</w:t>
            </w:r>
          </w:p>
        </w:tc>
        <w:tc>
          <w:tcPr>
            <w:tcW w:w="2297"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《行政处罚法》《政府信息公开条例》《关于全面推行行政执法公示制度执法全过程记录制度重大执法决定法制审核制度的指导意见》(国办发〔2018〕 118 号)</w:t>
            </w:r>
          </w:p>
        </w:tc>
        <w:tc>
          <w:tcPr>
            <w:tcW w:w="1470" w:type="dxa"/>
            <w:shd w:val="clear" w:color="000000" w:fill="FFFFFF"/>
            <w:vAlign w:val="center"/>
          </w:tcPr>
          <w:p>
            <w:pPr>
              <w:widowControl/>
              <w:spacing w:line="440" w:lineRule="exact"/>
              <w:jc w:val="left"/>
              <w:rPr>
                <w:rFonts w:ascii="方正楷体简体" w:hAnsi="宋体" w:eastAsia="方正楷体简体" w:cs="宋体"/>
                <w:color w:val="333333"/>
                <w:kern w:val="0"/>
                <w:sz w:val="28"/>
                <w:szCs w:val="28"/>
              </w:rPr>
            </w:pPr>
            <w:r>
              <w:rPr>
                <w:rFonts w:hint="eastAsia" w:ascii="方正楷体简体" w:hAnsi="宋体" w:eastAsia="方正楷体简体" w:cs="宋体"/>
                <w:color w:val="333333"/>
                <w:kern w:val="0"/>
                <w:sz w:val="28"/>
                <w:szCs w:val="28"/>
              </w:rPr>
              <w:t>作</w:t>
            </w:r>
            <w:r>
              <w:rPr>
                <w:rFonts w:hint="eastAsia" w:ascii="方正楷体简体" w:hAnsi="宋体" w:eastAsia="宋体" w:cs="宋体"/>
                <w:color w:val="333333"/>
                <w:kern w:val="0"/>
                <w:sz w:val="28"/>
                <w:szCs w:val="28"/>
              </w:rPr>
              <w:t>岀</w:t>
            </w:r>
            <w:r>
              <w:rPr>
                <w:rFonts w:hint="eastAsia" w:ascii="方正楷体简体" w:hAnsi="宋体" w:eastAsia="方正楷体简体" w:cs="宋体"/>
                <w:color w:val="333333"/>
                <w:kern w:val="0"/>
                <w:sz w:val="28"/>
                <w:szCs w:val="28"/>
              </w:rPr>
              <w:t>行政决定之日起7个工作日内，法律法规另有规定的从其规定</w:t>
            </w:r>
          </w:p>
        </w:tc>
        <w:tc>
          <w:tcPr>
            <w:tcW w:w="798"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县自然资源和规划局</w:t>
            </w:r>
          </w:p>
        </w:tc>
        <w:tc>
          <w:tcPr>
            <w:tcW w:w="1843" w:type="dxa"/>
            <w:shd w:val="clear" w:color="auto" w:fill="auto"/>
            <w:vAlign w:val="center"/>
          </w:tcPr>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■政府网站</w:t>
            </w:r>
          </w:p>
          <w:p>
            <w:pPr>
              <w:widowControl/>
              <w:spacing w:line="440" w:lineRule="exact"/>
              <w:jc w:val="left"/>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 xml:space="preserve">■公开查阅点                </w:t>
            </w: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709"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0"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c>
          <w:tcPr>
            <w:tcW w:w="567" w:type="dxa"/>
            <w:shd w:val="clear" w:color="auto" w:fill="auto"/>
            <w:vAlign w:val="center"/>
          </w:tcPr>
          <w:p>
            <w:pPr>
              <w:widowControl/>
              <w:spacing w:line="440" w:lineRule="exact"/>
              <w:jc w:val="center"/>
              <w:rPr>
                <w:rFonts w:ascii="方正楷体简体" w:hAnsi="宋体" w:eastAsia="方正楷体简体" w:cs="宋体"/>
                <w:kern w:val="0"/>
                <w:sz w:val="28"/>
                <w:szCs w:val="28"/>
              </w:rPr>
            </w:pPr>
            <w:r>
              <w:rPr>
                <w:rFonts w:hint="eastAsia" w:ascii="方正楷体简体" w:hAnsi="宋体" w:eastAsia="方正楷体简体" w:cs="宋体"/>
                <w:kern w:val="0"/>
                <w:sz w:val="28"/>
                <w:szCs w:val="28"/>
              </w:rPr>
              <w:t>√</w:t>
            </w:r>
          </w:p>
        </w:tc>
        <w:tc>
          <w:tcPr>
            <w:tcW w:w="851" w:type="dxa"/>
            <w:shd w:val="clear" w:color="auto" w:fill="auto"/>
            <w:vAlign w:val="center"/>
          </w:tcPr>
          <w:p>
            <w:pPr>
              <w:widowControl/>
              <w:spacing w:line="440" w:lineRule="exact"/>
              <w:jc w:val="center"/>
              <w:rPr>
                <w:rFonts w:ascii="方正楷体简体" w:hAnsi="宋体" w:eastAsia="方正楷体简体" w:cs="宋体"/>
                <w:kern w:val="0"/>
                <w:sz w:val="28"/>
                <w:szCs w:val="28"/>
              </w:rPr>
            </w:pPr>
          </w:p>
        </w:tc>
      </w:tr>
    </w:tbl>
    <w:p/>
    <w:sectPr>
      <w:pgSz w:w="16838" w:h="11906" w:orient="landscape"/>
      <w:pgMar w:top="851" w:right="1021" w:bottom="851"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ZmN2I3OTc5MmE4OGQwY2U5NDI0NzEwNGMxNGVjZjMifQ=="/>
  </w:docVars>
  <w:rsids>
    <w:rsidRoot w:val="00385CA6"/>
    <w:rsid w:val="00090A4C"/>
    <w:rsid w:val="00171D79"/>
    <w:rsid w:val="00192099"/>
    <w:rsid w:val="002049FE"/>
    <w:rsid w:val="00217258"/>
    <w:rsid w:val="00246165"/>
    <w:rsid w:val="002A3678"/>
    <w:rsid w:val="002B360B"/>
    <w:rsid w:val="002B6F1E"/>
    <w:rsid w:val="002F26B4"/>
    <w:rsid w:val="00313A2A"/>
    <w:rsid w:val="0033328E"/>
    <w:rsid w:val="003854DF"/>
    <w:rsid w:val="00385CA6"/>
    <w:rsid w:val="004B05CA"/>
    <w:rsid w:val="004C12A1"/>
    <w:rsid w:val="0050194E"/>
    <w:rsid w:val="00554138"/>
    <w:rsid w:val="00583DA9"/>
    <w:rsid w:val="005841CB"/>
    <w:rsid w:val="005D1F1E"/>
    <w:rsid w:val="005E4438"/>
    <w:rsid w:val="005F6C62"/>
    <w:rsid w:val="005F75B5"/>
    <w:rsid w:val="00614CB7"/>
    <w:rsid w:val="00640982"/>
    <w:rsid w:val="006630C3"/>
    <w:rsid w:val="00672D43"/>
    <w:rsid w:val="006737F6"/>
    <w:rsid w:val="006844E7"/>
    <w:rsid w:val="006C1DEB"/>
    <w:rsid w:val="007207A6"/>
    <w:rsid w:val="00724E71"/>
    <w:rsid w:val="00726759"/>
    <w:rsid w:val="007534CC"/>
    <w:rsid w:val="007B55BB"/>
    <w:rsid w:val="007F09DE"/>
    <w:rsid w:val="00801EB9"/>
    <w:rsid w:val="00810DCA"/>
    <w:rsid w:val="008260B2"/>
    <w:rsid w:val="008513C9"/>
    <w:rsid w:val="00882E06"/>
    <w:rsid w:val="008A4483"/>
    <w:rsid w:val="008E4B89"/>
    <w:rsid w:val="009B4B2F"/>
    <w:rsid w:val="009B59EA"/>
    <w:rsid w:val="009C1B8A"/>
    <w:rsid w:val="00A01063"/>
    <w:rsid w:val="00A116F8"/>
    <w:rsid w:val="00A13001"/>
    <w:rsid w:val="00A54167"/>
    <w:rsid w:val="00A60CF0"/>
    <w:rsid w:val="00A72F38"/>
    <w:rsid w:val="00AF7C75"/>
    <w:rsid w:val="00B27AAD"/>
    <w:rsid w:val="00B364D6"/>
    <w:rsid w:val="00B66675"/>
    <w:rsid w:val="00B87B27"/>
    <w:rsid w:val="00BA73F2"/>
    <w:rsid w:val="00BF4DA1"/>
    <w:rsid w:val="00BF5C27"/>
    <w:rsid w:val="00C208E3"/>
    <w:rsid w:val="00CA0A45"/>
    <w:rsid w:val="00CF4334"/>
    <w:rsid w:val="00D747C6"/>
    <w:rsid w:val="00D74C84"/>
    <w:rsid w:val="00D75A89"/>
    <w:rsid w:val="00D94103"/>
    <w:rsid w:val="00DE3307"/>
    <w:rsid w:val="00DE7AA7"/>
    <w:rsid w:val="00DF0EB9"/>
    <w:rsid w:val="00E10793"/>
    <w:rsid w:val="00EF18C3"/>
    <w:rsid w:val="00F87759"/>
    <w:rsid w:val="00FC2E41"/>
    <w:rsid w:val="00FE2FC2"/>
    <w:rsid w:val="05FB6291"/>
    <w:rsid w:val="761A7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D66A3-C3A6-4E88-A75F-BF2A6E6DA068}">
  <ds:schemaRefs/>
</ds:datastoreItem>
</file>

<file path=docProps/app.xml><?xml version="1.0" encoding="utf-8"?>
<Properties xmlns="http://schemas.openxmlformats.org/officeDocument/2006/extended-properties" xmlns:vt="http://schemas.openxmlformats.org/officeDocument/2006/docPropsVTypes">
  <Template>Normal</Template>
  <Company>真诚为您服务！</Company>
  <Pages>26</Pages>
  <Words>8603</Words>
  <Characters>8879</Characters>
  <Lines>70</Lines>
  <Paragraphs>19</Paragraphs>
  <TotalTime>106</TotalTime>
  <ScaleCrop>false</ScaleCrop>
  <LinksUpToDate>false</LinksUpToDate>
  <CharactersWithSpaces>9033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2022-09-22T03:01:00Z</dcterms:created>
  <dc:creator>兖州四方新科，</dc:creator>
  <cp:lastModifiedBy>办公室</cp:lastModifiedBy>
  <cp:lastPrinted>2022-09-22T03:30:00Z</cp:lastPrinted>
  <dcterms:modified xsi:type="dcterms:W3CDTF">2022-09-22T08:17:53Z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BBDC9EC41FD847C78240792589B539FF</vt:lpwstr>
  </property>
</Properties>
</file>