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67F16">
      <w:pPr>
        <w:rPr>
          <w:rFonts w:ascii="仿宋_GB2312" w:hAnsi="仿宋_GB2312" w:eastAsia="仿宋_GB2312" w:cs="仿宋_GB2312"/>
          <w:color w:val="auto"/>
          <w:sz w:val="36"/>
          <w:szCs w:val="36"/>
          <w:highlight w:val="none"/>
        </w:rPr>
      </w:pPr>
    </w:p>
    <w:p w14:paraId="34BA8AE6">
      <w:pPr>
        <w:rPr>
          <w:rFonts w:ascii="仿宋_GB2312" w:hAnsi="仿宋_GB2312" w:eastAsia="仿宋_GB2312" w:cs="仿宋_GB2312"/>
          <w:color w:val="auto"/>
          <w:sz w:val="36"/>
          <w:szCs w:val="36"/>
          <w:highlight w:val="none"/>
        </w:rPr>
      </w:pPr>
    </w:p>
    <w:p w14:paraId="029E878E">
      <w:pPr>
        <w:rPr>
          <w:rFonts w:ascii="仿宋_GB2312" w:hAnsi="仿宋_GB2312" w:eastAsia="仿宋_GB2312" w:cs="仿宋_GB2312"/>
          <w:color w:val="auto"/>
          <w:sz w:val="36"/>
          <w:szCs w:val="36"/>
          <w:highlight w:val="none"/>
        </w:rPr>
      </w:pPr>
    </w:p>
    <w:p w14:paraId="2157029D">
      <w:pPr>
        <w:rPr>
          <w:rFonts w:ascii="仿宋_GB2312" w:hAnsi="仿宋_GB2312" w:eastAsia="仿宋_GB2312" w:cs="仿宋_GB2312"/>
          <w:color w:val="auto"/>
          <w:sz w:val="36"/>
          <w:szCs w:val="36"/>
          <w:highlight w:val="none"/>
        </w:rPr>
      </w:pPr>
    </w:p>
    <w:p w14:paraId="5FBBB986">
      <w:pPr>
        <w:rPr>
          <w:rFonts w:hint="eastAsia" w:ascii="仿宋_GB2312" w:hAnsi="仿宋_GB2312" w:eastAsia="仿宋_GB2312" w:cs="仿宋_GB2312"/>
          <w:color w:val="auto"/>
          <w:sz w:val="36"/>
          <w:szCs w:val="36"/>
          <w:highlight w:val="none"/>
        </w:rPr>
      </w:pPr>
    </w:p>
    <w:p w14:paraId="5A0494FC">
      <w:pPr>
        <w:adjustRightInd w:val="0"/>
        <w:snapToGrid w:val="0"/>
        <w:jc w:val="center"/>
        <w:outlineLvl w:val="0"/>
        <w:rPr>
          <w:rFonts w:hint="eastAsia" w:ascii="方正小标宋_GBK" w:eastAsia="方正小标宋_GBK"/>
          <w:bCs/>
          <w:color w:val="auto"/>
          <w:sz w:val="72"/>
          <w:szCs w:val="72"/>
          <w:highlight w:val="none"/>
        </w:rPr>
      </w:pPr>
      <w:r>
        <w:rPr>
          <w:rFonts w:hint="eastAsia" w:ascii="方正小标宋_GBK" w:eastAsia="方正小标宋_GBK"/>
          <w:bCs/>
          <w:color w:val="auto"/>
          <w:sz w:val="72"/>
          <w:szCs w:val="72"/>
          <w:highlight w:val="none"/>
        </w:rPr>
        <w:t>建设项目环境影响报告表</w:t>
      </w:r>
    </w:p>
    <w:p w14:paraId="1832E866">
      <w:pPr>
        <w:adjustRightInd w:val="0"/>
        <w:snapToGrid w:val="0"/>
        <w:spacing w:before="192" w:beforeLines="80"/>
        <w:jc w:val="center"/>
        <w:rPr>
          <w:rFonts w:hint="eastAsia" w:ascii="楷体_GB2312" w:eastAsia="楷体_GB2312"/>
          <w:bCs/>
          <w:color w:val="auto"/>
          <w:sz w:val="48"/>
          <w:szCs w:val="48"/>
          <w:highlight w:val="none"/>
        </w:rPr>
      </w:pPr>
      <w:r>
        <w:rPr>
          <w:rFonts w:hint="eastAsia" w:ascii="楷体_GB2312" w:eastAsia="楷体_GB2312"/>
          <w:bCs/>
          <w:color w:val="auto"/>
          <w:sz w:val="48"/>
          <w:szCs w:val="48"/>
          <w:highlight w:val="none"/>
        </w:rPr>
        <w:t>（污染影响类）</w:t>
      </w:r>
    </w:p>
    <w:p w14:paraId="04A7DE94">
      <w:pPr>
        <w:adjustRightInd w:val="0"/>
        <w:snapToGrid w:val="0"/>
        <w:spacing w:line="288" w:lineRule="auto"/>
        <w:jc w:val="center"/>
        <w:outlineLvl w:val="0"/>
        <w:rPr>
          <w:rFonts w:ascii="华文仿宋" w:hAnsi="华文仿宋" w:eastAsia="华文仿宋" w:cs="华文仿宋"/>
          <w:color w:val="auto"/>
          <w:kern w:val="44"/>
          <w:sz w:val="44"/>
          <w:szCs w:val="44"/>
          <w:highlight w:val="none"/>
        </w:rPr>
      </w:pPr>
    </w:p>
    <w:p w14:paraId="56C6044B">
      <w:pPr>
        <w:jc w:val="center"/>
        <w:rPr>
          <w:rFonts w:eastAsia="仿宋"/>
          <w:color w:val="auto"/>
          <w:sz w:val="52"/>
          <w:szCs w:val="52"/>
          <w:highlight w:val="none"/>
        </w:rPr>
      </w:pPr>
    </w:p>
    <w:p w14:paraId="0B264520">
      <w:pPr>
        <w:ind w:firstLine="1040"/>
        <w:rPr>
          <w:rFonts w:eastAsia="仿宋"/>
          <w:color w:val="auto"/>
          <w:sz w:val="44"/>
          <w:szCs w:val="44"/>
          <w:highlight w:val="none"/>
        </w:rPr>
      </w:pPr>
    </w:p>
    <w:p w14:paraId="00D32657">
      <w:pPr>
        <w:ind w:firstLine="1040"/>
        <w:rPr>
          <w:rFonts w:eastAsia="仿宋"/>
          <w:color w:val="auto"/>
          <w:sz w:val="44"/>
          <w:szCs w:val="44"/>
          <w:highlight w:val="none"/>
        </w:rPr>
      </w:pPr>
    </w:p>
    <w:p w14:paraId="570EE274">
      <w:pPr>
        <w:ind w:firstLine="1040"/>
        <w:rPr>
          <w:rFonts w:eastAsia="仿宋"/>
          <w:color w:val="auto"/>
          <w:sz w:val="44"/>
          <w:szCs w:val="44"/>
          <w:highlight w:val="none"/>
        </w:rPr>
      </w:pPr>
    </w:p>
    <w:p w14:paraId="25E8EFC3">
      <w:pPr>
        <w:ind w:firstLine="1040"/>
        <w:rPr>
          <w:rFonts w:eastAsia="仿宋"/>
          <w:color w:val="auto"/>
          <w:sz w:val="44"/>
          <w:szCs w:val="44"/>
          <w:highlight w:val="none"/>
        </w:rPr>
      </w:pPr>
    </w:p>
    <w:p w14:paraId="4198F6E3">
      <w:pPr>
        <w:spacing w:line="360" w:lineRule="auto"/>
        <w:ind w:firstLine="720" w:firstLineChars="200"/>
        <w:jc w:val="left"/>
        <w:rPr>
          <w:rFonts w:hint="eastAsia" w:eastAsia="仿宋_GB2312"/>
          <w:color w:val="auto"/>
          <w:highlight w:val="none"/>
          <w:lang w:eastAsia="zh-CN"/>
        </w:rPr>
      </w:pPr>
      <w:r>
        <w:rPr>
          <w:rFonts w:hint="eastAsia" w:ascii="仿宋_GB2312" w:eastAsia="仿宋_GB2312"/>
          <w:color w:val="auto"/>
          <w:sz w:val="36"/>
          <w:szCs w:val="36"/>
          <w:highlight w:val="none"/>
        </w:rPr>
        <w:t>项目名称：</w:t>
      </w:r>
      <w:r>
        <w:rPr>
          <w:rFonts w:hint="eastAsia" w:ascii="仿宋_GB2312" w:eastAsia="仿宋_GB2312"/>
          <w:color w:val="auto"/>
          <w:sz w:val="36"/>
          <w:szCs w:val="36"/>
          <w:highlight w:val="none"/>
          <w:u w:val="single"/>
          <w:lang w:eastAsia="zh-CN"/>
        </w:rPr>
        <w:t>年产6000吨废硅材料回收再利用项目</w:t>
      </w:r>
    </w:p>
    <w:p w14:paraId="1BC72F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eastAsia="仿宋_GB2312"/>
          <w:color w:val="auto"/>
          <w:sz w:val="36"/>
          <w:szCs w:val="36"/>
          <w:highlight w:val="none"/>
          <w:u w:val="single"/>
          <w:lang w:eastAsia="zh-CN"/>
        </w:rPr>
      </w:pPr>
      <w:r>
        <w:rPr>
          <w:rFonts w:hint="eastAsia" w:ascii="仿宋_GB2312" w:eastAsia="仿宋_GB2312"/>
          <w:snapToGrid w:val="0"/>
          <w:color w:val="auto"/>
          <w:spacing w:val="-20"/>
          <w:kern w:val="0"/>
          <w:sz w:val="36"/>
          <w:szCs w:val="36"/>
          <w:highlight w:val="none"/>
        </w:rPr>
        <w:t>建设单位（盖章）：</w:t>
      </w:r>
      <w:r>
        <w:rPr>
          <w:rFonts w:hint="eastAsia" w:ascii="仿宋_GB2312" w:eastAsia="仿宋_GB2312"/>
          <w:color w:val="auto"/>
          <w:sz w:val="36"/>
          <w:szCs w:val="36"/>
          <w:highlight w:val="none"/>
          <w:u w:val="single"/>
          <w:lang w:eastAsia="zh-CN"/>
        </w:rPr>
        <w:t>山东辰宇稀有材料科技有限公司</w:t>
      </w:r>
    </w:p>
    <w:p w14:paraId="47F60E5A">
      <w:pPr>
        <w:adjustRightInd w:val="0"/>
        <w:snapToGrid w:val="0"/>
        <w:spacing w:line="360" w:lineRule="auto"/>
        <w:ind w:firstLine="720" w:firstLineChars="200"/>
        <w:jc w:val="left"/>
        <w:rPr>
          <w:rFonts w:hint="default" w:ascii="仿宋_GB2312" w:eastAsia="仿宋_GB2312"/>
          <w:color w:val="auto"/>
          <w:sz w:val="36"/>
          <w:szCs w:val="36"/>
          <w:highlight w:val="none"/>
          <w:u w:val="single"/>
          <w:lang w:val="en-US" w:eastAsia="zh-CN"/>
        </w:rPr>
      </w:pPr>
      <w:r>
        <w:rPr>
          <w:rFonts w:hint="eastAsia" w:ascii="仿宋_GB2312" w:eastAsia="仿宋_GB2312"/>
          <w:color w:val="auto"/>
          <w:sz w:val="36"/>
          <w:szCs w:val="36"/>
          <w:highlight w:val="none"/>
        </w:rPr>
        <w:t>编制日期：</w:t>
      </w:r>
      <w:r>
        <w:rPr>
          <w:rFonts w:hint="eastAsia" w:ascii="仿宋_GB2312" w:eastAsia="仿宋_GB2312"/>
          <w:color w:val="auto"/>
          <w:sz w:val="36"/>
          <w:szCs w:val="36"/>
          <w:highlight w:val="none"/>
          <w:lang w:val="en-US" w:eastAsia="zh-CN"/>
        </w:rPr>
        <w:t xml:space="preserve"> </w:t>
      </w:r>
      <w:r>
        <w:rPr>
          <w:rFonts w:hint="eastAsia" w:ascii="仿宋_GB2312" w:eastAsia="仿宋_GB2312"/>
          <w:color w:val="auto"/>
          <w:sz w:val="36"/>
          <w:szCs w:val="36"/>
          <w:highlight w:val="none"/>
          <w:u w:val="single"/>
          <w:lang w:val="en-US" w:eastAsia="zh-CN"/>
        </w:rPr>
        <w:t xml:space="preserve">        2026年3月              </w:t>
      </w:r>
    </w:p>
    <w:p w14:paraId="09B13C09">
      <w:pPr>
        <w:adjustRightInd w:val="0"/>
        <w:snapToGrid w:val="0"/>
        <w:spacing w:line="288" w:lineRule="auto"/>
        <w:ind w:firstLine="1040"/>
        <w:rPr>
          <w:rFonts w:ascii="仿宋_GB2312" w:eastAsia="仿宋_GB2312"/>
          <w:color w:val="auto"/>
          <w:sz w:val="36"/>
          <w:szCs w:val="36"/>
          <w:highlight w:val="none"/>
          <w:u w:val="single"/>
        </w:rPr>
      </w:pPr>
      <w:bookmarkStart w:id="0" w:name="_Hlk57884087"/>
    </w:p>
    <w:p w14:paraId="26D7CD7B">
      <w:pPr>
        <w:adjustRightInd w:val="0"/>
        <w:snapToGrid w:val="0"/>
        <w:spacing w:line="288" w:lineRule="auto"/>
        <w:ind w:firstLine="1040"/>
        <w:rPr>
          <w:rFonts w:ascii="仿宋_GB2312" w:eastAsia="仿宋_GB2312"/>
          <w:color w:val="auto"/>
          <w:sz w:val="36"/>
          <w:szCs w:val="36"/>
          <w:highlight w:val="none"/>
        </w:rPr>
      </w:pPr>
    </w:p>
    <w:bookmarkEnd w:id="0"/>
    <w:p w14:paraId="4DE60FA9">
      <w:pPr>
        <w:adjustRightInd w:val="0"/>
        <w:snapToGrid w:val="0"/>
        <w:spacing w:line="288" w:lineRule="auto"/>
        <w:jc w:val="center"/>
        <w:rPr>
          <w:rFonts w:hint="eastAsia" w:ascii="楷体_GB2312" w:eastAsia="楷体_GB2312"/>
          <w:color w:val="auto"/>
          <w:sz w:val="36"/>
          <w:szCs w:val="36"/>
          <w:highlight w:val="none"/>
        </w:rPr>
      </w:pPr>
      <w:r>
        <w:rPr>
          <w:rFonts w:hint="eastAsia" w:ascii="楷体_GB2312" w:eastAsia="楷体_GB2312"/>
          <w:color w:val="auto"/>
          <w:sz w:val="36"/>
          <w:szCs w:val="36"/>
          <w:highlight w:val="none"/>
        </w:rPr>
        <w:t>中华人民共和国生态环境部制</w:t>
      </w:r>
    </w:p>
    <w:p w14:paraId="165914C9">
      <w:pPr>
        <w:adjustRightInd w:val="0"/>
        <w:snapToGrid w:val="0"/>
        <w:spacing w:line="288" w:lineRule="auto"/>
        <w:ind w:firstLine="1040"/>
        <w:rPr>
          <w:rFonts w:ascii="仿宋_GB2312" w:eastAsia="仿宋_GB2312"/>
          <w:color w:val="auto"/>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1E64F4B0">
      <w:pPr>
        <w:pStyle w:val="26"/>
        <w:jc w:val="center"/>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一、建设项目基本情况</w:t>
      </w:r>
    </w:p>
    <w:tbl>
      <w:tblPr>
        <w:tblStyle w:val="30"/>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38"/>
        <w:gridCol w:w="3025"/>
        <w:gridCol w:w="2234"/>
        <w:gridCol w:w="2559"/>
      </w:tblGrid>
      <w:tr w14:paraId="57E0B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52121FD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824" w:type="dxa"/>
            <w:gridSpan w:val="3"/>
            <w:noWrap w:val="0"/>
            <w:vAlign w:val="center"/>
          </w:tcPr>
          <w:p w14:paraId="13E6895F">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山东辰宇稀有材料科技有限公司年产6000吨废硅材料回收再利用项目</w:t>
            </w:r>
          </w:p>
        </w:tc>
      </w:tr>
      <w:tr w14:paraId="403CA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710FCAB1">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7824" w:type="dxa"/>
            <w:gridSpan w:val="3"/>
            <w:noWrap w:val="0"/>
            <w:vAlign w:val="center"/>
          </w:tcPr>
          <w:p w14:paraId="0D66FEE6">
            <w:pPr>
              <w:adjustRightInd w:val="0"/>
              <w:snapToGrid w:val="0"/>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2512-370831-07-02-564254</w:t>
            </w:r>
          </w:p>
        </w:tc>
      </w:tr>
      <w:tr w14:paraId="1D822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5C4488FD">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建设单位联系人</w:t>
            </w:r>
          </w:p>
        </w:tc>
        <w:tc>
          <w:tcPr>
            <w:tcW w:w="3027" w:type="dxa"/>
            <w:noWrap w:val="0"/>
            <w:vAlign w:val="center"/>
          </w:tcPr>
          <w:p w14:paraId="7A01BA76">
            <w:pPr>
              <w:adjustRightInd w:val="0"/>
              <w:snapToGrid w:val="0"/>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王新</w:t>
            </w:r>
          </w:p>
        </w:tc>
        <w:tc>
          <w:tcPr>
            <w:tcW w:w="2236" w:type="dxa"/>
            <w:noWrap w:val="0"/>
            <w:vAlign w:val="center"/>
          </w:tcPr>
          <w:p w14:paraId="69660012">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2561" w:type="dxa"/>
            <w:noWrap w:val="0"/>
            <w:vAlign w:val="center"/>
          </w:tcPr>
          <w:p w14:paraId="33902861">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156537</w:t>
            </w:r>
            <w:r>
              <w:rPr>
                <w:rFonts w:hint="eastAsia" w:cs="Times New Roman"/>
                <w:color w:val="auto"/>
                <w:sz w:val="24"/>
                <w:szCs w:val="24"/>
                <w:highlight w:val="none"/>
                <w:lang w:val="en-US" w:eastAsia="zh-CN"/>
              </w:rPr>
              <w:t>xxxxx</w:t>
            </w:r>
            <w:bookmarkStart w:id="5" w:name="_GoBack"/>
            <w:bookmarkEnd w:id="5"/>
          </w:p>
        </w:tc>
      </w:tr>
      <w:tr w14:paraId="2267F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28DB110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824" w:type="dxa"/>
            <w:gridSpan w:val="3"/>
            <w:noWrap w:val="0"/>
            <w:vAlign w:val="center"/>
          </w:tcPr>
          <w:p w14:paraId="3E5F74DB">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山东省</w:t>
            </w:r>
            <w:r>
              <w:rPr>
                <w:rFonts w:hint="eastAsia" w:ascii="Times New Roman" w:hAnsi="Times New Roman" w:eastAsia="宋体" w:cs="Times New Roman"/>
                <w:color w:val="auto"/>
                <w:sz w:val="24"/>
                <w:szCs w:val="24"/>
                <w:highlight w:val="none"/>
                <w:lang w:val="en-US" w:eastAsia="zh-CN"/>
              </w:rPr>
              <w:t>济宁市泗水县苗馆镇二十里铺村</w:t>
            </w:r>
          </w:p>
        </w:tc>
      </w:tr>
      <w:tr w14:paraId="25C42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48BAB292">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824" w:type="dxa"/>
            <w:gridSpan w:val="3"/>
            <w:noWrap w:val="0"/>
            <w:vAlign w:val="center"/>
          </w:tcPr>
          <w:p w14:paraId="2A4C622D">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117°23'14.881"E</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35°38'59.798"N</w:t>
            </w:r>
          </w:p>
        </w:tc>
      </w:tr>
      <w:tr w14:paraId="249D8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39" w:type="dxa"/>
            <w:noWrap w:val="0"/>
            <w:tcMar>
              <w:top w:w="16" w:type="dxa"/>
              <w:left w:w="16" w:type="dxa"/>
              <w:right w:w="16" w:type="dxa"/>
            </w:tcMar>
            <w:vAlign w:val="center"/>
          </w:tcPr>
          <w:p w14:paraId="10909C3E">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14:paraId="648F911E">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3027" w:type="dxa"/>
            <w:noWrap w:val="0"/>
            <w:vAlign w:val="center"/>
          </w:tcPr>
          <w:p w14:paraId="41AD97CE">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C3099其他非金属矿物制品制造</w:t>
            </w:r>
          </w:p>
        </w:tc>
        <w:tc>
          <w:tcPr>
            <w:tcW w:w="2236" w:type="dxa"/>
            <w:noWrap w:val="0"/>
            <w:vAlign w:val="center"/>
          </w:tcPr>
          <w:p w14:paraId="2323051C">
            <w:pPr>
              <w:adjustRightInd w:val="0"/>
              <w:snapToGrid w:val="0"/>
              <w:jc w:val="center"/>
              <w:rPr>
                <w:rFonts w:hint="default" w:ascii="Times New Roman" w:hAnsi="Times New Roman" w:eastAsia="宋体" w:cs="Times New Roman"/>
                <w:color w:val="auto"/>
                <w:sz w:val="24"/>
                <w:szCs w:val="24"/>
                <w:highlight w:val="none"/>
              </w:rPr>
            </w:pPr>
            <w:bookmarkStart w:id="1" w:name="_Hlk49843745"/>
            <w:r>
              <w:rPr>
                <w:rFonts w:hint="default" w:ascii="Times New Roman" w:hAnsi="Times New Roman" w:eastAsia="宋体" w:cs="Times New Roman"/>
                <w:color w:val="auto"/>
                <w:sz w:val="24"/>
                <w:szCs w:val="24"/>
                <w:highlight w:val="none"/>
              </w:rPr>
              <w:t>建设项目</w:t>
            </w:r>
          </w:p>
          <w:p w14:paraId="7F96E319">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bookmarkEnd w:id="1"/>
          </w:p>
        </w:tc>
        <w:tc>
          <w:tcPr>
            <w:tcW w:w="2561" w:type="dxa"/>
            <w:noWrap w:val="0"/>
            <w:vAlign w:val="center"/>
          </w:tcPr>
          <w:p w14:paraId="615D918D">
            <w:pPr>
              <w:adjustRightInd w:val="0"/>
              <w:snapToGrid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二十七、非金属矿物制品业 30、60、石墨及其他非金属矿物制品制造 309  其他</w:t>
            </w:r>
          </w:p>
        </w:tc>
      </w:tr>
      <w:tr w14:paraId="2442C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39" w:type="dxa"/>
            <w:noWrap w:val="0"/>
            <w:tcMar>
              <w:top w:w="16" w:type="dxa"/>
              <w:left w:w="16" w:type="dxa"/>
              <w:right w:w="16" w:type="dxa"/>
            </w:tcMar>
            <w:vAlign w:val="center"/>
          </w:tcPr>
          <w:p w14:paraId="2BBA5F2F">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3027" w:type="dxa"/>
            <w:noWrap w:val="0"/>
            <w:vAlign w:val="center"/>
          </w:tcPr>
          <w:p w14:paraId="2EE3B0F7">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新建（迁建）</w:t>
            </w:r>
          </w:p>
          <w:p w14:paraId="539F5634">
            <w:pPr>
              <w:jc w:val="left"/>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改建</w:t>
            </w:r>
          </w:p>
          <w:p w14:paraId="441EEC13">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FF0000"/>
                <w:sz w:val="24"/>
                <w:szCs w:val="24"/>
                <w:highlight w:val="none"/>
              </w:rPr>
              <w:t>扩建</w:t>
            </w:r>
          </w:p>
          <w:p w14:paraId="61E1081B">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2236" w:type="dxa"/>
            <w:noWrap w:val="0"/>
            <w:vAlign w:val="center"/>
          </w:tcPr>
          <w:p w14:paraId="40CA218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0173E023">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2561" w:type="dxa"/>
            <w:noWrap w:val="0"/>
            <w:vAlign w:val="center"/>
          </w:tcPr>
          <w:p w14:paraId="3866B15A">
            <w:pPr>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14:paraId="0224C0D4">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14:paraId="76B2E8FE">
            <w:pPr>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14:paraId="54927688">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14:paraId="7500A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39" w:type="dxa"/>
            <w:noWrap w:val="0"/>
            <w:tcMar>
              <w:top w:w="16" w:type="dxa"/>
              <w:left w:w="16" w:type="dxa"/>
              <w:right w:w="16" w:type="dxa"/>
            </w:tcMar>
            <w:vAlign w:val="center"/>
          </w:tcPr>
          <w:p w14:paraId="69674F7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项目审批（核准/备案）部门（选填）</w:t>
            </w:r>
          </w:p>
        </w:tc>
        <w:tc>
          <w:tcPr>
            <w:tcW w:w="3027" w:type="dxa"/>
            <w:noWrap w:val="0"/>
            <w:vAlign w:val="center"/>
          </w:tcPr>
          <w:p w14:paraId="6DCD451E">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泗水县行政审批服务局</w:t>
            </w:r>
          </w:p>
        </w:tc>
        <w:tc>
          <w:tcPr>
            <w:tcW w:w="2236" w:type="dxa"/>
            <w:noWrap w:val="0"/>
            <w:vAlign w:val="center"/>
          </w:tcPr>
          <w:p w14:paraId="78602DC0">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14:paraId="39921837">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备案）文号（选填）</w:t>
            </w:r>
          </w:p>
        </w:tc>
        <w:tc>
          <w:tcPr>
            <w:tcW w:w="2561" w:type="dxa"/>
            <w:noWrap w:val="0"/>
            <w:vAlign w:val="center"/>
          </w:tcPr>
          <w:p w14:paraId="13BD6295">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2512-370831-07-02-564254</w:t>
            </w:r>
          </w:p>
        </w:tc>
      </w:tr>
      <w:tr w14:paraId="7452D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3F4E70A2">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3027" w:type="dxa"/>
            <w:noWrap w:val="0"/>
            <w:vAlign w:val="center"/>
          </w:tcPr>
          <w:p w14:paraId="28DC7886">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100</w:t>
            </w:r>
          </w:p>
        </w:tc>
        <w:tc>
          <w:tcPr>
            <w:tcW w:w="2236" w:type="dxa"/>
            <w:noWrap w:val="0"/>
            <w:tcMar>
              <w:top w:w="16" w:type="dxa"/>
              <w:left w:w="16" w:type="dxa"/>
              <w:right w:w="16" w:type="dxa"/>
            </w:tcMar>
            <w:vAlign w:val="center"/>
          </w:tcPr>
          <w:p w14:paraId="24D79A6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2561" w:type="dxa"/>
            <w:noWrap w:val="0"/>
            <w:vAlign w:val="center"/>
          </w:tcPr>
          <w:p w14:paraId="26EF6665">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10</w:t>
            </w:r>
          </w:p>
        </w:tc>
      </w:tr>
      <w:tr w14:paraId="56958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3C1380EC">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3027" w:type="dxa"/>
            <w:noWrap w:val="0"/>
            <w:vAlign w:val="center"/>
          </w:tcPr>
          <w:p w14:paraId="46C84D97">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10</w:t>
            </w:r>
          </w:p>
        </w:tc>
        <w:tc>
          <w:tcPr>
            <w:tcW w:w="2236" w:type="dxa"/>
            <w:noWrap w:val="0"/>
            <w:tcMar>
              <w:top w:w="16" w:type="dxa"/>
              <w:left w:w="16" w:type="dxa"/>
              <w:right w:w="16" w:type="dxa"/>
            </w:tcMar>
            <w:vAlign w:val="center"/>
          </w:tcPr>
          <w:p w14:paraId="3259AFE9">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2561" w:type="dxa"/>
            <w:noWrap w:val="0"/>
            <w:vAlign w:val="center"/>
          </w:tcPr>
          <w:p w14:paraId="18E0D93F">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w:t>
            </w:r>
          </w:p>
        </w:tc>
      </w:tr>
      <w:tr w14:paraId="34CFE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9" w:type="dxa"/>
            <w:noWrap w:val="0"/>
            <w:tcMar>
              <w:top w:w="16" w:type="dxa"/>
              <w:left w:w="16" w:type="dxa"/>
              <w:right w:w="16" w:type="dxa"/>
            </w:tcMar>
            <w:vAlign w:val="center"/>
          </w:tcPr>
          <w:p w14:paraId="4646BF1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3027" w:type="dxa"/>
            <w:noWrap w:val="0"/>
            <w:vAlign w:val="center"/>
          </w:tcPr>
          <w:p w14:paraId="12124B3B">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p>
        </w:tc>
        <w:tc>
          <w:tcPr>
            <w:tcW w:w="2236" w:type="dxa"/>
            <w:noWrap w:val="0"/>
            <w:tcMar>
              <w:top w:w="16" w:type="dxa"/>
              <w:left w:w="16" w:type="dxa"/>
              <w:right w:w="16" w:type="dxa"/>
            </w:tcMar>
            <w:vAlign w:val="center"/>
          </w:tcPr>
          <w:p w14:paraId="08C45F4E">
            <w:pPr>
              <w:adjustRightInd w:val="0"/>
              <w:snapToGrid w:val="0"/>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14:paraId="6145E583">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2561" w:type="dxa"/>
            <w:noWrap w:val="0"/>
            <w:vAlign w:val="center"/>
          </w:tcPr>
          <w:p w14:paraId="40F38A1F">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不新增</w:t>
            </w:r>
          </w:p>
        </w:tc>
      </w:tr>
      <w:tr w14:paraId="69356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39" w:type="dxa"/>
            <w:noWrap w:val="0"/>
            <w:vAlign w:val="center"/>
          </w:tcPr>
          <w:p w14:paraId="58B653B0">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7824" w:type="dxa"/>
            <w:gridSpan w:val="3"/>
            <w:noWrap w:val="0"/>
            <w:vAlign w:val="center"/>
          </w:tcPr>
          <w:p w14:paraId="2D8A2C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根据建设项目环境影响报告表编制技术指南（污染影响类）（试行）相关要求，对照表</w:t>
            </w:r>
            <w:r>
              <w:rPr>
                <w:rFonts w:hint="eastAsia"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专题评价设置原则，本项目专题评价设置情况见下表</w:t>
            </w:r>
            <w:r>
              <w:rPr>
                <w:rFonts w:hint="default" w:ascii="Times New Roman" w:hAnsi="Times New Roman" w:eastAsia="宋体" w:cs="Times New Roman"/>
                <w:color w:val="auto"/>
                <w:sz w:val="24"/>
                <w:highlight w:val="none"/>
                <w:lang w:eastAsia="zh-CN"/>
              </w:rPr>
              <w:t>。</w:t>
            </w:r>
          </w:p>
          <w:p w14:paraId="09587A08">
            <w:pPr>
              <w:pStyle w:val="10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表1-1项目专题评价设置情况一览表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462"/>
              <w:gridCol w:w="2033"/>
              <w:gridCol w:w="1134"/>
            </w:tblGrid>
            <w:tr w14:paraId="0D9C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276A2696">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专项评价类别</w:t>
                  </w:r>
                </w:p>
              </w:tc>
              <w:tc>
                <w:tcPr>
                  <w:tcW w:w="2280" w:type="pct"/>
                  <w:tcBorders>
                    <w:tl2br w:val="nil"/>
                    <w:tr2bl w:val="nil"/>
                  </w:tcBorders>
                  <w:noWrap w:val="0"/>
                  <w:vAlign w:val="center"/>
                </w:tcPr>
                <w:p w14:paraId="340810BE">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设置原则</w:t>
                  </w:r>
                </w:p>
              </w:tc>
              <w:tc>
                <w:tcPr>
                  <w:tcW w:w="1339" w:type="pct"/>
                  <w:tcBorders>
                    <w:tl2br w:val="nil"/>
                    <w:tr2bl w:val="nil"/>
                  </w:tcBorders>
                  <w:noWrap w:val="0"/>
                  <w:vAlign w:val="center"/>
                </w:tcPr>
                <w:p w14:paraId="1F889CB0">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本项目情况</w:t>
                  </w:r>
                </w:p>
              </w:tc>
              <w:tc>
                <w:tcPr>
                  <w:tcW w:w="745" w:type="pct"/>
                  <w:tcBorders>
                    <w:tl2br w:val="nil"/>
                    <w:tr2bl w:val="nil"/>
                  </w:tcBorders>
                  <w:noWrap w:val="0"/>
                  <w:vAlign w:val="center"/>
                </w:tcPr>
                <w:p w14:paraId="03D24835">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是否设置专项评价</w:t>
                  </w:r>
                </w:p>
              </w:tc>
            </w:tr>
            <w:tr w14:paraId="58FD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33185141">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大气</w:t>
                  </w:r>
                </w:p>
              </w:tc>
              <w:tc>
                <w:tcPr>
                  <w:tcW w:w="2280" w:type="pct"/>
                  <w:tcBorders>
                    <w:tl2br w:val="nil"/>
                    <w:tr2bl w:val="nil"/>
                  </w:tcBorders>
                  <w:noWrap w:val="0"/>
                  <w:vAlign w:val="center"/>
                </w:tcPr>
                <w:p w14:paraId="04D6ABF2">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排放废气含有毒有害污染物</w:t>
                  </w:r>
                  <w:r>
                    <w:rPr>
                      <w:rFonts w:hint="default" w:ascii="Times New Roman" w:hAnsi="Times New Roman" w:eastAsia="宋体" w:cs="Times New Roman"/>
                      <w:b w:val="0"/>
                      <w:bCs w:val="0"/>
                      <w:color w:val="auto"/>
                      <w:sz w:val="21"/>
                      <w:szCs w:val="21"/>
                      <w:highlight w:val="none"/>
                      <w:vertAlign w:val="superscript"/>
                      <w:lang w:val="en-US" w:eastAsia="zh-CN"/>
                    </w:rPr>
                    <w:t>1</w:t>
                  </w:r>
                  <w:r>
                    <w:rPr>
                      <w:rFonts w:hint="default" w:ascii="Times New Roman" w:hAnsi="Times New Roman" w:eastAsia="宋体" w:cs="Times New Roman"/>
                      <w:b w:val="0"/>
                      <w:bCs w:val="0"/>
                      <w:color w:val="auto"/>
                      <w:sz w:val="21"/>
                      <w:szCs w:val="21"/>
                      <w:highlight w:val="none"/>
                    </w:rPr>
                    <w:t>、二噁英、苯并[a]芘、氰化物、氯气且厂界外500m范围内有环境空气保护目标</w:t>
                  </w:r>
                  <w:r>
                    <w:rPr>
                      <w:rFonts w:hint="default" w:ascii="Times New Roman" w:hAnsi="Times New Roman" w:eastAsia="宋体" w:cs="Times New Roman"/>
                      <w:b w:val="0"/>
                      <w:bCs w:val="0"/>
                      <w:color w:val="auto"/>
                      <w:sz w:val="21"/>
                      <w:szCs w:val="21"/>
                      <w:highlight w:val="none"/>
                      <w:vertAlign w:val="superscript"/>
                      <w:lang w:val="en-US" w:eastAsia="zh-CN"/>
                    </w:rPr>
                    <w:t>2</w:t>
                  </w:r>
                  <w:r>
                    <w:rPr>
                      <w:rFonts w:hint="default" w:ascii="Times New Roman" w:hAnsi="Times New Roman" w:eastAsia="宋体" w:cs="Times New Roman"/>
                      <w:b w:val="0"/>
                      <w:bCs w:val="0"/>
                      <w:color w:val="auto"/>
                      <w:sz w:val="21"/>
                      <w:szCs w:val="21"/>
                      <w:highlight w:val="none"/>
                    </w:rPr>
                    <w:t>的建设项目</w:t>
                  </w:r>
                </w:p>
              </w:tc>
              <w:tc>
                <w:tcPr>
                  <w:tcW w:w="1339" w:type="pct"/>
                  <w:tcBorders>
                    <w:tl2br w:val="nil"/>
                    <w:tr2bl w:val="nil"/>
                  </w:tcBorders>
                  <w:noWrap w:val="0"/>
                  <w:vAlign w:val="center"/>
                </w:tcPr>
                <w:p w14:paraId="1DC50E51">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本项目不涉及</w:t>
                  </w:r>
                </w:p>
              </w:tc>
              <w:tc>
                <w:tcPr>
                  <w:tcW w:w="745" w:type="pct"/>
                  <w:tcBorders>
                    <w:tl2br w:val="nil"/>
                    <w:tr2bl w:val="nil"/>
                  </w:tcBorders>
                  <w:noWrap w:val="0"/>
                  <w:vAlign w:val="center"/>
                </w:tcPr>
                <w:p w14:paraId="4C345029">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否</w:t>
                  </w:r>
                </w:p>
              </w:tc>
            </w:tr>
            <w:tr w14:paraId="5332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34" w:type="pct"/>
                  <w:tcBorders>
                    <w:tl2br w:val="nil"/>
                    <w:tr2bl w:val="nil"/>
                  </w:tcBorders>
                  <w:noWrap w:val="0"/>
                  <w:vAlign w:val="center"/>
                </w:tcPr>
                <w:p w14:paraId="50E89B00">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地表水</w:t>
                  </w:r>
                </w:p>
              </w:tc>
              <w:tc>
                <w:tcPr>
                  <w:tcW w:w="2280" w:type="pct"/>
                  <w:tcBorders>
                    <w:tl2br w:val="nil"/>
                    <w:tr2bl w:val="nil"/>
                  </w:tcBorders>
                  <w:noWrap w:val="0"/>
                  <w:vAlign w:val="center"/>
                </w:tcPr>
                <w:p w14:paraId="2E7981CF">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新增工业废水直排建设项目（槽罐车外送污水处理厂的除外）；新增废水直排的污水集中处理厂</w:t>
                  </w:r>
                </w:p>
              </w:tc>
              <w:tc>
                <w:tcPr>
                  <w:tcW w:w="1339" w:type="pct"/>
                  <w:tcBorders>
                    <w:tl2br w:val="nil"/>
                    <w:tr2bl w:val="nil"/>
                  </w:tcBorders>
                  <w:noWrap w:val="0"/>
                  <w:vAlign w:val="center"/>
                </w:tcPr>
                <w:p w14:paraId="535C8F5E">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w:t>
                  </w:r>
                  <w:r>
                    <w:rPr>
                      <w:rFonts w:hint="eastAsia" w:ascii="Times New Roman" w:hAnsi="Times New Roman" w:eastAsia="宋体" w:cs="Times New Roman"/>
                      <w:b w:val="0"/>
                      <w:bCs w:val="0"/>
                      <w:color w:val="auto"/>
                      <w:sz w:val="21"/>
                      <w:szCs w:val="21"/>
                      <w:highlight w:val="none"/>
                      <w:lang w:val="en-US" w:eastAsia="zh-CN"/>
                    </w:rPr>
                    <w:t>不</w:t>
                  </w:r>
                  <w:r>
                    <w:rPr>
                      <w:rFonts w:hint="default" w:ascii="Times New Roman" w:hAnsi="Times New Roman" w:eastAsia="宋体" w:cs="Times New Roman"/>
                      <w:b w:val="0"/>
                      <w:bCs w:val="0"/>
                      <w:color w:val="auto"/>
                      <w:sz w:val="21"/>
                      <w:szCs w:val="21"/>
                      <w:highlight w:val="none"/>
                      <w:lang w:val="en-US" w:eastAsia="zh-CN"/>
                    </w:rPr>
                    <w:t>新增工业废水</w:t>
                  </w:r>
                </w:p>
              </w:tc>
              <w:tc>
                <w:tcPr>
                  <w:tcW w:w="745" w:type="pct"/>
                  <w:tcBorders>
                    <w:tl2br w:val="nil"/>
                    <w:tr2bl w:val="nil"/>
                  </w:tcBorders>
                  <w:noWrap w:val="0"/>
                  <w:vAlign w:val="center"/>
                </w:tcPr>
                <w:p w14:paraId="29D6C7F7">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否</w:t>
                  </w:r>
                </w:p>
              </w:tc>
            </w:tr>
            <w:tr w14:paraId="611B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2FC6A869">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环境风险</w:t>
                  </w:r>
                </w:p>
              </w:tc>
              <w:tc>
                <w:tcPr>
                  <w:tcW w:w="2280" w:type="pct"/>
                  <w:tcBorders>
                    <w:tl2br w:val="nil"/>
                    <w:tr2bl w:val="nil"/>
                  </w:tcBorders>
                  <w:noWrap w:val="0"/>
                  <w:vAlign w:val="center"/>
                </w:tcPr>
                <w:p w14:paraId="3455FF03">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有毒有害和易燃易爆危险物质存储量超过临界量</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的建设项目</w:t>
                  </w:r>
                </w:p>
              </w:tc>
              <w:tc>
                <w:tcPr>
                  <w:tcW w:w="1339" w:type="pct"/>
                  <w:tcBorders>
                    <w:tl2br w:val="nil"/>
                    <w:tr2bl w:val="nil"/>
                  </w:tcBorders>
                  <w:noWrap w:val="0"/>
                  <w:vAlign w:val="center"/>
                </w:tcPr>
                <w:p w14:paraId="2B113A01">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本项目建成后全厂Q值</w:t>
                  </w:r>
                  <w:r>
                    <w:rPr>
                      <w:rFonts w:hint="eastAsia" w:ascii="Times New Roman" w:hAnsi="Times New Roman" w:eastAsia="宋体" w:cs="Times New Roman"/>
                      <w:b w:val="0"/>
                      <w:bCs w:val="0"/>
                      <w:color w:val="auto"/>
                      <w:sz w:val="21"/>
                      <w:szCs w:val="21"/>
                      <w:highlight w:val="none"/>
                      <w:lang w:val="en-US" w:eastAsia="zh-CN"/>
                    </w:rPr>
                    <w:t>小于</w:t>
                  </w:r>
                  <w:r>
                    <w:rPr>
                      <w:rFonts w:hint="default" w:ascii="Times New Roman" w:hAnsi="Times New Roman" w:eastAsia="宋体" w:cs="Times New Roman"/>
                      <w:b w:val="0"/>
                      <w:bCs w:val="0"/>
                      <w:color w:val="auto"/>
                      <w:sz w:val="21"/>
                      <w:szCs w:val="21"/>
                      <w:highlight w:val="none"/>
                      <w:lang w:val="en-US" w:eastAsia="zh-CN"/>
                    </w:rPr>
                    <w:t>1</w:t>
                  </w:r>
                </w:p>
              </w:tc>
              <w:tc>
                <w:tcPr>
                  <w:tcW w:w="745" w:type="pct"/>
                  <w:tcBorders>
                    <w:tl2br w:val="nil"/>
                    <w:tr2bl w:val="nil"/>
                  </w:tcBorders>
                  <w:noWrap w:val="0"/>
                  <w:vAlign w:val="center"/>
                </w:tcPr>
                <w:p w14:paraId="16880E8E">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否</w:t>
                  </w:r>
                </w:p>
              </w:tc>
            </w:tr>
            <w:tr w14:paraId="3F77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7286EDC9">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生态</w:t>
                  </w:r>
                </w:p>
              </w:tc>
              <w:tc>
                <w:tcPr>
                  <w:tcW w:w="2280" w:type="pct"/>
                  <w:tcBorders>
                    <w:tl2br w:val="nil"/>
                    <w:tr2bl w:val="nil"/>
                  </w:tcBorders>
                  <w:noWrap w:val="0"/>
                  <w:vAlign w:val="center"/>
                </w:tcPr>
                <w:p w14:paraId="5CB97891">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取水口下游500米范围内有重要水生生物的自然产卵场、索饵场、越冬场和洄游通道的新增河道取水的污染类建设项目</w:t>
                  </w:r>
                </w:p>
              </w:tc>
              <w:tc>
                <w:tcPr>
                  <w:tcW w:w="1339" w:type="pct"/>
                  <w:tcBorders>
                    <w:tl2br w:val="nil"/>
                    <w:tr2bl w:val="nil"/>
                  </w:tcBorders>
                  <w:noWrap w:val="0"/>
                  <w:vAlign w:val="center"/>
                </w:tcPr>
                <w:p w14:paraId="0880A84D">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本项目不涉及</w:t>
                  </w:r>
                </w:p>
              </w:tc>
              <w:tc>
                <w:tcPr>
                  <w:tcW w:w="745" w:type="pct"/>
                  <w:tcBorders>
                    <w:tl2br w:val="nil"/>
                    <w:tr2bl w:val="nil"/>
                  </w:tcBorders>
                  <w:noWrap w:val="0"/>
                  <w:vAlign w:val="center"/>
                </w:tcPr>
                <w:p w14:paraId="0F70F347">
                  <w:pPr>
                    <w:pStyle w:val="84"/>
                    <w:keepNext w:val="0"/>
                    <w:keepLines w:val="0"/>
                    <w:pageBreakBefore w:val="0"/>
                    <w:widowControl w:val="0"/>
                    <w:kinsoku/>
                    <w:wordWrap/>
                    <w:overflowPunct w:val="0"/>
                    <w:topLinePunct w:val="0"/>
                    <w:autoSpaceDE/>
                    <w:autoSpaceDN/>
                    <w:bidi w:val="0"/>
                    <w:adjustRightInd w:val="0"/>
                    <w:snapToGrid/>
                    <w:spacing w:line="240" w:lineRule="auto"/>
                    <w:jc w:val="center"/>
                    <w:textAlignment w:val="baseline"/>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否</w:t>
                  </w:r>
                </w:p>
              </w:tc>
            </w:tr>
            <w:tr w14:paraId="0FFB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000" w:type="pct"/>
                  <w:gridSpan w:val="4"/>
                  <w:tcBorders>
                    <w:tl2br w:val="nil"/>
                    <w:tr2bl w:val="nil"/>
                  </w:tcBorders>
                  <w:noWrap w:val="0"/>
                  <w:vAlign w:val="center"/>
                </w:tcPr>
                <w:p w14:paraId="703D86D6">
                  <w:pPr>
                    <w:pStyle w:val="84"/>
                    <w:keepNext w:val="0"/>
                    <w:keepLines w:val="0"/>
                    <w:pageBreakBefore w:val="0"/>
                    <w:widowControl w:val="0"/>
                    <w:kinsoku/>
                    <w:wordWrap/>
                    <w:overflowPunct w:val="0"/>
                    <w:topLinePunct w:val="0"/>
                    <w:autoSpaceDE/>
                    <w:autoSpaceDN/>
                    <w:bidi w:val="0"/>
                    <w:adjustRightInd w:val="0"/>
                    <w:snapToGrid/>
                    <w:spacing w:line="240" w:lineRule="auto"/>
                    <w:jc w:val="left"/>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注：1、废气中有毒有害污染物指纳入《有毒有害大气污染物名录》的污染物（不包括无排放标准的污染物）。</w:t>
                  </w:r>
                </w:p>
                <w:p w14:paraId="12826949">
                  <w:pPr>
                    <w:pStyle w:val="84"/>
                    <w:keepNext w:val="0"/>
                    <w:keepLines w:val="0"/>
                    <w:pageBreakBefore w:val="0"/>
                    <w:widowControl w:val="0"/>
                    <w:kinsoku/>
                    <w:wordWrap/>
                    <w:overflowPunct w:val="0"/>
                    <w:topLinePunct w:val="0"/>
                    <w:autoSpaceDE/>
                    <w:autoSpaceDN/>
                    <w:bidi w:val="0"/>
                    <w:adjustRightInd w:val="0"/>
                    <w:snapToGrid/>
                    <w:spacing w:line="240" w:lineRule="auto"/>
                    <w:jc w:val="left"/>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2、环境空气保护目标指自然保护区、风景名胜区、居住区、文化区和农村地区中人群较集中的区域。</w:t>
                  </w:r>
                </w:p>
                <w:p w14:paraId="1921F7CD">
                  <w:pPr>
                    <w:pStyle w:val="84"/>
                    <w:keepNext w:val="0"/>
                    <w:keepLines w:val="0"/>
                    <w:pageBreakBefore w:val="0"/>
                    <w:widowControl w:val="0"/>
                    <w:kinsoku/>
                    <w:wordWrap/>
                    <w:overflowPunct w:val="0"/>
                    <w:topLinePunct w:val="0"/>
                    <w:autoSpaceDE/>
                    <w:autoSpaceDN/>
                    <w:bidi w:val="0"/>
                    <w:adjustRightInd w:val="0"/>
                    <w:snapToGrid/>
                    <w:spacing w:line="240" w:lineRule="auto"/>
                    <w:jc w:val="left"/>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3、临界量及其计算方法可参考《建设项目环境风险评价技术导则》（HJ169）附录B、附录C</w:t>
                  </w:r>
                </w:p>
              </w:tc>
            </w:tr>
          </w:tbl>
          <w:p w14:paraId="2B60B3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sz w:val="24"/>
                <w:highlight w:val="none"/>
                <w:lang w:val="en-US" w:eastAsia="zh-CN"/>
              </w:rPr>
              <w:t>综上，本项目</w:t>
            </w:r>
            <w:r>
              <w:rPr>
                <w:rFonts w:hint="eastAsia" w:ascii="Times New Roman" w:hAnsi="Times New Roman" w:eastAsia="宋体" w:cs="Times New Roman"/>
                <w:color w:val="auto"/>
                <w:sz w:val="24"/>
                <w:highlight w:val="none"/>
                <w:lang w:val="en-US" w:eastAsia="zh-CN"/>
              </w:rPr>
              <w:t>无需</w:t>
            </w:r>
            <w:r>
              <w:rPr>
                <w:rFonts w:hint="default" w:ascii="Times New Roman" w:hAnsi="Times New Roman" w:eastAsia="宋体" w:cs="Times New Roman"/>
                <w:color w:val="auto"/>
                <w:sz w:val="24"/>
                <w:highlight w:val="none"/>
                <w:lang w:val="en-US" w:eastAsia="zh-CN"/>
              </w:rPr>
              <w:t>设置专项评价。</w:t>
            </w:r>
          </w:p>
        </w:tc>
      </w:tr>
      <w:tr w14:paraId="0EE4C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039" w:type="dxa"/>
            <w:noWrap w:val="0"/>
            <w:vAlign w:val="center"/>
          </w:tcPr>
          <w:p w14:paraId="37C14467">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规划情况</w:t>
            </w:r>
          </w:p>
        </w:tc>
        <w:tc>
          <w:tcPr>
            <w:tcW w:w="7824" w:type="dxa"/>
            <w:gridSpan w:val="3"/>
            <w:noWrap w:val="0"/>
            <w:vAlign w:val="center"/>
          </w:tcPr>
          <w:p w14:paraId="1E6A1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规划名称：《泗水县国土空间总体规划（2021-2035）》</w:t>
            </w:r>
          </w:p>
          <w:p w14:paraId="6F012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审批机关：</w:t>
            </w:r>
            <w:r>
              <w:rPr>
                <w:rFonts w:hint="eastAsia" w:cs="Times New Roman"/>
                <w:color w:val="auto"/>
                <w:sz w:val="24"/>
                <w:szCs w:val="24"/>
                <w:highlight w:val="none"/>
                <w:lang w:val="en-US" w:eastAsia="zh-CN"/>
              </w:rPr>
              <w:t>山东省</w:t>
            </w:r>
            <w:r>
              <w:rPr>
                <w:rFonts w:hint="default" w:ascii="Times New Roman" w:hAnsi="Times New Roman" w:eastAsia="宋体" w:cs="Times New Roman"/>
                <w:color w:val="auto"/>
                <w:sz w:val="24"/>
                <w:szCs w:val="24"/>
                <w:highlight w:val="none"/>
                <w:lang w:val="en-US" w:eastAsia="zh-CN"/>
              </w:rPr>
              <w:t>人民政府</w:t>
            </w:r>
          </w:p>
          <w:p w14:paraId="16D15E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审批文件文号：鲁政字〔2024〕48号</w:t>
            </w:r>
          </w:p>
          <w:p w14:paraId="48D95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规划名称：《泗水县苗馆镇镇国土空间规划（2021-2035年）》</w:t>
            </w:r>
            <w:r>
              <w:rPr>
                <w:rFonts w:hint="eastAsia" w:ascii="Times New Roman" w:hAnsi="Times New Roman" w:eastAsia="宋体" w:cs="Times New Roman"/>
                <w:color w:val="auto"/>
                <w:sz w:val="24"/>
                <w:szCs w:val="24"/>
                <w:highlight w:val="none"/>
                <w:lang w:val="en-US" w:eastAsia="zh-CN"/>
              </w:rPr>
              <w:t>；</w:t>
            </w:r>
          </w:p>
          <w:p w14:paraId="4AB65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审批机关：泗水县人民政府</w:t>
            </w:r>
            <w:r>
              <w:rPr>
                <w:rFonts w:hint="eastAsia" w:ascii="Times New Roman" w:hAnsi="Times New Roman" w:eastAsia="宋体" w:cs="Times New Roman"/>
                <w:color w:val="auto"/>
                <w:sz w:val="24"/>
                <w:szCs w:val="24"/>
                <w:highlight w:val="none"/>
                <w:lang w:val="en-US" w:eastAsia="zh-CN"/>
              </w:rPr>
              <w:t>；</w:t>
            </w:r>
          </w:p>
          <w:p w14:paraId="5FB6B0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审批文件文号：泗政字〔2024〕156号）</w:t>
            </w:r>
          </w:p>
        </w:tc>
      </w:tr>
      <w:tr w14:paraId="43F16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9" w:type="dxa"/>
            <w:noWrap w:val="0"/>
            <w:vAlign w:val="center"/>
          </w:tcPr>
          <w:p w14:paraId="0C808420">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规划环境影响评价情况</w:t>
            </w:r>
          </w:p>
        </w:tc>
        <w:tc>
          <w:tcPr>
            <w:tcW w:w="7824" w:type="dxa"/>
            <w:gridSpan w:val="3"/>
            <w:noWrap w:val="0"/>
            <w:vAlign w:val="center"/>
          </w:tcPr>
          <w:p w14:paraId="28258A29">
            <w:pPr>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无</w:t>
            </w:r>
          </w:p>
        </w:tc>
      </w:tr>
      <w:tr w14:paraId="215CD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039" w:type="dxa"/>
            <w:noWrap w:val="0"/>
            <w:vAlign w:val="center"/>
          </w:tcPr>
          <w:p w14:paraId="1D9DBD22">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规划及规划环境影响评价符合性分析</w:t>
            </w:r>
          </w:p>
        </w:tc>
        <w:tc>
          <w:tcPr>
            <w:tcW w:w="7824" w:type="dxa"/>
            <w:gridSpan w:val="3"/>
            <w:noWrap w:val="0"/>
            <w:vAlign w:val="center"/>
          </w:tcPr>
          <w:p w14:paraId="10632A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val="en-US" w:eastAsia="zh-CN"/>
              </w:rPr>
            </w:pPr>
            <w:r>
              <w:rPr>
                <w:rFonts w:hint="eastAsia"/>
                <w:b w:val="0"/>
                <w:bCs/>
                <w:color w:val="auto"/>
                <w:kern w:val="0"/>
                <w:sz w:val="24"/>
                <w:highlight w:val="none"/>
              </w:rPr>
              <w:t>《</w:t>
            </w:r>
            <w:r>
              <w:rPr>
                <w:rFonts w:hint="eastAsia"/>
                <w:b w:val="0"/>
                <w:bCs/>
                <w:color w:val="auto"/>
                <w:kern w:val="0"/>
                <w:sz w:val="24"/>
                <w:highlight w:val="none"/>
                <w:lang w:val="en-US" w:eastAsia="zh-CN"/>
              </w:rPr>
              <w:t>泗水</w:t>
            </w:r>
            <w:r>
              <w:rPr>
                <w:rFonts w:hint="eastAsia"/>
                <w:b w:val="0"/>
                <w:bCs/>
                <w:color w:val="auto"/>
                <w:kern w:val="0"/>
                <w:sz w:val="24"/>
                <w:highlight w:val="none"/>
              </w:rPr>
              <w:t>县国土空间总体规划（2021-2035年）》</w:t>
            </w:r>
            <w:r>
              <w:rPr>
                <w:rFonts w:hint="default" w:ascii="Times New Roman" w:hAnsi="Times New Roman" w:cs="Times New Roman"/>
                <w:b w:val="0"/>
                <w:bCs/>
                <w:color w:val="auto"/>
                <w:kern w:val="0"/>
                <w:sz w:val="24"/>
                <w:szCs w:val="24"/>
                <w:highlight w:val="none"/>
                <w:lang w:val="en-US" w:eastAsia="zh-CN"/>
              </w:rPr>
              <w:t>：</w:t>
            </w:r>
          </w:p>
          <w:p w14:paraId="27375D7E">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规划范围</w:t>
            </w:r>
          </w:p>
          <w:p w14:paraId="791F61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规划范围包括县域和中心城区两个空间层次，县域层次包含泗水县行政辖区内的陆域空间，中心城区包括泗河街道、济河街道、金庄镇和中册镇的现状建成区及规划扩展区域，面积43.30平方千米。规划范围不作为市县间勘界和管辖的依据，邻界地区开展空间开发保护利用活动时，应做好与相邻县（市、区）的协调衔接。</w:t>
            </w:r>
          </w:p>
          <w:p w14:paraId="7DBABE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二、</w:t>
            </w:r>
            <w:r>
              <w:rPr>
                <w:rFonts w:hint="default" w:ascii="Times New Roman" w:hAnsi="Times New Roman" w:eastAsia="宋体" w:cs="Times New Roman"/>
                <w:color w:val="auto"/>
                <w:kern w:val="0"/>
                <w:sz w:val="24"/>
                <w:szCs w:val="24"/>
                <w:highlight w:val="none"/>
                <w:lang w:val="en-US" w:eastAsia="zh-CN"/>
              </w:rPr>
              <w:t>规划主要内容：</w:t>
            </w:r>
          </w:p>
          <w:p w14:paraId="6243F3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明确发展定位</w:t>
            </w:r>
            <w:r>
              <w:rPr>
                <w:rFonts w:hint="eastAsia" w:ascii="Times New Roman" w:hAnsi="Times New Roman" w:eastAsia="宋体" w:cs="Times New Roman"/>
                <w:color w:val="auto"/>
                <w:kern w:val="0"/>
                <w:sz w:val="24"/>
                <w:szCs w:val="24"/>
                <w:highlight w:val="none"/>
                <w:lang w:val="en-US" w:eastAsia="zh-CN"/>
              </w:rPr>
              <w:t>：结合镇（街道）实际情况，细化主体功能定位，确定泗河街道、济河街道、金庄镇和中册镇为城市化地区，是未来泗水县新增建设用地指标投放、基础设施延伸、项目布局、资金投放的重点区域。</w:t>
            </w:r>
          </w:p>
          <w:p w14:paraId="45A24C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项目位于山东省济宁市泗水县苗馆镇二十里铺村，</w:t>
            </w:r>
            <w:r>
              <w:rPr>
                <w:rFonts w:hint="eastAsia" w:ascii="Times New Roman" w:hAnsi="Times New Roman" w:eastAsia="宋体" w:cs="Times New Roman"/>
                <w:color w:val="auto"/>
                <w:kern w:val="0"/>
                <w:sz w:val="24"/>
                <w:szCs w:val="24"/>
                <w:highlight w:val="none"/>
                <w:lang w:val="en-US" w:eastAsia="zh-CN"/>
              </w:rPr>
              <w:t>具体地理位置见附图1。</w:t>
            </w:r>
            <w:r>
              <w:rPr>
                <w:rFonts w:hint="default" w:ascii="Times New Roman" w:hAnsi="Times New Roman" w:eastAsia="宋体" w:cs="Times New Roman"/>
                <w:color w:val="auto"/>
                <w:kern w:val="0"/>
                <w:sz w:val="24"/>
                <w:szCs w:val="24"/>
                <w:highlight w:val="none"/>
                <w:lang w:val="en-US" w:eastAsia="zh-CN"/>
              </w:rPr>
              <w:t>根据《泗水县苗馆镇镇国土空间规划（2021-2035年）》国土空间控制线规划图（</w:t>
            </w:r>
            <w:r>
              <w:rPr>
                <w:rFonts w:hint="eastAsia" w:ascii="Times New Roman" w:hAnsi="Times New Roman" w:eastAsia="宋体" w:cs="Times New Roman"/>
                <w:color w:val="auto"/>
                <w:kern w:val="0"/>
                <w:sz w:val="24"/>
                <w:szCs w:val="24"/>
                <w:highlight w:val="none"/>
                <w:lang w:val="en-US" w:eastAsia="zh-CN"/>
              </w:rPr>
              <w:t>具体见附图2</w:t>
            </w:r>
            <w:r>
              <w:rPr>
                <w:rFonts w:hint="default" w:ascii="Times New Roman" w:hAnsi="Times New Roman" w:eastAsia="宋体" w:cs="Times New Roman"/>
                <w:color w:val="auto"/>
                <w:kern w:val="0"/>
                <w:sz w:val="24"/>
                <w:szCs w:val="24"/>
                <w:highlight w:val="none"/>
                <w:lang w:val="en-US" w:eastAsia="zh-CN"/>
              </w:rPr>
              <w:t>），项目所在地位于城镇开发边界范围内，不涉及永久基本农田和生态保护红线</w:t>
            </w:r>
            <w:r>
              <w:rPr>
                <w:rFonts w:hint="eastAsia" w:cs="Times New Roman"/>
                <w:color w:val="auto"/>
                <w:kern w:val="0"/>
                <w:sz w:val="24"/>
                <w:szCs w:val="24"/>
                <w:highlight w:val="none"/>
                <w:lang w:val="en-US" w:eastAsia="zh-CN"/>
              </w:rPr>
              <w:t>。根据泗水县苗馆镇出具的意见（见附件4），该项目选址符合泗水县国土空间规划要求，项目选址位于城镇开发边界范围内，符合苗馆镇产业发展布局。</w:t>
            </w:r>
          </w:p>
          <w:p w14:paraId="36F6F0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val="en-US" w:eastAsia="zh-CN"/>
              </w:rPr>
            </w:pPr>
            <w:r>
              <w:rPr>
                <w:rFonts w:hint="eastAsia"/>
                <w:b w:val="0"/>
                <w:bCs/>
                <w:color w:val="auto"/>
                <w:kern w:val="0"/>
                <w:sz w:val="24"/>
                <w:highlight w:val="none"/>
              </w:rPr>
              <w:t>《</w:t>
            </w:r>
            <w:r>
              <w:rPr>
                <w:rFonts w:hint="default" w:ascii="Times New Roman" w:hAnsi="Times New Roman" w:eastAsia="宋体" w:cs="Times New Roman"/>
                <w:color w:val="auto"/>
                <w:sz w:val="24"/>
                <w:szCs w:val="24"/>
                <w:highlight w:val="none"/>
                <w:lang w:val="en-US" w:eastAsia="zh-CN"/>
              </w:rPr>
              <w:t>泗水县苗馆镇镇国土空间规划（2021-2035年）</w:t>
            </w:r>
            <w:r>
              <w:rPr>
                <w:rFonts w:hint="eastAsia"/>
                <w:b w:val="0"/>
                <w:bCs/>
                <w:color w:val="auto"/>
                <w:kern w:val="0"/>
                <w:sz w:val="24"/>
                <w:highlight w:val="none"/>
              </w:rPr>
              <w:t>》</w:t>
            </w:r>
            <w:r>
              <w:rPr>
                <w:rFonts w:hint="default" w:ascii="Times New Roman" w:hAnsi="Times New Roman" w:cs="Times New Roman"/>
                <w:b w:val="0"/>
                <w:bCs/>
                <w:color w:val="auto"/>
                <w:kern w:val="0"/>
                <w:sz w:val="24"/>
                <w:szCs w:val="24"/>
                <w:highlight w:val="none"/>
                <w:lang w:val="en-US" w:eastAsia="zh-CN"/>
              </w:rPr>
              <w:t>：</w:t>
            </w:r>
          </w:p>
          <w:p w14:paraId="26242D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一、</w:t>
            </w:r>
            <w:r>
              <w:rPr>
                <w:rFonts w:hint="default" w:ascii="Times New Roman" w:hAnsi="Times New Roman" w:eastAsia="宋体" w:cs="Times New Roman"/>
                <w:color w:val="auto"/>
                <w:kern w:val="0"/>
                <w:sz w:val="24"/>
                <w:szCs w:val="24"/>
                <w:highlight w:val="none"/>
                <w:lang w:val="en-US" w:eastAsia="zh-CN"/>
              </w:rPr>
              <w:t>规划范围</w:t>
            </w:r>
          </w:p>
          <w:p w14:paraId="5B7431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规划层次包括苗馆镇全域和城镇开发边界范围两个层次。全域层次为苗馆镇行政辖区范围内的全部国土空间，总面积111.83平方千米。城镇开发边界范围包括北部镇区、东北部G327沿线工业园区的现状建成区和东部黄鲸路沿线工业园区的现状建成区及规划扩展区域，总面积2.53平方千米</w:t>
            </w:r>
            <w:r>
              <w:rPr>
                <w:rFonts w:hint="eastAsia" w:ascii="Times New Roman" w:hAnsi="Times New Roman" w:eastAsia="宋体" w:cs="Times New Roman"/>
                <w:color w:val="auto"/>
                <w:kern w:val="0"/>
                <w:sz w:val="24"/>
                <w:szCs w:val="24"/>
                <w:highlight w:val="none"/>
                <w:lang w:val="en-US" w:eastAsia="zh-CN"/>
              </w:rPr>
              <w:t>。</w:t>
            </w:r>
          </w:p>
          <w:p w14:paraId="4B263128">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规划期限</w:t>
            </w:r>
          </w:p>
          <w:p w14:paraId="258213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规划期限为2021年至2035年，基期年为2020年，近期至2025年，远景展望至2050年。</w:t>
            </w:r>
          </w:p>
          <w:p w14:paraId="5EF0F362">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规划主要内容：</w:t>
            </w:r>
          </w:p>
          <w:p w14:paraId="0032ED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（一）、明确发展定位，</w:t>
            </w:r>
            <w:r>
              <w:rPr>
                <w:rFonts w:hint="default" w:ascii="Times New Roman" w:hAnsi="Times New Roman" w:eastAsia="宋体" w:cs="Times New Roman"/>
                <w:color w:val="auto"/>
                <w:kern w:val="0"/>
                <w:sz w:val="24"/>
                <w:szCs w:val="24"/>
                <w:highlight w:val="none"/>
                <w:lang w:val="en-US" w:eastAsia="zh-CN"/>
              </w:rPr>
              <w:t>深化落实《泗水县国土空间总体规划（2021-2035年）》，充分发挥苗馆镇特色农业资 源、产业发展优势，促进特色资源转化为发展优势，全面发展现代工贸。规划确定苗馆镇城镇性质为：以绿色建材、新能源和商贸物流为主导的工贸城镇。</w:t>
            </w:r>
          </w:p>
          <w:p w14:paraId="256CE1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（二）统筹划定三条控制线。规划至2035年，苗馆镇耕地保有量不低于5.53万亩，永久基本农田保护面积不低 于5.31万亩；生态保护红线面积不低于929.50公顷；城镇 开发边界面积控制在253.41公顷以内。</w:t>
            </w:r>
          </w:p>
          <w:p w14:paraId="2D8121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（三）构建国土空间总体格局。落实生态优先、绿色 发展的理念，重塑国土空间总体格局。统筹自然资源保护 要素，合理构建生态网络格局。规划构建“一心、三轴、一带、三区、多节点”的国土空间开发保护总体格局。“一心”是以镇驻地为核心辐射发展的综合服务中心，主要承载生活和综合服务功能。“三轴”分别是沿原327国道串联多功能片区的镇域发展轴、沿原103省道串联多功能片区的镇域发展轴、沿黄鲸路串联多功能片区的镇域发展轴。发挥轴线带动作用，提升镇区的吸引力，促进沿线镇村集聚发展。“一带”分别指沿泗河形成的泗河乡村振兴带。“三区”分别为高效农业发展区、生态农业示范区、生态保育区。“多点”为依托中心社区、产业园、景区的特色组团节点。包括岩寨社区、故安社区、踅庄社区、东平社区等生活社区，海螺产业园等产业园区，石漏河湿地公园、泗河源国家湿地公园等生态景区。</w:t>
            </w:r>
          </w:p>
          <w:p w14:paraId="52B588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四）细化全域规划用途分区。统筹布局农业、生态、城镇功能空间，加强镇域全要素国土空间用途管制。在镇域层面划分生态保护区、生态控制区、农田保护区、城镇发展区、乡村发展区和矿产能源发展区等规划分区。 批后公告其中城镇发展区细分为居住生活区、综合服务区、商业商务区、工业发展区、绿地休闲区和战略预留区；乡村发展区细分为村庄建设区、一般农业区、林业发展区。</w:t>
            </w:r>
          </w:p>
          <w:p w14:paraId="1300D6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五）完善国土空间支撑体系。构建“国道—省道—县乡道—其他道路”四级综合交通体系，形成现代、高效、便捷的道路交通体系；构建覆盖全域的“镇区—中心社区—基层村”的乡村社区生活圈3级公共服务体系，分级优化镇域公共服务设施布局，搭建“功能完善、服务均等”的公共服务体系；优化全域市</w:t>
            </w:r>
            <w:r>
              <w:rPr>
                <w:rFonts w:ascii="宋体" w:hAnsi="宋体" w:eastAsia="宋体" w:cs="宋体"/>
                <w:color w:val="auto"/>
                <w:sz w:val="24"/>
                <w:szCs w:val="24"/>
                <w:highlight w:val="none"/>
              </w:rPr>
              <w:t>政基础设施体系布局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明确管控要求。</w:t>
            </w:r>
          </w:p>
          <w:p w14:paraId="429E41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color w:val="auto"/>
                <w:highlight w:val="none"/>
                <w:lang w:val="en-US" w:eastAsia="zh-CN"/>
              </w:rPr>
            </w:pPr>
            <w:r>
              <w:rPr>
                <w:rFonts w:hint="eastAsia" w:ascii="Times New Roman" w:hAnsi="Times New Roman" w:eastAsia="宋体" w:cs="Times New Roman"/>
                <w:color w:val="auto"/>
                <w:kern w:val="0"/>
                <w:szCs w:val="24"/>
                <w:highlight w:val="none"/>
                <w:lang w:val="en-US" w:eastAsia="zh-CN"/>
              </w:rPr>
              <w:t>综上，本项目位于</w:t>
            </w:r>
            <w:r>
              <w:rPr>
                <w:rFonts w:hint="eastAsia" w:ascii="Times New Roman" w:hAnsi="Times New Roman" w:eastAsia="宋体" w:cs="Times New Roman"/>
                <w:color w:val="auto"/>
                <w:sz w:val="24"/>
                <w:szCs w:val="24"/>
                <w:highlight w:val="none"/>
                <w:lang w:val="en-US" w:eastAsia="zh-CN"/>
              </w:rPr>
              <w:t>济宁市泗水县苗馆镇二十里铺村，具体地理位置见附图1，</w:t>
            </w:r>
            <w:r>
              <w:rPr>
                <w:rFonts w:hint="default" w:ascii="Times New Roman" w:hAnsi="Times New Roman" w:eastAsia="宋体" w:cs="Times New Roman"/>
                <w:color w:val="auto"/>
                <w:kern w:val="0"/>
                <w:sz w:val="24"/>
                <w:szCs w:val="24"/>
                <w:highlight w:val="none"/>
                <w:lang w:val="en-US" w:eastAsia="zh-CN"/>
              </w:rPr>
              <w:t>根据《泗水县苗馆镇镇国土空间规划（2021-2035年）》国土空间控制线规划图（</w:t>
            </w:r>
            <w:r>
              <w:rPr>
                <w:rFonts w:hint="eastAsia" w:ascii="Times New Roman" w:hAnsi="Times New Roman" w:eastAsia="宋体" w:cs="Times New Roman"/>
                <w:color w:val="auto"/>
                <w:kern w:val="0"/>
                <w:sz w:val="24"/>
                <w:szCs w:val="24"/>
                <w:highlight w:val="none"/>
                <w:lang w:val="en-US" w:eastAsia="zh-CN"/>
              </w:rPr>
              <w:t>具体见附图2</w:t>
            </w:r>
            <w:r>
              <w:rPr>
                <w:rFonts w:hint="default" w:ascii="Times New Roman" w:hAnsi="Times New Roman" w:eastAsia="宋体" w:cs="Times New Roman"/>
                <w:color w:val="auto"/>
                <w:kern w:val="0"/>
                <w:sz w:val="24"/>
                <w:szCs w:val="24"/>
                <w:highlight w:val="none"/>
                <w:lang w:val="en-US" w:eastAsia="zh-CN"/>
              </w:rPr>
              <w:t>），项目所在地位于城镇开发边界范围内，不涉及永久基本农田和生态保护红线，</w:t>
            </w:r>
            <w:r>
              <w:rPr>
                <w:rFonts w:hint="eastAsia" w:ascii="Times New Roman" w:hAnsi="Times New Roman" w:eastAsia="宋体" w:cs="Times New Roman"/>
                <w:color w:val="auto"/>
                <w:kern w:val="0"/>
                <w:sz w:val="24"/>
                <w:szCs w:val="24"/>
                <w:highlight w:val="none"/>
                <w:lang w:val="en-US" w:eastAsia="zh-CN"/>
              </w:rPr>
              <w:t>根据</w:t>
            </w:r>
            <w:r>
              <w:rPr>
                <w:rFonts w:hint="default" w:ascii="Times New Roman" w:hAnsi="Times New Roman" w:eastAsia="宋体" w:cs="Times New Roman"/>
                <w:color w:val="auto"/>
                <w:kern w:val="0"/>
                <w:sz w:val="24"/>
                <w:szCs w:val="24"/>
                <w:highlight w:val="none"/>
                <w:lang w:val="en-US" w:eastAsia="zh-CN"/>
              </w:rPr>
              <w:t>《泗水县苗馆镇镇国土空间规划（2021-2035年）》国土空间规划分区图</w:t>
            </w:r>
            <w:r>
              <w:rPr>
                <w:rFonts w:hint="eastAsia" w:ascii="Times New Roman" w:hAnsi="Times New Roman" w:eastAsia="宋体" w:cs="Times New Roman"/>
                <w:color w:val="auto"/>
                <w:kern w:val="0"/>
                <w:sz w:val="24"/>
                <w:szCs w:val="24"/>
                <w:highlight w:val="none"/>
                <w:lang w:val="en-US" w:eastAsia="zh-CN"/>
              </w:rPr>
              <w:t>（附图3），厂区位于工业发展区，用地为工业用地。</w:t>
            </w:r>
          </w:p>
        </w:tc>
      </w:tr>
      <w:tr w14:paraId="4C04F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9" w:type="dxa"/>
            <w:noWrap w:val="0"/>
            <w:vAlign w:val="center"/>
          </w:tcPr>
          <w:p w14:paraId="5EBFFEF7">
            <w:pPr>
              <w:autoSpaceDE w:val="0"/>
              <w:autoSpaceDN w:val="0"/>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其他符合性分析</w:t>
            </w:r>
          </w:p>
        </w:tc>
        <w:tc>
          <w:tcPr>
            <w:tcW w:w="7824" w:type="dxa"/>
            <w:gridSpan w:val="3"/>
            <w:noWrap w:val="0"/>
            <w:vAlign w:val="center"/>
          </w:tcPr>
          <w:p w14:paraId="7BB66842">
            <w:pPr>
              <w:pStyle w:val="81"/>
              <w:keepNext w:val="0"/>
              <w:keepLines w:val="0"/>
              <w:pageBreakBefore w:val="0"/>
              <w:widowControl w:val="0"/>
              <w:kinsoku/>
              <w:wordWrap/>
              <w:overflowPunct/>
              <w:topLinePunct w:val="0"/>
              <w:autoSpaceDE/>
              <w:autoSpaceDN/>
              <w:bidi w:val="0"/>
              <w:snapToGrid/>
              <w:spacing w:line="360" w:lineRule="auto"/>
              <w:ind w:firstLine="482" w:firstLineChars="200"/>
              <w:jc w:val="both"/>
              <w:rPr>
                <w:color w:val="auto"/>
                <w:highlight w:val="none"/>
              </w:rPr>
            </w:pPr>
            <w:r>
              <w:rPr>
                <w:b/>
                <w:bCs/>
                <w:color w:val="auto"/>
                <w:highlight w:val="none"/>
              </w:rPr>
              <w:t>1、项目与产业政策符合性分析</w:t>
            </w:r>
          </w:p>
          <w:p w14:paraId="598B1235">
            <w:pPr>
              <w:autoSpaceDE w:val="0"/>
              <w:autoSpaceDN w:val="0"/>
              <w:adjustRightInd w:val="0"/>
              <w:snapToGrid w:val="0"/>
              <w:spacing w:line="360" w:lineRule="auto"/>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根据《产业结构调整指导目录》（2024年本），本项目属于鼓励类第四十二条“</w:t>
            </w:r>
            <w:r>
              <w:rPr>
                <w:rFonts w:hint="eastAsia" w:ascii="Times New Roman" w:hAnsi="Times New Roman" w:eastAsia="宋体" w:cs="Times New Roman"/>
                <w:color w:val="auto"/>
                <w:highlight w:val="none"/>
                <w:lang w:val="en-US" w:eastAsia="zh-CN"/>
              </w:rPr>
              <w:t>环境保护与资源节约综合利用</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中8、</w:t>
            </w:r>
            <w:r>
              <w:rPr>
                <w:rFonts w:hint="eastAsia" w:ascii="Times New Roman" w:hAnsi="Times New Roman" w:eastAsia="宋体" w:cs="Times New Roman"/>
                <w:color w:val="auto"/>
                <w:highlight w:val="none"/>
              </w:rPr>
              <w:t>“废弃物循环利用</w:t>
            </w:r>
            <w:r>
              <w:rPr>
                <w:rFonts w:hint="eastAsia" w:ascii="Times New Roman" w:hAnsi="Times New Roman" w:eastAsia="宋体" w:cs="Times New Roman"/>
                <w:color w:val="auto"/>
                <w:highlight w:val="none"/>
                <w:lang w:eastAsia="zh-CN"/>
              </w:rPr>
              <w:t>”。</w:t>
            </w:r>
          </w:p>
          <w:p w14:paraId="0034FD6A">
            <w:pPr>
              <w:autoSpaceDE w:val="0"/>
              <w:autoSpaceDN w:val="0"/>
              <w:adjustRightInd w:val="0"/>
              <w:snapToGrid w:val="0"/>
              <w:spacing w:line="360" w:lineRule="auto"/>
              <w:rPr>
                <w:rFonts w:hint="default"/>
                <w:color w:val="auto"/>
                <w:highlight w:val="none"/>
              </w:rPr>
            </w:pPr>
            <w:r>
              <w:rPr>
                <w:rFonts w:hint="default"/>
                <w:color w:val="auto"/>
                <w:highlight w:val="none"/>
                <w:lang w:val="en-US" w:eastAsia="zh-CN"/>
              </w:rPr>
              <w:t>符合国家有关</w:t>
            </w:r>
            <w:r>
              <w:rPr>
                <w:rFonts w:hint="eastAsia"/>
                <w:color w:val="auto"/>
                <w:highlight w:val="none"/>
                <w:lang w:val="en-US" w:eastAsia="zh-CN"/>
              </w:rPr>
              <w:t>法律法规</w:t>
            </w:r>
            <w:r>
              <w:rPr>
                <w:rFonts w:hint="default"/>
                <w:color w:val="auto"/>
                <w:highlight w:val="none"/>
                <w:lang w:val="en-US" w:eastAsia="zh-CN"/>
              </w:rPr>
              <w:t>和政策规定</w:t>
            </w:r>
            <w:r>
              <w:rPr>
                <w:rFonts w:hint="default"/>
                <w:color w:val="auto"/>
                <w:highlight w:val="none"/>
              </w:rPr>
              <w:t>，符合国家产业政策要求。本项目已取得山东省建设项目备案证明，项目代码为</w:t>
            </w:r>
            <w:r>
              <w:rPr>
                <w:rFonts w:hint="eastAsia" w:ascii="Times New Roman" w:hAnsi="Times New Roman" w:eastAsia="宋体" w:cs="Times New Roman"/>
                <w:color w:val="auto"/>
                <w:sz w:val="24"/>
                <w:szCs w:val="24"/>
                <w:highlight w:val="none"/>
                <w:lang w:eastAsia="zh-CN"/>
              </w:rPr>
              <w:t>2512-370831-07-02-564254</w:t>
            </w:r>
            <w:r>
              <w:rPr>
                <w:rFonts w:hint="default"/>
                <w:color w:val="auto"/>
                <w:highlight w:val="none"/>
              </w:rPr>
              <w:t>，</w:t>
            </w:r>
            <w:r>
              <w:rPr>
                <w:rFonts w:hint="eastAsia"/>
                <w:color w:val="auto"/>
                <w:highlight w:val="none"/>
                <w:lang w:val="en-US" w:eastAsia="zh-CN"/>
              </w:rPr>
              <w:t>见附件5，</w:t>
            </w:r>
            <w:r>
              <w:rPr>
                <w:rFonts w:hint="default"/>
                <w:color w:val="auto"/>
                <w:highlight w:val="none"/>
              </w:rPr>
              <w:t>因此本项目符合产业政策要求。</w:t>
            </w:r>
          </w:p>
          <w:p w14:paraId="69809290">
            <w:pPr>
              <w:autoSpaceDE w:val="0"/>
              <w:autoSpaceDN w:val="0"/>
              <w:adjustRightInd w:val="0"/>
              <w:snapToGrid w:val="0"/>
              <w:spacing w:line="360" w:lineRule="auto"/>
              <w:ind w:firstLine="480" w:firstLineChars="200"/>
              <w:rPr>
                <w:rFonts w:hint="default"/>
                <w:color w:val="auto"/>
                <w:highlight w:val="none"/>
              </w:rPr>
            </w:pPr>
            <w:r>
              <w:rPr>
                <w:rFonts w:hint="default"/>
                <w:color w:val="auto"/>
                <w:highlight w:val="none"/>
              </w:rPr>
              <w:t>项目生产过程中未使用国家明令禁止的淘汰类和限制类的工艺和设备，符合国家的产业政策。</w:t>
            </w:r>
          </w:p>
          <w:p w14:paraId="692A6573">
            <w:pPr>
              <w:autoSpaceDE w:val="0"/>
              <w:autoSpaceDN w:val="0"/>
              <w:adjustRightInd w:val="0"/>
              <w:snapToGrid w:val="0"/>
              <w:spacing w:line="360" w:lineRule="auto"/>
              <w:ind w:firstLine="482" w:firstLineChars="200"/>
              <w:rPr>
                <w:rFonts w:hint="default"/>
                <w:b/>
                <w:bCs/>
                <w:color w:val="auto"/>
                <w:highlight w:val="none"/>
                <w:lang w:val="en-US" w:eastAsia="zh-CN"/>
              </w:rPr>
            </w:pPr>
            <w:r>
              <w:rPr>
                <w:rFonts w:hint="eastAsia"/>
                <w:b/>
                <w:bCs/>
                <w:color w:val="auto"/>
                <w:highlight w:val="none"/>
                <w:lang w:val="en-US" w:eastAsia="zh-CN"/>
              </w:rPr>
              <w:t>2</w:t>
            </w:r>
            <w:r>
              <w:rPr>
                <w:rFonts w:hint="default"/>
                <w:b/>
                <w:bCs/>
                <w:color w:val="auto"/>
                <w:highlight w:val="none"/>
                <w:lang w:val="en-US" w:eastAsia="zh-CN"/>
              </w:rPr>
              <w:t>、</w:t>
            </w:r>
            <w:r>
              <w:rPr>
                <w:rFonts w:hint="eastAsia"/>
                <w:b/>
                <w:bCs/>
                <w:color w:val="auto"/>
                <w:highlight w:val="none"/>
                <w:lang w:val="en-US" w:eastAsia="zh-CN"/>
              </w:rPr>
              <w:t>用地符合性</w:t>
            </w:r>
          </w:p>
          <w:p w14:paraId="4002A3B7">
            <w:pPr>
              <w:snapToGrid w:val="0"/>
              <w:spacing w:line="360" w:lineRule="auto"/>
              <w:ind w:firstLine="480" w:firstLineChars="200"/>
              <w:jc w:val="left"/>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根据</w:t>
            </w:r>
            <w:r>
              <w:rPr>
                <w:rFonts w:hint="eastAsia" w:ascii="Times New Roman" w:hAnsi="Times New Roman" w:cs="Times New Roman"/>
                <w:color w:val="auto"/>
                <w:kern w:val="0"/>
                <w:sz w:val="24"/>
                <w:highlight w:val="none"/>
                <w:lang w:val="en-US" w:eastAsia="zh-CN"/>
              </w:rPr>
              <w:t>自然资源部国家发展和改革委员会国家林业和草原局</w:t>
            </w:r>
            <w:r>
              <w:rPr>
                <w:rFonts w:hint="default" w:ascii="Times New Roman" w:hAnsi="Times New Roman" w:cs="Times New Roman"/>
                <w:color w:val="auto"/>
                <w:kern w:val="0"/>
                <w:sz w:val="24"/>
                <w:highlight w:val="none"/>
                <w:lang w:val="en-US" w:eastAsia="zh-CN"/>
              </w:rPr>
              <w:t>关于</w:t>
            </w:r>
            <w:r>
              <w:rPr>
                <w:rFonts w:hint="eastAsia" w:ascii="Times New Roman" w:hAnsi="Times New Roman" w:cs="Times New Roman"/>
                <w:color w:val="auto"/>
                <w:kern w:val="0"/>
                <w:sz w:val="24"/>
                <w:highlight w:val="none"/>
                <w:lang w:val="en-US" w:eastAsia="zh-CN"/>
              </w:rPr>
              <w:t>印发</w:t>
            </w:r>
            <w:r>
              <w:rPr>
                <w:rFonts w:hint="default" w:ascii="Times New Roman" w:hAnsi="Times New Roman" w:cs="Times New Roman"/>
                <w:color w:val="auto"/>
                <w:kern w:val="0"/>
                <w:sz w:val="24"/>
                <w:highlight w:val="none"/>
                <w:lang w:val="en-US" w:eastAsia="zh-CN"/>
              </w:rPr>
              <w:t>《</w:t>
            </w:r>
            <w:r>
              <w:rPr>
                <w:rFonts w:hint="eastAsia" w:ascii="Times New Roman" w:hAnsi="Times New Roman" w:cs="Times New Roman"/>
                <w:color w:val="auto"/>
                <w:kern w:val="0"/>
                <w:sz w:val="24"/>
                <w:highlight w:val="none"/>
                <w:lang w:val="en-US" w:eastAsia="zh-CN"/>
              </w:rPr>
              <w:t>自然资源要素支撑产业高质量发展指导目录（2024年本）</w:t>
            </w:r>
            <w:r>
              <w:rPr>
                <w:rFonts w:hint="default" w:ascii="Times New Roman" w:hAnsi="Times New Roman" w:cs="Times New Roman"/>
                <w:color w:val="auto"/>
                <w:kern w:val="0"/>
                <w:sz w:val="24"/>
                <w:highlight w:val="none"/>
                <w:lang w:val="en-US" w:eastAsia="zh-CN"/>
              </w:rPr>
              <w:t>》</w:t>
            </w:r>
            <w:r>
              <w:rPr>
                <w:rFonts w:hint="eastAsia" w:ascii="Times New Roman" w:hAnsi="Times New Roman" w:cs="Times New Roman"/>
                <w:color w:val="auto"/>
                <w:kern w:val="0"/>
                <w:sz w:val="24"/>
                <w:highlight w:val="none"/>
                <w:lang w:val="en-US" w:eastAsia="zh-CN"/>
              </w:rPr>
              <w:t>的</w:t>
            </w:r>
            <w:r>
              <w:rPr>
                <w:rFonts w:hint="default" w:ascii="Times New Roman" w:hAnsi="Times New Roman" w:cs="Times New Roman"/>
                <w:color w:val="auto"/>
                <w:kern w:val="0"/>
                <w:sz w:val="24"/>
                <w:highlight w:val="none"/>
                <w:lang w:val="en-US" w:eastAsia="zh-CN"/>
              </w:rPr>
              <w:t>通知，</w:t>
            </w:r>
            <w:r>
              <w:rPr>
                <w:rFonts w:hint="eastAsia" w:ascii="Times New Roman" w:hAnsi="Times New Roman" w:cs="Times New Roman"/>
                <w:color w:val="auto"/>
                <w:kern w:val="0"/>
                <w:sz w:val="24"/>
                <w:highlight w:val="none"/>
                <w:lang w:val="en-US" w:eastAsia="zh-CN"/>
              </w:rPr>
              <w:t>凡列入鼓励类的项目，在符合国土空间规划和用途管制的基础上，自然资源、投资管理和林草主管部门可优先提供要素保障、优先办理相关手续；凡列入限制类的项目，必须符合规定的条件或标准，方可办理相关手续；凡列入禁止类或者采用所列工艺技术、装备、规模的项目，不得办理相关手续。鼓励类、限制类和禁止类之外，且符合国家有关法律法规和政策规定的项目属于允许类，依法办理相关手续</w:t>
            </w:r>
            <w:r>
              <w:rPr>
                <w:rFonts w:hint="default" w:ascii="Times New Roman" w:hAnsi="Times New Roman" w:cs="Times New Roman"/>
                <w:color w:val="auto"/>
                <w:kern w:val="0"/>
                <w:sz w:val="24"/>
                <w:highlight w:val="none"/>
                <w:lang w:val="en-US" w:eastAsia="zh-CN"/>
              </w:rPr>
              <w:t>。</w:t>
            </w:r>
          </w:p>
          <w:p w14:paraId="260B3E0B">
            <w:pPr>
              <w:pStyle w:val="66"/>
              <w:spacing w:line="360" w:lineRule="auto"/>
              <w:ind w:firstLine="480"/>
              <w:rPr>
                <w:rFonts w:hint="default" w:ascii="Times New Roman" w:hAnsi="Times New Roman" w:cs="Times New Roman"/>
                <w:color w:val="auto"/>
                <w:sz w:val="24"/>
                <w:szCs w:val="24"/>
                <w:highlight w:val="none"/>
                <w:lang w:eastAsia="zh-CN"/>
              </w:rPr>
            </w:pPr>
            <w:r>
              <w:rPr>
                <w:rFonts w:hint="default" w:ascii="Times New Roman" w:hAnsi="Times New Roman" w:eastAsia="宋体" w:cs="Times New Roman"/>
                <w:color w:val="auto"/>
                <w:sz w:val="24"/>
                <w:highlight w:val="none"/>
                <w:lang w:eastAsia="zh-CN"/>
              </w:rPr>
              <w:t>根据山东泗水</w:t>
            </w:r>
            <w:r>
              <w:rPr>
                <w:rFonts w:hint="default" w:ascii="Times New Roman" w:hAnsi="Times New Roman" w:eastAsia="宋体" w:cs="Times New Roman"/>
                <w:color w:val="auto"/>
                <w:sz w:val="24"/>
                <w:highlight w:val="none"/>
                <w:lang w:val="en-US" w:eastAsia="zh-CN"/>
              </w:rPr>
              <w:t>县苗馆镇政府</w:t>
            </w:r>
            <w:r>
              <w:rPr>
                <w:rFonts w:hint="default" w:ascii="Times New Roman" w:hAnsi="Times New Roman" w:eastAsia="宋体" w:cs="Times New Roman"/>
                <w:color w:val="auto"/>
                <w:sz w:val="24"/>
                <w:highlight w:val="none"/>
                <w:lang w:eastAsia="zh-CN"/>
              </w:rPr>
              <w:t>开具的证明可知</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具体见</w:t>
            </w:r>
            <w:r>
              <w:rPr>
                <w:rFonts w:hint="eastAsia" w:cs="Times New Roman"/>
                <w:color w:val="auto"/>
                <w:sz w:val="24"/>
                <w:highlight w:val="none"/>
                <w:lang w:val="en-US" w:eastAsia="zh-CN"/>
              </w:rPr>
              <w:t>附件</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eastAsia="zh-CN"/>
              </w:rPr>
              <w:t>，项目建设符合</w:t>
            </w:r>
            <w:r>
              <w:rPr>
                <w:rFonts w:hint="default" w:ascii="Times New Roman" w:hAnsi="Times New Roman" w:eastAsia="宋体" w:cs="Times New Roman"/>
                <w:color w:val="auto"/>
                <w:sz w:val="24"/>
                <w:highlight w:val="none"/>
                <w:lang w:val="en-US" w:eastAsia="zh-CN"/>
              </w:rPr>
              <w:t>苗馆镇</w:t>
            </w:r>
            <w:r>
              <w:rPr>
                <w:rFonts w:hint="default" w:ascii="Times New Roman" w:hAnsi="Times New Roman" w:eastAsia="宋体" w:cs="Times New Roman"/>
                <w:color w:val="auto"/>
                <w:sz w:val="24"/>
                <w:highlight w:val="none"/>
                <w:lang w:eastAsia="zh-CN"/>
              </w:rPr>
              <w:t>相关规划要求。</w:t>
            </w:r>
          </w:p>
          <w:p w14:paraId="646694F0">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3、项目与“生态环境分区管控”符合性分析</w:t>
            </w:r>
          </w:p>
          <w:p w14:paraId="1CEF12B5">
            <w:pPr>
              <w:pStyle w:val="66"/>
              <w:ind w:firstLine="48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1</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生态保护红线</w:t>
            </w:r>
          </w:p>
          <w:p w14:paraId="3108A55B">
            <w:pPr>
              <w:pStyle w:val="66"/>
              <w:spacing w:line="360" w:lineRule="auto"/>
              <w:ind w:firstLine="480"/>
              <w:rPr>
                <w:rFonts w:hint="default" w:ascii="Times New Roman" w:hAnsi="Times New Roman" w:cs="Times New Roman"/>
                <w:color w:val="auto"/>
                <w:sz w:val="24"/>
                <w:szCs w:val="24"/>
                <w:highlight w:val="none"/>
                <w:lang w:eastAsia="zh-CN"/>
              </w:rPr>
            </w:pPr>
            <w:r>
              <w:rPr>
                <w:rFonts w:hint="default" w:ascii="Times New Roman" w:hAnsi="Times New Roman" w:eastAsia="宋体" w:cs="Times New Roman"/>
                <w:color w:val="auto"/>
                <w:kern w:val="0"/>
                <w:sz w:val="24"/>
                <w:highlight w:val="none"/>
              </w:rPr>
              <w:t>根据</w:t>
            </w:r>
            <w:r>
              <w:rPr>
                <w:rFonts w:hint="default" w:ascii="Times New Roman" w:hAnsi="Times New Roman" w:eastAsia="宋体" w:cs="Times New Roman"/>
                <w:color w:val="auto"/>
                <w:kern w:val="0"/>
                <w:sz w:val="24"/>
                <w:szCs w:val="24"/>
                <w:highlight w:val="none"/>
                <w:lang w:val="en-US" w:eastAsia="zh-CN"/>
              </w:rPr>
              <w:t>《泗水县苗馆镇镇国土空间规划（2021-2035年）》国土空间控制线规划图（</w:t>
            </w:r>
            <w:r>
              <w:rPr>
                <w:rFonts w:hint="eastAsia" w:ascii="Times New Roman" w:hAnsi="Times New Roman" w:eastAsia="宋体" w:cs="Times New Roman"/>
                <w:color w:val="auto"/>
                <w:kern w:val="0"/>
                <w:sz w:val="24"/>
                <w:szCs w:val="24"/>
                <w:highlight w:val="none"/>
                <w:lang w:val="en-US" w:eastAsia="zh-CN"/>
              </w:rPr>
              <w:t>具体见附图2</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项目所在地不涉及生态保护红线。</w:t>
            </w:r>
          </w:p>
          <w:p w14:paraId="654EBEF1">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w:t>
            </w:r>
            <w:r>
              <w:rPr>
                <w:rFonts w:hint="default" w:ascii="Times New Roman" w:hAnsi="Times New Roman" w:cs="Times New Roman"/>
                <w:color w:val="auto"/>
                <w:szCs w:val="24"/>
                <w:highlight w:val="none"/>
                <w:lang w:val="en-US" w:eastAsia="zh-CN"/>
              </w:rPr>
              <w:t>2</w:t>
            </w:r>
            <w:r>
              <w:rPr>
                <w:rFonts w:hint="default" w:ascii="Times New Roman" w:hAnsi="Times New Roman" w:cs="Times New Roman"/>
                <w:color w:val="auto"/>
                <w:szCs w:val="24"/>
                <w:highlight w:val="none"/>
              </w:rPr>
              <w:t>）环境质量底线</w:t>
            </w:r>
          </w:p>
          <w:p w14:paraId="64CCEBCD">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①项目与大气环境质量的相符性分析</w:t>
            </w:r>
          </w:p>
          <w:p w14:paraId="7A589CC5">
            <w:pPr>
              <w:pStyle w:val="66"/>
              <w:spacing w:line="360" w:lineRule="auto"/>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本项目选址区域为环境空气功能区二类区，执行二级标准。根据</w:t>
            </w:r>
            <w:r>
              <w:rPr>
                <w:rFonts w:hint="default" w:ascii="Times New Roman" w:hAnsi="Times New Roman" w:cs="Times New Roman"/>
                <w:color w:val="auto"/>
                <w:szCs w:val="24"/>
                <w:highlight w:val="none"/>
                <w:lang w:eastAsia="zh-CN"/>
              </w:rPr>
              <w:t>泗水县</w:t>
            </w:r>
            <w:r>
              <w:rPr>
                <w:rFonts w:hint="default" w:ascii="Times New Roman" w:hAnsi="Times New Roman" w:cs="Times New Roman"/>
                <w:color w:val="auto"/>
                <w:szCs w:val="24"/>
                <w:highlight w:val="none"/>
              </w:rPr>
              <w:t>202</w:t>
            </w:r>
            <w:r>
              <w:rPr>
                <w:rFonts w:hint="eastAsia" w:ascii="Times New Roman" w:hAnsi="Times New Roman" w:cs="Times New Roman"/>
                <w:color w:val="auto"/>
                <w:szCs w:val="24"/>
                <w:highlight w:val="none"/>
                <w:lang w:val="en-US" w:eastAsia="zh-CN"/>
              </w:rPr>
              <w:t>4</w:t>
            </w:r>
            <w:r>
              <w:rPr>
                <w:rFonts w:hint="default" w:ascii="Times New Roman" w:hAnsi="Times New Roman" w:cs="Times New Roman"/>
                <w:color w:val="auto"/>
                <w:szCs w:val="24"/>
                <w:highlight w:val="none"/>
              </w:rPr>
              <w:t>年1月-12月大气环境质量污染物浓度的全年例行检测数据，</w:t>
            </w:r>
            <w:r>
              <w:rPr>
                <w:rFonts w:hint="eastAsia" w:ascii="Times New Roman" w:hAnsi="Times New Roman" w:eastAsia="宋体"/>
                <w:color w:val="auto"/>
                <w:sz w:val="24"/>
                <w:szCs w:val="22"/>
                <w:highlight w:val="none"/>
                <w:lang w:val="en-US" w:eastAsia="zh-CN"/>
              </w:rPr>
              <w:t>泗水县</w:t>
            </w:r>
            <w:r>
              <w:rPr>
                <w:rFonts w:hint="eastAsia" w:ascii="Times New Roman" w:hAnsi="Times New Roman" w:eastAsia="宋体"/>
                <w:color w:val="auto"/>
                <w:sz w:val="24"/>
                <w:szCs w:val="22"/>
                <w:highlight w:val="none"/>
              </w:rPr>
              <w:t>202</w:t>
            </w:r>
            <w:r>
              <w:rPr>
                <w:rFonts w:hint="eastAsia" w:ascii="Times New Roman" w:hAnsi="Times New Roman" w:eastAsia="宋体"/>
                <w:color w:val="auto"/>
                <w:sz w:val="24"/>
                <w:szCs w:val="22"/>
                <w:highlight w:val="none"/>
                <w:lang w:val="en-US" w:eastAsia="zh-CN"/>
              </w:rPr>
              <w:t>4</w:t>
            </w:r>
            <w:r>
              <w:rPr>
                <w:rFonts w:hint="eastAsia" w:ascii="Times New Roman" w:hAnsi="Times New Roman" w:eastAsia="宋体"/>
                <w:color w:val="auto"/>
                <w:sz w:val="24"/>
                <w:szCs w:val="22"/>
                <w:highlight w:val="none"/>
              </w:rPr>
              <w:t>年SO</w:t>
            </w:r>
            <w:r>
              <w:rPr>
                <w:rFonts w:hint="eastAsia" w:ascii="Times New Roman" w:hAnsi="Times New Roman" w:eastAsia="宋体"/>
                <w:color w:val="auto"/>
                <w:sz w:val="24"/>
                <w:szCs w:val="22"/>
                <w:highlight w:val="none"/>
                <w:vertAlign w:val="subscript"/>
              </w:rPr>
              <w:t>2</w:t>
            </w:r>
            <w:r>
              <w:rPr>
                <w:rFonts w:hint="eastAsia" w:ascii="Times New Roman" w:hAnsi="Times New Roman" w:eastAsia="宋体"/>
                <w:color w:val="auto"/>
                <w:sz w:val="24"/>
                <w:szCs w:val="22"/>
                <w:highlight w:val="none"/>
              </w:rPr>
              <w:t>、NO</w:t>
            </w:r>
            <w:r>
              <w:rPr>
                <w:rFonts w:hint="eastAsia" w:ascii="Times New Roman" w:hAnsi="Times New Roman" w:eastAsia="宋体"/>
                <w:color w:val="auto"/>
                <w:sz w:val="24"/>
                <w:szCs w:val="22"/>
                <w:highlight w:val="none"/>
                <w:vertAlign w:val="subscript"/>
              </w:rPr>
              <w:t>2</w:t>
            </w:r>
            <w:r>
              <w:rPr>
                <w:rFonts w:hint="eastAsia" w:ascii="Times New Roman" w:hAnsi="Times New Roman" w:eastAsia="宋体"/>
                <w:color w:val="auto"/>
                <w:sz w:val="24"/>
                <w:szCs w:val="22"/>
                <w:highlight w:val="none"/>
                <w:vertAlign w:val="baseline"/>
                <w:lang w:eastAsia="zh-CN"/>
              </w:rPr>
              <w:t>、</w:t>
            </w:r>
            <w:r>
              <w:rPr>
                <w:rFonts w:hint="eastAsia" w:ascii="Times New Roman" w:hAnsi="Times New Roman" w:eastAsia="宋体"/>
                <w:color w:val="auto"/>
                <w:sz w:val="24"/>
                <w:szCs w:val="22"/>
                <w:highlight w:val="none"/>
              </w:rPr>
              <w:t>PM</w:t>
            </w:r>
            <w:r>
              <w:rPr>
                <w:rFonts w:hint="eastAsia" w:ascii="Times New Roman" w:hAnsi="Times New Roman" w:eastAsia="宋体"/>
                <w:color w:val="auto"/>
                <w:sz w:val="24"/>
                <w:szCs w:val="22"/>
                <w:highlight w:val="none"/>
                <w:vertAlign w:val="subscript"/>
              </w:rPr>
              <w:t>10</w:t>
            </w:r>
            <w:r>
              <w:rPr>
                <w:rFonts w:hint="eastAsia" w:ascii="Times New Roman" w:hAnsi="Times New Roman" w:eastAsia="宋体"/>
                <w:color w:val="auto"/>
                <w:sz w:val="24"/>
                <w:szCs w:val="22"/>
                <w:highlight w:val="none"/>
                <w:vertAlign w:val="baseline"/>
                <w:lang w:val="en-US" w:eastAsia="zh-CN"/>
              </w:rPr>
              <w:t>年均浓度</w:t>
            </w:r>
            <w:r>
              <w:rPr>
                <w:rFonts w:hint="eastAsia" w:ascii="Times New Roman" w:hAnsi="Times New Roman" w:eastAsia="宋体"/>
                <w:color w:val="auto"/>
                <w:sz w:val="24"/>
                <w:szCs w:val="22"/>
                <w:highlight w:val="none"/>
              </w:rPr>
              <w:t>、CO日平均第95百分位数</w:t>
            </w:r>
            <w:r>
              <w:rPr>
                <w:rFonts w:hint="eastAsia" w:ascii="Times New Roman" w:hAnsi="Times New Roman" w:eastAsia="宋体"/>
                <w:color w:val="auto"/>
                <w:sz w:val="24"/>
                <w:szCs w:val="22"/>
                <w:highlight w:val="none"/>
                <w:lang w:eastAsia="zh-CN"/>
              </w:rPr>
              <w:t>、</w:t>
            </w:r>
            <w:r>
              <w:rPr>
                <w:rFonts w:hint="eastAsia" w:ascii="Times New Roman" w:hAnsi="Times New Roman" w:eastAsia="宋体"/>
                <w:color w:val="auto"/>
                <w:sz w:val="24"/>
                <w:szCs w:val="22"/>
                <w:highlight w:val="none"/>
              </w:rPr>
              <w:t>臭氧（O</w:t>
            </w:r>
            <w:r>
              <w:rPr>
                <w:rFonts w:hint="eastAsia" w:ascii="Times New Roman" w:hAnsi="Times New Roman" w:eastAsia="宋体"/>
                <w:color w:val="auto"/>
                <w:sz w:val="24"/>
                <w:szCs w:val="22"/>
                <w:highlight w:val="none"/>
                <w:vertAlign w:val="subscript"/>
              </w:rPr>
              <w:t>3</w:t>
            </w:r>
            <w:r>
              <w:rPr>
                <w:rFonts w:hint="eastAsia" w:ascii="Times New Roman" w:hAnsi="Times New Roman" w:eastAsia="宋体"/>
                <w:color w:val="auto"/>
                <w:sz w:val="24"/>
                <w:szCs w:val="22"/>
                <w:highlight w:val="none"/>
              </w:rPr>
              <w:t>）8小时平均第90百分位数监测浓度值均满足《环境空气质量标准》（GB3095-2012）及其修改单中二级标准要求</w:t>
            </w:r>
            <w:r>
              <w:rPr>
                <w:rFonts w:hint="eastAsia" w:ascii="Times New Roman" w:hAnsi="Times New Roman" w:eastAsia="宋体"/>
                <w:color w:val="auto"/>
                <w:sz w:val="24"/>
                <w:szCs w:val="22"/>
                <w:highlight w:val="none"/>
                <w:lang w:eastAsia="zh-CN"/>
              </w:rPr>
              <w:t>；</w:t>
            </w:r>
            <w:r>
              <w:rPr>
                <w:rFonts w:hint="eastAsia" w:ascii="Times New Roman" w:hAnsi="Times New Roman" w:eastAsia="宋体"/>
                <w:color w:val="auto"/>
                <w:sz w:val="24"/>
                <w:szCs w:val="22"/>
                <w:highlight w:val="none"/>
              </w:rPr>
              <w:t>PM</w:t>
            </w:r>
            <w:r>
              <w:rPr>
                <w:rFonts w:hint="eastAsia" w:ascii="Times New Roman" w:hAnsi="Times New Roman" w:eastAsia="宋体"/>
                <w:color w:val="auto"/>
                <w:sz w:val="24"/>
                <w:szCs w:val="22"/>
                <w:highlight w:val="none"/>
                <w:vertAlign w:val="subscript"/>
              </w:rPr>
              <w:t>2.5</w:t>
            </w:r>
            <w:r>
              <w:rPr>
                <w:rFonts w:hint="eastAsia" w:ascii="Times New Roman" w:hAnsi="Times New Roman" w:eastAsia="宋体"/>
                <w:color w:val="auto"/>
                <w:sz w:val="24"/>
                <w:szCs w:val="22"/>
                <w:highlight w:val="none"/>
                <w:vertAlign w:val="baseline"/>
                <w:lang w:val="en-US" w:eastAsia="zh-CN"/>
              </w:rPr>
              <w:t>年均浓度</w:t>
            </w:r>
            <w:r>
              <w:rPr>
                <w:rFonts w:hint="eastAsia" w:ascii="Times New Roman" w:hAnsi="Times New Roman" w:eastAsia="宋体"/>
                <w:color w:val="auto"/>
                <w:sz w:val="24"/>
                <w:szCs w:val="22"/>
                <w:highlight w:val="none"/>
              </w:rPr>
              <w:t>监测浓度值超标</w:t>
            </w:r>
            <w:r>
              <w:rPr>
                <w:rFonts w:ascii="Times New Roman" w:hAnsi="Times New Roman" w:eastAsia="宋体"/>
                <w:color w:val="auto"/>
                <w:sz w:val="24"/>
                <w:szCs w:val="22"/>
                <w:highlight w:val="none"/>
              </w:rPr>
              <w:t>，项目所在区处于不达标区</w:t>
            </w:r>
            <w:r>
              <w:rPr>
                <w:rFonts w:hint="default" w:ascii="Times New Roman" w:hAnsi="Times New Roman" w:eastAsia="宋体" w:cs="Times New Roman"/>
                <w:color w:val="auto"/>
                <w:sz w:val="24"/>
                <w:szCs w:val="24"/>
                <w:highlight w:val="none"/>
              </w:rPr>
              <w:t>。</w:t>
            </w:r>
          </w:p>
          <w:p w14:paraId="2DBA8562">
            <w:pPr>
              <w:pStyle w:val="66"/>
              <w:spacing w:line="360" w:lineRule="auto"/>
              <w:ind w:firstLine="48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Cs w:val="24"/>
                <w:highlight w:val="none"/>
              </w:rPr>
              <w:t>目前泗水县人民政府正积极落实《山东省深入打好蓝天保卫战行动计划（2021</w:t>
            </w:r>
            <w:r>
              <w:rPr>
                <w:rFonts w:hint="eastAsia" w:cs="Times New Roman"/>
                <w:color w:val="auto"/>
                <w:szCs w:val="24"/>
                <w:highlight w:val="none"/>
                <w:lang w:val="en-US" w:eastAsia="zh-CN"/>
              </w:rPr>
              <w:t>-</w:t>
            </w:r>
            <w:r>
              <w:rPr>
                <w:rFonts w:hint="default" w:ascii="Times New Roman" w:hAnsi="Times New Roman" w:cs="Times New Roman"/>
                <w:color w:val="auto"/>
                <w:szCs w:val="24"/>
                <w:highlight w:val="none"/>
              </w:rPr>
              <w:t>2025年）》、《山东省生态环境厅关于印发山东建设项目主要大气污染物排放总量替代指标核算及管理办法的通知》等文件要求，通过实行大气污染物排放总量指标2倍削减替代，优化产业结构与布局，减少煤炭消费，推进工业污染源提标改造，强化工业企业无组织排放控制管理，加强VOCs专项整治，控制机动车污染，实施秋冬季重点行业错峰生产等方面的行动，加快以细颗粒物为重点的大气污染治理，项目所在区域大气环境质量将会逐步得到改善。</w:t>
            </w:r>
          </w:p>
          <w:p w14:paraId="446CB43C">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②项目与水环境质量的相符性分析</w:t>
            </w:r>
          </w:p>
          <w:p w14:paraId="1C8D355B">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根据</w:t>
            </w:r>
            <w:r>
              <w:rPr>
                <w:rFonts w:hint="default" w:ascii="Times New Roman" w:hAnsi="Times New Roman" w:cs="Times New Roman"/>
                <w:color w:val="auto"/>
                <w:szCs w:val="24"/>
                <w:highlight w:val="none"/>
                <w:lang w:val="en-US" w:eastAsia="zh-CN"/>
              </w:rPr>
              <w:t>山东省生态环境厅</w:t>
            </w:r>
            <w:r>
              <w:rPr>
                <w:rFonts w:hint="default" w:ascii="Times New Roman" w:hAnsi="Times New Roman" w:cs="Times New Roman"/>
                <w:color w:val="auto"/>
                <w:szCs w:val="24"/>
                <w:highlight w:val="none"/>
              </w:rPr>
              <w:t>网站202</w:t>
            </w:r>
            <w:r>
              <w:rPr>
                <w:rFonts w:hint="eastAsia" w:ascii="Times New Roman" w:hAnsi="Times New Roman" w:cs="Times New Roman"/>
                <w:color w:val="auto"/>
                <w:szCs w:val="24"/>
                <w:highlight w:val="none"/>
                <w:lang w:val="en-US" w:eastAsia="zh-CN"/>
              </w:rPr>
              <w:t>5</w:t>
            </w:r>
            <w:r>
              <w:rPr>
                <w:rFonts w:hint="default" w:ascii="Times New Roman" w:hAnsi="Times New Roman" w:cs="Times New Roman"/>
                <w:color w:val="auto"/>
                <w:szCs w:val="24"/>
                <w:highlight w:val="none"/>
              </w:rPr>
              <w:t>年</w:t>
            </w:r>
            <w:r>
              <w:rPr>
                <w:rFonts w:hint="eastAsia" w:ascii="Times New Roman" w:hAnsi="Times New Roman" w:cs="Times New Roman"/>
                <w:color w:val="auto"/>
                <w:szCs w:val="24"/>
                <w:highlight w:val="none"/>
                <w:lang w:val="en-US" w:eastAsia="zh-CN"/>
              </w:rPr>
              <w:t>12</w:t>
            </w:r>
            <w:r>
              <w:rPr>
                <w:rFonts w:hint="default" w:ascii="Times New Roman" w:hAnsi="Times New Roman" w:cs="Times New Roman"/>
                <w:color w:val="auto"/>
                <w:szCs w:val="24"/>
                <w:highlight w:val="none"/>
              </w:rPr>
              <w:t>月发布的</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省控重点河流水质状况</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，项目周边地表水</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泗河-</w:t>
            </w:r>
            <w:r>
              <w:rPr>
                <w:rFonts w:hint="default" w:ascii="Times New Roman" w:hAnsi="Times New Roman" w:cs="Times New Roman"/>
                <w:bCs/>
                <w:color w:val="auto"/>
                <w:kern w:val="0"/>
                <w:szCs w:val="24"/>
                <w:highlight w:val="none"/>
                <w:lang w:val="en-US" w:eastAsia="zh-CN"/>
              </w:rPr>
              <w:t>故县坝</w:t>
            </w:r>
            <w:r>
              <w:rPr>
                <w:rFonts w:hint="default" w:ascii="Times New Roman" w:hAnsi="Times New Roman" w:cs="Times New Roman"/>
                <w:color w:val="auto"/>
                <w:szCs w:val="24"/>
                <w:highlight w:val="none"/>
              </w:rPr>
              <w:t>断面</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可</w:t>
            </w:r>
            <w:r>
              <w:rPr>
                <w:rFonts w:hint="default" w:ascii="Times New Roman" w:hAnsi="Times New Roman" w:cs="Times New Roman"/>
                <w:color w:val="auto"/>
                <w:szCs w:val="24"/>
                <w:highlight w:val="none"/>
              </w:rPr>
              <w:t>满足《地表水环境质量标准》（GB3838-2002）Ⅲ类标准。</w:t>
            </w:r>
          </w:p>
          <w:p w14:paraId="50541098">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③声环境质量底线符合性分析</w:t>
            </w:r>
          </w:p>
          <w:p w14:paraId="663F198D">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本项目所在区域声环境执行《声环境质量标准》（GB3096-2008）</w:t>
            </w:r>
            <w:r>
              <w:rPr>
                <w:rFonts w:hint="default" w:ascii="Times New Roman" w:hAnsi="Times New Roman" w:cs="Times New Roman"/>
                <w:color w:val="auto"/>
                <w:szCs w:val="24"/>
                <w:highlight w:val="none"/>
                <w:lang w:val="en-US" w:eastAsia="zh-CN"/>
              </w:rPr>
              <w:t>2</w:t>
            </w:r>
            <w:r>
              <w:rPr>
                <w:rFonts w:hint="default" w:ascii="Times New Roman" w:hAnsi="Times New Roman" w:cs="Times New Roman"/>
                <w:color w:val="auto"/>
                <w:szCs w:val="24"/>
                <w:highlight w:val="none"/>
              </w:rPr>
              <w:t>类标准</w:t>
            </w:r>
            <w:r>
              <w:rPr>
                <w:rFonts w:hint="default" w:ascii="Times New Roman" w:hAnsi="Times New Roman" w:cs="Times New Roman"/>
                <w:color w:val="auto"/>
                <w:szCs w:val="24"/>
                <w:highlight w:val="none"/>
                <w:lang w:eastAsia="zh-CN"/>
              </w:rPr>
              <w:t>。项目</w:t>
            </w:r>
            <w:r>
              <w:rPr>
                <w:rFonts w:hint="default" w:ascii="Times New Roman" w:hAnsi="Times New Roman" w:cs="Times New Roman"/>
                <w:color w:val="auto"/>
                <w:szCs w:val="24"/>
                <w:highlight w:val="none"/>
              </w:rPr>
              <w:t>通过采取隔声、</w:t>
            </w:r>
            <w:r>
              <w:rPr>
                <w:rFonts w:hint="eastAsia" w:ascii="Times New Roman" w:hAnsi="Times New Roman" w:cs="Times New Roman"/>
                <w:color w:val="auto"/>
                <w:szCs w:val="24"/>
                <w:highlight w:val="none"/>
                <w:lang w:eastAsia="zh-CN"/>
              </w:rPr>
              <w:t>减振</w:t>
            </w:r>
            <w:r>
              <w:rPr>
                <w:rFonts w:hint="default" w:ascii="Times New Roman" w:hAnsi="Times New Roman" w:cs="Times New Roman"/>
                <w:color w:val="auto"/>
                <w:szCs w:val="24"/>
                <w:highlight w:val="none"/>
              </w:rPr>
              <w:t>、合理布局等措施后，项目厂界噪声排放能够满足《工业企业厂界环境噪声排放标准》（GB12348-2008）</w:t>
            </w:r>
            <w:r>
              <w:rPr>
                <w:rFonts w:hint="default" w:ascii="Times New Roman" w:hAnsi="Times New Roman" w:cs="Times New Roman"/>
                <w:color w:val="auto"/>
                <w:szCs w:val="24"/>
                <w:highlight w:val="none"/>
                <w:lang w:val="en-US" w:eastAsia="zh-CN"/>
              </w:rPr>
              <w:t>2</w:t>
            </w:r>
            <w:r>
              <w:rPr>
                <w:rFonts w:hint="default" w:ascii="Times New Roman" w:hAnsi="Times New Roman" w:cs="Times New Roman"/>
                <w:color w:val="auto"/>
                <w:szCs w:val="24"/>
                <w:highlight w:val="none"/>
              </w:rPr>
              <w:t>类标准要求，对周围的声环境影响较小。</w:t>
            </w:r>
          </w:p>
          <w:p w14:paraId="09F84FA5">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综上所述，该项目不会降低项目所在地周围的环境功能，不会对当地环境质量底线造成影响。</w:t>
            </w:r>
          </w:p>
          <w:p w14:paraId="471F172E">
            <w:pPr>
              <w:pStyle w:val="66"/>
              <w:spacing w:line="360" w:lineRule="auto"/>
              <w:ind w:firstLine="48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Cs w:val="24"/>
                <w:highlight w:val="none"/>
              </w:rPr>
              <w:t>资源利用上线</w:t>
            </w:r>
          </w:p>
          <w:p w14:paraId="28D5ABA0">
            <w:pPr>
              <w:pStyle w:val="66"/>
              <w:spacing w:line="360"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Cs w:val="24"/>
                <w:highlight w:val="none"/>
                <w:lang w:val="en-US" w:eastAsia="zh-CN"/>
              </w:rPr>
              <w:t>项目</w:t>
            </w:r>
            <w:r>
              <w:rPr>
                <w:rFonts w:hint="default" w:ascii="Times New Roman" w:hAnsi="Times New Roman" w:cs="Times New Roman"/>
                <w:color w:val="auto"/>
                <w:szCs w:val="24"/>
                <w:highlight w:val="none"/>
              </w:rPr>
              <w:t>运营过程中需要消耗</w:t>
            </w:r>
            <w:r>
              <w:rPr>
                <w:rFonts w:hint="eastAsia" w:ascii="Times New Roman" w:hAnsi="Times New Roman" w:cs="Times New Roman"/>
                <w:color w:val="auto"/>
                <w:szCs w:val="24"/>
                <w:highlight w:val="none"/>
                <w:lang w:val="en-US" w:eastAsia="zh-CN"/>
              </w:rPr>
              <w:t>电</w:t>
            </w:r>
            <w:r>
              <w:rPr>
                <w:rFonts w:hint="default" w:ascii="Times New Roman" w:hAnsi="Times New Roman" w:cs="Times New Roman"/>
                <w:color w:val="auto"/>
                <w:szCs w:val="24"/>
                <w:highlight w:val="none"/>
                <w:lang w:val="en-US" w:eastAsia="zh-CN"/>
              </w:rPr>
              <w:t>。</w:t>
            </w:r>
            <w:r>
              <w:rPr>
                <w:rFonts w:hint="default"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项目为燃料替代项目，建成后可削减煤炭使用量。</w:t>
            </w:r>
            <w:r>
              <w:rPr>
                <w:rFonts w:hint="default" w:ascii="Times New Roman" w:hAnsi="Times New Roman" w:cs="Times New Roman"/>
                <w:color w:val="auto"/>
                <w:sz w:val="24"/>
                <w:szCs w:val="24"/>
                <w:highlight w:val="none"/>
              </w:rPr>
              <w:t>项目周围配套设施较为完善，公共设施方便，项目资源消耗量相对于区域资源利用总量较少，符合资源利用上线要求</w:t>
            </w:r>
            <w:r>
              <w:rPr>
                <w:rFonts w:hint="default" w:ascii="Times New Roman" w:hAnsi="Times New Roman" w:cs="Times New Roman"/>
                <w:color w:val="auto"/>
                <w:sz w:val="24"/>
                <w:szCs w:val="24"/>
                <w:highlight w:val="none"/>
                <w:lang w:eastAsia="zh-CN"/>
              </w:rPr>
              <w:t>。</w:t>
            </w:r>
          </w:p>
          <w:p w14:paraId="32C7107B">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（4）环境准入清单</w:t>
            </w:r>
          </w:p>
          <w:p w14:paraId="6862C5F1">
            <w:pPr>
              <w:snapToGrid w:val="0"/>
              <w:spacing w:line="360" w:lineRule="auto"/>
              <w:ind w:firstLine="480" w:firstLineChars="200"/>
              <w:jc w:val="left"/>
              <w:rPr>
                <w:rFonts w:hint="eastAsia"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rPr>
              <w:t>本项目所在区域（</w:t>
            </w:r>
            <w:r>
              <w:rPr>
                <w:rFonts w:hint="default" w:ascii="Times New Roman" w:hAnsi="Times New Roman" w:cs="Times New Roman"/>
                <w:color w:val="auto"/>
                <w:szCs w:val="24"/>
                <w:highlight w:val="none"/>
                <w:lang w:val="en-US" w:eastAsia="zh-CN"/>
              </w:rPr>
              <w:t>泗水</w:t>
            </w:r>
            <w:r>
              <w:rPr>
                <w:rFonts w:hint="default" w:ascii="Times New Roman" w:hAnsi="Times New Roman" w:cs="Times New Roman"/>
                <w:color w:val="auto"/>
                <w:szCs w:val="24"/>
                <w:highlight w:val="none"/>
              </w:rPr>
              <w:t>县</w:t>
            </w:r>
            <w:r>
              <w:rPr>
                <w:rFonts w:hint="default" w:ascii="Times New Roman" w:hAnsi="Times New Roman" w:cs="Times New Roman"/>
                <w:color w:val="auto"/>
                <w:szCs w:val="24"/>
                <w:highlight w:val="none"/>
                <w:lang w:val="en-US" w:eastAsia="zh-CN"/>
              </w:rPr>
              <w:t>苗馆</w:t>
            </w:r>
            <w:r>
              <w:rPr>
                <w:rFonts w:hint="default" w:ascii="Times New Roman" w:hAnsi="Times New Roman" w:cs="Times New Roman"/>
                <w:color w:val="auto"/>
                <w:szCs w:val="24"/>
                <w:highlight w:val="none"/>
              </w:rPr>
              <w:t>镇）属于</w:t>
            </w:r>
            <w:r>
              <w:rPr>
                <w:rFonts w:hint="default" w:ascii="Times New Roman" w:hAnsi="Times New Roman" w:cs="Times New Roman"/>
                <w:color w:val="auto"/>
                <w:szCs w:val="24"/>
                <w:highlight w:val="none"/>
                <w:lang w:val="en-US" w:eastAsia="zh-CN"/>
              </w:rPr>
              <w:t>优先保护</w:t>
            </w:r>
            <w:r>
              <w:rPr>
                <w:rFonts w:hint="default" w:ascii="Times New Roman" w:hAnsi="Times New Roman" w:cs="Times New Roman"/>
                <w:color w:val="auto"/>
                <w:szCs w:val="24"/>
                <w:highlight w:val="none"/>
              </w:rPr>
              <w:t>单元，环境管控单元编码：ZH37083110006。企业拟采取相应的污染防治措施，并严格落实大气污染物达标排放、总量控制、环保设施“三同时”、在线监测、排污许可等环保制度。</w:t>
            </w:r>
            <w:r>
              <w:rPr>
                <w:rFonts w:hint="eastAsia" w:ascii="Times New Roman" w:hAnsi="Times New Roman" w:cs="Times New Roman"/>
                <w:color w:val="auto"/>
                <w:szCs w:val="24"/>
                <w:highlight w:val="none"/>
                <w:lang w:val="en-US" w:eastAsia="zh-CN"/>
              </w:rPr>
              <w:t>项目与生态环境分区管控位置关系见附图</w:t>
            </w:r>
            <w:r>
              <w:rPr>
                <w:rFonts w:hint="eastAsia" w:cs="Times New Roman"/>
                <w:color w:val="auto"/>
                <w:szCs w:val="24"/>
                <w:highlight w:val="none"/>
                <w:lang w:val="en-US" w:eastAsia="zh-CN"/>
              </w:rPr>
              <w:t>4</w:t>
            </w:r>
            <w:r>
              <w:rPr>
                <w:rFonts w:hint="eastAsia" w:ascii="Times New Roman" w:hAnsi="Times New Roman" w:cs="Times New Roman"/>
                <w:color w:val="auto"/>
                <w:szCs w:val="24"/>
                <w:highlight w:val="none"/>
                <w:lang w:val="en-US" w:eastAsia="zh-CN"/>
              </w:rPr>
              <w:t>。</w:t>
            </w:r>
          </w:p>
          <w:p w14:paraId="376A4959">
            <w:pPr>
              <w:pStyle w:val="10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表1-2与《济宁市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三线一单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生态环境分区管控方案》符合性分析</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gridCol w:w="2588"/>
              <w:gridCol w:w="753"/>
            </w:tblGrid>
            <w:tr w14:paraId="4B5B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3C834F2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控制单元编码</w:t>
                  </w:r>
                </w:p>
              </w:tc>
              <w:tc>
                <w:tcPr>
                  <w:tcW w:w="2202" w:type="pct"/>
                  <w:gridSpan w:val="2"/>
                  <w:tcBorders>
                    <w:tl2br w:val="nil"/>
                    <w:tr2bl w:val="nil"/>
                  </w:tcBorders>
                  <w:noWrap w:val="0"/>
                  <w:vAlign w:val="center"/>
                </w:tcPr>
                <w:p w14:paraId="271DD8B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ZH37083110006</w:t>
                  </w:r>
                </w:p>
              </w:tc>
            </w:tr>
            <w:tr w14:paraId="39B2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2F551D6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环境管控单元名称</w:t>
                  </w:r>
                </w:p>
              </w:tc>
              <w:tc>
                <w:tcPr>
                  <w:tcW w:w="2202" w:type="pct"/>
                  <w:gridSpan w:val="2"/>
                  <w:tcBorders>
                    <w:tl2br w:val="nil"/>
                    <w:tr2bl w:val="nil"/>
                  </w:tcBorders>
                  <w:noWrap w:val="0"/>
                  <w:vAlign w:val="center"/>
                </w:tcPr>
                <w:p w14:paraId="7CF8F34F">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苗馆镇</w:t>
                  </w:r>
                </w:p>
              </w:tc>
            </w:tr>
            <w:tr w14:paraId="5EC0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0C2E4B5A">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管控单元分类</w:t>
                  </w:r>
                </w:p>
              </w:tc>
              <w:tc>
                <w:tcPr>
                  <w:tcW w:w="2202" w:type="pct"/>
                  <w:gridSpan w:val="2"/>
                  <w:tcBorders>
                    <w:tl2br w:val="nil"/>
                    <w:tr2bl w:val="nil"/>
                  </w:tcBorders>
                  <w:noWrap w:val="0"/>
                  <w:vAlign w:val="center"/>
                </w:tcPr>
                <w:p w14:paraId="7DEF141A">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优先保护单元</w:t>
                  </w:r>
                </w:p>
              </w:tc>
            </w:tr>
            <w:tr w14:paraId="43AF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3F6F796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空间布局约束</w:t>
                  </w:r>
                </w:p>
              </w:tc>
              <w:tc>
                <w:tcPr>
                  <w:tcW w:w="1705" w:type="pct"/>
                  <w:tcBorders>
                    <w:tl2br w:val="nil"/>
                    <w:tr2bl w:val="nil"/>
                  </w:tcBorders>
                  <w:noWrap w:val="0"/>
                  <w:vAlign w:val="center"/>
                </w:tcPr>
                <w:p w14:paraId="49172970">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本项目内容</w:t>
                  </w:r>
                </w:p>
              </w:tc>
              <w:tc>
                <w:tcPr>
                  <w:tcW w:w="496" w:type="pct"/>
                  <w:tcBorders>
                    <w:tl2br w:val="nil"/>
                    <w:tr2bl w:val="nil"/>
                  </w:tcBorders>
                  <w:noWrap w:val="0"/>
                  <w:vAlign w:val="center"/>
                </w:tcPr>
                <w:p w14:paraId="5302B27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符合性</w:t>
                  </w:r>
                </w:p>
              </w:tc>
            </w:tr>
            <w:tr w14:paraId="33EF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2837172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1.新建、改建、扩建项目，满足产业准入、总量控制、排放标准等管理制度要求的前提下，积极推进工业项目进园、集约高效发展。</w:t>
                  </w:r>
                </w:p>
                <w:p w14:paraId="5D32FC33">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2.</w:t>
                  </w:r>
                  <w:r>
                    <w:rPr>
                      <w:rFonts w:hint="default" w:ascii="Times New Roman" w:hAnsi="Times New Roman" w:eastAsia="宋体" w:cs="Times New Roman"/>
                      <w:b w:val="0"/>
                      <w:bCs w:val="0"/>
                      <w:color w:val="FF0000"/>
                      <w:sz w:val="21"/>
                      <w:szCs w:val="21"/>
                      <w:highlight w:val="none"/>
                      <w:lang w:eastAsia="zh-CN"/>
                    </w:rPr>
                    <w:t>泉林国家森林公园空间布局约束执行国家级森林公园管控相关要求。</w:t>
                  </w:r>
                </w:p>
                <w:p w14:paraId="2DC9DB99">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3.生态保护红线应符合《关于划定并严守生态保护红线的若干意见》及国家、省有关要求，原则上按禁止开发</w:t>
                  </w:r>
                </w:p>
                <w:p w14:paraId="1F34E9F9">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区域的要求进行管理，严禁不符合主体功能定位的各类开发活动，严禁任意改变土地用途。</w:t>
                  </w:r>
                </w:p>
                <w:p w14:paraId="73A17ED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4.一般生态空间原则上按限制开发区域的要求进行管理。</w:t>
                  </w:r>
                </w:p>
              </w:tc>
              <w:tc>
                <w:tcPr>
                  <w:tcW w:w="1705" w:type="pct"/>
                  <w:tcBorders>
                    <w:tl2br w:val="nil"/>
                    <w:tr2bl w:val="nil"/>
                  </w:tcBorders>
                  <w:noWrap w:val="0"/>
                  <w:vAlign w:val="center"/>
                </w:tcPr>
                <w:p w14:paraId="16D8E68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1、本项目属于改</w:t>
                  </w:r>
                  <w:r>
                    <w:rPr>
                      <w:rFonts w:hint="eastAsia" w:ascii="Times New Roman" w:hAnsi="Times New Roman" w:eastAsia="宋体" w:cs="Times New Roman"/>
                      <w:b w:val="0"/>
                      <w:bCs w:val="0"/>
                      <w:color w:val="auto"/>
                      <w:sz w:val="21"/>
                      <w:szCs w:val="21"/>
                      <w:highlight w:val="none"/>
                      <w:lang w:val="en-US" w:eastAsia="zh-CN"/>
                    </w:rPr>
                    <w:t>扩建</w:t>
                  </w:r>
                  <w:r>
                    <w:rPr>
                      <w:rFonts w:hint="default" w:ascii="Times New Roman" w:hAnsi="Times New Roman" w:eastAsia="宋体" w:cs="Times New Roman"/>
                      <w:b w:val="0"/>
                      <w:bCs w:val="0"/>
                      <w:color w:val="auto"/>
                      <w:sz w:val="21"/>
                      <w:szCs w:val="21"/>
                      <w:highlight w:val="none"/>
                      <w:lang w:val="en-US" w:eastAsia="zh-CN"/>
                    </w:rPr>
                    <w:t>项目，</w:t>
                  </w:r>
                  <w:r>
                    <w:rPr>
                      <w:rFonts w:hint="eastAsia" w:ascii="Times New Roman" w:hAnsi="Times New Roman" w:eastAsia="宋体" w:cs="Times New Roman"/>
                      <w:b w:val="0"/>
                      <w:bCs w:val="0"/>
                      <w:color w:val="auto"/>
                      <w:sz w:val="21"/>
                      <w:szCs w:val="21"/>
                      <w:highlight w:val="none"/>
                      <w:lang w:val="en-US" w:eastAsia="zh-CN"/>
                    </w:rPr>
                    <w:t>在现有项目原址内改扩建，项目产生的</w:t>
                  </w:r>
                  <w:r>
                    <w:rPr>
                      <w:rFonts w:hint="default" w:ascii="Times New Roman" w:hAnsi="Times New Roman" w:eastAsia="宋体" w:cs="Times New Roman"/>
                      <w:b w:val="0"/>
                      <w:bCs w:val="0"/>
                      <w:color w:val="auto"/>
                      <w:sz w:val="21"/>
                      <w:szCs w:val="21"/>
                      <w:highlight w:val="none"/>
                      <w:lang w:val="en-US" w:eastAsia="zh-CN"/>
                    </w:rPr>
                    <w:t>污染物排放满足</w:t>
                  </w:r>
                  <w:r>
                    <w:rPr>
                      <w:rFonts w:hint="default" w:ascii="Times New Roman" w:hAnsi="Times New Roman" w:eastAsia="宋体" w:cs="Times New Roman"/>
                      <w:b w:val="0"/>
                      <w:bCs w:val="0"/>
                      <w:color w:val="auto"/>
                      <w:sz w:val="21"/>
                      <w:szCs w:val="21"/>
                      <w:highlight w:val="none"/>
                    </w:rPr>
                    <w:t>产业准入、总量控制、排放标准</w:t>
                  </w:r>
                  <w:r>
                    <w:rPr>
                      <w:rFonts w:hint="default" w:ascii="Times New Roman" w:hAnsi="Times New Roman" w:eastAsia="宋体" w:cs="Times New Roman"/>
                      <w:b w:val="0"/>
                      <w:bCs w:val="0"/>
                      <w:color w:val="auto"/>
                      <w:sz w:val="21"/>
                      <w:szCs w:val="21"/>
                      <w:highlight w:val="none"/>
                      <w:lang w:val="en-US" w:eastAsia="zh-CN"/>
                    </w:rPr>
                    <w:t>。</w:t>
                  </w:r>
                </w:p>
                <w:p w14:paraId="288C9372">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eastAsia="zh-CN"/>
                    </w:rPr>
                    <w:t>泉林国家森林公园</w:t>
                  </w:r>
                  <w:r>
                    <w:rPr>
                      <w:rFonts w:hint="eastAsia" w:ascii="Times New Roman" w:hAnsi="Times New Roman" w:eastAsia="宋体" w:cs="Times New Roman"/>
                      <w:b w:val="0"/>
                      <w:bCs w:val="0"/>
                      <w:color w:val="auto"/>
                      <w:sz w:val="21"/>
                      <w:szCs w:val="21"/>
                      <w:highlight w:val="none"/>
                      <w:lang w:val="en-US" w:eastAsia="zh-CN"/>
                    </w:rPr>
                    <w:t>位于泗水县苗馆镇泉林镇，位于本项目东南方向</w:t>
                  </w:r>
                  <w:r>
                    <w:rPr>
                      <w:rFonts w:hint="eastAsia" w:cs="Times New Roman"/>
                      <w:b w:val="0"/>
                      <w:bCs w:val="0"/>
                      <w:color w:val="auto"/>
                      <w:sz w:val="21"/>
                      <w:szCs w:val="21"/>
                      <w:highlight w:val="none"/>
                      <w:lang w:val="en-US" w:eastAsia="zh-CN"/>
                    </w:rPr>
                    <w:t>约</w:t>
                  </w:r>
                  <w:r>
                    <w:rPr>
                      <w:rFonts w:hint="eastAsia" w:ascii="Times New Roman" w:hAnsi="Times New Roman" w:eastAsia="宋体" w:cs="Times New Roman"/>
                      <w:b w:val="0"/>
                      <w:bCs w:val="0"/>
                      <w:color w:val="auto"/>
                      <w:sz w:val="21"/>
                      <w:szCs w:val="21"/>
                      <w:highlight w:val="none"/>
                      <w:lang w:val="en-US" w:eastAsia="zh-CN"/>
                    </w:rPr>
                    <w:t>11.5km</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项目位于泉林国家森林公园之外</w:t>
                  </w:r>
                  <w:r>
                    <w:rPr>
                      <w:rFonts w:hint="eastAsia" w:ascii="Times New Roman" w:hAnsi="Times New Roman" w:eastAsia="宋体" w:cs="Times New Roman"/>
                      <w:b w:val="0"/>
                      <w:bCs w:val="0"/>
                      <w:color w:val="auto"/>
                      <w:sz w:val="21"/>
                      <w:szCs w:val="21"/>
                      <w:highlight w:val="none"/>
                      <w:lang w:val="en-US" w:eastAsia="zh-CN"/>
                    </w:rPr>
                    <w:t>，且距离较远</w:t>
                  </w:r>
                  <w:r>
                    <w:rPr>
                      <w:rFonts w:hint="default" w:ascii="Times New Roman" w:hAnsi="Times New Roman" w:eastAsia="宋体" w:cs="Times New Roman"/>
                      <w:b w:val="0"/>
                      <w:bCs w:val="0"/>
                      <w:color w:val="FF0000"/>
                      <w:sz w:val="21"/>
                      <w:szCs w:val="21"/>
                      <w:highlight w:val="none"/>
                      <w:lang w:val="en-US" w:eastAsia="zh-CN"/>
                    </w:rPr>
                    <w:t>。</w:t>
                  </w:r>
                  <w:r>
                    <w:rPr>
                      <w:rFonts w:hint="eastAsia" w:cs="Times New Roman"/>
                      <w:b w:val="0"/>
                      <w:bCs w:val="0"/>
                      <w:color w:val="FF0000"/>
                      <w:sz w:val="21"/>
                      <w:szCs w:val="21"/>
                      <w:highlight w:val="none"/>
                      <w:lang w:val="en-US" w:eastAsia="zh-CN"/>
                    </w:rPr>
                    <w:t>距离山东泗河源国家湿地公园生态保育区约1.07</w:t>
                  </w:r>
                  <w:r>
                    <w:rPr>
                      <w:rFonts w:hint="eastAsia" w:ascii="Times New Roman" w:hAnsi="Times New Roman" w:eastAsia="宋体" w:cs="Times New Roman"/>
                      <w:b w:val="0"/>
                      <w:bCs w:val="0"/>
                      <w:color w:val="FF0000"/>
                      <w:sz w:val="21"/>
                      <w:szCs w:val="21"/>
                      <w:highlight w:val="none"/>
                      <w:lang w:val="en-US" w:eastAsia="zh-CN"/>
                    </w:rPr>
                    <w:t>km</w:t>
                  </w:r>
                  <w:r>
                    <w:rPr>
                      <w:rFonts w:hint="eastAsia" w:cs="Times New Roman"/>
                      <w:b w:val="0"/>
                      <w:bCs w:val="0"/>
                      <w:color w:val="FF0000"/>
                      <w:sz w:val="21"/>
                      <w:szCs w:val="21"/>
                      <w:highlight w:val="none"/>
                      <w:lang w:val="en-US" w:eastAsia="zh-CN"/>
                    </w:rPr>
                    <w:t>.具体位置关系见附图5</w:t>
                  </w:r>
                </w:p>
                <w:p w14:paraId="3181356D">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val="en-US" w:eastAsia="zh-CN"/>
                    </w:rPr>
                    <w:t>项目在现有厂区内进行改</w:t>
                  </w:r>
                  <w:r>
                    <w:rPr>
                      <w:rFonts w:hint="eastAsia" w:ascii="Times New Roman" w:hAnsi="Times New Roman" w:eastAsia="宋体" w:cs="Times New Roman"/>
                      <w:b w:val="0"/>
                      <w:bCs w:val="0"/>
                      <w:color w:val="auto"/>
                      <w:sz w:val="21"/>
                      <w:szCs w:val="21"/>
                      <w:highlight w:val="none"/>
                      <w:lang w:val="en-US" w:eastAsia="zh-CN"/>
                    </w:rPr>
                    <w:t>建</w:t>
                  </w:r>
                  <w:r>
                    <w:rPr>
                      <w:rFonts w:hint="default" w:ascii="Times New Roman" w:hAnsi="Times New Roman" w:eastAsia="宋体" w:cs="Times New Roman"/>
                      <w:b w:val="0"/>
                      <w:bCs w:val="0"/>
                      <w:color w:val="auto"/>
                      <w:sz w:val="21"/>
                      <w:szCs w:val="21"/>
                      <w:highlight w:val="none"/>
                      <w:lang w:val="en-US" w:eastAsia="zh-CN"/>
                    </w:rPr>
                    <w:t>，不</w:t>
                  </w:r>
                  <w:r>
                    <w:rPr>
                      <w:rFonts w:hint="eastAsia" w:ascii="Times New Roman" w:hAnsi="Times New Roman" w:eastAsia="宋体" w:cs="Times New Roman"/>
                      <w:b w:val="0"/>
                      <w:bCs w:val="0"/>
                      <w:color w:val="auto"/>
                      <w:sz w:val="21"/>
                      <w:szCs w:val="21"/>
                      <w:highlight w:val="none"/>
                      <w:lang w:val="en-US" w:eastAsia="zh-CN"/>
                    </w:rPr>
                    <w:t>在</w:t>
                  </w:r>
                  <w:r>
                    <w:rPr>
                      <w:rFonts w:hint="default" w:ascii="Times New Roman" w:hAnsi="Times New Roman" w:eastAsia="宋体" w:cs="Times New Roman"/>
                      <w:b w:val="0"/>
                      <w:bCs w:val="0"/>
                      <w:color w:val="auto"/>
                      <w:sz w:val="21"/>
                      <w:szCs w:val="21"/>
                      <w:highlight w:val="none"/>
                      <w:lang w:val="en-US" w:eastAsia="zh-CN"/>
                    </w:rPr>
                    <w:t>生态保护红线</w:t>
                  </w:r>
                  <w:r>
                    <w:rPr>
                      <w:rFonts w:hint="eastAsia" w:ascii="Times New Roman" w:hAnsi="Times New Roman" w:eastAsia="宋体" w:cs="Times New Roman"/>
                      <w:b w:val="0"/>
                      <w:bCs w:val="0"/>
                      <w:color w:val="auto"/>
                      <w:sz w:val="21"/>
                      <w:szCs w:val="21"/>
                      <w:highlight w:val="none"/>
                      <w:lang w:val="en-US" w:eastAsia="zh-CN"/>
                    </w:rPr>
                    <w:t>范围内</w:t>
                  </w:r>
                  <w:r>
                    <w:rPr>
                      <w:rFonts w:hint="default" w:ascii="Times New Roman" w:hAnsi="Times New Roman" w:eastAsia="宋体" w:cs="Times New Roman"/>
                      <w:b w:val="0"/>
                      <w:bCs w:val="0"/>
                      <w:color w:val="auto"/>
                      <w:sz w:val="21"/>
                      <w:szCs w:val="21"/>
                      <w:highlight w:val="none"/>
                      <w:lang w:val="en-US" w:eastAsia="zh-CN"/>
                    </w:rPr>
                    <w:t>。</w:t>
                  </w:r>
                </w:p>
                <w:p w14:paraId="2848B42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4、项目不在一般生态空间范围内，不新增用地，不改变土地用途。</w:t>
                  </w:r>
                </w:p>
              </w:tc>
              <w:tc>
                <w:tcPr>
                  <w:tcW w:w="496" w:type="pct"/>
                  <w:tcBorders>
                    <w:tl2br w:val="nil"/>
                    <w:tr2bl w:val="nil"/>
                  </w:tcBorders>
                  <w:noWrap w:val="0"/>
                  <w:vAlign w:val="center"/>
                </w:tcPr>
                <w:p w14:paraId="6DD1C11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r w14:paraId="6776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15C5326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污染物排放管控</w:t>
                  </w:r>
                </w:p>
              </w:tc>
              <w:tc>
                <w:tcPr>
                  <w:tcW w:w="1705" w:type="pct"/>
                  <w:tcBorders>
                    <w:tl2br w:val="nil"/>
                    <w:tr2bl w:val="nil"/>
                  </w:tcBorders>
                  <w:noWrap w:val="0"/>
                  <w:vAlign w:val="center"/>
                </w:tcPr>
                <w:p w14:paraId="2E358FD0">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本项目内容</w:t>
                  </w:r>
                </w:p>
              </w:tc>
              <w:tc>
                <w:tcPr>
                  <w:tcW w:w="496" w:type="pct"/>
                  <w:tcBorders>
                    <w:tl2br w:val="nil"/>
                    <w:tr2bl w:val="nil"/>
                  </w:tcBorders>
                  <w:noWrap w:val="0"/>
                  <w:vAlign w:val="center"/>
                </w:tcPr>
                <w:p w14:paraId="5E326BD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符合性</w:t>
                  </w:r>
                </w:p>
              </w:tc>
            </w:tr>
            <w:tr w14:paraId="143A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524DCFEE">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1.落实水环境保护的普适性要求。推进城乡生活污染和农业面源污染治理，加强污染物排放管控，推动水环境质量不断改善。</w:t>
                  </w:r>
                </w:p>
                <w:p w14:paraId="5098F42B">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2.泉林国家森林公园污染物排放管控执行国家级森林公园管控相关要求。</w:t>
                  </w:r>
                </w:p>
                <w:p w14:paraId="65080840">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.严格执行山东省《区域性大气污染物综合排放标准》（DB37/2376-2019）排放要求，SO</w:t>
                  </w:r>
                  <w:r>
                    <w:rPr>
                      <w:rFonts w:hint="default" w:ascii="Times New Roman" w:hAnsi="Times New Roman" w:eastAsia="宋体" w:cs="Times New Roman"/>
                      <w:b w:val="0"/>
                      <w:bCs w:val="0"/>
                      <w:color w:val="auto"/>
                      <w:sz w:val="21"/>
                      <w:szCs w:val="21"/>
                      <w:highlight w:val="none"/>
                      <w:vertAlign w:val="subscript"/>
                    </w:rPr>
                    <w:t>2</w:t>
                  </w:r>
                  <w:r>
                    <w:rPr>
                      <w:rFonts w:hint="default" w:ascii="Times New Roman" w:hAnsi="Times New Roman" w:eastAsia="宋体" w:cs="Times New Roman"/>
                      <w:b w:val="0"/>
                      <w:bCs w:val="0"/>
                      <w:color w:val="auto"/>
                      <w:sz w:val="21"/>
                      <w:szCs w:val="21"/>
                      <w:highlight w:val="none"/>
                    </w:rPr>
                    <w:t>、NOx、烟粉尘、VOCs排放量不得超过区域允许排放量。全面加强VOCs污染管控。加大秸秆禁烧管控力度。</w:t>
                  </w:r>
                </w:p>
              </w:tc>
              <w:tc>
                <w:tcPr>
                  <w:tcW w:w="1705" w:type="pct"/>
                  <w:tcBorders>
                    <w:tl2br w:val="nil"/>
                    <w:tr2bl w:val="nil"/>
                  </w:tcBorders>
                  <w:noWrap w:val="0"/>
                  <w:vAlign w:val="center"/>
                </w:tcPr>
                <w:p w14:paraId="07920FC8">
                  <w:pPr>
                    <w:pStyle w:val="84"/>
                    <w:keepNext w:val="0"/>
                    <w:keepLines w:val="0"/>
                    <w:pageBreakBefore w:val="0"/>
                    <w:widowControl w:val="0"/>
                    <w:numPr>
                      <w:ilvl w:val="0"/>
                      <w:numId w:val="0"/>
                    </w:numPr>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1、项目</w:t>
                  </w:r>
                  <w:r>
                    <w:rPr>
                      <w:rFonts w:hint="eastAsia" w:ascii="Times New Roman" w:hAnsi="Times New Roman" w:eastAsia="宋体" w:cs="Times New Roman"/>
                      <w:b w:val="0"/>
                      <w:bCs w:val="0"/>
                      <w:color w:val="auto"/>
                      <w:sz w:val="21"/>
                      <w:szCs w:val="21"/>
                      <w:highlight w:val="none"/>
                      <w:lang w:val="en-US" w:eastAsia="zh-CN"/>
                    </w:rPr>
                    <w:t>为改扩建项目，</w:t>
                  </w:r>
                  <w:r>
                    <w:rPr>
                      <w:rFonts w:hint="eastAsia"/>
                      <w:color w:val="auto"/>
                      <w:highlight w:val="none"/>
                      <w:lang w:val="en-US" w:eastAsia="zh-CN"/>
                    </w:rPr>
                    <w:t>改扩建后全厂无废水外排，周边水环境影响较小</w:t>
                  </w:r>
                  <w:r>
                    <w:rPr>
                      <w:rFonts w:hint="default" w:ascii="Times New Roman" w:hAnsi="Times New Roman" w:eastAsia="宋体" w:cs="Times New Roman"/>
                      <w:b w:val="0"/>
                      <w:bCs w:val="0"/>
                      <w:color w:val="auto"/>
                      <w:sz w:val="21"/>
                      <w:szCs w:val="21"/>
                      <w:highlight w:val="none"/>
                      <w:lang w:val="en-US" w:eastAsia="zh-CN"/>
                    </w:rPr>
                    <w:t>。</w:t>
                  </w:r>
                </w:p>
                <w:p w14:paraId="60379D4C">
                  <w:pPr>
                    <w:pStyle w:val="84"/>
                    <w:keepNext w:val="0"/>
                    <w:keepLines w:val="0"/>
                    <w:pageBreakBefore w:val="0"/>
                    <w:widowControl w:val="0"/>
                    <w:numPr>
                      <w:ilvl w:val="0"/>
                      <w:numId w:val="0"/>
                    </w:numPr>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2、项目位于泉林国家森林公园之外。</w:t>
                  </w:r>
                </w:p>
                <w:p w14:paraId="1B614A59">
                  <w:pPr>
                    <w:pStyle w:val="84"/>
                    <w:keepNext w:val="0"/>
                    <w:keepLines w:val="0"/>
                    <w:pageBreakBefore w:val="0"/>
                    <w:widowControl w:val="0"/>
                    <w:numPr>
                      <w:ilvl w:val="0"/>
                      <w:numId w:val="0"/>
                    </w:numPr>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3、项目无SO</w:t>
                  </w:r>
                  <w:r>
                    <w:rPr>
                      <w:rFonts w:hint="default" w:ascii="Times New Roman" w:hAnsi="Times New Roman" w:eastAsia="宋体" w:cs="Times New Roman"/>
                      <w:b w:val="0"/>
                      <w:bCs w:val="0"/>
                      <w:color w:val="auto"/>
                      <w:sz w:val="21"/>
                      <w:szCs w:val="21"/>
                      <w:highlight w:val="none"/>
                      <w:vertAlign w:val="subscript"/>
                      <w:lang w:val="en-US" w:eastAsia="zh-CN"/>
                    </w:rPr>
                    <w:t>2</w:t>
                  </w:r>
                  <w:r>
                    <w:rPr>
                      <w:rFonts w:hint="default" w:ascii="Times New Roman" w:hAnsi="Times New Roman" w:eastAsia="宋体" w:cs="Times New Roman"/>
                      <w:b w:val="0"/>
                      <w:bCs w:val="0"/>
                      <w:color w:val="auto"/>
                      <w:sz w:val="21"/>
                      <w:szCs w:val="21"/>
                      <w:highlight w:val="none"/>
                      <w:lang w:val="en-US" w:eastAsia="zh-CN"/>
                    </w:rPr>
                    <w:t>、NO</w:t>
                  </w:r>
                  <w:r>
                    <w:rPr>
                      <w:rFonts w:hint="default" w:ascii="Times New Roman" w:hAnsi="Times New Roman" w:eastAsia="宋体" w:cs="Times New Roman"/>
                      <w:b w:val="0"/>
                      <w:bCs w:val="0"/>
                      <w:color w:val="auto"/>
                      <w:sz w:val="21"/>
                      <w:szCs w:val="21"/>
                      <w:highlight w:val="none"/>
                      <w:vertAlign w:val="subscript"/>
                      <w:lang w:val="en-US" w:eastAsia="zh-CN"/>
                    </w:rPr>
                    <w:t>X</w:t>
                  </w:r>
                  <w:r>
                    <w:rPr>
                      <w:rFonts w:hint="default" w:ascii="Times New Roman" w:hAnsi="Times New Roman" w:eastAsia="宋体" w:cs="Times New Roman"/>
                      <w:b w:val="0"/>
                      <w:bCs w:val="0"/>
                      <w:color w:val="auto"/>
                      <w:sz w:val="21"/>
                      <w:szCs w:val="21"/>
                      <w:highlight w:val="none"/>
                      <w:lang w:val="en-US" w:eastAsia="zh-CN"/>
                    </w:rPr>
                    <w:t>排放，颗粒物排放排放满足《区域性大气污染物综合排放标准》（DB37/2376-2019）要求，颗粒物、VOCs实施两倍量削减替代，不超过区域允许排放量</w:t>
                  </w:r>
                  <w:r>
                    <w:rPr>
                      <w:rFonts w:hint="eastAsia" w:ascii="Times New Roman" w:hAnsi="Times New Roman" w:eastAsia="宋体" w:cs="Times New Roman"/>
                      <w:b w:val="0"/>
                      <w:bCs w:val="0"/>
                      <w:color w:val="auto"/>
                      <w:sz w:val="21"/>
                      <w:szCs w:val="21"/>
                      <w:highlight w:val="none"/>
                      <w:lang w:val="en-US" w:eastAsia="zh-CN"/>
                    </w:rPr>
                    <w:t>。</w:t>
                  </w:r>
                </w:p>
              </w:tc>
              <w:tc>
                <w:tcPr>
                  <w:tcW w:w="496" w:type="pct"/>
                  <w:tcBorders>
                    <w:tl2br w:val="nil"/>
                    <w:tr2bl w:val="nil"/>
                  </w:tcBorders>
                  <w:noWrap w:val="0"/>
                  <w:vAlign w:val="center"/>
                </w:tcPr>
                <w:p w14:paraId="1ABE2A2A">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r w14:paraId="541A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97" w:type="pct"/>
                  <w:tcBorders>
                    <w:tl2br w:val="nil"/>
                    <w:tr2bl w:val="nil"/>
                  </w:tcBorders>
                  <w:noWrap w:val="0"/>
                  <w:vAlign w:val="center"/>
                </w:tcPr>
                <w:p w14:paraId="7AD96F31">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环境风险防控</w:t>
                  </w:r>
                </w:p>
              </w:tc>
              <w:tc>
                <w:tcPr>
                  <w:tcW w:w="1705" w:type="pct"/>
                  <w:tcBorders>
                    <w:tl2br w:val="nil"/>
                    <w:tr2bl w:val="nil"/>
                  </w:tcBorders>
                  <w:noWrap w:val="0"/>
                  <w:vAlign w:val="center"/>
                </w:tcPr>
                <w:p w14:paraId="06BF50C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本项目内容</w:t>
                  </w:r>
                </w:p>
              </w:tc>
              <w:tc>
                <w:tcPr>
                  <w:tcW w:w="496" w:type="pct"/>
                  <w:tcBorders>
                    <w:tl2br w:val="nil"/>
                    <w:tr2bl w:val="nil"/>
                  </w:tcBorders>
                  <w:noWrap w:val="0"/>
                  <w:vAlign w:val="center"/>
                </w:tcPr>
                <w:p w14:paraId="1EFDD35E">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符合性</w:t>
                  </w:r>
                </w:p>
              </w:tc>
            </w:tr>
            <w:tr w14:paraId="5368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3" w:hRule="atLeast"/>
                <w:jc w:val="center"/>
              </w:trPr>
              <w:tc>
                <w:tcPr>
                  <w:tcW w:w="2797" w:type="pct"/>
                  <w:tcBorders>
                    <w:tl2br w:val="nil"/>
                    <w:tr2bl w:val="nil"/>
                  </w:tcBorders>
                  <w:noWrap w:val="0"/>
                  <w:vAlign w:val="center"/>
                </w:tcPr>
                <w:p w14:paraId="33F745E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1.泉林国家森林公园环境风险防控执行国家级森林公园管控相关要求</w:t>
                  </w:r>
                  <w:r>
                    <w:rPr>
                      <w:rFonts w:hint="default" w:ascii="Times New Roman" w:hAnsi="Times New Roman" w:eastAsia="宋体" w:cs="Times New Roman"/>
                      <w:b w:val="0"/>
                      <w:bCs w:val="0"/>
                      <w:color w:val="auto"/>
                      <w:sz w:val="21"/>
                      <w:szCs w:val="21"/>
                      <w:highlight w:val="none"/>
                      <w:lang w:eastAsia="zh-CN"/>
                    </w:rPr>
                    <w:t>。</w:t>
                  </w:r>
                </w:p>
                <w:p w14:paraId="1B6E3443">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rPr>
                    <w:t>当预测到区域将出现重污染天气时，根据预警发布，按级别启动应急响应，落实各项应急减排措施。</w:t>
                  </w:r>
                </w:p>
                <w:p w14:paraId="56CA5960">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.对于高关注度地块，调查结果表明超过土壤污染风险管控标准的，应按照规定开展土壤污染状况调查、风险评估、风险管控和修复。</w:t>
                  </w:r>
                </w:p>
                <w:p w14:paraId="1687D98A">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土壤污染重点监管单位内严格控制有毒有害物质排放，并按年度向生态环境主管部门报告排放情况。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建立土壤污染隐患排查制度，保证持续有效防止有毒有害物质渗漏、流失、扬散；制定、实施自行监测方案，并将监测数据报生态环境主管部门。</w:t>
                  </w:r>
                </w:p>
              </w:tc>
              <w:tc>
                <w:tcPr>
                  <w:tcW w:w="1705" w:type="pct"/>
                  <w:tcBorders>
                    <w:tl2br w:val="nil"/>
                    <w:tr2bl w:val="nil"/>
                  </w:tcBorders>
                  <w:noWrap w:val="0"/>
                  <w:vAlign w:val="center"/>
                </w:tcPr>
                <w:p w14:paraId="1B2B723E">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1、项目位于泉林国家森林公园之外。</w:t>
                  </w:r>
                </w:p>
                <w:p w14:paraId="2D713AA6">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2、本项目严格按照区域环保部门要求，必要时实施应急减排和错峰生产。</w:t>
                  </w:r>
                </w:p>
                <w:p w14:paraId="33FC8F0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3、项目</w:t>
                  </w:r>
                  <w:r>
                    <w:rPr>
                      <w:rFonts w:hint="eastAsia" w:ascii="Times New Roman" w:hAnsi="Times New Roman" w:eastAsia="宋体" w:cs="Times New Roman"/>
                      <w:b w:val="0"/>
                      <w:bCs w:val="0"/>
                      <w:color w:val="auto"/>
                      <w:sz w:val="21"/>
                      <w:szCs w:val="21"/>
                      <w:highlight w:val="none"/>
                      <w:lang w:val="en-US" w:eastAsia="zh-CN"/>
                    </w:rPr>
                    <w:t>不涉及</w:t>
                  </w:r>
                  <w:r>
                    <w:rPr>
                      <w:rFonts w:hint="default" w:ascii="Times New Roman" w:hAnsi="Times New Roman" w:eastAsia="宋体" w:cs="Times New Roman"/>
                      <w:b w:val="0"/>
                      <w:bCs w:val="0"/>
                      <w:color w:val="auto"/>
                      <w:sz w:val="21"/>
                      <w:szCs w:val="21"/>
                      <w:highlight w:val="none"/>
                      <w:lang w:val="en-US" w:eastAsia="zh-CN"/>
                    </w:rPr>
                    <w:t>有毒有害物质排放，加强土壤污染防治措施，按照要求制定监测计划，并要求企业严格落实执行。</w:t>
                  </w:r>
                </w:p>
                <w:p w14:paraId="7CF3F5D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4、根据发布的土壤污染重点监管单位名单，现有项目不属于土壤土壤污染重点监管单位，改扩建完成后，企业不涉及</w:t>
                  </w:r>
                  <w:r>
                    <w:rPr>
                      <w:rFonts w:hint="default" w:ascii="Times New Roman" w:hAnsi="Times New Roman" w:eastAsia="宋体" w:cs="Times New Roman"/>
                      <w:b w:val="0"/>
                      <w:bCs w:val="0"/>
                      <w:color w:val="auto"/>
                      <w:sz w:val="21"/>
                      <w:szCs w:val="21"/>
                      <w:highlight w:val="none"/>
                      <w:lang w:val="en-US" w:eastAsia="zh-CN"/>
                    </w:rPr>
                    <w:t>有毒有害物质的生产装置、储罐和管道，</w:t>
                  </w:r>
                  <w:r>
                    <w:rPr>
                      <w:rFonts w:hint="eastAsia" w:ascii="Times New Roman" w:hAnsi="Times New Roman" w:eastAsia="宋体" w:cs="Times New Roman"/>
                      <w:b w:val="0"/>
                      <w:bCs w:val="0"/>
                      <w:color w:val="auto"/>
                      <w:sz w:val="21"/>
                      <w:szCs w:val="21"/>
                      <w:highlight w:val="none"/>
                      <w:lang w:val="en-US" w:eastAsia="zh-CN"/>
                    </w:rPr>
                    <w:t>不产生生产废水，无</w:t>
                  </w:r>
                  <w:r>
                    <w:rPr>
                      <w:rFonts w:hint="default" w:ascii="Times New Roman" w:hAnsi="Times New Roman" w:eastAsia="宋体" w:cs="Times New Roman"/>
                      <w:b w:val="0"/>
                      <w:bCs w:val="0"/>
                      <w:color w:val="auto"/>
                      <w:sz w:val="21"/>
                      <w:szCs w:val="21"/>
                      <w:highlight w:val="none"/>
                      <w:lang w:val="en-US" w:eastAsia="zh-CN"/>
                    </w:rPr>
                    <w:t>污水处理池</w:t>
                  </w:r>
                  <w:r>
                    <w:rPr>
                      <w:rFonts w:hint="eastAsia" w:ascii="Times New Roman" w:hAnsi="Times New Roman" w:eastAsia="宋体" w:cs="Times New Roman"/>
                      <w:b w:val="0"/>
                      <w:bCs w:val="0"/>
                      <w:color w:val="auto"/>
                      <w:sz w:val="21"/>
                      <w:szCs w:val="21"/>
                      <w:highlight w:val="none"/>
                      <w:lang w:val="en-US" w:eastAsia="zh-CN"/>
                    </w:rPr>
                    <w:t>，对土壤风险降低。</w:t>
                  </w:r>
                </w:p>
              </w:tc>
              <w:tc>
                <w:tcPr>
                  <w:tcW w:w="496" w:type="pct"/>
                  <w:tcBorders>
                    <w:tl2br w:val="nil"/>
                    <w:tr2bl w:val="nil"/>
                  </w:tcBorders>
                  <w:noWrap w:val="0"/>
                  <w:vAlign w:val="center"/>
                </w:tcPr>
                <w:p w14:paraId="6D3FAFB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r w14:paraId="038D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97" w:type="pct"/>
                  <w:tcBorders>
                    <w:tl2br w:val="nil"/>
                    <w:tr2bl w:val="nil"/>
                  </w:tcBorders>
                  <w:noWrap w:val="0"/>
                  <w:vAlign w:val="center"/>
                </w:tcPr>
                <w:p w14:paraId="7BB47985">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资源开发效率要求</w:t>
                  </w:r>
                </w:p>
              </w:tc>
              <w:tc>
                <w:tcPr>
                  <w:tcW w:w="1705" w:type="pct"/>
                  <w:tcBorders>
                    <w:tl2br w:val="nil"/>
                    <w:tr2bl w:val="nil"/>
                  </w:tcBorders>
                  <w:noWrap w:val="0"/>
                  <w:vAlign w:val="center"/>
                </w:tcPr>
                <w:p w14:paraId="31E04EF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本项目内容</w:t>
                  </w:r>
                </w:p>
              </w:tc>
              <w:tc>
                <w:tcPr>
                  <w:tcW w:w="496" w:type="pct"/>
                  <w:tcBorders>
                    <w:tl2br w:val="nil"/>
                    <w:tr2bl w:val="nil"/>
                  </w:tcBorders>
                  <w:noWrap w:val="0"/>
                  <w:vAlign w:val="center"/>
                </w:tcPr>
                <w:p w14:paraId="552BAA19">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符合性</w:t>
                  </w:r>
                </w:p>
              </w:tc>
            </w:tr>
            <w:tr w14:paraId="6173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2797" w:type="pct"/>
                  <w:tcBorders>
                    <w:tl2br w:val="nil"/>
                    <w:tr2bl w:val="nil"/>
                  </w:tcBorders>
                  <w:noWrap w:val="0"/>
                  <w:vAlign w:val="center"/>
                </w:tcPr>
                <w:p w14:paraId="276BC7C6">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1.严控高耗水项目。水资源开发应当优先利用地表水，严格控制开采地下水。</w:t>
                  </w:r>
                </w:p>
                <w:p w14:paraId="065F4DE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2.推进冬季清洁取暖，实现清洁能源逐步替代散煤。严防散煤复烧，对暂未实施清洁取暖的地区，确保使用的散煤质量符合标准要求。</w:t>
                  </w:r>
                </w:p>
              </w:tc>
              <w:tc>
                <w:tcPr>
                  <w:tcW w:w="1705" w:type="pct"/>
                  <w:tcBorders>
                    <w:tl2br w:val="nil"/>
                    <w:tr2bl w:val="nil"/>
                  </w:tcBorders>
                  <w:noWrap w:val="0"/>
                  <w:vAlign w:val="center"/>
                </w:tcPr>
                <w:p w14:paraId="0C44334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1、本项目不属于高耗水项目</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不</w:t>
                  </w:r>
                  <w:r>
                    <w:rPr>
                      <w:rFonts w:hint="default" w:ascii="Times New Roman" w:hAnsi="Times New Roman" w:eastAsia="宋体" w:cs="Times New Roman"/>
                      <w:b w:val="0"/>
                      <w:bCs w:val="0"/>
                      <w:color w:val="auto"/>
                      <w:sz w:val="21"/>
                      <w:szCs w:val="21"/>
                      <w:highlight w:val="none"/>
                    </w:rPr>
                    <w:t>开采地下水</w:t>
                  </w:r>
                  <w:r>
                    <w:rPr>
                      <w:rFonts w:hint="eastAsia" w:ascii="Times New Roman" w:hAnsi="Times New Roman" w:eastAsia="宋体" w:cs="Times New Roman"/>
                      <w:b w:val="0"/>
                      <w:bCs w:val="0"/>
                      <w:color w:val="auto"/>
                      <w:sz w:val="21"/>
                      <w:szCs w:val="21"/>
                      <w:highlight w:val="none"/>
                      <w:lang w:eastAsia="zh-CN"/>
                    </w:rPr>
                    <w:t>。</w:t>
                  </w:r>
                </w:p>
                <w:p w14:paraId="6543A0F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2、本项目</w:t>
                  </w:r>
                  <w:r>
                    <w:rPr>
                      <w:rFonts w:hint="eastAsia" w:ascii="Times New Roman" w:hAnsi="Times New Roman" w:eastAsia="宋体" w:cs="Times New Roman"/>
                      <w:b w:val="0"/>
                      <w:bCs w:val="0"/>
                      <w:color w:val="auto"/>
                      <w:sz w:val="21"/>
                      <w:szCs w:val="21"/>
                      <w:highlight w:val="none"/>
                      <w:lang w:val="en-US" w:eastAsia="zh-CN"/>
                    </w:rPr>
                    <w:t>使用电，不涉及</w:t>
                  </w:r>
                  <w:r>
                    <w:rPr>
                      <w:rFonts w:hint="default" w:ascii="Times New Roman" w:hAnsi="Times New Roman" w:eastAsia="宋体" w:cs="Times New Roman"/>
                      <w:b w:val="0"/>
                      <w:bCs w:val="0"/>
                      <w:color w:val="auto"/>
                      <w:sz w:val="21"/>
                      <w:szCs w:val="21"/>
                      <w:highlight w:val="none"/>
                    </w:rPr>
                    <w:t>煤</w:t>
                  </w:r>
                  <w:r>
                    <w:rPr>
                      <w:rFonts w:hint="default" w:ascii="Times New Roman" w:hAnsi="Times New Roman" w:eastAsia="宋体" w:cs="Times New Roman"/>
                      <w:b w:val="0"/>
                      <w:bCs w:val="0"/>
                      <w:color w:val="auto"/>
                      <w:sz w:val="21"/>
                      <w:szCs w:val="21"/>
                      <w:highlight w:val="none"/>
                      <w:lang w:val="en-US" w:eastAsia="zh-CN"/>
                    </w:rPr>
                    <w:t>。</w:t>
                  </w:r>
                </w:p>
              </w:tc>
              <w:tc>
                <w:tcPr>
                  <w:tcW w:w="496" w:type="pct"/>
                  <w:tcBorders>
                    <w:tl2br w:val="nil"/>
                    <w:tr2bl w:val="nil"/>
                  </w:tcBorders>
                  <w:noWrap w:val="0"/>
                  <w:vAlign w:val="center"/>
                </w:tcPr>
                <w:p w14:paraId="559C06EE">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bl>
          <w:p w14:paraId="7DFABF8C">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4、与《山东省环境保护条例》符合性分析</w:t>
            </w:r>
          </w:p>
          <w:p w14:paraId="76FEBD87">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表1-3与《山东省环境保护条例》符合性分析</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1"/>
              <w:gridCol w:w="2043"/>
              <w:gridCol w:w="943"/>
            </w:tblGrid>
            <w:tr w14:paraId="724C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32" w:type="pct"/>
                  <w:tcBorders>
                    <w:tl2br w:val="nil"/>
                    <w:tr2bl w:val="nil"/>
                  </w:tcBorders>
                  <w:noWrap w:val="0"/>
                  <w:vAlign w:val="center"/>
                </w:tcPr>
                <w:p w14:paraId="6D83D3FA">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文件要求</w:t>
                  </w:r>
                </w:p>
              </w:tc>
              <w:tc>
                <w:tcPr>
                  <w:tcW w:w="1346" w:type="pct"/>
                  <w:tcBorders>
                    <w:tl2br w:val="nil"/>
                    <w:tr2bl w:val="nil"/>
                  </w:tcBorders>
                  <w:noWrap w:val="0"/>
                  <w:vAlign w:val="center"/>
                </w:tcPr>
                <w:p w14:paraId="7BF1750C">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本项目建设情况</w:t>
                  </w:r>
                </w:p>
              </w:tc>
              <w:tc>
                <w:tcPr>
                  <w:tcW w:w="621" w:type="pct"/>
                  <w:tcBorders>
                    <w:tl2br w:val="nil"/>
                    <w:tr2bl w:val="nil"/>
                  </w:tcBorders>
                  <w:noWrap w:val="0"/>
                  <w:vAlign w:val="center"/>
                </w:tcPr>
                <w:p w14:paraId="00D592D1">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14:paraId="5D0F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32" w:type="pct"/>
                  <w:tcBorders>
                    <w:tl2br w:val="nil"/>
                    <w:tr2bl w:val="nil"/>
                  </w:tcBorders>
                  <w:noWrap w:val="0"/>
                  <w:vAlign w:val="center"/>
                </w:tcPr>
                <w:p w14:paraId="0BE35F1F">
                  <w:pPr>
                    <w:pStyle w:val="85"/>
                    <w:keepNext w:val="0"/>
                    <w:keepLines w:val="0"/>
                    <w:pageBreakBefore w:val="0"/>
                    <w:widowControl w:val="0"/>
                    <w:kinsoku/>
                    <w:wordWrap/>
                    <w:overflowPunct/>
                    <w:topLinePunct w:val="0"/>
                    <w:autoSpaceDE/>
                    <w:autoSpaceDN/>
                    <w:bidi w:val="0"/>
                    <w:adjustRightInd w:val="0"/>
                    <w:snapToGrid/>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建设不符合国家和省产业政策的小型造纸、制革、印染、染料、炼焦、炼硫、炼砷、炼汞、炼油、电镀、农药、石棉、水泥、玻璃、钢铁、火电以及其他严重污染环境的生产项目。已经建设的，由所在地的县级以上人民政府责令拆除或者关闭。</w:t>
                  </w:r>
                </w:p>
              </w:tc>
              <w:tc>
                <w:tcPr>
                  <w:tcW w:w="1346" w:type="pct"/>
                  <w:tcBorders>
                    <w:tl2br w:val="nil"/>
                    <w:tr2bl w:val="nil"/>
                  </w:tcBorders>
                  <w:noWrap w:val="0"/>
                  <w:vAlign w:val="center"/>
                </w:tcPr>
                <w:p w14:paraId="4089748C">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本项目的建设符合国家和地方产生政策</w:t>
                  </w:r>
                  <w:r>
                    <w:rPr>
                      <w:rFonts w:hint="default" w:ascii="Times New Roman" w:hAnsi="Times New Roman" w:eastAsia="宋体" w:cs="Times New Roman"/>
                      <w:color w:val="auto"/>
                      <w:sz w:val="21"/>
                      <w:szCs w:val="21"/>
                      <w:highlight w:val="none"/>
                    </w:rPr>
                    <w:t>。</w:t>
                  </w:r>
                </w:p>
              </w:tc>
              <w:tc>
                <w:tcPr>
                  <w:tcW w:w="621" w:type="pct"/>
                  <w:tcBorders>
                    <w:tl2br w:val="nil"/>
                    <w:tr2bl w:val="nil"/>
                  </w:tcBorders>
                  <w:noWrap w:val="0"/>
                  <w:vAlign w:val="center"/>
                </w:tcPr>
                <w:p w14:paraId="2AF8C2DD">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5D76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2" w:type="pct"/>
                  <w:tcBorders>
                    <w:tl2br w:val="nil"/>
                    <w:tr2bl w:val="nil"/>
                  </w:tcBorders>
                  <w:noWrap w:val="0"/>
                  <w:vAlign w:val="center"/>
                </w:tcPr>
                <w:p w14:paraId="4FAEE155">
                  <w:pPr>
                    <w:pStyle w:val="85"/>
                    <w:keepNext w:val="0"/>
                    <w:keepLines w:val="0"/>
                    <w:pageBreakBefore w:val="0"/>
                    <w:widowControl w:val="0"/>
                    <w:kinsoku/>
                    <w:wordWrap/>
                    <w:overflowPunct/>
                    <w:topLinePunct w:val="0"/>
                    <w:autoSpaceDE/>
                    <w:autoSpaceDN/>
                    <w:bidi w:val="0"/>
                    <w:adjustRightInd w:val="0"/>
                    <w:snapToGrid/>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各级人民政府及其有关部门、园区管理机构应当做好环境基础设施规划，配套建设污水处理设施及配套管网、固体废物的收集处置设施、危险废物集中处置设施以及其他环境基础设施，建立环境基础设施的运行、维护制度，并保障其正常运行。县级以上人民政府应当根据产业结构调整和产业布局优化的要求，引导工业企业入驻工业园区；新建有污染物排放的工业项目，除在安全生产等方面有特殊要求的以外，应当进入工业园区或者工业集聚区。</w:t>
                  </w:r>
                </w:p>
              </w:tc>
              <w:tc>
                <w:tcPr>
                  <w:tcW w:w="1346" w:type="pct"/>
                  <w:tcBorders>
                    <w:tl2br w:val="nil"/>
                    <w:tr2bl w:val="nil"/>
                  </w:tcBorders>
                  <w:noWrap w:val="0"/>
                  <w:vAlign w:val="center"/>
                </w:tcPr>
                <w:p w14:paraId="2523B2EC">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本项目为</w:t>
                  </w:r>
                  <w:r>
                    <w:rPr>
                      <w:rFonts w:hint="eastAsia" w:ascii="Times New Roman" w:hAnsi="Times New Roman" w:eastAsia="宋体" w:cs="Times New Roman"/>
                      <w:color w:val="auto"/>
                      <w:sz w:val="21"/>
                      <w:szCs w:val="21"/>
                      <w:highlight w:val="none"/>
                      <w:lang w:val="en-US" w:eastAsia="zh-CN"/>
                    </w:rPr>
                    <w:t>改建</w:t>
                  </w:r>
                  <w:r>
                    <w:rPr>
                      <w:rFonts w:hint="default"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，在现有厂址内建设，不新增用地。</w:t>
                  </w:r>
                </w:p>
              </w:tc>
              <w:tc>
                <w:tcPr>
                  <w:tcW w:w="621" w:type="pct"/>
                  <w:tcBorders>
                    <w:tl2br w:val="nil"/>
                    <w:tr2bl w:val="nil"/>
                  </w:tcBorders>
                  <w:noWrap w:val="0"/>
                  <w:vAlign w:val="center"/>
                </w:tcPr>
                <w:p w14:paraId="60FF1835">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29B7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032" w:type="pct"/>
                  <w:tcBorders>
                    <w:tl2br w:val="nil"/>
                    <w:tr2bl w:val="nil"/>
                  </w:tcBorders>
                  <w:noWrap w:val="0"/>
                  <w:vAlign w:val="center"/>
                </w:tcPr>
                <w:p w14:paraId="30027812">
                  <w:pPr>
                    <w:pStyle w:val="85"/>
                    <w:keepNext w:val="0"/>
                    <w:keepLines w:val="0"/>
                    <w:pageBreakBefore w:val="0"/>
                    <w:widowControl w:val="0"/>
                    <w:kinsoku/>
                    <w:wordWrap/>
                    <w:overflowPunct/>
                    <w:topLinePunct w:val="0"/>
                    <w:autoSpaceDE/>
                    <w:autoSpaceDN/>
                    <w:bidi w:val="0"/>
                    <w:adjustRightInd w:val="0"/>
                    <w:snapToGrid/>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活动中产生的废气、废水、废渣、医疗废物、粉尘、恶臭气体、放射性物质以及噪声、振动、光辐射、电磁辐射等对环境的污染和危害，其污染排放不得超过排放标准和重点污染物排放总量控制指标。</w:t>
                  </w:r>
                </w:p>
              </w:tc>
              <w:tc>
                <w:tcPr>
                  <w:tcW w:w="1346" w:type="pct"/>
                  <w:tcBorders>
                    <w:tl2br w:val="nil"/>
                    <w:tr2bl w:val="nil"/>
                  </w:tcBorders>
                  <w:noWrap w:val="0"/>
                  <w:vAlign w:val="center"/>
                </w:tcPr>
                <w:p w14:paraId="08FD032C">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产生的</w:t>
                  </w:r>
                  <w:r>
                    <w:rPr>
                      <w:rFonts w:hint="default" w:ascii="Times New Roman" w:hAnsi="Times New Roman" w:eastAsia="宋体" w:cs="Times New Roman"/>
                      <w:color w:val="auto"/>
                      <w:sz w:val="21"/>
                      <w:szCs w:val="21"/>
                      <w:highlight w:val="none"/>
                    </w:rPr>
                    <w:t>废气</w:t>
                  </w:r>
                  <w:r>
                    <w:rPr>
                      <w:rFonts w:hint="eastAsia" w:ascii="Times New Roman" w:hAnsi="Times New Roman" w:eastAsia="宋体" w:cs="Times New Roman"/>
                      <w:color w:val="auto"/>
                      <w:sz w:val="21"/>
                      <w:szCs w:val="21"/>
                      <w:highlight w:val="none"/>
                      <w:lang w:val="en-US" w:eastAsia="zh-CN"/>
                    </w:rPr>
                    <w:t>经过收集和处理后满足相关排放标准排放</w:t>
                  </w:r>
                  <w:r>
                    <w:rPr>
                      <w:rFonts w:hint="default" w:ascii="Times New Roman" w:hAnsi="Times New Roman" w:eastAsia="宋体" w:cs="Times New Roman"/>
                      <w:color w:val="auto"/>
                      <w:sz w:val="21"/>
                      <w:szCs w:val="21"/>
                      <w:highlight w:val="none"/>
                      <w:lang w:val="en-US" w:eastAsia="zh-CN"/>
                    </w:rPr>
                    <w:t>。项目无废水产生。</w:t>
                  </w:r>
                </w:p>
              </w:tc>
              <w:tc>
                <w:tcPr>
                  <w:tcW w:w="621" w:type="pct"/>
                  <w:tcBorders>
                    <w:tl2br w:val="nil"/>
                    <w:tr2bl w:val="nil"/>
                  </w:tcBorders>
                  <w:noWrap w:val="0"/>
                  <w:vAlign w:val="center"/>
                </w:tcPr>
                <w:p w14:paraId="01773A47">
                  <w:pPr>
                    <w:pStyle w:val="85"/>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14:paraId="121417B9">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5</w:t>
            </w:r>
            <w:r>
              <w:rPr>
                <w:rFonts w:hint="default" w:ascii="Times New Roman" w:hAnsi="Times New Roman" w:eastAsia="宋体" w:cs="Times New Roman"/>
                <w:b/>
                <w:bCs/>
                <w:color w:val="auto"/>
                <w:highlight w:val="none"/>
                <w:lang w:val="en-US" w:eastAsia="zh-CN"/>
              </w:rPr>
              <w:t>、《山东省深入打好蓝天、碧水、净土保卫战行动计划（2021-2025）》（鲁环委办[2021]30号）符合性分析</w:t>
            </w:r>
          </w:p>
          <w:p w14:paraId="58DD9234">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w:t>
            </w:r>
            <w:r>
              <w:rPr>
                <w:rFonts w:hint="eastAsia" w:ascii="Times New Roman" w:hAnsi="Times New Roman" w:cs="Times New Roman"/>
                <w:color w:val="auto"/>
                <w:highlight w:val="none"/>
                <w:lang w:val="en-US" w:eastAsia="zh-CN"/>
              </w:rPr>
              <w:t>4与山东省深入打好蓝天、碧水、净土保卫战行动计划符合性</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669"/>
              <w:gridCol w:w="4323"/>
              <w:gridCol w:w="1346"/>
              <w:gridCol w:w="907"/>
            </w:tblGrid>
            <w:tr w14:paraId="2600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pct"/>
                  <w:gridSpan w:val="2"/>
                  <w:tcBorders>
                    <w:tl2br w:val="nil"/>
                    <w:tr2bl w:val="nil"/>
                  </w:tcBorders>
                  <w:noWrap w:val="0"/>
                  <w:vAlign w:val="center"/>
                </w:tcPr>
                <w:p w14:paraId="41ADF16E">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分类</w:t>
                  </w:r>
                </w:p>
              </w:tc>
              <w:tc>
                <w:tcPr>
                  <w:tcW w:w="2846" w:type="pct"/>
                  <w:tcBorders>
                    <w:tl2br w:val="nil"/>
                    <w:tr2bl w:val="nil"/>
                  </w:tcBorders>
                  <w:noWrap w:val="0"/>
                  <w:vAlign w:val="center"/>
                </w:tcPr>
                <w:p w14:paraId="4692084A">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文件要求</w:t>
                  </w:r>
                </w:p>
              </w:tc>
              <w:tc>
                <w:tcPr>
                  <w:tcW w:w="886" w:type="pct"/>
                  <w:tcBorders>
                    <w:tl2br w:val="nil"/>
                    <w:tr2bl w:val="nil"/>
                  </w:tcBorders>
                  <w:noWrap w:val="0"/>
                  <w:vAlign w:val="center"/>
                </w:tcPr>
                <w:p w14:paraId="3BFBFC97">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本项目情况</w:t>
                  </w:r>
                </w:p>
              </w:tc>
              <w:tc>
                <w:tcPr>
                  <w:tcW w:w="597" w:type="pct"/>
                  <w:tcBorders>
                    <w:tl2br w:val="nil"/>
                    <w:tr2bl w:val="nil"/>
                  </w:tcBorders>
                  <w:noWrap w:val="0"/>
                  <w:vAlign w:val="center"/>
                </w:tcPr>
                <w:p w14:paraId="7CE28541">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14:paraId="0156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 w:type="pct"/>
                  <w:tcBorders>
                    <w:tl2br w:val="nil"/>
                    <w:tr2bl w:val="nil"/>
                  </w:tcBorders>
                  <w:noWrap w:val="0"/>
                  <w:vAlign w:val="center"/>
                </w:tcPr>
                <w:p w14:paraId="1068C3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p w14:paraId="15F3B6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p w14:paraId="3285E6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蓝天</w:t>
                  </w:r>
                </w:p>
                <w:p w14:paraId="2F50E785">
                  <w:pPr>
                    <w:keepNext w:val="0"/>
                    <w:keepLines w:val="0"/>
                    <w:pageBreakBefore w:val="0"/>
                    <w:widowControl w:val="0"/>
                    <w:suppressLineNumbers w:val="0"/>
                    <w:tabs>
                      <w:tab w:val="left" w:pos="540"/>
                    </w:tabs>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439" w:type="pct"/>
                  <w:tcBorders>
                    <w:tl2br w:val="nil"/>
                    <w:tr2bl w:val="nil"/>
                  </w:tcBorders>
                  <w:noWrap w:val="0"/>
                  <w:vAlign w:val="center"/>
                </w:tcPr>
                <w:p w14:paraId="2D779DDE">
                  <w:pPr>
                    <w:keepNext w:val="0"/>
                    <w:keepLines w:val="0"/>
                    <w:pageBreakBefore w:val="0"/>
                    <w:widowControl w:val="0"/>
                    <w:suppressLineNumbers w:val="0"/>
                    <w:tabs>
                      <w:tab w:val="left" w:pos="540"/>
                    </w:tabs>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bidi="ar-SA"/>
                    </w:rPr>
                    <w:t>淘汰低效落后产能</w:t>
                  </w:r>
                </w:p>
              </w:tc>
              <w:tc>
                <w:tcPr>
                  <w:tcW w:w="2846" w:type="pct"/>
                  <w:tcBorders>
                    <w:tl2br w:val="nil"/>
                    <w:tr2bl w:val="nil"/>
                  </w:tcBorders>
                  <w:noWrap w:val="0"/>
                  <w:vAlign w:val="center"/>
                </w:tcPr>
                <w:p w14:paraId="61F63B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eastAsia="en-US"/>
                    </w:rPr>
                    <w:t>严格项目准入，高耗能、高排放（以下简称“</w:t>
                  </w:r>
                  <w:r>
                    <w:rPr>
                      <w:rFonts w:hint="default" w:ascii="Times New Roman" w:hAnsi="Times New Roman" w:eastAsia="宋体" w:cs="Times New Roman"/>
                      <w:color w:val="auto"/>
                      <w:kern w:val="0"/>
                      <w:sz w:val="21"/>
                      <w:szCs w:val="21"/>
                      <w:highlight w:val="none"/>
                      <w:lang w:val="en-US" w:eastAsia="zh-CN"/>
                    </w:rPr>
                    <w:t>两</w:t>
                  </w:r>
                  <w:r>
                    <w:rPr>
                      <w:rFonts w:hint="default" w:ascii="Times New Roman" w:hAnsi="Times New Roman" w:eastAsia="宋体" w:cs="Times New Roman"/>
                      <w:color w:val="auto"/>
                      <w:kern w:val="0"/>
                      <w:sz w:val="21"/>
                      <w:szCs w:val="21"/>
                      <w:highlight w:val="none"/>
                      <w:lang w:eastAsia="en-US"/>
                    </w:rPr>
                    <w:t>高”）项目建设做到产能减量、能耗减量、煤炭减量、碳排放减量和污染物排放减量“五个减量”替代。有序推进“两高”项目清理工作，确保“三个坚决”落实到位，未纳入国家规划的炼油、乙烯、对二甲苯、煤制油气项目，一律不得建设。</w:t>
                  </w:r>
                </w:p>
              </w:tc>
              <w:tc>
                <w:tcPr>
                  <w:tcW w:w="886" w:type="pct"/>
                  <w:tcBorders>
                    <w:tl2br w:val="nil"/>
                    <w:tr2bl w:val="nil"/>
                  </w:tcBorders>
                  <w:noWrap w:val="0"/>
                  <w:vAlign w:val="center"/>
                </w:tcPr>
                <w:p w14:paraId="7CBC2B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本项目不属于两高项目。</w:t>
                  </w:r>
                </w:p>
              </w:tc>
              <w:tc>
                <w:tcPr>
                  <w:tcW w:w="597" w:type="pct"/>
                  <w:tcBorders>
                    <w:tl2br w:val="nil"/>
                    <w:tr2bl w:val="nil"/>
                  </w:tcBorders>
                  <w:noWrap w:val="0"/>
                  <w:vAlign w:val="center"/>
                </w:tcPr>
                <w:p w14:paraId="4A2F8C0E">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286F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 w:type="pct"/>
                  <w:vMerge w:val="restart"/>
                  <w:tcBorders>
                    <w:tl2br w:val="nil"/>
                    <w:tr2bl w:val="nil"/>
                  </w:tcBorders>
                  <w:noWrap w:val="0"/>
                  <w:vAlign w:val="center"/>
                </w:tcPr>
                <w:p w14:paraId="32DFEB6E">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碧水</w:t>
                  </w:r>
                </w:p>
              </w:tc>
              <w:tc>
                <w:tcPr>
                  <w:tcW w:w="439" w:type="pct"/>
                  <w:vMerge w:val="restart"/>
                  <w:tcBorders>
                    <w:tl2br w:val="nil"/>
                    <w:tr2bl w:val="nil"/>
                  </w:tcBorders>
                  <w:noWrap w:val="0"/>
                  <w:vAlign w:val="center"/>
                </w:tcPr>
                <w:p w14:paraId="11AF895B">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精准治理工业企业污染</w:t>
                  </w:r>
                </w:p>
              </w:tc>
              <w:tc>
                <w:tcPr>
                  <w:tcW w:w="2846" w:type="pct"/>
                  <w:tcBorders>
                    <w:tl2br w:val="nil"/>
                    <w:tr2bl w:val="nil"/>
                  </w:tcBorders>
                  <w:noWrap w:val="0"/>
                  <w:vAlign w:val="center"/>
                </w:tcPr>
                <w:p w14:paraId="6AF2E62A">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聚焦汇入南四湖、东平湖等重点湖库以及莱州湾、丁字湾、胶州湾等重点海湾的河流，开展涉氮涉磷等重点行业污染治理。开展硫酸盐、氟化物等特征污染物治理，2021年8月底前，梳理形成全省硫酸盐与氟化物浓度较高河流(河段)清单，提升汇水范围内涉硫涉氟工业企业特征污染物治理能力。南四湖流域以5条硫酸盐浓度和2条氟化物浓度较高的河流为重点，实施流域内造纸、化工、玻璃、煤矿等行业的涉硫涉氟工矿企业特征污染物治理</w:t>
                  </w:r>
                </w:p>
              </w:tc>
              <w:tc>
                <w:tcPr>
                  <w:tcW w:w="886" w:type="pct"/>
                  <w:vMerge w:val="restart"/>
                  <w:tcBorders>
                    <w:tl2br w:val="nil"/>
                    <w:tr2bl w:val="nil"/>
                  </w:tcBorders>
                  <w:noWrap w:val="0"/>
                  <w:vAlign w:val="center"/>
                </w:tcPr>
                <w:p w14:paraId="0FCBCBE8">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本项目无生产废水。</w:t>
                  </w:r>
                </w:p>
              </w:tc>
              <w:tc>
                <w:tcPr>
                  <w:tcW w:w="597" w:type="pct"/>
                  <w:vMerge w:val="restart"/>
                  <w:tcBorders>
                    <w:tl2br w:val="nil"/>
                    <w:tr2bl w:val="nil"/>
                  </w:tcBorders>
                  <w:noWrap w:val="0"/>
                  <w:vAlign w:val="center"/>
                </w:tcPr>
                <w:p w14:paraId="5DEDD9D5">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4DD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 w:type="pct"/>
                  <w:vMerge w:val="continue"/>
                  <w:tcBorders>
                    <w:tl2br w:val="nil"/>
                    <w:tr2bl w:val="nil"/>
                  </w:tcBorders>
                  <w:noWrap w:val="0"/>
                  <w:vAlign w:val="center"/>
                </w:tcPr>
                <w:p w14:paraId="4886C35A">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p>
              </w:tc>
              <w:tc>
                <w:tcPr>
                  <w:tcW w:w="439" w:type="pct"/>
                  <w:vMerge w:val="continue"/>
                  <w:tcBorders>
                    <w:tl2br w:val="nil"/>
                    <w:tr2bl w:val="nil"/>
                  </w:tcBorders>
                  <w:noWrap w:val="0"/>
                  <w:vAlign w:val="center"/>
                </w:tcPr>
                <w:p w14:paraId="5D6E3D78">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p>
              </w:tc>
              <w:tc>
                <w:tcPr>
                  <w:tcW w:w="2846" w:type="pct"/>
                  <w:tcBorders>
                    <w:tl2br w:val="nil"/>
                    <w:tr2bl w:val="nil"/>
                  </w:tcBorders>
                  <w:noWrap w:val="0"/>
                  <w:vAlign w:val="center"/>
                </w:tcPr>
                <w:p w14:paraId="4C9375FB">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继续推进化工、有色金属、农副食品加工、印染、制革、原料药制造、电镀、冶金等行业退城入园，提高工业园区集聚水平。指导工业园区对污水实施科学收集、分类处理，梯级循环利用工业废水。逐步推进园区纳管企业废水“一企一管、明管输送、实时监控，统一调度”，第一时间锁定园区集中污水处理设施超标来水源头，及时有效处理处置。大力推进生态工业园区建设，对获得国家和省级命名的生态工业园区给予政策支持。鼓励有条件的园区引进“环保管家”服务，提供定制化、全产业链的第三方环保服务，实现园区污水精细化、专业化管理。</w:t>
                  </w:r>
                </w:p>
              </w:tc>
              <w:tc>
                <w:tcPr>
                  <w:tcW w:w="886" w:type="pct"/>
                  <w:vMerge w:val="continue"/>
                  <w:tcBorders>
                    <w:tl2br w:val="nil"/>
                    <w:tr2bl w:val="nil"/>
                  </w:tcBorders>
                  <w:noWrap w:val="0"/>
                  <w:vAlign w:val="center"/>
                </w:tcPr>
                <w:p w14:paraId="33019ED6">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p>
              </w:tc>
              <w:tc>
                <w:tcPr>
                  <w:tcW w:w="597" w:type="pct"/>
                  <w:vMerge w:val="continue"/>
                  <w:tcBorders>
                    <w:tl2br w:val="nil"/>
                    <w:tr2bl w:val="nil"/>
                  </w:tcBorders>
                  <w:noWrap w:val="0"/>
                  <w:vAlign w:val="center"/>
                </w:tcPr>
                <w:p w14:paraId="2F330A31">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p>
              </w:tc>
            </w:tr>
            <w:tr w14:paraId="017D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 w:type="pct"/>
                  <w:vMerge w:val="restart"/>
                  <w:tcBorders>
                    <w:tl2br w:val="nil"/>
                    <w:tr2bl w:val="nil"/>
                  </w:tcBorders>
                  <w:noWrap w:val="0"/>
                  <w:vAlign w:val="center"/>
                </w:tcPr>
                <w:p w14:paraId="7FF4286C">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净土</w:t>
                  </w:r>
                </w:p>
              </w:tc>
              <w:tc>
                <w:tcPr>
                  <w:tcW w:w="439" w:type="pct"/>
                  <w:tcBorders>
                    <w:tl2br w:val="nil"/>
                    <w:tr2bl w:val="nil"/>
                  </w:tcBorders>
                  <w:noWrap w:val="0"/>
                  <w:vAlign w:val="center"/>
                </w:tcPr>
                <w:p w14:paraId="2DF59E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eastAsia="en-US"/>
                    </w:rPr>
                    <w:t>加强土壤污染重点监管单位环境监管</w:t>
                  </w:r>
                </w:p>
              </w:tc>
              <w:tc>
                <w:tcPr>
                  <w:tcW w:w="2846" w:type="pct"/>
                  <w:tcBorders>
                    <w:tl2br w:val="nil"/>
                    <w:tr2bl w:val="nil"/>
                  </w:tcBorders>
                  <w:noWrap w:val="0"/>
                  <w:vAlign w:val="center"/>
                </w:tcPr>
                <w:p w14:paraId="2F318D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每年更新土壤污染重点监管单位名录并向社会公开。全省1415家土壤污染重点监管单位在2021年年底前应完成一轮隐患排查，制定整改方案并落实。新增纳入土壤污染重点监管单位名录的单位，在一年内应开展隐患排查，2025年年底前，至少完成一轮隐患排查。土壤污染重点监管单位应制定、实施自行监测方案，将监测数据公开并报生态环境部门；严格控制有毒有害物质排放，并按年度向生态环境部门报告排放情况；法定义务在排污许可证发放和变更时应予以载明。</w:t>
                  </w:r>
                </w:p>
              </w:tc>
              <w:tc>
                <w:tcPr>
                  <w:tcW w:w="886" w:type="pct"/>
                  <w:tcBorders>
                    <w:tl2br w:val="nil"/>
                    <w:tr2bl w:val="nil"/>
                  </w:tcBorders>
                  <w:noWrap w:val="0"/>
                  <w:vAlign w:val="center"/>
                </w:tcPr>
                <w:p w14:paraId="7F60DA0E">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kern w:val="0"/>
                      <w:sz w:val="21"/>
                      <w:szCs w:val="21"/>
                      <w:highlight w:val="none"/>
                      <w:lang w:val="en-US" w:eastAsia="zh-CN"/>
                    </w:rPr>
                    <w:t>项目拟采取完善的防渗措施，防止土壤污染。</w:t>
                  </w:r>
                </w:p>
              </w:tc>
              <w:tc>
                <w:tcPr>
                  <w:tcW w:w="597" w:type="pct"/>
                  <w:vMerge w:val="restart"/>
                  <w:tcBorders>
                    <w:tl2br w:val="nil"/>
                    <w:tr2bl w:val="nil"/>
                  </w:tcBorders>
                  <w:noWrap w:val="0"/>
                  <w:vAlign w:val="center"/>
                </w:tcPr>
                <w:p w14:paraId="2997D828">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48F6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9" w:type="pct"/>
                  <w:vMerge w:val="continue"/>
                  <w:tcBorders>
                    <w:tl2br w:val="nil"/>
                    <w:tr2bl w:val="nil"/>
                  </w:tcBorders>
                  <w:noWrap w:val="0"/>
                  <w:vAlign w:val="center"/>
                </w:tcPr>
                <w:p w14:paraId="77225FCA">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p>
              </w:tc>
              <w:tc>
                <w:tcPr>
                  <w:tcW w:w="439" w:type="pct"/>
                  <w:tcBorders>
                    <w:tl2br w:val="nil"/>
                    <w:tr2bl w:val="nil"/>
                  </w:tcBorders>
                  <w:noWrap w:val="0"/>
                  <w:vAlign w:val="center"/>
                </w:tcPr>
                <w:p w14:paraId="5E96E8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加强固体废物环境管理</w:t>
                  </w:r>
                </w:p>
              </w:tc>
              <w:tc>
                <w:tcPr>
                  <w:tcW w:w="2846" w:type="pct"/>
                  <w:tcBorders>
                    <w:tl2br w:val="nil"/>
                    <w:tr2bl w:val="nil"/>
                  </w:tcBorders>
                  <w:noWrap w:val="0"/>
                  <w:vAlign w:val="center"/>
                </w:tcPr>
                <w:p w14:paraId="634513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构建集污水、垃圾、固废、危废、医废处理处置设施和监测监管能力于一体的环境基础设施体系，形成由城市向建制镇和乡村延伸覆盖的环境基础设施网络。到2025年，试点城市建立起“无废城市”建设综合管理制度和监管体系。</w:t>
                  </w:r>
                </w:p>
              </w:tc>
              <w:tc>
                <w:tcPr>
                  <w:tcW w:w="886" w:type="pct"/>
                  <w:tcBorders>
                    <w:tl2br w:val="nil"/>
                    <w:tr2bl w:val="nil"/>
                  </w:tcBorders>
                  <w:noWrap w:val="0"/>
                  <w:vAlign w:val="center"/>
                </w:tcPr>
                <w:p w14:paraId="1D4A5573">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产生的</w:t>
                  </w:r>
                  <w:r>
                    <w:rPr>
                      <w:rFonts w:hint="default" w:ascii="Times New Roman" w:hAnsi="Times New Roman" w:eastAsia="宋体" w:cs="Times New Roman"/>
                      <w:color w:val="auto"/>
                      <w:sz w:val="21"/>
                      <w:szCs w:val="21"/>
                      <w:highlight w:val="none"/>
                      <w:lang w:val="en-US" w:eastAsia="zh-CN"/>
                    </w:rPr>
                    <w:t>一般固废</w:t>
                  </w:r>
                  <w:r>
                    <w:rPr>
                      <w:rFonts w:hint="eastAsia" w:cs="Times New Roman"/>
                      <w:color w:val="auto"/>
                      <w:sz w:val="21"/>
                      <w:szCs w:val="21"/>
                      <w:highlight w:val="none"/>
                      <w:lang w:val="en-US" w:eastAsia="zh-CN"/>
                    </w:rPr>
                    <w:t>和危险固废的处理符合相关标准要求</w:t>
                  </w:r>
                  <w:r>
                    <w:rPr>
                      <w:rFonts w:hint="eastAsia" w:ascii="Times New Roman" w:hAnsi="Times New Roman" w:eastAsia="宋体" w:cs="Times New Roman"/>
                      <w:color w:val="auto"/>
                      <w:sz w:val="21"/>
                      <w:szCs w:val="21"/>
                      <w:highlight w:val="none"/>
                      <w:lang w:val="en-US" w:eastAsia="zh-CN"/>
                    </w:rPr>
                    <w:t>。</w:t>
                  </w:r>
                </w:p>
              </w:tc>
              <w:tc>
                <w:tcPr>
                  <w:tcW w:w="597" w:type="pct"/>
                  <w:vMerge w:val="continue"/>
                  <w:tcBorders>
                    <w:tl2br w:val="nil"/>
                    <w:tr2bl w:val="nil"/>
                  </w:tcBorders>
                  <w:noWrap w:val="0"/>
                  <w:vAlign w:val="center"/>
                </w:tcPr>
                <w:p w14:paraId="737EBB3E">
                  <w:pPr>
                    <w:pStyle w:val="84"/>
                    <w:keepNext w:val="0"/>
                    <w:keepLines w:val="0"/>
                    <w:pageBreakBefore w:val="0"/>
                    <w:widowControl w:val="0"/>
                    <w:kinsoku/>
                    <w:wordWrap/>
                    <w:topLinePunct w:val="0"/>
                    <w:autoSpaceDE/>
                    <w:autoSpaceDN/>
                    <w:bidi w:val="0"/>
                    <w:adjustRightInd w:val="0"/>
                    <w:spacing w:beforeLines="0" w:afterLines="0" w:line="240" w:lineRule="auto"/>
                    <w:rPr>
                      <w:rFonts w:hint="default" w:ascii="Times New Roman" w:hAnsi="Times New Roman" w:eastAsia="宋体" w:cs="Times New Roman"/>
                      <w:color w:val="auto"/>
                      <w:sz w:val="21"/>
                      <w:szCs w:val="21"/>
                      <w:highlight w:val="none"/>
                    </w:rPr>
                  </w:pPr>
                </w:p>
              </w:tc>
            </w:tr>
          </w:tbl>
          <w:p w14:paraId="65263B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hint="default"/>
                <w:color w:val="auto"/>
                <w:highlight w:val="none"/>
              </w:rPr>
            </w:pPr>
            <w:r>
              <w:rPr>
                <w:rFonts w:hint="default"/>
                <w:color w:val="auto"/>
                <w:highlight w:val="none"/>
              </w:rPr>
              <w:t>由上表可知，本项目的建设总体符合</w:t>
            </w:r>
            <w:r>
              <w:rPr>
                <w:rFonts w:hint="default"/>
                <w:color w:val="auto"/>
                <w:highlight w:val="none"/>
                <w:lang w:val="en-US" w:eastAsia="zh-CN"/>
              </w:rPr>
              <w:t>《山东省深入打好蓝天、碧水、净土保卫战行动计划（2021-2025）》（鲁环委办[2021]30号）</w:t>
            </w:r>
            <w:r>
              <w:rPr>
                <w:rFonts w:hint="default"/>
                <w:color w:val="auto"/>
                <w:highlight w:val="none"/>
              </w:rPr>
              <w:t>的各项要求。</w:t>
            </w:r>
          </w:p>
          <w:p w14:paraId="2E3EFDF6">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6</w:t>
            </w:r>
            <w:r>
              <w:rPr>
                <w:rFonts w:hint="default" w:ascii="Times New Roman" w:hAnsi="Times New Roman" w:eastAsia="宋体" w:cs="Times New Roman"/>
                <w:b/>
                <w:bCs/>
                <w:color w:val="auto"/>
                <w:highlight w:val="none"/>
                <w:lang w:val="en-US" w:eastAsia="zh-CN"/>
              </w:rPr>
              <w:t>、与《山东省</w:t>
            </w:r>
            <w:r>
              <w:rPr>
                <w:rFonts w:hint="eastAsia" w:ascii="Times New Roman" w:hAnsi="Times New Roman" w:eastAsia="宋体" w:cs="Times New Roman"/>
                <w:b/>
                <w:bCs/>
                <w:color w:val="auto"/>
                <w:highlight w:val="none"/>
                <w:lang w:val="en-US" w:eastAsia="zh-CN"/>
              </w:rPr>
              <w:t>“</w:t>
            </w:r>
            <w:r>
              <w:rPr>
                <w:rFonts w:hint="default" w:ascii="Times New Roman" w:hAnsi="Times New Roman" w:eastAsia="宋体" w:cs="Times New Roman"/>
                <w:b/>
                <w:bCs/>
                <w:color w:val="auto"/>
                <w:highlight w:val="none"/>
                <w:lang w:val="en-US" w:eastAsia="zh-CN"/>
              </w:rPr>
              <w:t>十四五</w:t>
            </w:r>
            <w:r>
              <w:rPr>
                <w:rFonts w:hint="eastAsia" w:ascii="Times New Roman" w:hAnsi="Times New Roman" w:eastAsia="宋体" w:cs="Times New Roman"/>
                <w:b/>
                <w:bCs/>
                <w:color w:val="auto"/>
                <w:highlight w:val="none"/>
                <w:lang w:val="en-US" w:eastAsia="zh-CN"/>
              </w:rPr>
              <w:t>”</w:t>
            </w:r>
            <w:r>
              <w:rPr>
                <w:rFonts w:hint="default" w:ascii="Times New Roman" w:hAnsi="Times New Roman" w:eastAsia="宋体" w:cs="Times New Roman"/>
                <w:b/>
                <w:bCs/>
                <w:color w:val="auto"/>
                <w:highlight w:val="none"/>
                <w:lang w:val="en-US" w:eastAsia="zh-CN"/>
              </w:rPr>
              <w:t>生态环境保护规划》符合性分析</w:t>
            </w:r>
          </w:p>
          <w:p w14:paraId="44F84D00">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项目与山东省</w:t>
            </w:r>
            <w:r>
              <w:rPr>
                <w:rFonts w:hint="eastAsia" w:ascii="Times New Roman" w:hAnsi="Times New Roman" w:eastAsia="宋体" w:cs="Times New Roman"/>
                <w:b/>
                <w:bCs/>
                <w:color w:val="auto"/>
                <w:highlight w:val="none"/>
                <w:lang w:val="en-US" w:eastAsia="zh-CN"/>
              </w:rPr>
              <w:t>“</w:t>
            </w:r>
            <w:r>
              <w:rPr>
                <w:rFonts w:hint="default" w:ascii="Times New Roman" w:hAnsi="Times New Roman" w:cs="Times New Roman"/>
                <w:color w:val="auto"/>
                <w:highlight w:val="none"/>
                <w:lang w:val="en-US" w:eastAsia="zh-CN"/>
              </w:rPr>
              <w:t>十四五</w:t>
            </w:r>
            <w:r>
              <w:rPr>
                <w:rFonts w:hint="eastAsia" w:ascii="Times New Roman" w:hAnsi="Times New Roman" w:eastAsia="宋体" w:cs="Times New Roman"/>
                <w:b/>
                <w:bCs/>
                <w:color w:val="auto"/>
                <w:highlight w:val="none"/>
                <w:lang w:val="en-US" w:eastAsia="zh-CN"/>
              </w:rPr>
              <w:t>”</w:t>
            </w:r>
            <w:r>
              <w:rPr>
                <w:rFonts w:hint="default" w:ascii="Times New Roman" w:hAnsi="Times New Roman" w:cs="Times New Roman"/>
                <w:color w:val="auto"/>
                <w:highlight w:val="none"/>
                <w:lang w:val="en-US" w:eastAsia="zh-CN"/>
              </w:rPr>
              <w:t>生态环境保护规划符合性</w:t>
            </w:r>
          </w:p>
          <w:tbl>
            <w:tblPr>
              <w:tblStyle w:val="3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70"/>
              <w:gridCol w:w="2120"/>
              <w:gridCol w:w="893"/>
            </w:tblGrid>
            <w:tr w14:paraId="5F592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13" w:type="pct"/>
                  <w:tcBorders>
                    <w:tl2br w:val="nil"/>
                    <w:tr2bl w:val="nil"/>
                  </w:tcBorders>
                  <w:noWrap w:val="0"/>
                  <w:vAlign w:val="center"/>
                </w:tcPr>
                <w:p w14:paraId="1E2804E2">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规划要求</w:t>
                  </w:r>
                </w:p>
              </w:tc>
              <w:tc>
                <w:tcPr>
                  <w:tcW w:w="1396" w:type="pct"/>
                  <w:tcBorders>
                    <w:tl2br w:val="nil"/>
                    <w:tr2bl w:val="nil"/>
                  </w:tcBorders>
                  <w:noWrap w:val="0"/>
                  <w:vAlign w:val="center"/>
                </w:tcPr>
                <w:p w14:paraId="39C22BB3">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项目情况</w:t>
                  </w:r>
                </w:p>
              </w:tc>
              <w:tc>
                <w:tcPr>
                  <w:tcW w:w="589" w:type="pct"/>
                  <w:tcBorders>
                    <w:tl2br w:val="nil"/>
                    <w:tr2bl w:val="nil"/>
                  </w:tcBorders>
                  <w:noWrap w:val="0"/>
                  <w:vAlign w:val="center"/>
                </w:tcPr>
                <w:p w14:paraId="5AA1AC8D">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符合性</w:t>
                  </w:r>
                </w:p>
              </w:tc>
            </w:tr>
            <w:tr w14:paraId="78AD1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13" w:type="pct"/>
                  <w:tcBorders>
                    <w:tl2br w:val="nil"/>
                    <w:tr2bl w:val="nil"/>
                  </w:tcBorders>
                  <w:noWrap w:val="0"/>
                  <w:vAlign w:val="center"/>
                </w:tcPr>
                <w:p w14:paraId="4DFD82EE">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坚决淘汰落后动能</w:t>
                  </w:r>
                </w:p>
                <w:p w14:paraId="1AB06A30">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严格落实《产业结构调整指导目录》，加快推动“淘汰类”生产工艺和产品退出精准聚焦钢铁、地炼、焦化、煤电、水泥、轮胎、煤炭、化工等8个重点行业，加快淘汰低效落后动能。</w:t>
                  </w:r>
                </w:p>
              </w:tc>
              <w:tc>
                <w:tcPr>
                  <w:tcW w:w="1396" w:type="pct"/>
                  <w:tcBorders>
                    <w:tl2br w:val="nil"/>
                    <w:tr2bl w:val="nil"/>
                  </w:tcBorders>
                  <w:noWrap w:val="0"/>
                  <w:vAlign w:val="center"/>
                </w:tcPr>
                <w:p w14:paraId="5E8CBE9A">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本项目不使用</w:t>
                  </w:r>
                  <w:r>
                    <w:rPr>
                      <w:rFonts w:hint="eastAsia" w:ascii="Times New Roman" w:hAnsi="Times New Roman" w:eastAsia="宋体"/>
                      <w:color w:val="auto"/>
                      <w:sz w:val="21"/>
                      <w:szCs w:val="21"/>
                      <w:highlight w:val="none"/>
                      <w:lang w:eastAsia="zh-CN"/>
                    </w:rPr>
                    <w:t>“</w:t>
                  </w:r>
                  <w:r>
                    <w:rPr>
                      <w:rFonts w:hint="default" w:ascii="Times New Roman" w:hAnsi="Times New Roman" w:eastAsia="宋体"/>
                      <w:color w:val="auto"/>
                      <w:sz w:val="21"/>
                      <w:szCs w:val="21"/>
                      <w:highlight w:val="none"/>
                    </w:rPr>
                    <w:t>淘汰类</w:t>
                  </w:r>
                  <w:r>
                    <w:rPr>
                      <w:rFonts w:hint="eastAsia" w:ascii="Times New Roman" w:hAnsi="Times New Roman" w:eastAsia="宋体"/>
                      <w:color w:val="auto"/>
                      <w:sz w:val="21"/>
                      <w:szCs w:val="21"/>
                      <w:highlight w:val="none"/>
                      <w:lang w:eastAsia="zh-CN"/>
                    </w:rPr>
                    <w:t>”</w:t>
                  </w:r>
                  <w:r>
                    <w:rPr>
                      <w:rFonts w:hint="default" w:ascii="Times New Roman" w:hAnsi="Times New Roman" w:eastAsia="宋体"/>
                      <w:color w:val="auto"/>
                      <w:sz w:val="21"/>
                      <w:szCs w:val="21"/>
                      <w:highlight w:val="none"/>
                    </w:rPr>
                    <w:t>生产工艺</w:t>
                  </w:r>
                </w:p>
              </w:tc>
              <w:tc>
                <w:tcPr>
                  <w:tcW w:w="589" w:type="pct"/>
                  <w:tcBorders>
                    <w:tl2br w:val="nil"/>
                    <w:tr2bl w:val="nil"/>
                  </w:tcBorders>
                  <w:noWrap w:val="0"/>
                  <w:vAlign w:val="center"/>
                </w:tcPr>
                <w:p w14:paraId="0329EBD3">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38C33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4" w:hRule="atLeast"/>
                <w:jc w:val="center"/>
              </w:trPr>
              <w:tc>
                <w:tcPr>
                  <w:tcW w:w="3013" w:type="pct"/>
                  <w:tcBorders>
                    <w:tl2br w:val="nil"/>
                    <w:tr2bl w:val="nil"/>
                  </w:tcBorders>
                  <w:noWrap w:val="0"/>
                  <w:vAlign w:val="center"/>
                </w:tcPr>
                <w:p w14:paraId="3F7427F9">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大力推进清洁生产</w:t>
                  </w:r>
                </w:p>
                <w:p w14:paraId="1A282E7B">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严格执行产品能效、水效、能耗限额、污染物排放等标准。强化重点用能单位节能管理，实施能量系统优化、节能技术改造等重点工程。开展重点行业和重点产品资源效率对标提升行动，实施能效、水效“领跑者”制度。</w:t>
                  </w:r>
                </w:p>
              </w:tc>
              <w:tc>
                <w:tcPr>
                  <w:tcW w:w="1396" w:type="pct"/>
                  <w:tcBorders>
                    <w:tl2br w:val="nil"/>
                    <w:tr2bl w:val="nil"/>
                  </w:tcBorders>
                  <w:noWrap w:val="0"/>
                  <w:vAlign w:val="center"/>
                </w:tcPr>
                <w:p w14:paraId="36E5AFAA">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本项目污染物经处理后均可达标</w:t>
                  </w:r>
                </w:p>
              </w:tc>
              <w:tc>
                <w:tcPr>
                  <w:tcW w:w="589" w:type="pct"/>
                  <w:tcBorders>
                    <w:tl2br w:val="nil"/>
                    <w:tr2bl w:val="nil"/>
                  </w:tcBorders>
                  <w:noWrap w:val="0"/>
                  <w:vAlign w:val="center"/>
                </w:tcPr>
                <w:p w14:paraId="77E2360D">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3B9A5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3013" w:type="pct"/>
                  <w:tcBorders>
                    <w:tl2br w:val="nil"/>
                    <w:tr2bl w:val="nil"/>
                  </w:tcBorders>
                  <w:noWrap w:val="0"/>
                  <w:vAlign w:val="center"/>
                </w:tcPr>
                <w:p w14:paraId="662DB36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实施终端用能清洁化替代</w:t>
                  </w:r>
                </w:p>
                <w:p w14:paraId="79DDA2D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完善清洁能源推广和提效政策，推行国际先进的能效标准，加快工业、建筑、交通等各用能领域电气化、智能化发展，推行清洁能源替代。</w:t>
                  </w:r>
                </w:p>
              </w:tc>
              <w:tc>
                <w:tcPr>
                  <w:tcW w:w="1396" w:type="pct"/>
                  <w:tcBorders>
                    <w:tl2br w:val="nil"/>
                    <w:tr2bl w:val="nil"/>
                  </w:tcBorders>
                  <w:noWrap w:val="0"/>
                  <w:vAlign w:val="center"/>
                </w:tcPr>
                <w:p w14:paraId="53EDE1B5">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本项目不使用煤炭，生产采用电加热，办公取暖采用空调</w:t>
                  </w:r>
                </w:p>
              </w:tc>
              <w:tc>
                <w:tcPr>
                  <w:tcW w:w="589" w:type="pct"/>
                  <w:tcBorders>
                    <w:tl2br w:val="nil"/>
                    <w:tr2bl w:val="nil"/>
                  </w:tcBorders>
                  <w:noWrap w:val="0"/>
                  <w:vAlign w:val="center"/>
                </w:tcPr>
                <w:p w14:paraId="45B03ACE">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79187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13" w:type="pct"/>
                  <w:tcBorders>
                    <w:tl2br w:val="nil"/>
                    <w:tr2bl w:val="nil"/>
                  </w:tcBorders>
                  <w:noWrap w:val="0"/>
                  <w:vAlign w:val="center"/>
                </w:tcPr>
                <w:p w14:paraId="463DA83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推动入湖河流水质全面达到优良</w:t>
                  </w:r>
                </w:p>
                <w:p w14:paraId="319BDA8B">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全面系统谋划南四湖流域生态环境治理，精准科学管控，保障调水水质安全。</w:t>
                  </w:r>
                </w:p>
              </w:tc>
              <w:tc>
                <w:tcPr>
                  <w:tcW w:w="1396" w:type="pct"/>
                  <w:tcBorders>
                    <w:tl2br w:val="nil"/>
                    <w:tr2bl w:val="nil"/>
                  </w:tcBorders>
                  <w:noWrap w:val="0"/>
                  <w:vAlign w:val="center"/>
                </w:tcPr>
                <w:p w14:paraId="6AE5513C">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lang w:val="en-US"/>
                    </w:rPr>
                  </w:pPr>
                  <w:r>
                    <w:rPr>
                      <w:rFonts w:hint="eastAsia" w:ascii="Times New Roman" w:hAnsi="Times New Roman" w:eastAsia="宋体"/>
                      <w:color w:val="auto"/>
                      <w:sz w:val="21"/>
                      <w:szCs w:val="21"/>
                      <w:highlight w:val="none"/>
                      <w:lang w:val="en-US" w:eastAsia="zh-CN"/>
                    </w:rPr>
                    <w:t>项目不产生废水，对南四湖影响较小。</w:t>
                  </w:r>
                </w:p>
              </w:tc>
              <w:tc>
                <w:tcPr>
                  <w:tcW w:w="589" w:type="pct"/>
                  <w:tcBorders>
                    <w:tl2br w:val="nil"/>
                    <w:tr2bl w:val="nil"/>
                  </w:tcBorders>
                  <w:noWrap w:val="0"/>
                  <w:vAlign w:val="center"/>
                </w:tcPr>
                <w:p w14:paraId="4098AE9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5A192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013" w:type="pct"/>
                  <w:tcBorders>
                    <w:tl2br w:val="nil"/>
                    <w:tr2bl w:val="nil"/>
                  </w:tcBorders>
                  <w:noWrap w:val="0"/>
                  <w:vAlign w:val="center"/>
                </w:tcPr>
                <w:p w14:paraId="2CE33FC8">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防范工矿企业新增土壤污染</w:t>
                  </w:r>
                </w:p>
                <w:p w14:paraId="4C88A564">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结合重点行业企业用地调查和地下水污染状况调查成果，完善土壤污染重点监管单位名录，并在排污许可证中载明土壤污染防治要求，探索建立地下水重点污染源清单。</w:t>
                  </w:r>
                </w:p>
              </w:tc>
              <w:tc>
                <w:tcPr>
                  <w:tcW w:w="1396" w:type="pct"/>
                  <w:tcBorders>
                    <w:tl2br w:val="nil"/>
                    <w:tr2bl w:val="nil"/>
                  </w:tcBorders>
                  <w:noWrap w:val="0"/>
                  <w:vAlign w:val="center"/>
                </w:tcPr>
                <w:p w14:paraId="43BE60D7">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eastAsia" w:ascii="Times New Roman" w:hAnsi="Times New Roman" w:eastAsia="宋体"/>
                      <w:color w:val="auto"/>
                      <w:sz w:val="21"/>
                      <w:szCs w:val="21"/>
                      <w:highlight w:val="none"/>
                      <w:lang w:eastAsia="zh-CN"/>
                    </w:rPr>
                  </w:pPr>
                  <w:r>
                    <w:rPr>
                      <w:rFonts w:hint="default" w:ascii="Times New Roman" w:hAnsi="Times New Roman" w:eastAsia="宋体"/>
                      <w:color w:val="auto"/>
                      <w:sz w:val="21"/>
                      <w:szCs w:val="21"/>
                      <w:highlight w:val="none"/>
                    </w:rPr>
                    <w:t>本项目</w:t>
                  </w:r>
                  <w:r>
                    <w:rPr>
                      <w:rFonts w:hint="eastAsia" w:ascii="Times New Roman" w:hAnsi="Times New Roman" w:eastAsia="宋体"/>
                      <w:color w:val="auto"/>
                      <w:sz w:val="21"/>
                      <w:szCs w:val="21"/>
                      <w:highlight w:val="none"/>
                      <w:lang w:val="en-US" w:eastAsia="zh-CN"/>
                    </w:rPr>
                    <w:t>车间地面采取防渗处理，</w:t>
                  </w:r>
                  <w:r>
                    <w:rPr>
                      <w:rFonts w:hint="default" w:ascii="Times New Roman" w:hAnsi="Times New Roman" w:eastAsia="宋体"/>
                      <w:color w:val="auto"/>
                      <w:sz w:val="21"/>
                      <w:szCs w:val="21"/>
                      <w:highlight w:val="none"/>
                    </w:rPr>
                    <w:t>对土壤污染影响较小</w:t>
                  </w:r>
                  <w:r>
                    <w:rPr>
                      <w:rFonts w:hint="eastAsia" w:ascii="Times New Roman" w:hAnsi="Times New Roman" w:eastAsia="宋体"/>
                      <w:color w:val="auto"/>
                      <w:sz w:val="21"/>
                      <w:szCs w:val="21"/>
                      <w:highlight w:val="none"/>
                      <w:lang w:eastAsia="zh-CN"/>
                    </w:rPr>
                    <w:t>。</w:t>
                  </w:r>
                </w:p>
              </w:tc>
              <w:tc>
                <w:tcPr>
                  <w:tcW w:w="589" w:type="pct"/>
                  <w:tcBorders>
                    <w:tl2br w:val="nil"/>
                    <w:tr2bl w:val="nil"/>
                  </w:tcBorders>
                  <w:noWrap w:val="0"/>
                  <w:vAlign w:val="center"/>
                </w:tcPr>
                <w:p w14:paraId="7EC7ADFF">
                  <w:pPr>
                    <w:pStyle w:val="84"/>
                    <w:keepNext w:val="0"/>
                    <w:keepLines w:val="0"/>
                    <w:pageBreakBefore w:val="0"/>
                    <w:widowControl w:val="0"/>
                    <w:kinsoku/>
                    <w:wordWrap/>
                    <w:overflowPunct w:val="0"/>
                    <w:topLinePunct w:val="0"/>
                    <w:autoSpaceDE/>
                    <w:autoSpaceDN/>
                    <w:bidi w:val="0"/>
                    <w:adjustRightInd w:val="0"/>
                    <w:snapToGrid/>
                    <w:jc w:val="center"/>
                    <w:textAlignment w:val="baseline"/>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bl>
          <w:p w14:paraId="0E64C45F">
            <w:pPr>
              <w:autoSpaceDE w:val="0"/>
              <w:autoSpaceDN w:val="0"/>
              <w:adjustRightInd w:val="0"/>
              <w:snapToGrid w:val="0"/>
              <w:spacing w:line="360" w:lineRule="auto"/>
              <w:ind w:firstLine="480" w:firstLineChars="200"/>
              <w:rPr>
                <w:rFonts w:hint="default"/>
                <w:color w:val="auto"/>
                <w:highlight w:val="none"/>
              </w:rPr>
            </w:pPr>
            <w:r>
              <w:rPr>
                <w:rFonts w:hint="default"/>
                <w:color w:val="auto"/>
                <w:highlight w:val="none"/>
              </w:rPr>
              <w:t>由上表可知，本项目的建设总体符合《山东省</w:t>
            </w:r>
            <w:r>
              <w:rPr>
                <w:rFonts w:hint="eastAsia"/>
                <w:color w:val="auto"/>
                <w:highlight w:val="none"/>
                <w:lang w:eastAsia="zh-CN"/>
              </w:rPr>
              <w:t>“</w:t>
            </w:r>
            <w:r>
              <w:rPr>
                <w:rFonts w:hint="default"/>
                <w:color w:val="auto"/>
                <w:highlight w:val="none"/>
              </w:rPr>
              <w:t>十四五</w:t>
            </w:r>
            <w:r>
              <w:rPr>
                <w:rFonts w:hint="eastAsia"/>
                <w:color w:val="auto"/>
                <w:highlight w:val="none"/>
                <w:lang w:eastAsia="zh-CN"/>
              </w:rPr>
              <w:t>”</w:t>
            </w:r>
            <w:r>
              <w:rPr>
                <w:rFonts w:hint="default"/>
                <w:color w:val="auto"/>
                <w:highlight w:val="none"/>
              </w:rPr>
              <w:t>生态环境保护规划》的各项要求。</w:t>
            </w:r>
          </w:p>
          <w:p w14:paraId="789EAD48">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7、</w:t>
            </w:r>
            <w:bookmarkStart w:id="2" w:name="_Toc1339"/>
            <w:r>
              <w:rPr>
                <w:rFonts w:hint="eastAsia" w:ascii="Times New Roman" w:hAnsi="Times New Roman" w:eastAsia="宋体" w:cs="Times New Roman"/>
                <w:b/>
                <w:bCs/>
                <w:color w:val="auto"/>
                <w:highlight w:val="none"/>
                <w:lang w:val="en-US" w:eastAsia="zh-CN"/>
              </w:rPr>
              <w:t>“</w:t>
            </w:r>
            <w:r>
              <w:rPr>
                <w:rFonts w:hint="default" w:ascii="Times New Roman" w:hAnsi="Times New Roman" w:eastAsia="宋体" w:cs="Times New Roman"/>
                <w:b/>
                <w:bCs/>
                <w:color w:val="auto"/>
                <w:highlight w:val="none"/>
                <w:lang w:val="en-US" w:eastAsia="zh-CN"/>
              </w:rPr>
              <w:t>两高</w:t>
            </w:r>
            <w:r>
              <w:rPr>
                <w:rFonts w:hint="eastAsia" w:ascii="Times New Roman" w:hAnsi="Times New Roman" w:eastAsia="宋体" w:cs="Times New Roman"/>
                <w:b/>
                <w:bCs/>
                <w:color w:val="auto"/>
                <w:highlight w:val="none"/>
                <w:lang w:val="en-US" w:eastAsia="zh-CN"/>
              </w:rPr>
              <w:t>”</w:t>
            </w:r>
            <w:r>
              <w:rPr>
                <w:rFonts w:hint="default" w:ascii="Times New Roman" w:hAnsi="Times New Roman" w:eastAsia="宋体" w:cs="Times New Roman"/>
                <w:b/>
                <w:bCs/>
                <w:color w:val="auto"/>
                <w:highlight w:val="none"/>
                <w:lang w:val="en-US" w:eastAsia="zh-CN"/>
              </w:rPr>
              <w:t>行业范围符合性分析</w:t>
            </w:r>
            <w:bookmarkEnd w:id="2"/>
          </w:p>
          <w:p w14:paraId="380A76C8">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山东省</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两高</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项目管理目录（202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年版）</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4"/>
              <w:gridCol w:w="2448"/>
              <w:gridCol w:w="2040"/>
              <w:gridCol w:w="1775"/>
            </w:tblGrid>
            <w:tr w14:paraId="1033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noWrap w:val="0"/>
                  <w:vAlign w:val="center"/>
                </w:tcPr>
                <w:p w14:paraId="6C5D16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default" w:ascii="Times New Roman" w:hAnsi="Times New Roman" w:eastAsia="宋体" w:cs="Times New Roman"/>
                      <w:b/>
                      <w:bCs/>
                      <w:color w:val="auto"/>
                      <w:kern w:val="2"/>
                      <w:sz w:val="21"/>
                      <w:szCs w:val="21"/>
                      <w:highlight w:val="none"/>
                      <w:shd w:val="clear" w:color="auto" w:fill="auto"/>
                      <w:lang w:val="en-US" w:eastAsia="zh-CN" w:bidi="ar-SA"/>
                    </w:rPr>
                    <w:t>山东省“两高”项目管理目录（2025年版）</w:t>
                  </w:r>
                </w:p>
              </w:tc>
            </w:tr>
            <w:tr w14:paraId="627B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3F751E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default" w:ascii="Times New Roman" w:hAnsi="Times New Roman" w:eastAsia="宋体" w:cs="Times New Roman"/>
                      <w:b/>
                      <w:bCs/>
                      <w:color w:val="auto"/>
                      <w:kern w:val="2"/>
                      <w:sz w:val="21"/>
                      <w:szCs w:val="21"/>
                      <w:highlight w:val="none"/>
                      <w:shd w:val="clear" w:color="auto" w:fill="auto"/>
                      <w:lang w:val="en-US" w:eastAsia="zh-CN" w:bidi="ar-SA"/>
                    </w:rPr>
                    <w:t>序号</w:t>
                  </w:r>
                </w:p>
              </w:tc>
              <w:tc>
                <w:tcPr>
                  <w:tcW w:w="536" w:type="pct"/>
                  <w:tcBorders>
                    <w:tl2br w:val="nil"/>
                    <w:tr2bl w:val="nil"/>
                  </w:tcBorders>
                  <w:noWrap w:val="0"/>
                  <w:vAlign w:val="center"/>
                </w:tcPr>
                <w:p w14:paraId="00DE03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default" w:ascii="Times New Roman" w:hAnsi="Times New Roman" w:eastAsia="宋体" w:cs="Times New Roman"/>
                      <w:b/>
                      <w:bCs/>
                      <w:color w:val="auto"/>
                      <w:kern w:val="2"/>
                      <w:sz w:val="21"/>
                      <w:szCs w:val="21"/>
                      <w:highlight w:val="none"/>
                      <w:shd w:val="clear" w:color="auto" w:fill="auto"/>
                      <w:lang w:val="en-US" w:eastAsia="zh-CN" w:bidi="ar-SA"/>
                    </w:rPr>
                    <w:t>产业分类</w:t>
                  </w:r>
                </w:p>
              </w:tc>
              <w:tc>
                <w:tcPr>
                  <w:tcW w:w="1612" w:type="pct"/>
                  <w:tcBorders>
                    <w:tl2br w:val="nil"/>
                    <w:tr2bl w:val="nil"/>
                  </w:tcBorders>
                  <w:noWrap w:val="0"/>
                  <w:vAlign w:val="center"/>
                </w:tcPr>
                <w:p w14:paraId="6303BE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default" w:ascii="Times New Roman" w:hAnsi="Times New Roman" w:eastAsia="宋体" w:cs="Times New Roman"/>
                      <w:b/>
                      <w:bCs/>
                      <w:color w:val="auto"/>
                      <w:kern w:val="2"/>
                      <w:sz w:val="21"/>
                      <w:szCs w:val="21"/>
                      <w:highlight w:val="none"/>
                      <w:shd w:val="clear" w:color="auto" w:fill="auto"/>
                      <w:lang w:val="en-US" w:eastAsia="zh-CN" w:bidi="ar-SA"/>
                    </w:rPr>
                    <w:t>产品</w:t>
                  </w:r>
                </w:p>
              </w:tc>
              <w:tc>
                <w:tcPr>
                  <w:tcW w:w="1344" w:type="pct"/>
                  <w:tcBorders>
                    <w:tl2br w:val="nil"/>
                    <w:tr2bl w:val="nil"/>
                  </w:tcBorders>
                  <w:noWrap w:val="0"/>
                  <w:vAlign w:val="center"/>
                </w:tcPr>
                <w:p w14:paraId="2013EE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default" w:ascii="Times New Roman" w:hAnsi="Times New Roman" w:eastAsia="宋体" w:cs="Times New Roman"/>
                      <w:b/>
                      <w:bCs/>
                      <w:color w:val="auto"/>
                      <w:kern w:val="2"/>
                      <w:sz w:val="21"/>
                      <w:szCs w:val="21"/>
                      <w:highlight w:val="none"/>
                      <w:shd w:val="clear" w:color="auto" w:fill="auto"/>
                      <w:lang w:val="en-US" w:eastAsia="zh-CN" w:bidi="ar-SA"/>
                    </w:rPr>
                    <w:t>核心装置</w:t>
                  </w:r>
                </w:p>
              </w:tc>
              <w:tc>
                <w:tcPr>
                  <w:tcW w:w="1168" w:type="pct"/>
                  <w:tcBorders>
                    <w:tl2br w:val="nil"/>
                    <w:tr2bl w:val="nil"/>
                  </w:tcBorders>
                  <w:noWrap w:val="0"/>
                  <w:vAlign w:val="center"/>
                </w:tcPr>
                <w:p w14:paraId="2D4E3F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default" w:ascii="Times New Roman" w:hAnsi="Times New Roman" w:eastAsia="宋体" w:cs="Times New Roman"/>
                      <w:b/>
                      <w:bCs/>
                      <w:color w:val="auto"/>
                      <w:kern w:val="2"/>
                      <w:sz w:val="21"/>
                      <w:szCs w:val="21"/>
                      <w:highlight w:val="none"/>
                      <w:shd w:val="clear" w:color="auto" w:fill="auto"/>
                      <w:lang w:val="en-US" w:eastAsia="zh-CN" w:bidi="ar-SA"/>
                    </w:rPr>
                    <w:t>对应国民经济行业小类</w:t>
                  </w:r>
                </w:p>
              </w:tc>
            </w:tr>
            <w:tr w14:paraId="0B69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339" w:type="pct"/>
                  <w:vMerge w:val="restart"/>
                  <w:tcBorders>
                    <w:tl2br w:val="nil"/>
                    <w:tr2bl w:val="nil"/>
                  </w:tcBorders>
                  <w:noWrap w:val="0"/>
                  <w:vAlign w:val="center"/>
                </w:tcPr>
                <w:p w14:paraId="4FBB276E">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restart"/>
                  <w:tcBorders>
                    <w:tl2br w:val="nil"/>
                    <w:tr2bl w:val="nil"/>
                  </w:tcBorders>
                  <w:noWrap w:val="0"/>
                  <w:vAlign w:val="center"/>
                </w:tcPr>
                <w:p w14:paraId="33988E8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炼化</w:t>
                  </w:r>
                </w:p>
              </w:tc>
              <w:tc>
                <w:tcPr>
                  <w:tcW w:w="1612" w:type="pct"/>
                  <w:tcBorders>
                    <w:tl2br w:val="nil"/>
                    <w:tr2bl w:val="nil"/>
                  </w:tcBorders>
                  <w:noWrap w:val="0"/>
                  <w:vAlign w:val="center"/>
                </w:tcPr>
                <w:p w14:paraId="16BC11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汽油、煤油、柴油、燃料油、石脑油、溶剂油、石油气、沥青及其他相关产品，不含一二次炼油之外的质量升级油品</w:t>
                  </w:r>
                </w:p>
              </w:tc>
              <w:tc>
                <w:tcPr>
                  <w:tcW w:w="1344" w:type="pct"/>
                  <w:tcBorders>
                    <w:tl2br w:val="nil"/>
                    <w:tr2bl w:val="nil"/>
                  </w:tcBorders>
                  <w:noWrap w:val="0"/>
                  <w:vAlign w:val="center"/>
                </w:tcPr>
                <w:p w14:paraId="4A3C37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一次炼（常减压）、二次炼油（催化裂化、加氢裂化、催化重整、延迟焦化）</w:t>
                  </w:r>
                </w:p>
              </w:tc>
              <w:tc>
                <w:tcPr>
                  <w:tcW w:w="1168" w:type="pct"/>
                  <w:tcBorders>
                    <w:tl2br w:val="nil"/>
                    <w:tr2bl w:val="nil"/>
                  </w:tcBorders>
                  <w:noWrap w:val="0"/>
                  <w:vAlign w:val="center"/>
                </w:tcPr>
                <w:p w14:paraId="3CE7ED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原油加工及石油制品制造（2511）</w:t>
                  </w:r>
                </w:p>
              </w:tc>
            </w:tr>
            <w:tr w14:paraId="5A0F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39" w:type="pct"/>
                  <w:vMerge w:val="continue"/>
                  <w:tcBorders>
                    <w:tl2br w:val="nil"/>
                    <w:tr2bl w:val="nil"/>
                  </w:tcBorders>
                  <w:noWrap w:val="0"/>
                  <w:vAlign w:val="center"/>
                </w:tcPr>
                <w:p w14:paraId="56EFAB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1C7938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4B38A9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乙烯、对二甲苯（PX）</w:t>
                  </w:r>
                </w:p>
              </w:tc>
              <w:tc>
                <w:tcPr>
                  <w:tcW w:w="1344" w:type="pct"/>
                  <w:tcBorders>
                    <w:tl2br w:val="nil"/>
                    <w:tr2bl w:val="nil"/>
                  </w:tcBorders>
                  <w:noWrap w:val="0"/>
                  <w:vAlign w:val="center"/>
                </w:tcPr>
                <w:p w14:paraId="3F388A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乙烯装置、PX装置</w:t>
                  </w:r>
                </w:p>
              </w:tc>
              <w:tc>
                <w:tcPr>
                  <w:tcW w:w="1168" w:type="pct"/>
                  <w:tcBorders>
                    <w:tl2br w:val="nil"/>
                    <w:tr2bl w:val="nil"/>
                  </w:tcBorders>
                  <w:noWrap w:val="0"/>
                  <w:vAlign w:val="center"/>
                </w:tcPr>
                <w:p w14:paraId="406D93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有机化学原料制造（2614）</w:t>
                  </w:r>
                </w:p>
              </w:tc>
            </w:tr>
            <w:tr w14:paraId="369D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36DA4A06">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5B7091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焦化</w:t>
                  </w:r>
                </w:p>
              </w:tc>
              <w:tc>
                <w:tcPr>
                  <w:tcW w:w="1612" w:type="pct"/>
                  <w:tcBorders>
                    <w:tl2br w:val="nil"/>
                    <w:tr2bl w:val="nil"/>
                  </w:tcBorders>
                  <w:noWrap w:val="0"/>
                  <w:vAlign w:val="center"/>
                </w:tcPr>
                <w:p w14:paraId="0339D3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焦炭、半焦（兰炭）</w:t>
                  </w:r>
                </w:p>
              </w:tc>
              <w:tc>
                <w:tcPr>
                  <w:tcW w:w="1344" w:type="pct"/>
                  <w:tcBorders>
                    <w:tl2br w:val="nil"/>
                    <w:tr2bl w:val="nil"/>
                  </w:tcBorders>
                  <w:noWrap w:val="0"/>
                  <w:vAlign w:val="center"/>
                </w:tcPr>
                <w:p w14:paraId="23D58A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焦炉</w:t>
                  </w:r>
                </w:p>
              </w:tc>
              <w:tc>
                <w:tcPr>
                  <w:tcW w:w="1168" w:type="pct"/>
                  <w:tcBorders>
                    <w:tl2br w:val="nil"/>
                    <w:tr2bl w:val="nil"/>
                  </w:tcBorders>
                  <w:noWrap w:val="0"/>
                  <w:vAlign w:val="center"/>
                </w:tcPr>
                <w:p w14:paraId="290847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炼焦（2521）</w:t>
                  </w:r>
                </w:p>
              </w:tc>
            </w:tr>
            <w:tr w14:paraId="23F7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64F42ACA">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379E53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煤制合成气</w:t>
                  </w:r>
                </w:p>
              </w:tc>
              <w:tc>
                <w:tcPr>
                  <w:tcW w:w="1612" w:type="pct"/>
                  <w:tcBorders>
                    <w:tl2br w:val="nil"/>
                    <w:tr2bl w:val="nil"/>
                  </w:tcBorders>
                  <w:noWrap w:val="0"/>
                  <w:vAlign w:val="center"/>
                </w:tcPr>
                <w:p w14:paraId="3BE7B3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煤制气</w:t>
                  </w:r>
                </w:p>
              </w:tc>
              <w:tc>
                <w:tcPr>
                  <w:tcW w:w="1344" w:type="pct"/>
                  <w:tcBorders>
                    <w:tl2br w:val="nil"/>
                    <w:tr2bl w:val="nil"/>
                  </w:tcBorders>
                  <w:noWrap w:val="0"/>
                  <w:vAlign w:val="center"/>
                </w:tcPr>
                <w:p w14:paraId="476255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煤气化炉</w:t>
                  </w:r>
                </w:p>
              </w:tc>
              <w:tc>
                <w:tcPr>
                  <w:tcW w:w="1168" w:type="pct"/>
                  <w:tcBorders>
                    <w:tl2br w:val="nil"/>
                    <w:tr2bl w:val="nil"/>
                  </w:tcBorders>
                  <w:noWrap w:val="0"/>
                  <w:vAlign w:val="center"/>
                </w:tcPr>
                <w:p w14:paraId="2C2B5E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煤制合成气生产（2522）</w:t>
                  </w:r>
                </w:p>
              </w:tc>
            </w:tr>
            <w:tr w14:paraId="11B4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l2br w:val="nil"/>
                    <w:tr2bl w:val="nil"/>
                  </w:tcBorders>
                  <w:noWrap w:val="0"/>
                  <w:vAlign w:val="center"/>
                </w:tcPr>
                <w:p w14:paraId="0B30CB70">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restart"/>
                  <w:tcBorders>
                    <w:tl2br w:val="nil"/>
                    <w:tr2bl w:val="nil"/>
                  </w:tcBorders>
                  <w:noWrap w:val="0"/>
                  <w:vAlign w:val="center"/>
                </w:tcPr>
                <w:p w14:paraId="267850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煤制液体燃料</w:t>
                  </w:r>
                </w:p>
              </w:tc>
              <w:tc>
                <w:tcPr>
                  <w:tcW w:w="1612" w:type="pct"/>
                  <w:tcBorders>
                    <w:tl2br w:val="nil"/>
                    <w:tr2bl w:val="nil"/>
                  </w:tcBorders>
                  <w:noWrap w:val="0"/>
                  <w:vAlign w:val="center"/>
                </w:tcPr>
                <w:p w14:paraId="28B104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煤制油</w:t>
                  </w:r>
                </w:p>
              </w:tc>
              <w:tc>
                <w:tcPr>
                  <w:tcW w:w="1344" w:type="pct"/>
                  <w:vMerge w:val="restart"/>
                  <w:tcBorders>
                    <w:tl2br w:val="nil"/>
                    <w:tr2bl w:val="nil"/>
                  </w:tcBorders>
                  <w:noWrap w:val="0"/>
                  <w:vAlign w:val="center"/>
                </w:tcPr>
                <w:p w14:paraId="374401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煤气化炉、合成塔</w:t>
                  </w:r>
                </w:p>
              </w:tc>
              <w:tc>
                <w:tcPr>
                  <w:tcW w:w="1168" w:type="pct"/>
                  <w:vMerge w:val="restart"/>
                  <w:tcBorders>
                    <w:tl2br w:val="nil"/>
                    <w:tr2bl w:val="nil"/>
                  </w:tcBorders>
                  <w:noWrap w:val="0"/>
                  <w:vAlign w:val="center"/>
                </w:tcPr>
                <w:p w14:paraId="064B44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煤制液体燃料生产（2523）</w:t>
                  </w:r>
                </w:p>
              </w:tc>
            </w:tr>
            <w:tr w14:paraId="7977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62377C91">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2D33EE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15ED01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煤制甲醇</w:t>
                  </w:r>
                </w:p>
              </w:tc>
              <w:tc>
                <w:tcPr>
                  <w:tcW w:w="1344" w:type="pct"/>
                  <w:vMerge w:val="continue"/>
                  <w:tcBorders>
                    <w:tl2br w:val="nil"/>
                    <w:tr2bl w:val="nil"/>
                  </w:tcBorders>
                  <w:noWrap w:val="0"/>
                  <w:vAlign w:val="center"/>
                </w:tcPr>
                <w:p w14:paraId="2704F9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168" w:type="pct"/>
                  <w:vMerge w:val="continue"/>
                  <w:tcBorders>
                    <w:tl2br w:val="nil"/>
                    <w:tr2bl w:val="nil"/>
                  </w:tcBorders>
                  <w:noWrap w:val="0"/>
                  <w:vAlign w:val="center"/>
                </w:tcPr>
                <w:p w14:paraId="3E9403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r>
            <w:tr w14:paraId="3C2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1A9DC5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6A1D06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2CCD9E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煤制烯烃（乙烯、丙烯）</w:t>
                  </w:r>
                </w:p>
              </w:tc>
              <w:tc>
                <w:tcPr>
                  <w:tcW w:w="1344" w:type="pct"/>
                  <w:vMerge w:val="continue"/>
                  <w:tcBorders>
                    <w:tl2br w:val="nil"/>
                    <w:tr2bl w:val="nil"/>
                  </w:tcBorders>
                  <w:noWrap w:val="0"/>
                  <w:vAlign w:val="center"/>
                </w:tcPr>
                <w:p w14:paraId="2B5900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168" w:type="pct"/>
                  <w:vMerge w:val="continue"/>
                  <w:tcBorders>
                    <w:tl2br w:val="nil"/>
                    <w:tr2bl w:val="nil"/>
                  </w:tcBorders>
                  <w:noWrap w:val="0"/>
                  <w:vAlign w:val="center"/>
                </w:tcPr>
                <w:p w14:paraId="7BA198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r>
            <w:tr w14:paraId="7C75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339" w:type="pct"/>
                  <w:vMerge w:val="continue"/>
                  <w:tcBorders>
                    <w:tl2br w:val="nil"/>
                    <w:tr2bl w:val="nil"/>
                  </w:tcBorders>
                  <w:noWrap w:val="0"/>
                  <w:vAlign w:val="center"/>
                </w:tcPr>
                <w:p w14:paraId="02C282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251013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2B8452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煤制乙二醇</w:t>
                  </w:r>
                </w:p>
              </w:tc>
              <w:tc>
                <w:tcPr>
                  <w:tcW w:w="1344" w:type="pct"/>
                  <w:vMerge w:val="continue"/>
                  <w:tcBorders>
                    <w:tl2br w:val="nil"/>
                    <w:tr2bl w:val="nil"/>
                  </w:tcBorders>
                  <w:noWrap w:val="0"/>
                  <w:vAlign w:val="center"/>
                </w:tcPr>
                <w:p w14:paraId="553F9C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168" w:type="pct"/>
                  <w:vMerge w:val="continue"/>
                  <w:tcBorders>
                    <w:tl2br w:val="nil"/>
                    <w:tr2bl w:val="nil"/>
                  </w:tcBorders>
                  <w:noWrap w:val="0"/>
                  <w:vAlign w:val="center"/>
                </w:tcPr>
                <w:p w14:paraId="606311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r>
            <w:tr w14:paraId="7839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l2br w:val="nil"/>
                    <w:tr2bl w:val="nil"/>
                  </w:tcBorders>
                  <w:noWrap w:val="0"/>
                  <w:vAlign w:val="center"/>
                </w:tcPr>
                <w:p w14:paraId="3B3B734B">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restart"/>
                  <w:tcBorders>
                    <w:tl2br w:val="nil"/>
                    <w:tr2bl w:val="nil"/>
                  </w:tcBorders>
                  <w:noWrap w:val="0"/>
                  <w:vAlign w:val="center"/>
                </w:tcPr>
                <w:p w14:paraId="39B80D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基础化学</w:t>
                  </w:r>
                </w:p>
                <w:p w14:paraId="2B96A5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原料</w:t>
                  </w:r>
                </w:p>
              </w:tc>
              <w:tc>
                <w:tcPr>
                  <w:tcW w:w="1612" w:type="pct"/>
                  <w:tcBorders>
                    <w:tl2br w:val="nil"/>
                    <w:tr2bl w:val="nil"/>
                  </w:tcBorders>
                  <w:noWrap w:val="0"/>
                  <w:vAlign w:val="center"/>
                </w:tcPr>
                <w:p w14:paraId="31E091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氯碱（烧碱）</w:t>
                  </w:r>
                </w:p>
              </w:tc>
              <w:tc>
                <w:tcPr>
                  <w:tcW w:w="1344" w:type="pct"/>
                  <w:tcBorders>
                    <w:tl2br w:val="nil"/>
                    <w:tr2bl w:val="nil"/>
                  </w:tcBorders>
                  <w:noWrap w:val="0"/>
                  <w:vAlign w:val="center"/>
                </w:tcPr>
                <w:p w14:paraId="5196AA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电解槽</w:t>
                  </w:r>
                </w:p>
              </w:tc>
              <w:tc>
                <w:tcPr>
                  <w:tcW w:w="1168" w:type="pct"/>
                  <w:tcBorders>
                    <w:tl2br w:val="nil"/>
                    <w:tr2bl w:val="nil"/>
                  </w:tcBorders>
                  <w:noWrap w:val="0"/>
                  <w:vAlign w:val="center"/>
                </w:tcPr>
                <w:p w14:paraId="4793FF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无机碱制造（2612）</w:t>
                  </w:r>
                </w:p>
              </w:tc>
            </w:tr>
            <w:tr w14:paraId="7AB5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6D528C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350ED0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207919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纯碱</w:t>
                  </w:r>
                </w:p>
              </w:tc>
              <w:tc>
                <w:tcPr>
                  <w:tcW w:w="1344" w:type="pct"/>
                  <w:tcBorders>
                    <w:tl2br w:val="nil"/>
                    <w:tr2bl w:val="nil"/>
                  </w:tcBorders>
                  <w:noWrap w:val="0"/>
                  <w:vAlign w:val="center"/>
                </w:tcPr>
                <w:p w14:paraId="013B60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碳化塔</w:t>
                  </w:r>
                </w:p>
              </w:tc>
              <w:tc>
                <w:tcPr>
                  <w:tcW w:w="1168" w:type="pct"/>
                  <w:tcBorders>
                    <w:tl2br w:val="nil"/>
                    <w:tr2bl w:val="nil"/>
                  </w:tcBorders>
                  <w:noWrap w:val="0"/>
                  <w:vAlign w:val="center"/>
                </w:tcPr>
                <w:p w14:paraId="0C9881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无机碱制造（2612）</w:t>
                  </w:r>
                </w:p>
              </w:tc>
            </w:tr>
            <w:tr w14:paraId="1ED1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4D2477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56455E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6B81EA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电石</w:t>
                  </w:r>
                </w:p>
              </w:tc>
              <w:tc>
                <w:tcPr>
                  <w:tcW w:w="1344" w:type="pct"/>
                  <w:tcBorders>
                    <w:tl2br w:val="nil"/>
                    <w:tr2bl w:val="nil"/>
                  </w:tcBorders>
                  <w:noWrap w:val="0"/>
                  <w:vAlign w:val="center"/>
                </w:tcPr>
                <w:p w14:paraId="201CC5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电石炉</w:t>
                  </w:r>
                </w:p>
              </w:tc>
              <w:tc>
                <w:tcPr>
                  <w:tcW w:w="1168" w:type="pct"/>
                  <w:tcBorders>
                    <w:tl2br w:val="nil"/>
                    <w:tr2bl w:val="nil"/>
                  </w:tcBorders>
                  <w:noWrap w:val="0"/>
                  <w:vAlign w:val="center"/>
                </w:tcPr>
                <w:p w14:paraId="4B12DA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无机盐制造（2613）</w:t>
                  </w:r>
                </w:p>
              </w:tc>
            </w:tr>
            <w:tr w14:paraId="48F6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2748F2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03E5D1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549DFD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碳化硅</w:t>
                  </w:r>
                </w:p>
              </w:tc>
              <w:tc>
                <w:tcPr>
                  <w:tcW w:w="1344" w:type="pct"/>
                  <w:tcBorders>
                    <w:tl2br w:val="nil"/>
                    <w:tr2bl w:val="nil"/>
                  </w:tcBorders>
                  <w:noWrap w:val="0"/>
                  <w:vAlign w:val="center"/>
                </w:tcPr>
                <w:p w14:paraId="20BBD7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石墨化炉</w:t>
                  </w:r>
                </w:p>
              </w:tc>
              <w:tc>
                <w:tcPr>
                  <w:tcW w:w="1168" w:type="pct"/>
                  <w:tcBorders>
                    <w:tl2br w:val="nil"/>
                    <w:tr2bl w:val="nil"/>
                  </w:tcBorders>
                  <w:noWrap w:val="0"/>
                  <w:vAlign w:val="center"/>
                </w:tcPr>
                <w:p w14:paraId="662D6A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无机盐制造（2613）</w:t>
                  </w:r>
                </w:p>
              </w:tc>
            </w:tr>
            <w:tr w14:paraId="2735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2095AFF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1A3A7E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289791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黄磷</w:t>
                  </w:r>
                </w:p>
              </w:tc>
              <w:tc>
                <w:tcPr>
                  <w:tcW w:w="1344" w:type="pct"/>
                  <w:tcBorders>
                    <w:tl2br w:val="nil"/>
                    <w:tr2bl w:val="nil"/>
                  </w:tcBorders>
                  <w:noWrap w:val="0"/>
                  <w:vAlign w:val="center"/>
                </w:tcPr>
                <w:p w14:paraId="6230CC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黄磷制取设备</w:t>
                  </w:r>
                </w:p>
              </w:tc>
              <w:tc>
                <w:tcPr>
                  <w:tcW w:w="1168" w:type="pct"/>
                  <w:tcBorders>
                    <w:tl2br w:val="nil"/>
                    <w:tr2bl w:val="nil"/>
                  </w:tcBorders>
                  <w:noWrap w:val="0"/>
                  <w:vAlign w:val="center"/>
                </w:tcPr>
                <w:p w14:paraId="62E47D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其他基础化学原料制造（2619）</w:t>
                  </w:r>
                </w:p>
              </w:tc>
            </w:tr>
            <w:tr w14:paraId="15C7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l2br w:val="nil"/>
                    <w:tr2bl w:val="nil"/>
                  </w:tcBorders>
                  <w:noWrap w:val="0"/>
                  <w:vAlign w:val="center"/>
                </w:tcPr>
                <w:p w14:paraId="75B2F1D9">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restart"/>
                  <w:tcBorders>
                    <w:tl2br w:val="nil"/>
                    <w:tr2bl w:val="nil"/>
                  </w:tcBorders>
                  <w:noWrap w:val="0"/>
                  <w:vAlign w:val="center"/>
                </w:tcPr>
                <w:p w14:paraId="046CCD7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化肥</w:t>
                  </w:r>
                </w:p>
              </w:tc>
              <w:tc>
                <w:tcPr>
                  <w:tcW w:w="1612" w:type="pct"/>
                  <w:tcBorders>
                    <w:tl2br w:val="nil"/>
                    <w:tr2bl w:val="nil"/>
                  </w:tcBorders>
                  <w:noWrap w:val="0"/>
                  <w:vAlign w:val="center"/>
                </w:tcPr>
                <w:p w14:paraId="1E670A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合成氨、尿素</w:t>
                  </w:r>
                </w:p>
              </w:tc>
              <w:tc>
                <w:tcPr>
                  <w:tcW w:w="1344" w:type="pct"/>
                  <w:tcBorders>
                    <w:tl2br w:val="nil"/>
                    <w:tr2bl w:val="nil"/>
                  </w:tcBorders>
                  <w:noWrap w:val="0"/>
                  <w:vAlign w:val="center"/>
                </w:tcPr>
                <w:p w14:paraId="63CE83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合成氨装置</w:t>
                  </w:r>
                </w:p>
              </w:tc>
              <w:tc>
                <w:tcPr>
                  <w:tcW w:w="1168" w:type="pct"/>
                  <w:tcBorders>
                    <w:tl2br w:val="nil"/>
                    <w:tr2bl w:val="nil"/>
                  </w:tcBorders>
                  <w:noWrap w:val="0"/>
                  <w:vAlign w:val="center"/>
                </w:tcPr>
                <w:p w14:paraId="3BE132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氮肥制造（2621）</w:t>
                  </w:r>
                </w:p>
              </w:tc>
            </w:tr>
            <w:tr w14:paraId="524B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07FE3A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55ABEA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39AE35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磷酸一铵、磷酸二铵</w:t>
                  </w:r>
                </w:p>
              </w:tc>
              <w:tc>
                <w:tcPr>
                  <w:tcW w:w="1344" w:type="pct"/>
                  <w:tcBorders>
                    <w:tl2br w:val="nil"/>
                    <w:tr2bl w:val="nil"/>
                  </w:tcBorders>
                  <w:noWrap w:val="0"/>
                  <w:vAlign w:val="center"/>
                </w:tcPr>
                <w:p w14:paraId="70777B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氨化装置</w:t>
                  </w:r>
                </w:p>
              </w:tc>
              <w:tc>
                <w:tcPr>
                  <w:tcW w:w="1168" w:type="pct"/>
                  <w:tcBorders>
                    <w:tl2br w:val="nil"/>
                    <w:tr2bl w:val="nil"/>
                  </w:tcBorders>
                  <w:noWrap w:val="0"/>
                  <w:vAlign w:val="center"/>
                </w:tcPr>
                <w:p w14:paraId="726FF5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磷肥制造（2622）</w:t>
                  </w:r>
                </w:p>
              </w:tc>
            </w:tr>
            <w:tr w14:paraId="1BF7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39" w:type="pct"/>
                  <w:tcBorders>
                    <w:tl2br w:val="nil"/>
                    <w:tr2bl w:val="nil"/>
                  </w:tcBorders>
                  <w:noWrap w:val="0"/>
                  <w:vAlign w:val="center"/>
                </w:tcPr>
                <w:p w14:paraId="6FF05DD5">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113213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水泥</w:t>
                  </w:r>
                </w:p>
              </w:tc>
              <w:tc>
                <w:tcPr>
                  <w:tcW w:w="1612" w:type="pct"/>
                  <w:tcBorders>
                    <w:tl2br w:val="nil"/>
                    <w:tr2bl w:val="nil"/>
                  </w:tcBorders>
                  <w:noWrap w:val="0"/>
                  <w:vAlign w:val="center"/>
                </w:tcPr>
                <w:p w14:paraId="16FDAE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水泥熟料</w:t>
                  </w:r>
                </w:p>
              </w:tc>
              <w:tc>
                <w:tcPr>
                  <w:tcW w:w="1344" w:type="pct"/>
                  <w:tcBorders>
                    <w:tl2br w:val="nil"/>
                    <w:tr2bl w:val="nil"/>
                  </w:tcBorders>
                  <w:noWrap w:val="0"/>
                  <w:vAlign w:val="center"/>
                </w:tcPr>
                <w:p w14:paraId="4DA172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水泥窑</w:t>
                  </w:r>
                </w:p>
              </w:tc>
              <w:tc>
                <w:tcPr>
                  <w:tcW w:w="1168" w:type="pct"/>
                  <w:tcBorders>
                    <w:tl2br w:val="nil"/>
                    <w:tr2bl w:val="nil"/>
                  </w:tcBorders>
                  <w:noWrap w:val="0"/>
                  <w:vAlign w:val="center"/>
                </w:tcPr>
                <w:p w14:paraId="764FDD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水泥制造（3011）</w:t>
                  </w:r>
                </w:p>
              </w:tc>
            </w:tr>
            <w:tr w14:paraId="135B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2CE2D7CE">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376F60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石灰</w:t>
                  </w:r>
                </w:p>
              </w:tc>
              <w:tc>
                <w:tcPr>
                  <w:tcW w:w="1612" w:type="pct"/>
                  <w:tcBorders>
                    <w:tl2br w:val="nil"/>
                    <w:tr2bl w:val="nil"/>
                  </w:tcBorders>
                  <w:noWrap w:val="0"/>
                  <w:vAlign w:val="center"/>
                </w:tcPr>
                <w:p w14:paraId="696F24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生石灰、消石灰、水硬石灰</w:t>
                  </w:r>
                </w:p>
              </w:tc>
              <w:tc>
                <w:tcPr>
                  <w:tcW w:w="1344" w:type="pct"/>
                  <w:tcBorders>
                    <w:tl2br w:val="nil"/>
                    <w:tr2bl w:val="nil"/>
                  </w:tcBorders>
                  <w:noWrap w:val="0"/>
                  <w:vAlign w:val="center"/>
                </w:tcPr>
                <w:p w14:paraId="250DDB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石灰窑</w:t>
                  </w:r>
                </w:p>
              </w:tc>
              <w:tc>
                <w:tcPr>
                  <w:tcW w:w="1168" w:type="pct"/>
                  <w:tcBorders>
                    <w:tl2br w:val="nil"/>
                    <w:tr2bl w:val="nil"/>
                  </w:tcBorders>
                  <w:noWrap w:val="0"/>
                  <w:vAlign w:val="center"/>
                </w:tcPr>
                <w:p w14:paraId="1B0AA5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石灰和石膏制造（3012）</w:t>
                  </w:r>
                </w:p>
              </w:tc>
            </w:tr>
            <w:tr w14:paraId="3E94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72F6DB18">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6B196D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粘土砖瓦</w:t>
                  </w:r>
                </w:p>
              </w:tc>
              <w:tc>
                <w:tcPr>
                  <w:tcW w:w="1612" w:type="pct"/>
                  <w:tcBorders>
                    <w:tl2br w:val="nil"/>
                    <w:tr2bl w:val="nil"/>
                  </w:tcBorders>
                  <w:noWrap w:val="0"/>
                  <w:vAlign w:val="center"/>
                </w:tcPr>
                <w:p w14:paraId="6FFA4A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烧结砖、烧结瓦，不包括资源综合利用 烧结砖瓦</w:t>
                  </w:r>
                </w:p>
              </w:tc>
              <w:tc>
                <w:tcPr>
                  <w:tcW w:w="1344" w:type="pct"/>
                  <w:tcBorders>
                    <w:tl2br w:val="nil"/>
                    <w:tr2bl w:val="nil"/>
                  </w:tcBorders>
                  <w:noWrap w:val="0"/>
                  <w:vAlign w:val="center"/>
                </w:tcPr>
                <w:p w14:paraId="7E4A9B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砖瓦窑</w:t>
                  </w:r>
                </w:p>
              </w:tc>
              <w:tc>
                <w:tcPr>
                  <w:tcW w:w="1168" w:type="pct"/>
                  <w:tcBorders>
                    <w:tl2br w:val="nil"/>
                    <w:tr2bl w:val="nil"/>
                  </w:tcBorders>
                  <w:noWrap w:val="0"/>
                  <w:vAlign w:val="center"/>
                </w:tcPr>
                <w:p w14:paraId="3003CF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粘土砖瓦及建筑砌块制造（3031）</w:t>
                  </w:r>
                </w:p>
              </w:tc>
            </w:tr>
            <w:tr w14:paraId="44AB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6787F50F">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71EB25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平板玻璃</w:t>
                  </w:r>
                </w:p>
              </w:tc>
              <w:tc>
                <w:tcPr>
                  <w:tcW w:w="1612" w:type="pct"/>
                  <w:tcBorders>
                    <w:tl2br w:val="nil"/>
                    <w:tr2bl w:val="nil"/>
                  </w:tcBorders>
                  <w:noWrap w:val="0"/>
                  <w:vAlign w:val="center"/>
                </w:tcPr>
                <w:p w14:paraId="32DB17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浮法平板玻璃（不包括基板玻璃）、压延玻璃（不包括光伏压延玻璃、微晶玻璃）</w:t>
                  </w:r>
                </w:p>
              </w:tc>
              <w:tc>
                <w:tcPr>
                  <w:tcW w:w="1344" w:type="pct"/>
                  <w:tcBorders>
                    <w:tl2br w:val="nil"/>
                    <w:tr2bl w:val="nil"/>
                  </w:tcBorders>
                  <w:noWrap w:val="0"/>
                  <w:vAlign w:val="center"/>
                </w:tcPr>
                <w:p w14:paraId="23044D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玻璃熔炉</w:t>
                  </w:r>
                </w:p>
              </w:tc>
              <w:tc>
                <w:tcPr>
                  <w:tcW w:w="1168" w:type="pct"/>
                  <w:tcBorders>
                    <w:tl2br w:val="nil"/>
                    <w:tr2bl w:val="nil"/>
                  </w:tcBorders>
                  <w:noWrap w:val="0"/>
                  <w:vAlign w:val="center"/>
                </w:tcPr>
                <w:p w14:paraId="2148A7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平板玻璃制造（3041）</w:t>
                  </w:r>
                </w:p>
              </w:tc>
            </w:tr>
            <w:tr w14:paraId="0241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03960330">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60B818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玻璃纤维</w:t>
                  </w:r>
                </w:p>
              </w:tc>
              <w:tc>
                <w:tcPr>
                  <w:tcW w:w="1612" w:type="pct"/>
                  <w:tcBorders>
                    <w:tl2br w:val="nil"/>
                    <w:tr2bl w:val="nil"/>
                  </w:tcBorders>
                  <w:noWrap w:val="0"/>
                  <w:vAlign w:val="center"/>
                </w:tcPr>
                <w:p w14:paraId="3AA356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玻璃纤维</w:t>
                  </w:r>
                </w:p>
              </w:tc>
              <w:tc>
                <w:tcPr>
                  <w:tcW w:w="1344" w:type="pct"/>
                  <w:tcBorders>
                    <w:tl2br w:val="nil"/>
                    <w:tr2bl w:val="nil"/>
                  </w:tcBorders>
                  <w:noWrap w:val="0"/>
                  <w:vAlign w:val="center"/>
                </w:tcPr>
                <w:p w14:paraId="7666F5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玻璃纤维熔炉</w:t>
                  </w:r>
                </w:p>
              </w:tc>
              <w:tc>
                <w:tcPr>
                  <w:tcW w:w="1168" w:type="pct"/>
                  <w:tcBorders>
                    <w:tl2br w:val="nil"/>
                    <w:tr2bl w:val="nil"/>
                  </w:tcBorders>
                  <w:noWrap w:val="0"/>
                  <w:vAlign w:val="center"/>
                </w:tcPr>
                <w:p w14:paraId="150EE3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玻璃纤维及制品制造 （3061）</w:t>
                  </w:r>
                </w:p>
              </w:tc>
            </w:tr>
            <w:tr w14:paraId="3635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l2br w:val="nil"/>
                    <w:tr2bl w:val="nil"/>
                  </w:tcBorders>
                  <w:noWrap w:val="0"/>
                  <w:vAlign w:val="center"/>
                </w:tcPr>
                <w:p w14:paraId="6F73C02C">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restart"/>
                  <w:tcBorders>
                    <w:tl2br w:val="nil"/>
                    <w:tr2bl w:val="nil"/>
                  </w:tcBorders>
                  <w:noWrap w:val="0"/>
                  <w:vAlign w:val="center"/>
                </w:tcPr>
                <w:p w14:paraId="0B870C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陶瓷</w:t>
                  </w:r>
                </w:p>
              </w:tc>
              <w:tc>
                <w:tcPr>
                  <w:tcW w:w="1612" w:type="pct"/>
                  <w:tcBorders>
                    <w:tl2br w:val="nil"/>
                    <w:tr2bl w:val="nil"/>
                  </w:tcBorders>
                  <w:noWrap w:val="0"/>
                  <w:vAlign w:val="center"/>
                </w:tcPr>
                <w:p w14:paraId="7F6A95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建筑陶瓷，不包括非经高温烧结的发泡陶瓷板等</w:t>
                  </w:r>
                </w:p>
              </w:tc>
              <w:tc>
                <w:tcPr>
                  <w:tcW w:w="1344" w:type="pct"/>
                  <w:tcBorders>
                    <w:tl2br w:val="nil"/>
                    <w:tr2bl w:val="nil"/>
                  </w:tcBorders>
                  <w:noWrap w:val="0"/>
                  <w:vAlign w:val="center"/>
                </w:tcPr>
                <w:p w14:paraId="46CF267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辊道和隧道窑</w:t>
                  </w:r>
                </w:p>
              </w:tc>
              <w:tc>
                <w:tcPr>
                  <w:tcW w:w="1168" w:type="pct"/>
                  <w:tcBorders>
                    <w:tl2br w:val="nil"/>
                    <w:tr2bl w:val="nil"/>
                  </w:tcBorders>
                  <w:noWrap w:val="0"/>
                  <w:vAlign w:val="center"/>
                </w:tcPr>
                <w:p w14:paraId="30A9B7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建筑陶瓷制品制造（3071）</w:t>
                  </w:r>
                </w:p>
              </w:tc>
            </w:tr>
            <w:tr w14:paraId="1A68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68F486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6D1EE8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5C2C30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卫生陶瓷</w:t>
                  </w:r>
                </w:p>
              </w:tc>
              <w:tc>
                <w:tcPr>
                  <w:tcW w:w="1344" w:type="pct"/>
                  <w:tcBorders>
                    <w:tl2br w:val="nil"/>
                    <w:tr2bl w:val="nil"/>
                  </w:tcBorders>
                  <w:noWrap w:val="0"/>
                  <w:vAlign w:val="center"/>
                </w:tcPr>
                <w:p w14:paraId="284BAF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隧道窑</w:t>
                  </w:r>
                </w:p>
              </w:tc>
              <w:tc>
                <w:tcPr>
                  <w:tcW w:w="1168" w:type="pct"/>
                  <w:tcBorders>
                    <w:tl2br w:val="nil"/>
                    <w:tr2bl w:val="nil"/>
                  </w:tcBorders>
                  <w:noWrap w:val="0"/>
                  <w:vAlign w:val="center"/>
                </w:tcPr>
                <w:p w14:paraId="0230C7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卫生陶瓷制品制造（3072）</w:t>
                  </w:r>
                </w:p>
              </w:tc>
            </w:tr>
            <w:tr w14:paraId="6099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4ED7413E">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3AA057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耐火材料</w:t>
                  </w:r>
                </w:p>
              </w:tc>
              <w:tc>
                <w:tcPr>
                  <w:tcW w:w="1612" w:type="pct"/>
                  <w:tcBorders>
                    <w:tl2br w:val="nil"/>
                    <w:tr2bl w:val="nil"/>
                  </w:tcBorders>
                  <w:noWrap w:val="0"/>
                  <w:vAlign w:val="center"/>
                </w:tcPr>
                <w:p w14:paraId="03F5C8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耐火材料</w:t>
                  </w:r>
                </w:p>
              </w:tc>
              <w:tc>
                <w:tcPr>
                  <w:tcW w:w="1344" w:type="pct"/>
                  <w:tcBorders>
                    <w:tl2br w:val="nil"/>
                    <w:tr2bl w:val="nil"/>
                  </w:tcBorders>
                  <w:noWrap w:val="0"/>
                  <w:vAlign w:val="center"/>
                </w:tcPr>
                <w:p w14:paraId="587D6D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耐火材料高温窑炉</w:t>
                  </w:r>
                </w:p>
              </w:tc>
              <w:tc>
                <w:tcPr>
                  <w:tcW w:w="1168" w:type="pct"/>
                  <w:tcBorders>
                    <w:tl2br w:val="nil"/>
                    <w:tr2bl w:val="nil"/>
                  </w:tcBorders>
                  <w:noWrap w:val="0"/>
                  <w:vAlign w:val="center"/>
                </w:tcPr>
                <w:p w14:paraId="5C3B9C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耐火陶瓷制品及其他耐火材料制造（3089）</w:t>
                  </w:r>
                </w:p>
              </w:tc>
            </w:tr>
            <w:tr w14:paraId="1D79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59A6EC42">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551BBC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石墨及碳素</w:t>
                  </w:r>
                </w:p>
              </w:tc>
              <w:tc>
                <w:tcPr>
                  <w:tcW w:w="1612" w:type="pct"/>
                  <w:tcBorders>
                    <w:tl2br w:val="nil"/>
                    <w:tr2bl w:val="nil"/>
                  </w:tcBorders>
                  <w:noWrap w:val="0"/>
                  <w:vAlign w:val="center"/>
                </w:tcPr>
                <w:p w14:paraId="435748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碳块、碳电极、碳糊、铝用碳素（不包括天然石墨及制品）</w:t>
                  </w:r>
                </w:p>
              </w:tc>
              <w:tc>
                <w:tcPr>
                  <w:tcW w:w="1344" w:type="pct"/>
                  <w:tcBorders>
                    <w:tl2br w:val="nil"/>
                    <w:tr2bl w:val="nil"/>
                  </w:tcBorders>
                  <w:noWrap w:val="0"/>
                  <w:vAlign w:val="center"/>
                </w:tcPr>
                <w:p w14:paraId="246032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煅烧</w:t>
                  </w:r>
                  <w:r>
                    <w:rPr>
                      <w:rFonts w:hint="default" w:ascii="Times New Roman" w:hAnsi="Times New Roman" w:eastAsia="宋体" w:cs="Times New Roman"/>
                      <w:color w:val="auto"/>
                      <w:kern w:val="2"/>
                      <w:sz w:val="21"/>
                      <w:szCs w:val="21"/>
                      <w:highlight w:val="none"/>
                      <w:shd w:val="clear" w:color="auto" w:fill="auto"/>
                      <w:lang w:val="en-US" w:eastAsia="zh-CN" w:bidi="ar-SA"/>
                    </w:rPr>
                    <w:t>炉、焙烧炉、石墨化炉</w:t>
                  </w:r>
                </w:p>
              </w:tc>
              <w:tc>
                <w:tcPr>
                  <w:tcW w:w="1168" w:type="pct"/>
                  <w:tcBorders>
                    <w:tl2br w:val="nil"/>
                    <w:tr2bl w:val="nil"/>
                  </w:tcBorders>
                  <w:noWrap w:val="0"/>
                  <w:vAlign w:val="center"/>
                </w:tcPr>
                <w:p w14:paraId="61730C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石墨及碳素制品制造（3091）</w:t>
                  </w:r>
                </w:p>
              </w:tc>
            </w:tr>
            <w:tr w14:paraId="028E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12B9A14F">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14DF50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晶体硅</w:t>
                  </w:r>
                </w:p>
              </w:tc>
              <w:tc>
                <w:tcPr>
                  <w:tcW w:w="1612" w:type="pct"/>
                  <w:tcBorders>
                    <w:tl2br w:val="nil"/>
                    <w:tr2bl w:val="nil"/>
                  </w:tcBorders>
                  <w:noWrap w:val="0"/>
                  <w:vAlign w:val="center"/>
                </w:tcPr>
                <w:p w14:paraId="5A86C5F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多晶硅、单晶硅</w:t>
                  </w:r>
                </w:p>
              </w:tc>
              <w:tc>
                <w:tcPr>
                  <w:tcW w:w="1344" w:type="pct"/>
                  <w:tcBorders>
                    <w:tl2br w:val="nil"/>
                    <w:tr2bl w:val="nil"/>
                  </w:tcBorders>
                  <w:noWrap w:val="0"/>
                  <w:vAlign w:val="center"/>
                </w:tcPr>
                <w:p w14:paraId="68A39B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单晶炉、还原炉、精馏塔</w:t>
                  </w:r>
                </w:p>
              </w:tc>
              <w:tc>
                <w:tcPr>
                  <w:tcW w:w="1168" w:type="pct"/>
                  <w:tcBorders>
                    <w:tl2br w:val="nil"/>
                    <w:tr2bl w:val="nil"/>
                  </w:tcBorders>
                  <w:noWrap w:val="0"/>
                  <w:vAlign w:val="center"/>
                </w:tcPr>
                <w:p w14:paraId="440B0E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其他非金属矿物制品制造（3099）</w:t>
                  </w:r>
                </w:p>
              </w:tc>
            </w:tr>
            <w:tr w14:paraId="04FC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l2br w:val="nil"/>
                    <w:tr2bl w:val="nil"/>
                  </w:tcBorders>
                  <w:noWrap w:val="0"/>
                  <w:vAlign w:val="center"/>
                </w:tcPr>
                <w:p w14:paraId="055C25CF">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restart"/>
                  <w:tcBorders>
                    <w:tl2br w:val="nil"/>
                    <w:tr2bl w:val="nil"/>
                  </w:tcBorders>
                  <w:noWrap w:val="0"/>
                  <w:vAlign w:val="center"/>
                </w:tcPr>
                <w:p w14:paraId="5CBB4D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钢铁</w:t>
                  </w:r>
                </w:p>
              </w:tc>
              <w:tc>
                <w:tcPr>
                  <w:tcW w:w="1612" w:type="pct"/>
                  <w:tcBorders>
                    <w:tl2br w:val="nil"/>
                    <w:tr2bl w:val="nil"/>
                  </w:tcBorders>
                  <w:noWrap w:val="0"/>
                  <w:vAlign w:val="center"/>
                </w:tcPr>
                <w:p w14:paraId="532885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炼钢用生铁、熔融还原铁</w:t>
                  </w:r>
                </w:p>
              </w:tc>
              <w:tc>
                <w:tcPr>
                  <w:tcW w:w="1344" w:type="pct"/>
                  <w:tcBorders>
                    <w:tl2br w:val="nil"/>
                    <w:tr2bl w:val="nil"/>
                  </w:tcBorders>
                  <w:noWrap w:val="0"/>
                  <w:vAlign w:val="center"/>
                </w:tcPr>
                <w:p w14:paraId="6ACDA9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高炉、非高炉炼铁装置（氢还原除外）</w:t>
                  </w:r>
                </w:p>
              </w:tc>
              <w:tc>
                <w:tcPr>
                  <w:tcW w:w="1168" w:type="pct"/>
                  <w:tcBorders>
                    <w:tl2br w:val="nil"/>
                    <w:tr2bl w:val="nil"/>
                  </w:tcBorders>
                  <w:noWrap w:val="0"/>
                  <w:vAlign w:val="center"/>
                </w:tcPr>
                <w:p w14:paraId="0E084C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炼铁（3110）</w:t>
                  </w:r>
                </w:p>
              </w:tc>
            </w:tr>
            <w:tr w14:paraId="1D59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39" w:type="pct"/>
                  <w:vMerge w:val="continue"/>
                  <w:tcBorders>
                    <w:tl2br w:val="nil"/>
                    <w:tr2bl w:val="nil"/>
                  </w:tcBorders>
                  <w:noWrap w:val="0"/>
                  <w:vAlign w:val="center"/>
                </w:tcPr>
                <w:p w14:paraId="784712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1E6994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74E210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非合金钢粗钢、低合金钢粗钢、合金钢粗钢</w:t>
                  </w:r>
                </w:p>
              </w:tc>
              <w:tc>
                <w:tcPr>
                  <w:tcW w:w="1344" w:type="pct"/>
                  <w:tcBorders>
                    <w:tl2br w:val="nil"/>
                    <w:tr2bl w:val="nil"/>
                  </w:tcBorders>
                  <w:noWrap w:val="0"/>
                  <w:vAlign w:val="center"/>
                </w:tcPr>
                <w:p w14:paraId="4E046E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转炉</w:t>
                  </w:r>
                </w:p>
              </w:tc>
              <w:tc>
                <w:tcPr>
                  <w:tcW w:w="1168" w:type="pct"/>
                  <w:tcBorders>
                    <w:tl2br w:val="nil"/>
                    <w:tr2bl w:val="nil"/>
                  </w:tcBorders>
                  <w:noWrap w:val="0"/>
                  <w:vAlign w:val="center"/>
                </w:tcPr>
                <w:p w14:paraId="7892E6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炼钢（3120）</w:t>
                  </w:r>
                </w:p>
              </w:tc>
            </w:tr>
            <w:tr w14:paraId="0B40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4AABDE5D">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2371C6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铸造用生铁</w:t>
                  </w:r>
                </w:p>
              </w:tc>
              <w:tc>
                <w:tcPr>
                  <w:tcW w:w="1612" w:type="pct"/>
                  <w:tcBorders>
                    <w:tl2br w:val="nil"/>
                    <w:tr2bl w:val="nil"/>
                  </w:tcBorders>
                  <w:noWrap w:val="0"/>
                  <w:vAlign w:val="center"/>
                </w:tcPr>
                <w:p w14:paraId="383E1C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铸造用生铁</w:t>
                  </w:r>
                </w:p>
              </w:tc>
              <w:tc>
                <w:tcPr>
                  <w:tcW w:w="1344" w:type="pct"/>
                  <w:tcBorders>
                    <w:tl2br w:val="nil"/>
                    <w:tr2bl w:val="nil"/>
                  </w:tcBorders>
                  <w:noWrap w:val="0"/>
                  <w:vAlign w:val="center"/>
                </w:tcPr>
                <w:p w14:paraId="3CBCA0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高炉</w:t>
                  </w:r>
                </w:p>
              </w:tc>
              <w:tc>
                <w:tcPr>
                  <w:tcW w:w="1168" w:type="pct"/>
                  <w:tcBorders>
                    <w:tl2br w:val="nil"/>
                    <w:tr2bl w:val="nil"/>
                  </w:tcBorders>
                  <w:noWrap w:val="0"/>
                  <w:vAlign w:val="center"/>
                </w:tcPr>
                <w:p w14:paraId="462B3C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炼铁（3110）</w:t>
                  </w:r>
                </w:p>
              </w:tc>
            </w:tr>
            <w:tr w14:paraId="5027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tcBorders>
                    <w:tl2br w:val="nil"/>
                    <w:tr2bl w:val="nil"/>
                  </w:tcBorders>
                  <w:noWrap w:val="0"/>
                  <w:vAlign w:val="center"/>
                </w:tcPr>
                <w:p w14:paraId="11984E0E">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tcBorders>
                    <w:tl2br w:val="nil"/>
                    <w:tr2bl w:val="nil"/>
                  </w:tcBorders>
                  <w:noWrap w:val="0"/>
                  <w:vAlign w:val="center"/>
                </w:tcPr>
                <w:p w14:paraId="7DA709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铁合金</w:t>
                  </w:r>
                </w:p>
              </w:tc>
              <w:tc>
                <w:tcPr>
                  <w:tcW w:w="1612" w:type="pct"/>
                  <w:tcBorders>
                    <w:tl2br w:val="nil"/>
                    <w:tr2bl w:val="nil"/>
                  </w:tcBorders>
                  <w:noWrap w:val="0"/>
                  <w:vAlign w:val="center"/>
                </w:tcPr>
                <w:p w14:paraId="484D9B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硅铁、锰硅合金、高碳铬铁、镍铁及其他铁合金产品</w:t>
                  </w:r>
                </w:p>
              </w:tc>
              <w:tc>
                <w:tcPr>
                  <w:tcW w:w="1344" w:type="pct"/>
                  <w:tcBorders>
                    <w:tl2br w:val="nil"/>
                    <w:tr2bl w:val="nil"/>
                  </w:tcBorders>
                  <w:noWrap w:val="0"/>
                  <w:vAlign w:val="center"/>
                </w:tcPr>
                <w:p w14:paraId="53FC8A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矿热炉、电弧炉、高炉</w:t>
                  </w:r>
                </w:p>
              </w:tc>
              <w:tc>
                <w:tcPr>
                  <w:tcW w:w="1168" w:type="pct"/>
                  <w:tcBorders>
                    <w:tl2br w:val="nil"/>
                    <w:tr2bl w:val="nil"/>
                  </w:tcBorders>
                  <w:noWrap w:val="0"/>
                  <w:vAlign w:val="center"/>
                </w:tcPr>
                <w:p w14:paraId="1F1A71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铁合金冶炼（3140）</w:t>
                  </w:r>
                </w:p>
              </w:tc>
            </w:tr>
            <w:tr w14:paraId="0183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l2br w:val="nil"/>
                    <w:tr2bl w:val="nil"/>
                  </w:tcBorders>
                  <w:noWrap w:val="0"/>
                  <w:vAlign w:val="center"/>
                </w:tcPr>
                <w:p w14:paraId="6ABE73C9">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restart"/>
                  <w:tcBorders>
                    <w:tl2br w:val="nil"/>
                    <w:tr2bl w:val="nil"/>
                  </w:tcBorders>
                  <w:noWrap w:val="0"/>
                  <w:vAlign w:val="center"/>
                </w:tcPr>
                <w:p w14:paraId="090CF0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有色</w:t>
                  </w:r>
                </w:p>
              </w:tc>
              <w:tc>
                <w:tcPr>
                  <w:tcW w:w="1612" w:type="pct"/>
                  <w:tcBorders>
                    <w:tl2br w:val="nil"/>
                    <w:tr2bl w:val="nil"/>
                  </w:tcBorders>
                  <w:noWrap w:val="0"/>
                  <w:vAlign w:val="center"/>
                </w:tcPr>
                <w:p w14:paraId="513FEA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氧化铝，不包括以铝酸钠、氢氧化铝或氧化铝为原料加工形成的非冶金级氧化铝</w:t>
                  </w:r>
                </w:p>
              </w:tc>
              <w:tc>
                <w:tcPr>
                  <w:tcW w:w="1344" w:type="pct"/>
                  <w:tcBorders>
                    <w:tl2br w:val="nil"/>
                    <w:tr2bl w:val="nil"/>
                  </w:tcBorders>
                  <w:noWrap w:val="0"/>
                  <w:vAlign w:val="center"/>
                </w:tcPr>
                <w:p w14:paraId="44B111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煅烧或焙烧炉</w:t>
                  </w:r>
                </w:p>
              </w:tc>
              <w:tc>
                <w:tcPr>
                  <w:tcW w:w="1168" w:type="pct"/>
                  <w:tcBorders>
                    <w:tl2br w:val="nil"/>
                    <w:tr2bl w:val="nil"/>
                  </w:tcBorders>
                  <w:noWrap w:val="0"/>
                  <w:vAlign w:val="center"/>
                </w:tcPr>
                <w:p w14:paraId="61C718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0"/>
                      <w:sz w:val="21"/>
                      <w:szCs w:val="21"/>
                      <w:highlight w:val="none"/>
                      <w:shd w:val="clear" w:color="auto" w:fill="auto"/>
                      <w:lang w:val="en-US" w:eastAsia="zh-CN" w:bidi="ar-SA"/>
                    </w:rPr>
                    <w:t>铝冶炼（3216）</w:t>
                  </w:r>
                </w:p>
              </w:tc>
            </w:tr>
            <w:tr w14:paraId="0AC7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220494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5393D8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5B7F4D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电解铝，不包括再生铝</w:t>
                  </w:r>
                </w:p>
              </w:tc>
              <w:tc>
                <w:tcPr>
                  <w:tcW w:w="1344" w:type="pct"/>
                  <w:tcBorders>
                    <w:tl2br w:val="nil"/>
                    <w:tr2bl w:val="nil"/>
                  </w:tcBorders>
                  <w:noWrap w:val="0"/>
                  <w:vAlign w:val="center"/>
                </w:tcPr>
                <w:p w14:paraId="48C489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电解槽</w:t>
                  </w:r>
                </w:p>
              </w:tc>
              <w:tc>
                <w:tcPr>
                  <w:tcW w:w="1168" w:type="pct"/>
                  <w:tcBorders>
                    <w:tl2br w:val="nil"/>
                    <w:tr2bl w:val="nil"/>
                  </w:tcBorders>
                  <w:noWrap w:val="0"/>
                  <w:vAlign w:val="center"/>
                </w:tcPr>
                <w:p w14:paraId="6AC432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0"/>
                      <w:sz w:val="21"/>
                      <w:szCs w:val="21"/>
                      <w:highlight w:val="none"/>
                      <w:shd w:val="clear" w:color="auto" w:fill="auto"/>
                      <w:lang w:val="en-US" w:eastAsia="zh-CN" w:bidi="ar-SA"/>
                    </w:rPr>
                    <w:t>铝冶炼（3216）</w:t>
                  </w:r>
                </w:p>
              </w:tc>
            </w:tr>
            <w:tr w14:paraId="3107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04F808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394013B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10C498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0"/>
                      <w:sz w:val="21"/>
                      <w:szCs w:val="21"/>
                      <w:highlight w:val="none"/>
                      <w:shd w:val="clear" w:color="auto" w:fill="auto"/>
                    </w:rPr>
                    <w:t>阴极铜、阳极铜、粗铜、电解铜，不包括再生铜</w:t>
                  </w:r>
                </w:p>
              </w:tc>
              <w:tc>
                <w:tcPr>
                  <w:tcW w:w="1344" w:type="pct"/>
                  <w:tcBorders>
                    <w:tl2br w:val="nil"/>
                    <w:tr2bl w:val="nil"/>
                  </w:tcBorders>
                  <w:noWrap w:val="0"/>
                  <w:vAlign w:val="center"/>
                </w:tcPr>
                <w:p w14:paraId="5F6C12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电解槽</w:t>
                  </w:r>
                </w:p>
              </w:tc>
              <w:tc>
                <w:tcPr>
                  <w:tcW w:w="1168" w:type="pct"/>
                  <w:tcBorders>
                    <w:tl2br w:val="nil"/>
                    <w:tr2bl w:val="nil"/>
                  </w:tcBorders>
                  <w:noWrap w:val="0"/>
                  <w:vAlign w:val="center"/>
                </w:tcPr>
                <w:p w14:paraId="080847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铜冶炼（3211）</w:t>
                  </w:r>
                </w:p>
              </w:tc>
            </w:tr>
            <w:tr w14:paraId="6E51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65E1B1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209951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154802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粗铅、电解铅、粗锌、电解锌，不包括再生有色资源冶炼</w:t>
                  </w:r>
                </w:p>
              </w:tc>
              <w:tc>
                <w:tcPr>
                  <w:tcW w:w="1344" w:type="pct"/>
                  <w:tcBorders>
                    <w:tl2br w:val="nil"/>
                    <w:tr2bl w:val="nil"/>
                  </w:tcBorders>
                  <w:noWrap w:val="0"/>
                  <w:vAlign w:val="center"/>
                </w:tcPr>
                <w:p w14:paraId="008C07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电解槽</w:t>
                  </w:r>
                </w:p>
              </w:tc>
              <w:tc>
                <w:tcPr>
                  <w:tcW w:w="1168" w:type="pct"/>
                  <w:tcBorders>
                    <w:tl2br w:val="nil"/>
                    <w:tr2bl w:val="nil"/>
                  </w:tcBorders>
                  <w:noWrap w:val="0"/>
                  <w:vAlign w:val="center"/>
                </w:tcPr>
                <w:p w14:paraId="7735A8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铅锌冶炼（3212）</w:t>
                  </w:r>
                </w:p>
              </w:tc>
            </w:tr>
            <w:tr w14:paraId="4B0D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l2br w:val="nil"/>
                    <w:tr2bl w:val="nil"/>
                  </w:tcBorders>
                  <w:noWrap w:val="0"/>
                  <w:vAlign w:val="center"/>
                </w:tcPr>
                <w:p w14:paraId="086CEA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20</w:t>
                  </w:r>
                </w:p>
              </w:tc>
              <w:tc>
                <w:tcPr>
                  <w:tcW w:w="536" w:type="pct"/>
                  <w:vMerge w:val="restart"/>
                  <w:tcBorders>
                    <w:tl2br w:val="nil"/>
                    <w:tr2bl w:val="nil"/>
                  </w:tcBorders>
                  <w:noWrap w:val="0"/>
                  <w:vAlign w:val="center"/>
                </w:tcPr>
                <w:p w14:paraId="604959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煤电</w:t>
                  </w:r>
                </w:p>
              </w:tc>
              <w:tc>
                <w:tcPr>
                  <w:tcW w:w="1612" w:type="pct"/>
                  <w:tcBorders>
                    <w:tl2br w:val="nil"/>
                    <w:tr2bl w:val="nil"/>
                  </w:tcBorders>
                  <w:noWrap w:val="0"/>
                  <w:vAlign w:val="center"/>
                </w:tcPr>
                <w:p w14:paraId="2AA8FA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工业硅</w:t>
                  </w:r>
                </w:p>
              </w:tc>
              <w:tc>
                <w:tcPr>
                  <w:tcW w:w="1344" w:type="pct"/>
                  <w:tcBorders>
                    <w:tl2br w:val="nil"/>
                    <w:tr2bl w:val="nil"/>
                  </w:tcBorders>
                  <w:noWrap w:val="0"/>
                  <w:vAlign w:val="center"/>
                </w:tcPr>
                <w:p w14:paraId="2BDFCB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矿热炉</w:t>
                  </w:r>
                </w:p>
              </w:tc>
              <w:tc>
                <w:tcPr>
                  <w:tcW w:w="1168" w:type="pct"/>
                  <w:tcBorders>
                    <w:tl2br w:val="nil"/>
                    <w:tr2bl w:val="nil"/>
                  </w:tcBorders>
                  <w:noWrap w:val="0"/>
                  <w:vAlign w:val="center"/>
                </w:tcPr>
                <w:p w14:paraId="0B5DA2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硅冶炼（3218）</w:t>
                  </w:r>
                </w:p>
              </w:tc>
            </w:tr>
            <w:tr w14:paraId="4624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4DAB5683">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3B4A9F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tcBorders>
                    <w:tl2br w:val="nil"/>
                    <w:tr2bl w:val="nil"/>
                  </w:tcBorders>
                  <w:noWrap w:val="0"/>
                  <w:vAlign w:val="center"/>
                </w:tcPr>
                <w:p w14:paraId="30B533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电力（燃煤发电，包含煤矸石发电）</w:t>
                  </w:r>
                </w:p>
              </w:tc>
              <w:tc>
                <w:tcPr>
                  <w:tcW w:w="1344" w:type="pct"/>
                  <w:tcBorders>
                    <w:tl2br w:val="nil"/>
                    <w:tr2bl w:val="nil"/>
                  </w:tcBorders>
                  <w:noWrap w:val="0"/>
                  <w:vAlign w:val="center"/>
                </w:tcPr>
                <w:p w14:paraId="66BC99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抽凝、纯凝机组</w:t>
                  </w:r>
                </w:p>
              </w:tc>
              <w:tc>
                <w:tcPr>
                  <w:tcW w:w="1168" w:type="pct"/>
                  <w:tcBorders>
                    <w:tl2br w:val="nil"/>
                    <w:tr2bl w:val="nil"/>
                  </w:tcBorders>
                  <w:noWrap w:val="0"/>
                  <w:vAlign w:val="center"/>
                </w:tcPr>
                <w:p w14:paraId="177351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火力发电（4411）</w:t>
                  </w:r>
                </w:p>
              </w:tc>
            </w:tr>
            <w:tr w14:paraId="1A56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7A4629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5102BE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vMerge w:val="restart"/>
                  <w:tcBorders>
                    <w:tl2br w:val="nil"/>
                    <w:tr2bl w:val="nil"/>
                  </w:tcBorders>
                  <w:noWrap w:val="0"/>
                  <w:vAlign w:val="center"/>
                </w:tcPr>
                <w:p w14:paraId="002349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电力和热力（热电联产）</w:t>
                  </w:r>
                </w:p>
              </w:tc>
              <w:tc>
                <w:tcPr>
                  <w:tcW w:w="1344" w:type="pct"/>
                  <w:tcBorders>
                    <w:tl2br w:val="nil"/>
                    <w:tr2bl w:val="nil"/>
                  </w:tcBorders>
                  <w:noWrap w:val="0"/>
                  <w:vAlign w:val="center"/>
                </w:tcPr>
                <w:p w14:paraId="45BBCC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抽凝机组</w:t>
                  </w:r>
                </w:p>
              </w:tc>
              <w:tc>
                <w:tcPr>
                  <w:tcW w:w="1168" w:type="pct"/>
                  <w:vMerge w:val="restart"/>
                  <w:tcBorders>
                    <w:tl2br w:val="nil"/>
                    <w:tr2bl w:val="nil"/>
                  </w:tcBorders>
                  <w:noWrap w:val="0"/>
                  <w:vAlign w:val="center"/>
                </w:tcPr>
                <w:p w14:paraId="21436D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热电联产（4412）</w:t>
                  </w:r>
                </w:p>
              </w:tc>
            </w:tr>
            <w:tr w14:paraId="3635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l2br w:val="nil"/>
                    <w:tr2bl w:val="nil"/>
                  </w:tcBorders>
                  <w:noWrap w:val="0"/>
                  <w:vAlign w:val="center"/>
                </w:tcPr>
                <w:p w14:paraId="50A12A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536" w:type="pct"/>
                  <w:vMerge w:val="continue"/>
                  <w:tcBorders>
                    <w:tl2br w:val="nil"/>
                    <w:tr2bl w:val="nil"/>
                  </w:tcBorders>
                  <w:noWrap w:val="0"/>
                  <w:vAlign w:val="center"/>
                </w:tcPr>
                <w:p w14:paraId="33134F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612" w:type="pct"/>
                  <w:vMerge w:val="continue"/>
                  <w:tcBorders>
                    <w:tl2br w:val="nil"/>
                    <w:tr2bl w:val="nil"/>
                  </w:tcBorders>
                  <w:noWrap w:val="0"/>
                  <w:vAlign w:val="center"/>
                </w:tcPr>
                <w:p w14:paraId="087BDE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344" w:type="pct"/>
                  <w:tcBorders>
                    <w:tl2br w:val="nil"/>
                    <w:tr2bl w:val="nil"/>
                  </w:tcBorders>
                  <w:noWrap w:val="0"/>
                  <w:vAlign w:val="center"/>
                </w:tcPr>
                <w:p w14:paraId="2FBC9B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背压机组</w:t>
                  </w:r>
                </w:p>
              </w:tc>
              <w:tc>
                <w:tcPr>
                  <w:tcW w:w="1168" w:type="pct"/>
                  <w:vMerge w:val="continue"/>
                  <w:tcBorders>
                    <w:tl2br w:val="nil"/>
                    <w:tr2bl w:val="nil"/>
                  </w:tcBorders>
                  <w:noWrap w:val="0"/>
                  <w:vAlign w:val="center"/>
                </w:tcPr>
                <w:p w14:paraId="540C5E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r>
            <w:tr w14:paraId="2C6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5"/>
                  <w:tcBorders>
                    <w:tl2br w:val="nil"/>
                    <w:tr2bl w:val="nil"/>
                  </w:tcBorders>
                  <w:noWrap w:val="0"/>
                  <w:vAlign w:val="center"/>
                </w:tcPr>
                <w:p w14:paraId="10D2B0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说明：1.“两高”项目范围以行业、产品和装置进行界定；2.本目录根据国家规定和我省实际动态调整，其中，国家明确规定不作为“两高”项目的自动退出本目录国家新增加的“两高”项目自动纳入本目录。3.能耗替代系数统一为1，原料用煤和煤电项目煤炭替代系数为1，其余燃煤项目煤耗和碳排放替代系数统一为1.1，污染物排放替代系数为2或1。4.非大气污染防治重点区域不实行煤耗替代，列入国家能耗单列的项目不实行能耗替代。5.产能、能耗、煤耗、碳排放、污染物排放的替代方式，包括项目替代、区域替代，除国家规定必须实行项目替代的情形之外，可以根据实际情况选择合适替代方式。6.数据中心（含智算中心）参照</w:t>
                  </w:r>
                  <w:r>
                    <w:rPr>
                      <w:rFonts w:hint="eastAsia" w:ascii="Times New Roman" w:hAnsi="Times New Roman" w:eastAsia="宋体" w:cs="Times New Roman"/>
                      <w:color w:val="auto"/>
                      <w:kern w:val="2"/>
                      <w:sz w:val="21"/>
                      <w:szCs w:val="21"/>
                      <w:highlight w:val="none"/>
                      <w:shd w:val="clear" w:color="auto" w:fill="auto"/>
                      <w:lang w:val="en-US" w:eastAsia="zh-CN" w:bidi="ar-SA"/>
                    </w:rPr>
                    <w:t>“</w:t>
                  </w:r>
                  <w:r>
                    <w:rPr>
                      <w:rFonts w:hint="default" w:ascii="Times New Roman" w:hAnsi="Times New Roman" w:eastAsia="宋体" w:cs="Times New Roman"/>
                      <w:color w:val="auto"/>
                      <w:kern w:val="2"/>
                      <w:sz w:val="21"/>
                      <w:szCs w:val="21"/>
                      <w:highlight w:val="none"/>
                      <w:shd w:val="clear" w:color="auto" w:fill="auto"/>
                      <w:lang w:val="en-US" w:eastAsia="zh-CN" w:bidi="ar-SA"/>
                    </w:rPr>
                    <w:t>两高</w:t>
                  </w:r>
                  <w:r>
                    <w:rPr>
                      <w:rFonts w:hint="eastAsia" w:ascii="Times New Roman" w:hAnsi="Times New Roman" w:eastAsia="宋体" w:cs="Times New Roman"/>
                      <w:color w:val="auto"/>
                      <w:kern w:val="2"/>
                      <w:sz w:val="21"/>
                      <w:szCs w:val="21"/>
                      <w:highlight w:val="none"/>
                      <w:shd w:val="clear" w:color="auto" w:fill="auto"/>
                      <w:lang w:val="en-US" w:eastAsia="zh-CN" w:bidi="ar-SA"/>
                    </w:rPr>
                    <w:t>”</w:t>
                  </w:r>
                  <w:r>
                    <w:rPr>
                      <w:rFonts w:hint="default" w:ascii="Times New Roman" w:hAnsi="Times New Roman" w:eastAsia="宋体" w:cs="Times New Roman"/>
                      <w:color w:val="auto"/>
                      <w:kern w:val="2"/>
                      <w:sz w:val="21"/>
                      <w:szCs w:val="21"/>
                      <w:highlight w:val="none"/>
                      <w:shd w:val="clear" w:color="auto" w:fill="auto"/>
                      <w:lang w:val="en-US" w:eastAsia="zh-CN" w:bidi="ar-SA"/>
                    </w:rPr>
                    <w:t>项目管理。</w:t>
                  </w:r>
                </w:p>
              </w:tc>
            </w:tr>
          </w:tbl>
          <w:p w14:paraId="5A3E99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根据《山东省</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两高</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项目管理目录》（2025年版）可知，</w:t>
            </w:r>
            <w:r>
              <w:rPr>
                <w:rFonts w:hint="eastAsia"/>
                <w:color w:val="auto"/>
                <w:highlight w:val="none"/>
                <w:lang w:val="en-US" w:eastAsia="zh-CN"/>
              </w:rPr>
              <w:t>本项目不属于文件中“两高”行业。</w:t>
            </w:r>
          </w:p>
          <w:p w14:paraId="212A6C07">
            <w:pPr>
              <w:autoSpaceDE w:val="0"/>
              <w:autoSpaceDN w:val="0"/>
              <w:adjustRightInd w:val="0"/>
              <w:snapToGrid w:val="0"/>
              <w:spacing w:line="360" w:lineRule="auto"/>
              <w:ind w:firstLine="482" w:firstLineChars="20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8</w:t>
            </w:r>
            <w:r>
              <w:rPr>
                <w:rFonts w:hint="default" w:ascii="Times New Roman" w:hAnsi="Times New Roman" w:eastAsia="宋体" w:cs="Times New Roman"/>
                <w:b/>
                <w:bCs/>
                <w:color w:val="auto"/>
                <w:highlight w:val="none"/>
                <w:lang w:val="en-US" w:eastAsia="zh-CN"/>
              </w:rPr>
              <w:t>、</w:t>
            </w:r>
            <w:r>
              <w:rPr>
                <w:rFonts w:hint="eastAsia" w:ascii="Times New Roman" w:hAnsi="Times New Roman" w:eastAsia="宋体" w:cs="Times New Roman"/>
                <w:b/>
                <w:bCs/>
                <w:color w:val="auto"/>
                <w:highlight w:val="none"/>
                <w:lang w:val="en-US" w:eastAsia="zh-CN"/>
              </w:rPr>
              <w:t>项目与《关于进一步加强环保设备设施安全生产工作的通知》安委办明电〔2022〕17号的符合性分析</w:t>
            </w:r>
          </w:p>
          <w:p w14:paraId="6C7AC675">
            <w:pPr>
              <w:pStyle w:val="101"/>
              <w:bidi w:val="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拟建项目与安委办明电〔2022〕17号的符合性分析</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65"/>
              <w:gridCol w:w="1427"/>
              <w:gridCol w:w="800"/>
            </w:tblGrid>
            <w:tr w14:paraId="696D5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314" w:type="dxa"/>
                  <w:tcBorders>
                    <w:tl2br w:val="nil"/>
                    <w:tr2bl w:val="nil"/>
                  </w:tcBorders>
                  <w:noWrap w:val="0"/>
                  <w:vAlign w:val="center"/>
                </w:tcPr>
                <w:p w14:paraId="6F4A4B6C">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Style w:val="88"/>
                      <w:rFonts w:hint="default" w:ascii="Times New Roman" w:hAnsi="Times New Roman" w:eastAsia="宋体" w:cs="Times New Roman"/>
                      <w:b/>
                      <w:bCs/>
                      <w:i w:val="0"/>
                      <w:caps w:val="0"/>
                      <w:color w:val="auto"/>
                      <w:spacing w:val="0"/>
                      <w:w w:val="100"/>
                      <w:kern w:val="2"/>
                      <w:sz w:val="21"/>
                      <w:szCs w:val="21"/>
                      <w:highlight w:val="none"/>
                      <w:lang w:val="en-US" w:eastAsia="zh-CN" w:bidi="ar-SA"/>
                    </w:rPr>
                  </w:pPr>
                  <w:r>
                    <w:rPr>
                      <w:rStyle w:val="88"/>
                      <w:rFonts w:hint="default" w:ascii="Times New Roman" w:hAnsi="Times New Roman" w:eastAsia="宋体" w:cs="Times New Roman"/>
                      <w:b/>
                      <w:bCs/>
                      <w:i w:val="0"/>
                      <w:caps w:val="0"/>
                      <w:color w:val="auto"/>
                      <w:spacing w:val="0"/>
                      <w:w w:val="100"/>
                      <w:kern w:val="2"/>
                      <w:sz w:val="21"/>
                      <w:szCs w:val="21"/>
                      <w:highlight w:val="none"/>
                      <w:lang w:val="en-US" w:eastAsia="zh-CN" w:bidi="ar-SA"/>
                    </w:rPr>
                    <w:t>文件要求</w:t>
                  </w:r>
                </w:p>
              </w:tc>
              <w:tc>
                <w:tcPr>
                  <w:tcW w:w="1413" w:type="dxa"/>
                  <w:tcBorders>
                    <w:tl2br w:val="nil"/>
                    <w:tr2bl w:val="nil"/>
                  </w:tcBorders>
                  <w:noWrap w:val="0"/>
                  <w:vAlign w:val="center"/>
                </w:tcPr>
                <w:p w14:paraId="5B6350DC">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Style w:val="88"/>
                      <w:rFonts w:hint="default" w:ascii="Times New Roman" w:hAnsi="Times New Roman" w:eastAsia="宋体" w:cs="Times New Roman"/>
                      <w:b/>
                      <w:bCs/>
                      <w:i w:val="0"/>
                      <w:caps w:val="0"/>
                      <w:color w:val="auto"/>
                      <w:spacing w:val="0"/>
                      <w:w w:val="100"/>
                      <w:kern w:val="2"/>
                      <w:sz w:val="21"/>
                      <w:szCs w:val="21"/>
                      <w:highlight w:val="none"/>
                      <w:lang w:val="en-US" w:eastAsia="zh-CN" w:bidi="ar-SA"/>
                    </w:rPr>
                  </w:pPr>
                  <w:r>
                    <w:rPr>
                      <w:rStyle w:val="88"/>
                      <w:rFonts w:hint="default" w:ascii="Times New Roman" w:hAnsi="Times New Roman" w:eastAsia="宋体" w:cs="Times New Roman"/>
                      <w:b/>
                      <w:bCs/>
                      <w:i w:val="0"/>
                      <w:caps w:val="0"/>
                      <w:color w:val="auto"/>
                      <w:spacing w:val="0"/>
                      <w:w w:val="100"/>
                      <w:kern w:val="2"/>
                      <w:sz w:val="21"/>
                      <w:szCs w:val="21"/>
                      <w:highlight w:val="none"/>
                      <w:lang w:val="en-US" w:eastAsia="zh-CN" w:bidi="ar-SA"/>
                    </w:rPr>
                    <w:t>本项目情况</w:t>
                  </w:r>
                </w:p>
              </w:tc>
              <w:tc>
                <w:tcPr>
                  <w:tcW w:w="791" w:type="dxa"/>
                  <w:tcBorders>
                    <w:tl2br w:val="nil"/>
                    <w:tr2bl w:val="nil"/>
                  </w:tcBorders>
                  <w:noWrap w:val="0"/>
                  <w:vAlign w:val="center"/>
                </w:tcPr>
                <w:p w14:paraId="70BFE3A7">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Style w:val="88"/>
                      <w:rFonts w:hint="default" w:ascii="Times New Roman" w:hAnsi="Times New Roman" w:eastAsia="宋体" w:cs="Times New Roman"/>
                      <w:b/>
                      <w:bCs/>
                      <w:i w:val="0"/>
                      <w:caps w:val="0"/>
                      <w:color w:val="auto"/>
                      <w:spacing w:val="0"/>
                      <w:w w:val="100"/>
                      <w:kern w:val="2"/>
                      <w:sz w:val="21"/>
                      <w:szCs w:val="21"/>
                      <w:highlight w:val="none"/>
                      <w:lang w:val="en-US" w:eastAsia="zh-CN" w:bidi="ar-SA"/>
                    </w:rPr>
                  </w:pPr>
                  <w:r>
                    <w:rPr>
                      <w:rStyle w:val="88"/>
                      <w:rFonts w:hint="default" w:ascii="Times New Roman" w:hAnsi="Times New Roman" w:eastAsia="宋体" w:cs="Times New Roman"/>
                      <w:b/>
                      <w:bCs/>
                      <w:i w:val="0"/>
                      <w:caps w:val="0"/>
                      <w:color w:val="auto"/>
                      <w:spacing w:val="0"/>
                      <w:w w:val="100"/>
                      <w:kern w:val="2"/>
                      <w:sz w:val="21"/>
                      <w:szCs w:val="21"/>
                      <w:highlight w:val="none"/>
                      <w:lang w:val="en-US" w:eastAsia="zh-CN" w:bidi="ar-SA"/>
                    </w:rPr>
                    <w:t>符合性</w:t>
                  </w:r>
                </w:p>
              </w:tc>
            </w:tr>
            <w:tr w14:paraId="0EDE0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314" w:type="dxa"/>
                  <w:tcBorders>
                    <w:tl2br w:val="nil"/>
                    <w:tr2bl w:val="nil"/>
                  </w:tcBorders>
                  <w:noWrap w:val="0"/>
                  <w:vAlign w:val="center"/>
                </w:tcPr>
                <w:p w14:paraId="0DCCBA0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二、进一步落实部门监管指导责任。各有关部门要按照管行业必须管安全、管业务必须管安全、管生产经营必须管安全 和谁主管谁负责的原则，靠前一步，主动作为，将环保设备设施安全作为行业领域安全工作的重要内容，切实承担起安全监督管理和指导责任。要高度关注新增环保设备设施带来的安全问题，提出推广环保新工艺、新技术、新产品的同时要充分考虑安全因素，及时组织相关标委会制修订相应的标准规范。在制修订涉及环保设备设施工程项目、工艺设计、产品技术、控制技术和运行管理的标准规范时，要提出明确具体的安全要求，采用成熟安全可靠的工艺和技术。要紧盯具有脱硫脱硝、挥发性有机物回收、污水处理、粉尘治理、蓄热式焚烧炉5类重点环保设备设施的企业，指导督促企业按照相关法律法规和技术标准规范要求，开展环保设备设施安全</w:t>
                  </w:r>
                  <w:r>
                    <w:rPr>
                      <w:rFonts w:hint="eastAsia" w:cs="Times New Roman"/>
                      <w:color w:val="auto"/>
                      <w:sz w:val="21"/>
                      <w:szCs w:val="21"/>
                      <w:highlight w:val="none"/>
                      <w:lang w:val="en-US" w:eastAsia="zh-CN"/>
                    </w:rPr>
                    <w:t>风</w:t>
                  </w:r>
                  <w:r>
                    <w:rPr>
                      <w:rFonts w:hint="default" w:ascii="Times New Roman" w:hAnsi="Times New Roman" w:eastAsia="宋体" w:cs="Times New Roman"/>
                      <w:color w:val="auto"/>
                      <w:sz w:val="21"/>
                      <w:szCs w:val="21"/>
                      <w:highlight w:val="none"/>
                      <w:lang w:val="en-US" w:eastAsia="zh-CN"/>
                    </w:rPr>
                    <w:t>险辨识评估和隐患排查治理，落实安全生产各项责任措施。要进一步强化服务意识，既严格执法又热情服务，充分发挥专家作用，及时帮助企业解决环保设备设施安全方面存在的问题和困难</w:t>
                  </w:r>
                  <w:r>
                    <w:rPr>
                      <w:rFonts w:hint="eastAsia" w:cs="Times New Roman"/>
                      <w:color w:val="auto"/>
                      <w:sz w:val="21"/>
                      <w:szCs w:val="21"/>
                      <w:highlight w:val="none"/>
                      <w:lang w:val="en-US" w:eastAsia="zh-CN"/>
                    </w:rPr>
                    <w:t>。</w:t>
                  </w:r>
                </w:p>
              </w:tc>
              <w:tc>
                <w:tcPr>
                  <w:tcW w:w="1413" w:type="dxa"/>
                  <w:vMerge w:val="restart"/>
                  <w:tcBorders>
                    <w:tl2br w:val="nil"/>
                    <w:tr2bl w:val="nil"/>
                  </w:tcBorders>
                  <w:noWrap w:val="0"/>
                  <w:vAlign w:val="center"/>
                </w:tcPr>
                <w:p w14:paraId="2E789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val="0"/>
                      <w:caps w:val="0"/>
                      <w:color w:val="auto"/>
                      <w:spacing w:val="0"/>
                      <w:w w:val="100"/>
                      <w:kern w:val="21"/>
                      <w:sz w:val="21"/>
                      <w:szCs w:val="21"/>
                      <w:highlight w:val="none"/>
                      <w:lang w:val="en-US" w:eastAsia="zh-CN" w:bidi="ar-SA"/>
                    </w:rPr>
                  </w:pPr>
                  <w:r>
                    <w:rPr>
                      <w:rFonts w:hint="eastAsia" w:cs="Times New Roman"/>
                      <w:b w:val="0"/>
                      <w:bCs w:val="0"/>
                      <w:i w:val="0"/>
                      <w:caps w:val="0"/>
                      <w:color w:val="auto"/>
                      <w:spacing w:val="0"/>
                      <w:w w:val="100"/>
                      <w:kern w:val="21"/>
                      <w:sz w:val="21"/>
                      <w:szCs w:val="21"/>
                      <w:highlight w:val="none"/>
                      <w:lang w:val="en-US" w:eastAsia="zh-CN" w:bidi="ar-SA"/>
                    </w:rPr>
                    <w:t>项目废气净化技术为</w:t>
                  </w:r>
                  <w:r>
                    <w:rPr>
                      <w:rFonts w:hint="default" w:ascii="Times New Roman" w:hAnsi="Times New Roman" w:eastAsia="宋体" w:cs="Times New Roman"/>
                      <w:color w:val="auto"/>
                      <w:sz w:val="21"/>
                      <w:szCs w:val="21"/>
                      <w:highlight w:val="none"/>
                      <w:lang w:val="en-US" w:eastAsia="zh-CN"/>
                    </w:rPr>
                    <w:t>成熟安全可靠的工艺和技术</w:t>
                  </w:r>
                  <w:r>
                    <w:rPr>
                      <w:rFonts w:hint="eastAsia" w:cs="Times New Roman"/>
                      <w:color w:val="auto"/>
                      <w:sz w:val="21"/>
                      <w:szCs w:val="21"/>
                      <w:highlight w:val="none"/>
                      <w:lang w:val="en-US" w:eastAsia="zh-CN"/>
                    </w:rPr>
                    <w:t>且</w:t>
                  </w:r>
                  <w:r>
                    <w:rPr>
                      <w:rFonts w:hint="eastAsia" w:cs="Times New Roman"/>
                      <w:b w:val="0"/>
                      <w:bCs w:val="0"/>
                      <w:i w:val="0"/>
                      <w:caps w:val="0"/>
                      <w:color w:val="auto"/>
                      <w:spacing w:val="0"/>
                      <w:w w:val="100"/>
                      <w:kern w:val="21"/>
                      <w:sz w:val="21"/>
                      <w:szCs w:val="21"/>
                      <w:highlight w:val="none"/>
                      <w:lang w:val="en-US" w:eastAsia="zh-CN" w:bidi="ar-SA"/>
                    </w:rPr>
                    <w:t>项目环保设施已纳入工程设计，</w:t>
                  </w:r>
                  <w:r>
                    <w:rPr>
                      <w:rFonts w:hint="default"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将严格落实</w:t>
                  </w:r>
                  <w:r>
                    <w:rPr>
                      <w:rFonts w:hint="default" w:ascii="Times New Roman" w:hAnsi="Times New Roman" w:eastAsia="宋体" w:cs="Times New Roman"/>
                      <w:color w:val="auto"/>
                      <w:sz w:val="21"/>
                      <w:szCs w:val="21"/>
                      <w:highlight w:val="none"/>
                      <w:lang w:val="en-US" w:eastAsia="zh-CN"/>
                    </w:rPr>
                    <w:t>环保和安全三同时有关要求，委托有资质的设计单位正规设计</w:t>
                  </w:r>
                  <w:r>
                    <w:rPr>
                      <w:rFonts w:hint="eastAsia" w:cs="Times New Roman"/>
                      <w:color w:val="auto"/>
                      <w:sz w:val="21"/>
                      <w:szCs w:val="21"/>
                      <w:highlight w:val="none"/>
                      <w:lang w:val="en-US" w:eastAsia="zh-CN"/>
                    </w:rPr>
                    <w:t>，</w:t>
                  </w:r>
                  <w:r>
                    <w:rPr>
                      <w:rFonts w:hint="eastAsia" w:cs="Times New Roman"/>
                      <w:b w:val="0"/>
                      <w:bCs w:val="0"/>
                      <w:i w:val="0"/>
                      <w:caps w:val="0"/>
                      <w:color w:val="auto"/>
                      <w:spacing w:val="0"/>
                      <w:w w:val="100"/>
                      <w:kern w:val="21"/>
                      <w:sz w:val="21"/>
                      <w:szCs w:val="21"/>
                      <w:highlight w:val="none"/>
                      <w:lang w:val="en-US" w:eastAsia="zh-CN" w:bidi="ar-SA"/>
                    </w:rPr>
                    <w:t>项目投产后将设置专人</w:t>
                  </w:r>
                  <w:r>
                    <w:rPr>
                      <w:rFonts w:hint="default" w:ascii="Times New Roman" w:hAnsi="Times New Roman" w:eastAsia="宋体" w:cs="Times New Roman"/>
                      <w:color w:val="auto"/>
                      <w:sz w:val="21"/>
                      <w:szCs w:val="21"/>
                      <w:highlight w:val="none"/>
                      <w:lang w:val="en-US" w:eastAsia="zh-CN"/>
                    </w:rPr>
                    <w:t>开展环保设备设施安全</w:t>
                  </w:r>
                  <w:r>
                    <w:rPr>
                      <w:rFonts w:hint="eastAsia" w:cs="Times New Roman"/>
                      <w:color w:val="auto"/>
                      <w:sz w:val="21"/>
                      <w:szCs w:val="21"/>
                      <w:highlight w:val="none"/>
                      <w:lang w:val="en-US" w:eastAsia="zh-CN"/>
                    </w:rPr>
                    <w:t>风</w:t>
                  </w:r>
                  <w:r>
                    <w:rPr>
                      <w:rFonts w:hint="default" w:ascii="Times New Roman" w:hAnsi="Times New Roman" w:eastAsia="宋体" w:cs="Times New Roman"/>
                      <w:color w:val="auto"/>
                      <w:sz w:val="21"/>
                      <w:szCs w:val="21"/>
                      <w:highlight w:val="none"/>
                      <w:lang w:val="en-US" w:eastAsia="zh-CN"/>
                    </w:rPr>
                    <w:t>险隐患排查</w:t>
                  </w:r>
                  <w:r>
                    <w:rPr>
                      <w:rFonts w:hint="eastAsia" w:cs="Times New Roman"/>
                      <w:color w:val="auto"/>
                      <w:sz w:val="21"/>
                      <w:szCs w:val="21"/>
                      <w:highlight w:val="none"/>
                      <w:lang w:val="en-US" w:eastAsia="zh-CN"/>
                    </w:rPr>
                    <w:t>，定期对</w:t>
                  </w:r>
                  <w:r>
                    <w:rPr>
                      <w:rFonts w:hint="default" w:ascii="Times New Roman" w:hAnsi="Times New Roman" w:eastAsia="宋体" w:cs="Times New Roman"/>
                      <w:color w:val="auto"/>
                      <w:sz w:val="21"/>
                      <w:szCs w:val="21"/>
                      <w:highlight w:val="none"/>
                      <w:lang w:val="en-US" w:eastAsia="zh-CN"/>
                    </w:rPr>
                    <w:t>环保设备设施相关岗位人员进行操作规程、风险管控、应急处置、典型事故警示等安全培训教育</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建立隐患整改台账，明确整改责任人、措施、资金、时限和应急救援预案</w:t>
                  </w:r>
                </w:p>
              </w:tc>
              <w:tc>
                <w:tcPr>
                  <w:tcW w:w="791" w:type="dxa"/>
                  <w:tcBorders>
                    <w:tl2br w:val="nil"/>
                    <w:tr2bl w:val="nil"/>
                  </w:tcBorders>
                  <w:noWrap w:val="0"/>
                  <w:vAlign w:val="center"/>
                </w:tcPr>
                <w:p w14:paraId="358C6ABB">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Fonts w:hint="default" w:ascii="Times New Roman" w:hAnsi="Times New Roman" w:eastAsia="宋体" w:cs="Times New Roman"/>
                      <w:b w:val="0"/>
                      <w:bCs w:val="0"/>
                      <w:i w:val="0"/>
                      <w:caps w:val="0"/>
                      <w:color w:val="auto"/>
                      <w:spacing w:val="0"/>
                      <w:w w:val="100"/>
                      <w:kern w:val="21"/>
                      <w:sz w:val="21"/>
                      <w:szCs w:val="21"/>
                      <w:highlight w:val="none"/>
                      <w:lang w:val="en-US" w:eastAsia="zh-CN" w:bidi="ar-SA"/>
                    </w:rPr>
                  </w:pPr>
                  <w:r>
                    <w:rPr>
                      <w:rFonts w:hint="default" w:ascii="Times New Roman" w:hAnsi="Times New Roman" w:eastAsia="宋体" w:cs="Times New Roman"/>
                      <w:b w:val="0"/>
                      <w:bCs w:val="0"/>
                      <w:i w:val="0"/>
                      <w:caps w:val="0"/>
                      <w:color w:val="auto"/>
                      <w:spacing w:val="0"/>
                      <w:w w:val="100"/>
                      <w:kern w:val="21"/>
                      <w:sz w:val="21"/>
                      <w:szCs w:val="21"/>
                      <w:highlight w:val="none"/>
                      <w:lang w:val="en-US" w:eastAsia="zh-CN" w:bidi="ar-SA"/>
                    </w:rPr>
                    <w:t>符合</w:t>
                  </w:r>
                </w:p>
                <w:p w14:paraId="5C7B2403">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Fonts w:hint="default" w:ascii="Times New Roman" w:hAnsi="Times New Roman" w:eastAsia="宋体" w:cs="Times New Roman"/>
                      <w:b w:val="0"/>
                      <w:bCs w:val="0"/>
                      <w:i w:val="0"/>
                      <w:caps w:val="0"/>
                      <w:color w:val="auto"/>
                      <w:spacing w:val="0"/>
                      <w:w w:val="100"/>
                      <w:kern w:val="21"/>
                      <w:sz w:val="21"/>
                      <w:szCs w:val="21"/>
                      <w:highlight w:val="none"/>
                      <w:lang w:val="en-US" w:eastAsia="zh-CN" w:bidi="ar-SA"/>
                    </w:rPr>
                  </w:pPr>
                </w:p>
              </w:tc>
            </w:tr>
            <w:tr w14:paraId="0F40E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314" w:type="dxa"/>
                  <w:tcBorders>
                    <w:tl2br w:val="nil"/>
                    <w:tr2bl w:val="nil"/>
                  </w:tcBorders>
                  <w:noWrap w:val="0"/>
                  <w:vAlign w:val="center"/>
                </w:tcPr>
                <w:p w14:paraId="6A409FA9">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四、进一步落实企业主体责任。推动企业主要负责人严格履行第一责任人责任，将环保设备设施安全作为企业安全管理的重要组成部分，全面负责落实本单位的环保设备设施安全生产工作。严格落实涉环保设备设施新、改、扩建项目环保和安全三同时有关要求，委托有资质的设计单位进行正规设计，在选用污染防治技术时要充分考虑安全因素；在环保设备设施改造中必须依法开展安全风险评估，按要求设置安全监测监控系统和联锁保护装置，做好安全防范。对涉环保设备设施相关岗位人员进行操作规程、风险管控、应急处置、典型事故警示等专项安全培训教育。开展环保设备设施安全风险辨识评估，系统排查隐患，依法建立隐患整改台账，明确整改责任人、措施、资金、时限和应急救援预案，及时</w:t>
                  </w:r>
                </w:p>
                <w:p w14:paraId="67100D23">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消除隐患。认真落实相关技术标准规范，严格执行吊装、动火、高处等危险作业审批制度，加强有限空间、检维修作业安全管理，采取有效隔离措施，实施现场安全监护和科学施救。对受委托开展环保设备设施建设、运营和检维修第三方的安全生产工作进行统一协调、管理，定期进行安全检查，发现安全问题的，及时督促整改，不得一包了之，不管不问</w:t>
                  </w:r>
                  <w:r>
                    <w:rPr>
                      <w:rFonts w:hint="eastAsia" w:cs="Times New Roman"/>
                      <w:color w:val="auto"/>
                      <w:sz w:val="21"/>
                      <w:szCs w:val="21"/>
                      <w:highlight w:val="none"/>
                      <w:lang w:val="en-US" w:eastAsia="zh-CN"/>
                    </w:rPr>
                    <w:t>。</w:t>
                  </w:r>
                </w:p>
              </w:tc>
              <w:tc>
                <w:tcPr>
                  <w:tcW w:w="1413" w:type="dxa"/>
                  <w:vMerge w:val="continue"/>
                  <w:tcBorders>
                    <w:tl2br w:val="nil"/>
                    <w:tr2bl w:val="nil"/>
                  </w:tcBorders>
                  <w:noWrap w:val="0"/>
                  <w:vAlign w:val="center"/>
                </w:tcPr>
                <w:p w14:paraId="4E0EE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val="0"/>
                      <w:caps w:val="0"/>
                      <w:color w:val="auto"/>
                      <w:spacing w:val="0"/>
                      <w:w w:val="100"/>
                      <w:kern w:val="21"/>
                      <w:sz w:val="21"/>
                      <w:szCs w:val="21"/>
                      <w:highlight w:val="none"/>
                      <w:lang w:val="en-US" w:eastAsia="zh-CN" w:bidi="ar-SA"/>
                    </w:rPr>
                  </w:pPr>
                </w:p>
              </w:tc>
              <w:tc>
                <w:tcPr>
                  <w:tcW w:w="791" w:type="dxa"/>
                  <w:tcBorders>
                    <w:tl2br w:val="nil"/>
                    <w:tr2bl w:val="nil"/>
                  </w:tcBorders>
                  <w:noWrap w:val="0"/>
                  <w:vAlign w:val="center"/>
                </w:tcPr>
                <w:p w14:paraId="7250811D">
                  <w:pPr>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Fonts w:hint="default" w:ascii="Times New Roman" w:hAnsi="Times New Roman" w:eastAsia="宋体" w:cs="Times New Roman"/>
                      <w:color w:val="auto"/>
                      <w:sz w:val="21"/>
                      <w:szCs w:val="21"/>
                      <w:highlight w:val="none"/>
                    </w:rPr>
                  </w:pPr>
                </w:p>
                <w:p w14:paraId="4D1F388B">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Fonts w:hint="default" w:ascii="Times New Roman" w:hAnsi="Times New Roman" w:eastAsia="宋体" w:cs="Times New Roman"/>
                      <w:color w:val="auto"/>
                      <w:sz w:val="21"/>
                      <w:szCs w:val="21"/>
                      <w:highlight w:val="none"/>
                    </w:rPr>
                  </w:pPr>
                </w:p>
                <w:p w14:paraId="0DEFBBB9">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i w:val="0"/>
                      <w:caps w:val="0"/>
                      <w:color w:val="auto"/>
                      <w:spacing w:val="0"/>
                      <w:w w:val="100"/>
                      <w:kern w:val="21"/>
                      <w:sz w:val="21"/>
                      <w:szCs w:val="21"/>
                      <w:highlight w:val="none"/>
                      <w:lang w:val="en-US" w:eastAsia="zh-CN" w:bidi="ar-SA"/>
                    </w:rPr>
                    <w:t>符合</w:t>
                  </w:r>
                </w:p>
              </w:tc>
            </w:tr>
          </w:tbl>
          <w:p w14:paraId="43C6CB8C">
            <w:pPr>
              <w:autoSpaceDE w:val="0"/>
              <w:autoSpaceDN w:val="0"/>
              <w:adjustRightInd w:val="0"/>
              <w:snapToGrid w:val="0"/>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由上表可知，本项目符合</w:t>
            </w:r>
            <w:r>
              <w:rPr>
                <w:rFonts w:hint="eastAsia" w:ascii="Times New Roman" w:hAnsi="Times New Roman" w:eastAsia="宋体" w:cs="Times New Roman"/>
                <w:color w:val="auto"/>
                <w:highlight w:val="none"/>
                <w:lang w:val="en-US" w:eastAsia="zh-CN"/>
              </w:rPr>
              <w:t>《国务院安委会办公室生态环境部应急管理部关于进一步加强环保设备设施安全生产工作的通知》安委办明电〔2022〕17号的</w:t>
            </w:r>
            <w:r>
              <w:rPr>
                <w:rFonts w:hint="default" w:ascii="Times New Roman" w:hAnsi="Times New Roman" w:eastAsia="宋体" w:cs="Times New Roman"/>
                <w:color w:val="auto"/>
                <w:highlight w:val="none"/>
              </w:rPr>
              <w:t>要求。</w:t>
            </w:r>
          </w:p>
          <w:p w14:paraId="1AA26E0C">
            <w:pPr>
              <w:pStyle w:val="1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color w:val="auto"/>
                <w:sz w:val="24"/>
                <w:highlight w:val="none"/>
                <w:lang w:val="en-US" w:eastAsia="zh-CN"/>
              </w:rPr>
            </w:pPr>
          </w:p>
          <w:p w14:paraId="7492BA90">
            <w:pPr>
              <w:pStyle w:val="1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9、</w:t>
            </w:r>
            <w:r>
              <w:rPr>
                <w:rFonts w:hint="default" w:cs="Times New Roman"/>
                <w:b/>
                <w:bCs/>
                <w:color w:val="auto"/>
                <w:sz w:val="24"/>
                <w:highlight w:val="none"/>
                <w:lang w:val="en-US" w:eastAsia="zh-CN"/>
              </w:rPr>
              <w:t>与排污许可制衔接相关要求</w:t>
            </w:r>
          </w:p>
          <w:p w14:paraId="6EC1D8B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根据《关于做好环境影响评价制度与排污许可制衔接相关工作的通知》（环办环评[2017]84号），拟建项目环境影响评价与排污许可制有机衔接相关内容见表</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w:t>
            </w:r>
          </w:p>
          <w:p w14:paraId="687227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拟建项目环境影响评价与排污许可制衔接相关内容</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9"/>
              <w:gridCol w:w="3821"/>
              <w:gridCol w:w="2599"/>
              <w:gridCol w:w="713"/>
            </w:tblGrid>
            <w:tr w14:paraId="241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9" w:type="dxa"/>
                  <w:tcBorders>
                    <w:tl2br w:val="nil"/>
                    <w:tr2bl w:val="nil"/>
                  </w:tcBorders>
                  <w:noWrap w:val="0"/>
                  <w:vAlign w:val="center"/>
                </w:tcPr>
                <w:p w14:paraId="6880F653">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3821" w:type="dxa"/>
                  <w:tcBorders>
                    <w:tl2br w:val="nil"/>
                    <w:tr2bl w:val="nil"/>
                  </w:tcBorders>
                  <w:noWrap w:val="0"/>
                  <w:vAlign w:val="center"/>
                </w:tcPr>
                <w:p w14:paraId="0E552792">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主要要求</w:t>
                  </w:r>
                </w:p>
              </w:tc>
              <w:tc>
                <w:tcPr>
                  <w:tcW w:w="2599" w:type="dxa"/>
                  <w:tcBorders>
                    <w:tl2br w:val="nil"/>
                    <w:tr2bl w:val="nil"/>
                  </w:tcBorders>
                  <w:noWrap w:val="0"/>
                  <w:vAlign w:val="center"/>
                </w:tcPr>
                <w:p w14:paraId="55F944B1">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拟建项目情况</w:t>
                  </w:r>
                </w:p>
              </w:tc>
              <w:tc>
                <w:tcPr>
                  <w:tcW w:w="713" w:type="dxa"/>
                  <w:tcBorders>
                    <w:tl2br w:val="nil"/>
                    <w:tr2bl w:val="nil"/>
                  </w:tcBorders>
                  <w:noWrap w:val="0"/>
                  <w:vAlign w:val="center"/>
                </w:tcPr>
                <w:p w14:paraId="3CCF2554">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14:paraId="10FD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9" w:type="dxa"/>
                  <w:tcBorders>
                    <w:tl2br w:val="nil"/>
                    <w:tr2bl w:val="nil"/>
                  </w:tcBorders>
                  <w:noWrap w:val="0"/>
                  <w:vAlign w:val="center"/>
                </w:tcPr>
                <w:p w14:paraId="4683B2A8">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821" w:type="dxa"/>
                  <w:tcBorders>
                    <w:tl2br w:val="nil"/>
                    <w:tr2bl w:val="nil"/>
                  </w:tcBorders>
                  <w:noWrap w:val="0"/>
                  <w:vAlign w:val="center"/>
                </w:tcPr>
                <w:p w14:paraId="4B146E0A">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环境影响评价制度是建设项目的环境准入门槛，是申请排污许可证的前提和重要依据。</w:t>
                  </w:r>
                </w:p>
              </w:tc>
              <w:tc>
                <w:tcPr>
                  <w:tcW w:w="2599" w:type="dxa"/>
                  <w:tcBorders>
                    <w:tl2br w:val="nil"/>
                    <w:tr2bl w:val="nil"/>
                  </w:tcBorders>
                  <w:noWrap w:val="0"/>
                  <w:vAlign w:val="center"/>
                </w:tcPr>
                <w:p w14:paraId="4080D142">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本次评价为落实环境影响评价制度，为项目落实排污许可证提供前提和重要依据</w:t>
                  </w:r>
                </w:p>
              </w:tc>
              <w:tc>
                <w:tcPr>
                  <w:tcW w:w="713" w:type="dxa"/>
                  <w:tcBorders>
                    <w:tl2br w:val="nil"/>
                    <w:tr2bl w:val="nil"/>
                  </w:tcBorders>
                  <w:noWrap w:val="0"/>
                  <w:vAlign w:val="center"/>
                </w:tcPr>
                <w:p w14:paraId="4777C60E">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485B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459" w:type="dxa"/>
                  <w:tcBorders>
                    <w:tl2br w:val="nil"/>
                    <w:tr2bl w:val="nil"/>
                  </w:tcBorders>
                  <w:noWrap w:val="0"/>
                  <w:vAlign w:val="center"/>
                </w:tcPr>
                <w:p w14:paraId="29A4706A">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lang w:val="en-US"/>
                    </w:rPr>
                    <mc:AlternateContent>
                      <mc:Choice Requires="wps">
                        <w:drawing>
                          <wp:anchor distT="0" distB="0" distL="114300" distR="114300" simplePos="0" relativeHeight="251662336" behindDoc="1" locked="0" layoutInCell="1" allowOverlap="1">
                            <wp:simplePos x="0" y="0"/>
                            <wp:positionH relativeFrom="column">
                              <wp:posOffset>-763905</wp:posOffset>
                            </wp:positionH>
                            <wp:positionV relativeFrom="paragraph">
                              <wp:posOffset>421005</wp:posOffset>
                            </wp:positionV>
                            <wp:extent cx="655955" cy="1245870"/>
                            <wp:effectExtent l="0" t="0" r="0" b="0"/>
                            <wp:wrapNone/>
                            <wp:docPr id="38" name="文本框 38"/>
                            <wp:cNvGraphicFramePr/>
                            <a:graphic xmlns:a="http://schemas.openxmlformats.org/drawingml/2006/main">
                              <a:graphicData uri="http://schemas.microsoft.com/office/word/2010/wordprocessingShape">
                                <wps:wsp>
                                  <wps:cNvSpPr txBox="1"/>
                                  <wps:spPr>
                                    <a:xfrm>
                                      <a:off x="542290" y="6738620"/>
                                      <a:ext cx="501650" cy="2042795"/>
                                    </a:xfrm>
                                    <a:prstGeom prst="rect">
                                      <a:avLst/>
                                    </a:prstGeom>
                                    <a:noFill/>
                                    <a:ln>
                                      <a:noFill/>
                                    </a:ln>
                                    <a:effectLst/>
                                  </wps:spPr>
                                  <wps:txbx>
                                    <w:txbxContent>
                                      <w:p w14:paraId="7FA9409D">
                                        <w:pPr>
                                          <w:jc w:val="center"/>
                                          <w:rPr>
                                            <w:rFonts w:ascii="Times New Roman" w:hAnsi="Times New Roman"/>
                                            <w:b/>
                                            <w:bCs/>
                                            <w:sz w:val="24"/>
                                          </w:rPr>
                                        </w:pPr>
                                        <w:r>
                                          <w:rPr>
                                            <w:rFonts w:hint="eastAsia" w:ascii="Times New Roman" w:hAnsi="Times New Roman"/>
                                            <w:b/>
                                            <w:bCs/>
                                            <w:sz w:val="24"/>
                                          </w:rPr>
                                          <w:t>其他符合性分析</w:t>
                                        </w:r>
                                      </w:p>
                                    </w:txbxContent>
                                  </wps:txbx>
                                  <wps:bodyPr vert="horz" wrap="square" anchor="t" anchorCtr="0" upright="1"/>
                                </wps:wsp>
                              </a:graphicData>
                            </a:graphic>
                          </wp:anchor>
                        </w:drawing>
                      </mc:Choice>
                      <mc:Fallback>
                        <w:pict>
                          <v:shape id="_x0000_s1026" o:spid="_x0000_s1026" o:spt="202" type="#_x0000_t202" style="position:absolute;left:0pt;margin-left:-60.15pt;margin-top:33.15pt;height:98.1pt;width:51.65pt;z-index:-251654144;mso-width-relative:page;mso-height-relative:page;" filled="f" stroked="f" coordsize="21600,21600" o:gfxdata="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iENLzYAAAACwEAAA8AAAAA&#10;AAAAAQAgAAAAIgAAAGRycy9kb3ducmV2LnhtbFBLAQIUABQAAAAIAIdO4kCKmOKm2wEAAJwDAAAO&#10;AAAAAAAAAAEAIAAAACcBAABkcnMvZTJvRG9jLnhtbFBLBQYAAAAABgAGAFkBAAB0BQAAAAA=&#10;">
                            <v:fill on="f" focussize="0,0"/>
                            <v:stroke on="f"/>
                            <v:imagedata o:title=""/>
                            <o:lock v:ext="edit" aspectratio="f"/>
                            <v:textbox>
                              <w:txbxContent>
                                <w:p w14:paraId="7FA9409D">
                                  <w:pPr>
                                    <w:jc w:val="center"/>
                                    <w:rPr>
                                      <w:rFonts w:ascii="Times New Roman" w:hAnsi="Times New Roman"/>
                                      <w:b/>
                                      <w:bCs/>
                                      <w:sz w:val="24"/>
                                    </w:rPr>
                                  </w:pPr>
                                  <w:r>
                                    <w:rPr>
                                      <w:rFonts w:hint="eastAsia" w:ascii="Times New Roman" w:hAnsi="Times New Roman"/>
                                      <w:b/>
                                      <w:bCs/>
                                      <w:sz w:val="24"/>
                                    </w:rPr>
                                    <w:t>其他符合性分析</w:t>
                                  </w:r>
                                </w:p>
                              </w:txbxContent>
                            </v:textbox>
                          </v:shape>
                        </w:pict>
                      </mc:Fallback>
                    </mc:AlternateContent>
                  </w:r>
                  <w:r>
                    <w:rPr>
                      <w:rFonts w:hint="default" w:ascii="Times New Roman" w:hAnsi="Times New Roman" w:eastAsia="宋体" w:cs="Times New Roman"/>
                      <w:color w:val="auto"/>
                      <w:sz w:val="21"/>
                      <w:szCs w:val="21"/>
                      <w:highlight w:val="none"/>
                    </w:rPr>
                    <w:t>2</w:t>
                  </w:r>
                </w:p>
              </w:tc>
              <w:tc>
                <w:tcPr>
                  <w:tcW w:w="3821" w:type="dxa"/>
                  <w:tcBorders>
                    <w:tl2br w:val="nil"/>
                    <w:tr2bl w:val="nil"/>
                  </w:tcBorders>
                  <w:noWrap w:val="0"/>
                  <w:vAlign w:val="center"/>
                </w:tcPr>
                <w:p w14:paraId="651FB989">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纳入排污许可管理的建设项目，可能造成重大环境影响、应当编制环境影响报告书的，原则上实行排污许可重点管理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可能造成轻度环境影响、应当编制环境影响报告表的，原则上实行排污许可简化管理。</w:t>
                  </w:r>
                </w:p>
              </w:tc>
              <w:tc>
                <w:tcPr>
                  <w:tcW w:w="2599" w:type="dxa"/>
                  <w:tcBorders>
                    <w:tl2br w:val="nil"/>
                    <w:tr2bl w:val="nil"/>
                  </w:tcBorders>
                  <w:noWrap w:val="0"/>
                  <w:vAlign w:val="center"/>
                </w:tcPr>
                <w:p w14:paraId="5D169139">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根据《固定污染源排污许可分类管理名录》（2019年），本项目</w:t>
                  </w:r>
                  <w:r>
                    <w:rPr>
                      <w:rFonts w:hint="default" w:ascii="Times New Roman" w:hAnsi="Times New Roman" w:eastAsia="宋体" w:cs="Times New Roman"/>
                      <w:color w:val="auto"/>
                      <w:sz w:val="21"/>
                      <w:szCs w:val="21"/>
                      <w:highlight w:val="none"/>
                    </w:rPr>
                    <w:t>实行排污许可</w:t>
                  </w:r>
                  <w:r>
                    <w:rPr>
                      <w:rFonts w:hint="eastAsia" w:ascii="Times New Roman" w:hAnsi="Times New Roman" w:eastAsia="宋体" w:cs="Times New Roman"/>
                      <w:color w:val="auto"/>
                      <w:sz w:val="21"/>
                      <w:szCs w:val="21"/>
                      <w:highlight w:val="none"/>
                      <w:lang w:val="en-US" w:eastAsia="zh-CN"/>
                    </w:rPr>
                    <w:t>简化</w:t>
                  </w:r>
                  <w:r>
                    <w:rPr>
                      <w:rFonts w:hint="default" w:ascii="Times New Roman" w:hAnsi="Times New Roman" w:eastAsia="宋体" w:cs="Times New Roman"/>
                      <w:color w:val="auto"/>
                      <w:sz w:val="21"/>
                      <w:szCs w:val="21"/>
                      <w:highlight w:val="none"/>
                      <w:lang w:val="en-US" w:eastAsia="zh-CN"/>
                    </w:rPr>
                    <w:t>管理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企业应在完成环评审批后，进行排污许可</w:t>
                  </w:r>
                  <w:r>
                    <w:rPr>
                      <w:rFonts w:hint="eastAsia" w:ascii="Times New Roman" w:hAnsi="Times New Roman" w:eastAsia="宋体" w:cs="Times New Roman"/>
                      <w:bCs/>
                      <w:color w:val="auto"/>
                      <w:sz w:val="21"/>
                      <w:szCs w:val="21"/>
                      <w:highlight w:val="none"/>
                      <w:lang w:val="en-US" w:eastAsia="zh-CN"/>
                    </w:rPr>
                    <w:t>简化管理</w:t>
                  </w:r>
                </w:p>
              </w:tc>
              <w:tc>
                <w:tcPr>
                  <w:tcW w:w="713" w:type="dxa"/>
                  <w:tcBorders>
                    <w:tl2br w:val="nil"/>
                    <w:tr2bl w:val="nil"/>
                  </w:tcBorders>
                  <w:noWrap w:val="0"/>
                  <w:vAlign w:val="center"/>
                </w:tcPr>
                <w:p w14:paraId="2A2CE837">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054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79" w:hRule="atLeast"/>
                <w:jc w:val="center"/>
              </w:trPr>
              <w:tc>
                <w:tcPr>
                  <w:tcW w:w="459" w:type="dxa"/>
                  <w:tcBorders>
                    <w:tl2br w:val="nil"/>
                    <w:tr2bl w:val="nil"/>
                  </w:tcBorders>
                  <w:noWrap w:val="0"/>
                  <w:vAlign w:val="center"/>
                </w:tcPr>
                <w:p w14:paraId="24A6D428">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821" w:type="dxa"/>
                  <w:tcBorders>
                    <w:tl2br w:val="nil"/>
                    <w:tr2bl w:val="nil"/>
                  </w:tcBorders>
                  <w:noWrap w:val="0"/>
                  <w:vAlign w:val="center"/>
                </w:tcPr>
                <w:p w14:paraId="4A31C35D">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结合排污许可证申请与核发技术规范，核定建设项目的产排污环节、污染物种类及污染防治设施和措施等基本信息；依据国家或地方污染物排放标准、环境质量标准和总量控制要求等管理规定，按照污染源源强核算技术指南、环境影响评价要素导则等技术文件，严格核定排放口数量、位置以及每个排放口的污染物种类、允许排放浓度和允许排放量、排放方式、排放去向、自行监测计划等与污染物排放相关的主要内容</w:t>
                  </w:r>
                </w:p>
              </w:tc>
              <w:tc>
                <w:tcPr>
                  <w:tcW w:w="2599" w:type="dxa"/>
                  <w:tcBorders>
                    <w:tl2br w:val="nil"/>
                    <w:tr2bl w:val="nil"/>
                  </w:tcBorders>
                  <w:noWrap w:val="0"/>
                  <w:vAlign w:val="center"/>
                </w:tcPr>
                <w:p w14:paraId="79891D32">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告中明确产排污环节、污染物种类及污染防治设施和措施等基本信息；明确了排放口数量、位置以及每个排放口的污染物种类、允许排放浓度和允许排放量、排放方式、排放去向、自行监测计划等与污染物排放相关的内容</w:t>
                  </w:r>
                </w:p>
              </w:tc>
              <w:tc>
                <w:tcPr>
                  <w:tcW w:w="713" w:type="dxa"/>
                  <w:tcBorders>
                    <w:tl2br w:val="nil"/>
                    <w:tr2bl w:val="nil"/>
                  </w:tcBorders>
                  <w:noWrap w:val="0"/>
                  <w:vAlign w:val="center"/>
                </w:tcPr>
                <w:p w14:paraId="301065A2">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7B77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9" w:type="dxa"/>
                  <w:tcBorders>
                    <w:tl2br w:val="nil"/>
                    <w:tr2bl w:val="nil"/>
                  </w:tcBorders>
                  <w:noWrap w:val="0"/>
                  <w:vAlign w:val="center"/>
                </w:tcPr>
                <w:p w14:paraId="01005FF8">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821" w:type="dxa"/>
                  <w:tcBorders>
                    <w:tl2br w:val="nil"/>
                    <w:tr2bl w:val="nil"/>
                  </w:tcBorders>
                  <w:noWrap w:val="0"/>
                  <w:vAlign w:val="center"/>
                </w:tcPr>
                <w:p w14:paraId="2BAE5832">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分期建设的项目，环境影响报告书（表）以及审批文件应当列明分期建设内容</w:t>
                  </w:r>
                </w:p>
              </w:tc>
              <w:tc>
                <w:tcPr>
                  <w:tcW w:w="2599" w:type="dxa"/>
                  <w:tcBorders>
                    <w:tl2br w:val="nil"/>
                    <w:tr2bl w:val="nil"/>
                  </w:tcBorders>
                  <w:noWrap w:val="0"/>
                  <w:vAlign w:val="center"/>
                </w:tcPr>
                <w:p w14:paraId="6EDC2654">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项目为</w:t>
                  </w:r>
                  <w:r>
                    <w:rPr>
                      <w:rFonts w:hint="eastAsia" w:ascii="Times New Roman" w:hAnsi="Times New Roman" w:eastAsia="宋体" w:cs="Times New Roman"/>
                      <w:color w:val="auto"/>
                      <w:sz w:val="21"/>
                      <w:szCs w:val="21"/>
                      <w:highlight w:val="none"/>
                      <w:lang w:val="en-US" w:eastAsia="zh-CN"/>
                    </w:rPr>
                    <w:t>不分期建设</w:t>
                  </w:r>
                </w:p>
              </w:tc>
              <w:tc>
                <w:tcPr>
                  <w:tcW w:w="713" w:type="dxa"/>
                  <w:tcBorders>
                    <w:tl2br w:val="nil"/>
                    <w:tr2bl w:val="nil"/>
                  </w:tcBorders>
                  <w:noWrap w:val="0"/>
                  <w:vAlign w:val="center"/>
                </w:tcPr>
                <w:p w14:paraId="48F19D2D">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53EB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9" w:type="dxa"/>
                  <w:tcBorders>
                    <w:tl2br w:val="nil"/>
                    <w:tr2bl w:val="nil"/>
                  </w:tcBorders>
                  <w:noWrap w:val="0"/>
                  <w:vAlign w:val="center"/>
                </w:tcPr>
                <w:p w14:paraId="7681A79A">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821" w:type="dxa"/>
                  <w:tcBorders>
                    <w:tl2br w:val="nil"/>
                    <w:tr2bl w:val="nil"/>
                  </w:tcBorders>
                  <w:noWrap w:val="0"/>
                  <w:vAlign w:val="center"/>
                </w:tcPr>
                <w:p w14:paraId="6921E1A5">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改扩建项目的环境影响评价，应当将排污许可证执行情况作为现有工程回顾评价的主要依据</w:t>
                  </w:r>
                </w:p>
              </w:tc>
              <w:tc>
                <w:tcPr>
                  <w:tcW w:w="2599" w:type="dxa"/>
                  <w:tcBorders>
                    <w:tl2br w:val="nil"/>
                    <w:tr2bl w:val="nil"/>
                  </w:tcBorders>
                  <w:noWrap w:val="0"/>
                  <w:vAlign w:val="center"/>
                </w:tcPr>
                <w:p w14:paraId="5AC02F49">
                  <w:pPr>
                    <w:keepNext w:val="0"/>
                    <w:keepLines w:val="0"/>
                    <w:pageBreakBefore w:val="0"/>
                    <w:kinsoku/>
                    <w:wordWrap/>
                    <w:overflowPunct/>
                    <w:topLinePunct w:val="0"/>
                    <w:autoSpaceDE/>
                    <w:autoSpaceDN/>
                    <w:bidi w:val="0"/>
                    <w:snapToGrid/>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本项目为</w:t>
                  </w:r>
                  <w:r>
                    <w:rPr>
                      <w:rFonts w:hint="default" w:ascii="Times New Roman" w:hAnsi="Times New Roman" w:eastAsia="宋体" w:cs="Times New Roman"/>
                      <w:color w:val="auto"/>
                      <w:sz w:val="21"/>
                      <w:szCs w:val="21"/>
                      <w:highlight w:val="none"/>
                    </w:rPr>
                    <w:t>改扩建项目</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改扩建项目回顾评价</w:t>
                  </w:r>
                  <w:r>
                    <w:rPr>
                      <w:rFonts w:hint="eastAsia" w:ascii="Times New Roman" w:hAnsi="Times New Roman" w:eastAsia="宋体" w:cs="Times New Roman"/>
                      <w:color w:val="auto"/>
                      <w:sz w:val="21"/>
                      <w:szCs w:val="21"/>
                      <w:highlight w:val="none"/>
                      <w:lang w:val="en-US" w:eastAsia="zh-CN"/>
                    </w:rPr>
                    <w:t>主要依据来自</w:t>
                  </w:r>
                  <w:r>
                    <w:rPr>
                      <w:rFonts w:hint="default" w:ascii="Times New Roman" w:hAnsi="Times New Roman" w:eastAsia="宋体" w:cs="Times New Roman"/>
                      <w:color w:val="auto"/>
                      <w:sz w:val="21"/>
                      <w:szCs w:val="21"/>
                      <w:highlight w:val="none"/>
                    </w:rPr>
                    <w:t>排污许可证执行情况</w:t>
                  </w:r>
                </w:p>
              </w:tc>
              <w:tc>
                <w:tcPr>
                  <w:tcW w:w="713" w:type="dxa"/>
                  <w:tcBorders>
                    <w:tl2br w:val="nil"/>
                    <w:tr2bl w:val="nil"/>
                  </w:tcBorders>
                  <w:noWrap w:val="0"/>
                  <w:vAlign w:val="center"/>
                </w:tcPr>
                <w:p w14:paraId="649C9AAF">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63A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9" w:type="dxa"/>
                  <w:tcBorders>
                    <w:tl2br w:val="nil"/>
                    <w:tr2bl w:val="nil"/>
                  </w:tcBorders>
                  <w:noWrap w:val="0"/>
                  <w:vAlign w:val="center"/>
                </w:tcPr>
                <w:p w14:paraId="76268C52">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821" w:type="dxa"/>
                  <w:tcBorders>
                    <w:tl2br w:val="nil"/>
                    <w:tr2bl w:val="nil"/>
                  </w:tcBorders>
                  <w:noWrap w:val="0"/>
                  <w:vAlign w:val="center"/>
                </w:tcPr>
                <w:p w14:paraId="69B31195">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建设项目发生实际排污行为之前，排污单位应当按照国家环境保护相关法律法规以及排污许可证申请与核发技术规范要求申请排污许可证，不得无证排污或不按证排污。</w:t>
                  </w:r>
                </w:p>
              </w:tc>
              <w:tc>
                <w:tcPr>
                  <w:tcW w:w="2599" w:type="dxa"/>
                  <w:tcBorders>
                    <w:tl2br w:val="nil"/>
                    <w:tr2bl w:val="nil"/>
                  </w:tcBorders>
                  <w:noWrap w:val="0"/>
                  <w:vAlign w:val="center"/>
                </w:tcPr>
                <w:p w14:paraId="50430E54">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项目在投入运行前，应当按照相关要求申请排污许可</w:t>
                  </w:r>
                </w:p>
              </w:tc>
              <w:tc>
                <w:tcPr>
                  <w:tcW w:w="713" w:type="dxa"/>
                  <w:tcBorders>
                    <w:tl2br w:val="nil"/>
                    <w:tr2bl w:val="nil"/>
                  </w:tcBorders>
                  <w:noWrap w:val="0"/>
                  <w:vAlign w:val="center"/>
                </w:tcPr>
                <w:p w14:paraId="0B1238C5">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2534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9" w:type="dxa"/>
                  <w:tcBorders>
                    <w:tl2br w:val="nil"/>
                    <w:tr2bl w:val="nil"/>
                  </w:tcBorders>
                  <w:noWrap w:val="0"/>
                  <w:vAlign w:val="center"/>
                </w:tcPr>
                <w:p w14:paraId="55E68325">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3821" w:type="dxa"/>
                  <w:tcBorders>
                    <w:tl2br w:val="nil"/>
                    <w:tr2bl w:val="nil"/>
                  </w:tcBorders>
                  <w:noWrap w:val="0"/>
                  <w:vAlign w:val="center"/>
                </w:tcPr>
                <w:p w14:paraId="22CD528E">
                  <w:pPr>
                    <w:keepNext w:val="0"/>
                    <w:keepLines w:val="0"/>
                    <w:pageBreakBefore w:val="0"/>
                    <w:kinsoku/>
                    <w:wordWrap/>
                    <w:overflowPunct/>
                    <w:topLinePunct w:val="0"/>
                    <w:autoSpaceDE/>
                    <w:autoSpaceDN/>
                    <w:bidi w:val="0"/>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建设项目涉及</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上大压小</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区域（总量）替代</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等措施的，环境影响评价审批部门应当审查总量指标来源，依法依规应当取得排污许可证的被替代或关停企业，须明确其排污许可证编码及污染物替代量。</w:t>
                  </w:r>
                </w:p>
              </w:tc>
              <w:tc>
                <w:tcPr>
                  <w:tcW w:w="2599" w:type="dxa"/>
                  <w:tcBorders>
                    <w:tl2br w:val="nil"/>
                    <w:tr2bl w:val="nil"/>
                  </w:tcBorders>
                  <w:noWrap w:val="0"/>
                  <w:vAlign w:val="center"/>
                </w:tcPr>
                <w:p w14:paraId="6E78CEC4">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改扩建项目不涉及</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上大压小</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已按要求申请总量指标。</w:t>
                  </w:r>
                </w:p>
              </w:tc>
              <w:tc>
                <w:tcPr>
                  <w:tcW w:w="713" w:type="dxa"/>
                  <w:tcBorders>
                    <w:tl2br w:val="nil"/>
                    <w:tr2bl w:val="nil"/>
                  </w:tcBorders>
                  <w:noWrap w:val="0"/>
                  <w:vAlign w:val="center"/>
                </w:tcPr>
                <w:p w14:paraId="574AFB8F">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14:paraId="37E8B947">
            <w:pPr>
              <w:pStyle w:val="1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color w:val="auto"/>
                <w:sz w:val="24"/>
                <w:highlight w:val="none"/>
                <w:lang w:val="en-US" w:eastAsia="zh-CN"/>
              </w:rPr>
            </w:pPr>
          </w:p>
          <w:p w14:paraId="6C3B46B5">
            <w:pPr>
              <w:pStyle w:val="1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cs="Times New Roman"/>
                <w:b/>
                <w:bCs/>
                <w:color w:val="FF0000"/>
                <w:sz w:val="24"/>
                <w:highlight w:val="none"/>
                <w:lang w:val="en-US" w:eastAsia="zh-CN"/>
              </w:rPr>
            </w:pPr>
            <w:r>
              <w:rPr>
                <w:rFonts w:hint="eastAsia" w:cs="Times New Roman"/>
                <w:b/>
                <w:bCs/>
                <w:color w:val="FF0000"/>
                <w:sz w:val="24"/>
                <w:highlight w:val="none"/>
                <w:lang w:val="en-US" w:eastAsia="zh-CN"/>
              </w:rPr>
              <w:t>10.项目与泗水县饮用水水源保护区位置关系</w:t>
            </w:r>
          </w:p>
          <w:p w14:paraId="777D67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color w:val="auto"/>
                <w:highlight w:val="none"/>
                <w:lang w:val="en-US"/>
              </w:rPr>
            </w:pPr>
            <w:r>
              <w:rPr>
                <w:rFonts w:hint="eastAsia" w:ascii="Times New Roman" w:hAnsi="Times New Roman" w:eastAsia="宋体" w:cs="Times New Roman"/>
                <w:color w:val="FF0000"/>
                <w:sz w:val="24"/>
                <w:szCs w:val="24"/>
                <w:highlight w:val="none"/>
                <w:lang w:val="en-US" w:eastAsia="zh-CN"/>
              </w:rPr>
              <w:t>本项目山东省济宁市泗水县苗馆镇二十里铺村，经泗水县饮用水水源保护区</w:t>
            </w:r>
            <w:r>
              <w:rPr>
                <w:rFonts w:hint="eastAsia" w:cs="Times New Roman"/>
                <w:color w:val="FF0000"/>
                <w:sz w:val="24"/>
                <w:szCs w:val="24"/>
                <w:highlight w:val="none"/>
                <w:lang w:val="en-US" w:eastAsia="zh-CN"/>
              </w:rPr>
              <w:t>位置分析</w:t>
            </w:r>
            <w:r>
              <w:rPr>
                <w:rFonts w:hint="eastAsia" w:ascii="Times New Roman" w:hAnsi="Times New Roman" w:eastAsia="宋体" w:cs="Times New Roman"/>
                <w:color w:val="FF0000"/>
                <w:sz w:val="24"/>
                <w:szCs w:val="24"/>
                <w:highlight w:val="none"/>
                <w:lang w:val="en-US" w:eastAsia="zh-CN"/>
              </w:rPr>
              <w:t>，项目选址不涉及饮用水水源保护区。距离本项目最近的饮用水水源保护区为</w:t>
            </w:r>
            <w:r>
              <w:rPr>
                <w:rFonts w:ascii="Times New Roman" w:hAnsi="Times New Roman" w:cs="Times New Roman"/>
                <w:color w:val="FF0000"/>
              </w:rPr>
              <w:t>泗水县农村千吨万人饮用水水源地</w:t>
            </w:r>
            <w:r>
              <w:rPr>
                <w:rFonts w:hint="eastAsia" w:ascii="Times New Roman" w:hAnsi="Times New Roman" w:cs="Times New Roman"/>
                <w:color w:val="FF0000"/>
                <w:lang w:eastAsia="zh-CN"/>
              </w:rPr>
              <w:t>：西故安水源地</w:t>
            </w:r>
            <w:r>
              <w:rPr>
                <w:rFonts w:hint="eastAsia" w:ascii="Times New Roman" w:hAnsi="Times New Roman" w:eastAsia="宋体" w:cs="Times New Roman"/>
                <w:color w:val="FF0000"/>
                <w:sz w:val="24"/>
                <w:szCs w:val="24"/>
                <w:highlight w:val="none"/>
                <w:lang w:val="en-US" w:eastAsia="zh-CN"/>
              </w:rPr>
              <w:t>，位于项目</w:t>
            </w:r>
            <w:r>
              <w:rPr>
                <w:rFonts w:hint="eastAsia" w:cs="Times New Roman"/>
                <w:color w:val="FF0000"/>
                <w:sz w:val="24"/>
                <w:szCs w:val="24"/>
                <w:highlight w:val="none"/>
                <w:lang w:val="en-US" w:eastAsia="zh-CN"/>
              </w:rPr>
              <w:t>东南</w:t>
            </w:r>
            <w:r>
              <w:rPr>
                <w:rFonts w:hint="eastAsia" w:ascii="Times New Roman" w:hAnsi="Times New Roman" w:eastAsia="宋体" w:cs="Times New Roman"/>
                <w:color w:val="FF0000"/>
                <w:sz w:val="24"/>
                <w:szCs w:val="24"/>
                <w:highlight w:val="none"/>
                <w:lang w:val="en-US" w:eastAsia="zh-CN"/>
              </w:rPr>
              <w:t>侧约</w:t>
            </w:r>
            <w:r>
              <w:rPr>
                <w:rFonts w:hint="eastAsia" w:cs="Times New Roman"/>
                <w:color w:val="FF0000"/>
                <w:sz w:val="24"/>
                <w:szCs w:val="24"/>
                <w:highlight w:val="none"/>
                <w:lang w:val="en-US" w:eastAsia="zh-CN"/>
              </w:rPr>
              <w:t>4.4</w:t>
            </w:r>
            <w:r>
              <w:rPr>
                <w:rFonts w:hint="eastAsia" w:ascii="Times New Roman" w:hAnsi="Times New Roman" w:eastAsia="宋体" w:cs="Times New Roman"/>
                <w:color w:val="FF0000"/>
                <w:sz w:val="24"/>
                <w:szCs w:val="24"/>
                <w:highlight w:val="none"/>
                <w:lang w:val="en-US" w:eastAsia="zh-CN"/>
              </w:rPr>
              <w:t>公里处。项目选址不在该水源地的保护区范围内。</w:t>
            </w:r>
            <w:r>
              <w:rPr>
                <w:rFonts w:hint="eastAsia" w:cs="Times New Roman"/>
                <w:color w:val="FF0000"/>
                <w:sz w:val="24"/>
                <w:szCs w:val="24"/>
                <w:highlight w:val="none"/>
                <w:lang w:val="en-US" w:eastAsia="zh-CN"/>
              </w:rPr>
              <w:t>具体见附图6.</w:t>
            </w:r>
          </w:p>
        </w:tc>
      </w:tr>
    </w:tbl>
    <w:p w14:paraId="1BFEC125">
      <w:pPr>
        <w:spacing w:line="360" w:lineRule="auto"/>
        <w:outlineLvl w:val="0"/>
        <w:rPr>
          <w:rFonts w:eastAsia="黑体"/>
          <w:color w:val="auto"/>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4BF6A81C">
      <w:pPr>
        <w:pStyle w:val="26"/>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二、建设项目工程分析</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4"/>
        <w:gridCol w:w="8580"/>
      </w:tblGrid>
      <w:tr w14:paraId="05E77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04" w:type="dxa"/>
            <w:noWrap w:val="0"/>
            <w:vAlign w:val="center"/>
          </w:tcPr>
          <w:p w14:paraId="64E1B58B">
            <w:pPr>
              <w:pStyle w:val="26"/>
              <w:adjustRightInd w:val="0"/>
              <w:snapToGrid w:val="0"/>
              <w:spacing w:before="0" w:beforeAutospacing="0" w:after="0" w:afterAutospacing="0"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建设内容</w:t>
            </w:r>
          </w:p>
        </w:tc>
        <w:tc>
          <w:tcPr>
            <w:tcW w:w="8580" w:type="dxa"/>
            <w:noWrap w:val="0"/>
            <w:vAlign w:val="top"/>
          </w:tcPr>
          <w:p w14:paraId="49334E7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2" w:leftChars="0" w:firstLine="482" w:firstLineChars="0"/>
              <w:textAlignment w:val="auto"/>
              <w:rPr>
                <w:rFonts w:hint="eastAsia"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项目来源</w:t>
            </w:r>
          </w:p>
          <w:p w14:paraId="5A1EED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山东辰宇稀有材料科技有限公司位于泗水县苗馆镇二十里铺村。公司于2013年12月13日取得了《山东辰宇稀有材料科技有限公司年产600吨高纯再生硅材料项目环境影响报告表》泗水县环境保护局的批复意见，批复文号：泗环审字[2013]194号。公司在后期建设及运营过程中建设方案及污染物处理措施发生了改变</w:t>
            </w:r>
            <w:r>
              <w:rPr>
                <w:rFonts w:hint="eastAsia" w:cs="Times New Roman"/>
                <w:b w:val="0"/>
                <w:bCs w:val="0"/>
                <w:color w:val="auto"/>
                <w:kern w:val="0"/>
                <w:sz w:val="24"/>
                <w:szCs w:val="24"/>
                <w:highlight w:val="none"/>
                <w:lang w:val="en-US" w:eastAsia="zh-CN"/>
              </w:rPr>
              <w:t>，</w:t>
            </w:r>
            <w:r>
              <w:rPr>
                <w:rFonts w:hint="eastAsia" w:ascii="Times New Roman" w:hAnsi="Times New Roman" w:eastAsia="宋体" w:cs="Times New Roman"/>
                <w:b w:val="0"/>
                <w:bCs w:val="0"/>
                <w:color w:val="auto"/>
                <w:kern w:val="0"/>
                <w:sz w:val="24"/>
                <w:szCs w:val="24"/>
                <w:highlight w:val="none"/>
                <w:lang w:val="en-US" w:eastAsia="zh-CN"/>
              </w:rPr>
              <w:t>于2016年企业委托编制《山东辰宇稀有材料科技有限公司年产600吨高纯再生硅材料变更项目环境影响报告表》，批复文号：泗环审字[2017]072号；2017年5月4日泗水县环保局验收组主持召开了山东辰宇稀有材料科技有限公司年产600吨高纯再生硅材料及其变更项目竣工环境保护验收会议，并取得年产600吨高纯再生硅材料及其变更项目验收意见，验收文号：泗环验[2017]18号。公司于2020年申请排污许可简化管理，排污单位编码：91370831089788251G，并于2023年4月申请排污许可延续。2023年12月进行了重新申请，现有工程产品方案为年产600t硅材料，生产工艺为喷砂打磨、漂洗、烘干、包装，其中漂洗工段于2021年起至今停用，其余工段自2025年1月起至今处于停产状态。</w:t>
            </w:r>
          </w:p>
          <w:p w14:paraId="7558BD6C">
            <w:pPr>
              <w:pStyle w:val="51"/>
              <w:ind w:firstLine="480"/>
              <w:rPr>
                <w:rFonts w:hint="eastAsia" w:ascii="Times New Roman" w:hAnsi="Times New Roman" w:cs="Times New Roman"/>
                <w:b w:val="0"/>
                <w:bCs w:val="0"/>
                <w:color w:val="auto"/>
                <w:kern w:val="0"/>
                <w:sz w:val="24"/>
                <w:szCs w:val="24"/>
                <w:highlight w:val="none"/>
                <w:lang w:val="en-US" w:eastAsia="zh-CN"/>
              </w:rPr>
            </w:pPr>
            <w:r>
              <w:rPr>
                <w:rFonts w:hint="eastAsia" w:cs="Times New Roman"/>
                <w:b w:val="0"/>
                <w:bCs w:val="0"/>
                <w:color w:val="auto"/>
                <w:kern w:val="0"/>
                <w:sz w:val="24"/>
                <w:szCs w:val="24"/>
                <w:highlight w:val="none"/>
                <w:lang w:val="en-US" w:eastAsia="zh-CN"/>
              </w:rPr>
              <w:t>为节约资源，使废弃物资得到综合利用，减轻对环境的影响，充分达到节能减排效果，降低企业生产成本，增加社会效益和企业经济效益，提高企业自身市场竞争力，山东辰宇稀有材料科技有限公司决定在</w:t>
            </w:r>
            <w:r>
              <w:rPr>
                <w:rFonts w:hint="eastAsia" w:ascii="Times New Roman" w:hAnsi="Times New Roman" w:eastAsia="宋体" w:cs="Times New Roman"/>
                <w:color w:val="auto"/>
                <w:sz w:val="24"/>
                <w:szCs w:val="24"/>
                <w:highlight w:val="none"/>
                <w:lang w:val="en-US" w:eastAsia="zh-CN"/>
              </w:rPr>
              <w:t>现有厂区内投资建设年产6000吨废硅材料回收再利用项目。</w:t>
            </w:r>
            <w:r>
              <w:rPr>
                <w:rFonts w:hint="eastAsia"/>
                <w:color w:val="auto"/>
                <w:highlight w:val="none"/>
                <w:lang w:val="en-US" w:eastAsia="zh-CN"/>
              </w:rPr>
              <w:t>该项目为改扩建项目，在现有厂房内进行，主要利用现有的打磨机，拆除其余工段所有设施，新购置烧结炉、磁选机、振动筛等生产设施，改扩建项目后的生产工艺为分选、打磨、烧结、磁选、筛分、包装入库，项目建成后再生硅材料产能6000</w:t>
            </w:r>
            <w:r>
              <w:rPr>
                <w:rFonts w:hint="eastAsia" w:ascii="Times New Roman" w:eastAsia="宋体"/>
                <w:color w:val="auto"/>
                <w:highlight w:val="none"/>
                <w:lang w:val="en-US" w:eastAsia="zh-CN"/>
              </w:rPr>
              <w:t>t/a</w:t>
            </w:r>
            <w:r>
              <w:rPr>
                <w:rFonts w:hint="eastAsia"/>
                <w:color w:val="auto"/>
                <w:highlight w:val="none"/>
                <w:lang w:val="en-US" w:eastAsia="zh-CN"/>
              </w:rPr>
              <w:t>，较改扩建前增加5400t/a。</w:t>
            </w:r>
          </w:p>
          <w:p w14:paraId="06E54B3E">
            <w:pPr>
              <w:pStyle w:val="51"/>
              <w:ind w:firstLine="480"/>
              <w:rPr>
                <w:rFonts w:hint="eastAsia"/>
                <w:color w:val="auto"/>
                <w:highlight w:val="none"/>
              </w:rPr>
            </w:pPr>
            <w:r>
              <w:rPr>
                <w:rFonts w:hint="eastAsia" w:ascii="Times New Roman" w:hAnsi="Times New Roman" w:eastAsia="宋体" w:cs="Times New Roman"/>
                <w:b w:val="0"/>
                <w:bCs w:val="0"/>
                <w:color w:val="auto"/>
                <w:kern w:val="0"/>
                <w:sz w:val="24"/>
                <w:szCs w:val="24"/>
                <w:highlight w:val="none"/>
                <w:lang w:val="en-US" w:eastAsia="zh-CN"/>
              </w:rPr>
              <w:t>项目收集的废硅材料主要来自银川隆基、江苏协鑫、内蒙古中环等废硅片。通过分选、</w:t>
            </w:r>
            <w:r>
              <w:rPr>
                <w:rFonts w:hint="eastAsia" w:ascii="Times New Roman" w:hAnsi="Times New Roman" w:cs="Times New Roman"/>
                <w:b w:val="0"/>
                <w:bCs w:val="0"/>
                <w:color w:val="auto"/>
                <w:kern w:val="0"/>
                <w:sz w:val="24"/>
                <w:szCs w:val="24"/>
                <w:highlight w:val="none"/>
                <w:lang w:val="en-US" w:eastAsia="zh-CN"/>
              </w:rPr>
              <w:t>打磨、</w:t>
            </w:r>
            <w:r>
              <w:rPr>
                <w:rFonts w:hint="eastAsia" w:ascii="Times New Roman" w:hAnsi="Times New Roman" w:eastAsia="宋体" w:cs="Times New Roman"/>
                <w:b w:val="0"/>
                <w:bCs w:val="0"/>
                <w:color w:val="auto"/>
                <w:kern w:val="0"/>
                <w:sz w:val="24"/>
                <w:szCs w:val="24"/>
                <w:highlight w:val="none"/>
                <w:lang w:val="en-US" w:eastAsia="zh-CN"/>
              </w:rPr>
              <w:t>烧结、磁选</w:t>
            </w:r>
            <w:r>
              <w:rPr>
                <w:rFonts w:hint="eastAsia" w:ascii="Times New Roman" w:hAnsi="Times New Roman" w:cs="Times New Roman"/>
                <w:b w:val="0"/>
                <w:bCs w:val="0"/>
                <w:color w:val="auto"/>
                <w:kern w:val="0"/>
                <w:sz w:val="24"/>
                <w:szCs w:val="24"/>
                <w:highlight w:val="none"/>
                <w:lang w:val="en-US" w:eastAsia="zh-CN"/>
              </w:rPr>
              <w:t>、振动筛分</w:t>
            </w:r>
            <w:r>
              <w:rPr>
                <w:rFonts w:hint="eastAsia" w:cs="Times New Roman"/>
                <w:b w:val="0"/>
                <w:bCs w:val="0"/>
                <w:color w:val="auto"/>
                <w:kern w:val="0"/>
                <w:sz w:val="24"/>
                <w:szCs w:val="24"/>
                <w:highlight w:val="none"/>
                <w:lang w:val="en-US" w:eastAsia="zh-CN"/>
              </w:rPr>
              <w:t>、包装</w:t>
            </w:r>
            <w:r>
              <w:rPr>
                <w:rFonts w:hint="eastAsia" w:ascii="Times New Roman" w:hAnsi="Times New Roman" w:eastAsia="宋体" w:cs="Times New Roman"/>
                <w:b w:val="0"/>
                <w:bCs w:val="0"/>
                <w:color w:val="auto"/>
                <w:kern w:val="0"/>
                <w:sz w:val="24"/>
                <w:szCs w:val="24"/>
                <w:highlight w:val="none"/>
                <w:lang w:val="en-US" w:eastAsia="zh-CN"/>
              </w:rPr>
              <w:t>等工序除去杂质，</w:t>
            </w:r>
            <w:r>
              <w:rPr>
                <w:rFonts w:hint="eastAsia" w:ascii="Times New Roman" w:hAnsi="Times New Roman" w:cs="Times New Roman"/>
                <w:b w:val="0"/>
                <w:bCs w:val="0"/>
                <w:color w:val="auto"/>
                <w:kern w:val="0"/>
                <w:sz w:val="24"/>
                <w:szCs w:val="24"/>
                <w:highlight w:val="none"/>
                <w:lang w:val="en-US" w:eastAsia="zh-CN"/>
              </w:rPr>
              <w:t>获得不同尺寸硅片</w:t>
            </w:r>
            <w:r>
              <w:rPr>
                <w:rFonts w:hint="eastAsia" w:cs="Times New Roman"/>
                <w:b w:val="0"/>
                <w:bCs w:val="0"/>
                <w:color w:val="auto"/>
                <w:kern w:val="0"/>
                <w:sz w:val="24"/>
                <w:szCs w:val="24"/>
                <w:highlight w:val="none"/>
                <w:lang w:val="en-US" w:eastAsia="zh-CN"/>
              </w:rPr>
              <w:t>材料，</w:t>
            </w:r>
            <w:r>
              <w:rPr>
                <w:rFonts w:hint="eastAsia"/>
                <w:color w:val="auto"/>
                <w:highlight w:val="none"/>
                <w:lang w:val="en-US" w:eastAsia="zh-CN"/>
              </w:rPr>
              <w:t>属于</w:t>
            </w:r>
            <w:r>
              <w:rPr>
                <w:rFonts w:hint="eastAsia"/>
                <w:color w:val="auto"/>
                <w:highlight w:val="none"/>
              </w:rPr>
              <w:t>《建设项目环境影响评价分类管理名录（2021年版）》中的</w:t>
            </w:r>
            <w:r>
              <w:rPr>
                <w:rFonts w:hint="eastAsia"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szCs w:val="24"/>
                <w:highlight w:val="none"/>
              </w:rPr>
              <w:t>二十七、非金属矿物制品业 30</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60、石墨及其他非金属矿物制品制造 309 其他</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，需编制环境影响报告表。</w:t>
            </w:r>
          </w:p>
          <w:p w14:paraId="45B2EAA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2" w:leftChars="0" w:firstLine="482" w:firstLineChars="0"/>
              <w:textAlignment w:val="auto"/>
              <w:rPr>
                <w:rFonts w:hint="eastAsia"/>
                <w:color w:val="auto"/>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项目组成</w:t>
            </w:r>
          </w:p>
          <w:p w14:paraId="44771849">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表2-1项目组成一览表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40"/>
              <w:gridCol w:w="1281"/>
              <w:gridCol w:w="4638"/>
              <w:gridCol w:w="797"/>
            </w:tblGrid>
            <w:tr w14:paraId="07A6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tcBorders>
                    <w:tl2br w:val="nil"/>
                    <w:tr2bl w:val="nil"/>
                  </w:tcBorders>
                  <w:noWrap w:val="0"/>
                  <w:vAlign w:val="center"/>
                </w:tcPr>
                <w:p w14:paraId="77F48ED6">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工程类别</w:t>
                  </w:r>
                </w:p>
              </w:tc>
              <w:tc>
                <w:tcPr>
                  <w:tcW w:w="2121" w:type="dxa"/>
                  <w:gridSpan w:val="2"/>
                  <w:tcBorders>
                    <w:tl2br w:val="nil"/>
                    <w:tr2bl w:val="nil"/>
                  </w:tcBorders>
                  <w:noWrap w:val="0"/>
                  <w:vAlign w:val="center"/>
                </w:tcPr>
                <w:p w14:paraId="13A993B9">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工程名称</w:t>
                  </w:r>
                </w:p>
              </w:tc>
              <w:tc>
                <w:tcPr>
                  <w:tcW w:w="4638" w:type="dxa"/>
                  <w:tcBorders>
                    <w:tl2br w:val="nil"/>
                    <w:tr2bl w:val="nil"/>
                  </w:tcBorders>
                  <w:noWrap w:val="0"/>
                  <w:vAlign w:val="center"/>
                </w:tcPr>
                <w:p w14:paraId="364B98D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工程内容</w:t>
                  </w:r>
                </w:p>
              </w:tc>
              <w:tc>
                <w:tcPr>
                  <w:tcW w:w="797" w:type="dxa"/>
                  <w:tcBorders>
                    <w:tl2br w:val="nil"/>
                    <w:tr2bl w:val="nil"/>
                  </w:tcBorders>
                  <w:noWrap w:val="0"/>
                  <w:vAlign w:val="center"/>
                </w:tcPr>
                <w:p w14:paraId="344E8C7C">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备注</w:t>
                  </w:r>
                </w:p>
              </w:tc>
            </w:tr>
            <w:tr w14:paraId="5E8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restart"/>
                  <w:tcBorders>
                    <w:tl2br w:val="nil"/>
                    <w:tr2bl w:val="nil"/>
                  </w:tcBorders>
                  <w:noWrap w:val="0"/>
                  <w:vAlign w:val="center"/>
                </w:tcPr>
                <w:p w14:paraId="7BA6C615">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主体工程</w:t>
                  </w:r>
                </w:p>
              </w:tc>
              <w:tc>
                <w:tcPr>
                  <w:tcW w:w="840" w:type="dxa"/>
                  <w:vMerge w:val="restart"/>
                  <w:tcBorders>
                    <w:tl2br w:val="nil"/>
                    <w:tr2bl w:val="nil"/>
                  </w:tcBorders>
                  <w:noWrap w:val="0"/>
                  <w:vAlign w:val="center"/>
                </w:tcPr>
                <w:p w14:paraId="396B4080">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生产车间1</w:t>
                  </w:r>
                </w:p>
              </w:tc>
              <w:tc>
                <w:tcPr>
                  <w:tcW w:w="1281" w:type="dxa"/>
                  <w:tcBorders>
                    <w:tl2br w:val="nil"/>
                    <w:tr2bl w:val="nil"/>
                  </w:tcBorders>
                  <w:noWrap w:val="0"/>
                  <w:vAlign w:val="center"/>
                </w:tcPr>
                <w:p w14:paraId="2F97BEDF">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分选区</w:t>
                  </w:r>
                </w:p>
              </w:tc>
              <w:tc>
                <w:tcPr>
                  <w:tcW w:w="4638" w:type="dxa"/>
                  <w:tcBorders>
                    <w:tl2br w:val="nil"/>
                    <w:tr2bl w:val="nil"/>
                  </w:tcBorders>
                  <w:noWrap w:val="0"/>
                  <w:vAlign w:val="center"/>
                </w:tcPr>
                <w:p w14:paraId="3A353276">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占地面积约132m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，用于废硅材料的预分选</w:t>
                  </w:r>
                </w:p>
              </w:tc>
              <w:tc>
                <w:tcPr>
                  <w:tcW w:w="797" w:type="dxa"/>
                  <w:vMerge w:val="restart"/>
                  <w:tcBorders>
                    <w:tl2br w:val="nil"/>
                    <w:tr2bl w:val="nil"/>
                  </w:tcBorders>
                  <w:noWrap w:val="0"/>
                  <w:vAlign w:val="center"/>
                </w:tcPr>
                <w:p w14:paraId="2A1576EF">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依托现有</w:t>
                  </w:r>
                </w:p>
              </w:tc>
            </w:tr>
            <w:tr w14:paraId="2F50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70336549">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840" w:type="dxa"/>
                  <w:vMerge w:val="continue"/>
                  <w:tcBorders>
                    <w:tl2br w:val="nil"/>
                    <w:tr2bl w:val="nil"/>
                  </w:tcBorders>
                  <w:noWrap w:val="0"/>
                  <w:vAlign w:val="center"/>
                </w:tcPr>
                <w:p w14:paraId="367EC912">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281" w:type="dxa"/>
                  <w:tcBorders>
                    <w:tl2br w:val="nil"/>
                    <w:tr2bl w:val="nil"/>
                  </w:tcBorders>
                  <w:noWrap w:val="0"/>
                  <w:vAlign w:val="center"/>
                </w:tcPr>
                <w:p w14:paraId="32374ED8">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打磨区</w:t>
                  </w:r>
                </w:p>
              </w:tc>
              <w:tc>
                <w:tcPr>
                  <w:tcW w:w="4638" w:type="dxa"/>
                  <w:tcBorders>
                    <w:tl2br w:val="nil"/>
                    <w:tr2bl w:val="nil"/>
                  </w:tcBorders>
                  <w:noWrap w:val="0"/>
                  <w:vAlign w:val="center"/>
                </w:tcPr>
                <w:p w14:paraId="5F2763A0">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占地面积约288m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，用于分选后的打磨工序</w:t>
                  </w:r>
                </w:p>
              </w:tc>
              <w:tc>
                <w:tcPr>
                  <w:tcW w:w="797" w:type="dxa"/>
                  <w:vMerge w:val="continue"/>
                  <w:tcBorders>
                    <w:tl2br w:val="nil"/>
                    <w:tr2bl w:val="nil"/>
                  </w:tcBorders>
                  <w:noWrap w:val="0"/>
                  <w:vAlign w:val="center"/>
                </w:tcPr>
                <w:p w14:paraId="3A23E792">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color w:val="auto"/>
                      <w:sz w:val="21"/>
                      <w:szCs w:val="21"/>
                      <w:highlight w:val="none"/>
                      <w:lang w:val="en-US" w:eastAsia="zh-CN"/>
                    </w:rPr>
                  </w:pPr>
                </w:p>
              </w:tc>
            </w:tr>
            <w:tr w14:paraId="4B11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64ECA1DE">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840" w:type="dxa"/>
                  <w:vMerge w:val="continue"/>
                  <w:tcBorders>
                    <w:tl2br w:val="nil"/>
                    <w:tr2bl w:val="nil"/>
                  </w:tcBorders>
                  <w:noWrap w:val="0"/>
                  <w:vAlign w:val="center"/>
                </w:tcPr>
                <w:p w14:paraId="58E72CB3">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281" w:type="dxa"/>
                  <w:tcBorders>
                    <w:tl2br w:val="nil"/>
                    <w:tr2bl w:val="nil"/>
                  </w:tcBorders>
                  <w:noWrap w:val="0"/>
                  <w:vAlign w:val="center"/>
                </w:tcPr>
                <w:p w14:paraId="73104234">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原料暂存区</w:t>
                  </w:r>
                </w:p>
              </w:tc>
              <w:tc>
                <w:tcPr>
                  <w:tcW w:w="4638" w:type="dxa"/>
                  <w:tcBorders>
                    <w:tl2br w:val="nil"/>
                    <w:tr2bl w:val="nil"/>
                  </w:tcBorders>
                  <w:noWrap w:val="0"/>
                  <w:vAlign w:val="center"/>
                </w:tcPr>
                <w:p w14:paraId="3C7C1807">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占地面积约450m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，用于原料（废硅材料）存放</w:t>
                  </w:r>
                </w:p>
              </w:tc>
              <w:tc>
                <w:tcPr>
                  <w:tcW w:w="797" w:type="dxa"/>
                  <w:vMerge w:val="continue"/>
                  <w:tcBorders>
                    <w:tl2br w:val="nil"/>
                    <w:tr2bl w:val="nil"/>
                  </w:tcBorders>
                  <w:noWrap w:val="0"/>
                  <w:vAlign w:val="center"/>
                </w:tcPr>
                <w:p w14:paraId="7F62C6B1">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color w:val="auto"/>
                      <w:sz w:val="21"/>
                      <w:szCs w:val="21"/>
                      <w:highlight w:val="none"/>
                      <w:lang w:val="en-US" w:eastAsia="zh-CN"/>
                    </w:rPr>
                  </w:pPr>
                </w:p>
              </w:tc>
            </w:tr>
            <w:tr w14:paraId="1408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12185808">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2121" w:type="dxa"/>
                  <w:gridSpan w:val="2"/>
                  <w:tcBorders>
                    <w:tl2br w:val="nil"/>
                    <w:tr2bl w:val="nil"/>
                  </w:tcBorders>
                  <w:noWrap w:val="0"/>
                  <w:vAlign w:val="center"/>
                </w:tcPr>
                <w:p w14:paraId="391D4202">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生产车间2</w:t>
                  </w:r>
                </w:p>
              </w:tc>
              <w:tc>
                <w:tcPr>
                  <w:tcW w:w="4638" w:type="dxa"/>
                  <w:tcBorders>
                    <w:tl2br w:val="nil"/>
                    <w:tr2bl w:val="nil"/>
                  </w:tcBorders>
                  <w:noWrap w:val="0"/>
                  <w:vAlign w:val="center"/>
                </w:tcPr>
                <w:p w14:paraId="34B94476">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占地面积约450m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，设置烧结炉，磁选机、筛分等设备。</w:t>
                  </w:r>
                </w:p>
              </w:tc>
              <w:tc>
                <w:tcPr>
                  <w:tcW w:w="797" w:type="dxa"/>
                  <w:tcBorders>
                    <w:tl2br w:val="nil"/>
                    <w:tr2bl w:val="nil"/>
                  </w:tcBorders>
                  <w:noWrap w:val="0"/>
                  <w:vAlign w:val="center"/>
                </w:tcPr>
                <w:p w14:paraId="26E2147A">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依托现有</w:t>
                  </w:r>
                </w:p>
              </w:tc>
            </w:tr>
            <w:tr w14:paraId="5071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8" w:type="dxa"/>
                  <w:tcBorders>
                    <w:tl2br w:val="nil"/>
                    <w:tr2bl w:val="nil"/>
                  </w:tcBorders>
                  <w:noWrap w:val="0"/>
                  <w:vAlign w:val="center"/>
                </w:tcPr>
                <w:p w14:paraId="2BBB8F69">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辅助工程</w:t>
                  </w:r>
                </w:p>
              </w:tc>
              <w:tc>
                <w:tcPr>
                  <w:tcW w:w="2121" w:type="dxa"/>
                  <w:gridSpan w:val="2"/>
                  <w:tcBorders>
                    <w:tl2br w:val="nil"/>
                    <w:tr2bl w:val="nil"/>
                  </w:tcBorders>
                  <w:noWrap w:val="0"/>
                  <w:vAlign w:val="center"/>
                </w:tcPr>
                <w:p w14:paraId="56F3043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办公室</w:t>
                  </w:r>
                </w:p>
              </w:tc>
              <w:tc>
                <w:tcPr>
                  <w:tcW w:w="4638" w:type="dxa"/>
                  <w:tcBorders>
                    <w:tl2br w:val="nil"/>
                    <w:tr2bl w:val="nil"/>
                  </w:tcBorders>
                  <w:noWrap w:val="0"/>
                  <w:vAlign w:val="center"/>
                </w:tcPr>
                <w:p w14:paraId="4C13072A">
                  <w:pPr>
                    <w:keepNext w:val="0"/>
                    <w:keepLines w:val="0"/>
                    <w:pageBreakBefore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利用现有办公室</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占地面积</w:t>
                  </w:r>
                  <w:r>
                    <w:rPr>
                      <w:rFonts w:hint="eastAsia" w:ascii="Times New Roman" w:hAnsi="Times New Roman" w:eastAsia="宋体" w:cs="Times New Roman"/>
                      <w:color w:val="auto"/>
                      <w:sz w:val="21"/>
                      <w:szCs w:val="21"/>
                      <w:highlight w:val="none"/>
                      <w:lang w:val="en-US" w:eastAsia="zh-CN"/>
                    </w:rPr>
                    <w:t>约</w:t>
                  </w:r>
                  <w:r>
                    <w:rPr>
                      <w:rFonts w:hint="eastAsia" w:ascii="Times New Roman" w:hAnsi="Times New Roman" w:eastAsia="宋体"/>
                      <w:color w:val="auto"/>
                      <w:sz w:val="21"/>
                      <w:szCs w:val="21"/>
                      <w:highlight w:val="none"/>
                      <w:lang w:val="en-US" w:eastAsia="zh-CN"/>
                    </w:rPr>
                    <w:t>40m</w:t>
                  </w:r>
                  <w:r>
                    <w:rPr>
                      <w:rFonts w:hint="eastAsia" w:ascii="Times New Roman" w:hAnsi="Times New Roman" w:eastAsia="宋体"/>
                      <w:color w:val="auto"/>
                      <w:sz w:val="21"/>
                      <w:szCs w:val="21"/>
                      <w:highlight w:val="none"/>
                      <w:vertAlign w:val="superscript"/>
                      <w:lang w:val="en-US" w:eastAsia="zh-CN"/>
                    </w:rPr>
                    <w:t>2</w:t>
                  </w:r>
                  <w:r>
                    <w:rPr>
                      <w:rFonts w:hint="eastAsia" w:ascii="Times New Roman" w:hAnsi="Times New Roman" w:eastAsia="宋体"/>
                      <w:color w:val="auto"/>
                      <w:sz w:val="21"/>
                      <w:szCs w:val="21"/>
                      <w:highlight w:val="none"/>
                      <w:lang w:val="en-US" w:eastAsia="zh-CN"/>
                    </w:rPr>
                    <w:t>。</w:t>
                  </w:r>
                </w:p>
              </w:tc>
              <w:tc>
                <w:tcPr>
                  <w:tcW w:w="797" w:type="dxa"/>
                  <w:tcBorders>
                    <w:tl2br w:val="nil"/>
                    <w:tr2bl w:val="nil"/>
                  </w:tcBorders>
                  <w:noWrap w:val="0"/>
                  <w:vAlign w:val="center"/>
                </w:tcPr>
                <w:p w14:paraId="1FEADBF9">
                  <w:pPr>
                    <w:keepNext w:val="0"/>
                    <w:keepLines w:val="0"/>
                    <w:pageBreakBefore w:val="0"/>
                    <w:kinsoku/>
                    <w:wordWrap/>
                    <w:overflowPunct/>
                    <w:topLinePunct w:val="0"/>
                    <w:autoSpaceDE w:val="0"/>
                    <w:autoSpaceDN w:val="0"/>
                    <w:bidi w:val="0"/>
                    <w:adjustRightInd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s="Times New Roman"/>
                      <w:color w:val="auto"/>
                      <w:sz w:val="21"/>
                      <w:szCs w:val="21"/>
                      <w:highlight w:val="none"/>
                      <w:lang w:val="en-US" w:eastAsia="zh-CN"/>
                    </w:rPr>
                    <w:t>利用</w:t>
                  </w:r>
                  <w:r>
                    <w:rPr>
                      <w:rFonts w:hint="eastAsia" w:ascii="Times New Roman" w:hAnsi="Times New Roman" w:eastAsia="宋体" w:cs="Times New Roman"/>
                      <w:color w:val="auto"/>
                      <w:sz w:val="21"/>
                      <w:szCs w:val="21"/>
                      <w:highlight w:val="none"/>
                      <w:lang w:val="en-US" w:eastAsia="zh-CN"/>
                    </w:rPr>
                    <w:t>现有</w:t>
                  </w:r>
                </w:p>
              </w:tc>
            </w:tr>
            <w:tr w14:paraId="3267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restart"/>
                  <w:tcBorders>
                    <w:tl2br w:val="nil"/>
                    <w:tr2bl w:val="nil"/>
                  </w:tcBorders>
                  <w:noWrap w:val="0"/>
                  <w:vAlign w:val="center"/>
                </w:tcPr>
                <w:p w14:paraId="0132388F">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公用工程</w:t>
                  </w:r>
                </w:p>
              </w:tc>
              <w:tc>
                <w:tcPr>
                  <w:tcW w:w="2121" w:type="dxa"/>
                  <w:gridSpan w:val="2"/>
                  <w:tcBorders>
                    <w:tl2br w:val="nil"/>
                    <w:tr2bl w:val="nil"/>
                  </w:tcBorders>
                  <w:noWrap w:val="0"/>
                  <w:vAlign w:val="center"/>
                </w:tcPr>
                <w:p w14:paraId="15252F26">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供水</w:t>
                  </w:r>
                </w:p>
              </w:tc>
              <w:tc>
                <w:tcPr>
                  <w:tcW w:w="4638" w:type="dxa"/>
                  <w:tcBorders>
                    <w:tl2br w:val="nil"/>
                    <w:tr2bl w:val="nil"/>
                  </w:tcBorders>
                  <w:noWrap w:val="0"/>
                  <w:vAlign w:val="center"/>
                </w:tcPr>
                <w:p w14:paraId="7CBA7568">
                  <w:pPr>
                    <w:jc w:val="left"/>
                    <w:rPr>
                      <w:rFonts w:hint="eastAsia" w:ascii="Times New Roman" w:hAnsi="Times New Roman" w:eastAsia="宋体"/>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项目新鲜用水由市政供水管网供给。</w:t>
                  </w:r>
                </w:p>
              </w:tc>
              <w:tc>
                <w:tcPr>
                  <w:tcW w:w="797" w:type="dxa"/>
                  <w:vMerge w:val="restart"/>
                  <w:tcBorders>
                    <w:tl2br w:val="nil"/>
                    <w:tr2bl w:val="nil"/>
                  </w:tcBorders>
                  <w:noWrap w:val="0"/>
                  <w:vAlign w:val="center"/>
                </w:tcPr>
                <w:p w14:paraId="6316B527">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szCs w:val="21"/>
                      <w:highlight w:val="none"/>
                      <w:lang w:val="en-US" w:eastAsia="zh-CN"/>
                    </w:rPr>
                  </w:pPr>
                  <w:r>
                    <w:rPr>
                      <w:rFonts w:ascii="Times New Roman" w:hAnsi="Times New Roman" w:eastAsia="宋体" w:cs="Times New Roman"/>
                      <w:color w:val="auto"/>
                      <w:sz w:val="21"/>
                      <w:szCs w:val="21"/>
                      <w:highlight w:val="none"/>
                      <w:lang w:val="en-US" w:eastAsia="zh-CN"/>
                    </w:rPr>
                    <w:t>利用</w:t>
                  </w:r>
                  <w:r>
                    <w:rPr>
                      <w:rFonts w:hint="eastAsia" w:ascii="Times New Roman" w:hAnsi="Times New Roman" w:eastAsia="宋体" w:cs="Times New Roman"/>
                      <w:color w:val="auto"/>
                      <w:sz w:val="21"/>
                      <w:szCs w:val="21"/>
                      <w:highlight w:val="none"/>
                      <w:lang w:val="en-US" w:eastAsia="zh-CN"/>
                    </w:rPr>
                    <w:t>现有</w:t>
                  </w:r>
                </w:p>
              </w:tc>
            </w:tr>
            <w:tr w14:paraId="4161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65627D41">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2121" w:type="dxa"/>
                  <w:gridSpan w:val="2"/>
                  <w:tcBorders>
                    <w:tl2br w:val="nil"/>
                    <w:tr2bl w:val="nil"/>
                  </w:tcBorders>
                  <w:noWrap w:val="0"/>
                  <w:vAlign w:val="center"/>
                </w:tcPr>
                <w:p w14:paraId="740D903A">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供电</w:t>
                  </w:r>
                </w:p>
              </w:tc>
              <w:tc>
                <w:tcPr>
                  <w:tcW w:w="4638" w:type="dxa"/>
                  <w:tcBorders>
                    <w:tl2br w:val="nil"/>
                    <w:tr2bl w:val="nil"/>
                  </w:tcBorders>
                  <w:noWrap w:val="0"/>
                  <w:vAlign w:val="center"/>
                </w:tcPr>
                <w:p w14:paraId="7CDB8BC0">
                  <w:pPr>
                    <w:jc w:val="left"/>
                    <w:rPr>
                      <w:rFonts w:ascii="Times New Roman" w:hAnsi="Times New Roman" w:eastAsia="宋体"/>
                      <w:color w:val="auto"/>
                      <w:sz w:val="21"/>
                      <w:szCs w:val="21"/>
                      <w:highlight w:val="none"/>
                    </w:rPr>
                  </w:pPr>
                  <w:r>
                    <w:rPr>
                      <w:rFonts w:hint="default" w:ascii="Times New Roman" w:hAnsi="Times New Roman" w:eastAsia="宋体" w:cs="Times New Roman"/>
                      <w:color w:val="auto"/>
                      <w:sz w:val="21"/>
                      <w:szCs w:val="21"/>
                      <w:highlight w:val="none"/>
                      <w:lang w:val="en-US" w:eastAsia="zh-CN"/>
                    </w:rPr>
                    <w:t>项目用电市政供电电网供给。</w:t>
                  </w:r>
                </w:p>
              </w:tc>
              <w:tc>
                <w:tcPr>
                  <w:tcW w:w="797" w:type="dxa"/>
                  <w:vMerge w:val="continue"/>
                  <w:tcBorders>
                    <w:tl2br w:val="nil"/>
                    <w:tr2bl w:val="nil"/>
                  </w:tcBorders>
                  <w:noWrap w:val="0"/>
                  <w:vAlign w:val="center"/>
                </w:tcPr>
                <w:p w14:paraId="23505FFB">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szCs w:val="21"/>
                      <w:highlight w:val="none"/>
                      <w:lang w:eastAsia="zh-CN"/>
                    </w:rPr>
                  </w:pPr>
                </w:p>
              </w:tc>
            </w:tr>
            <w:tr w14:paraId="2C34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1F846AB3">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2121" w:type="dxa"/>
                  <w:gridSpan w:val="2"/>
                  <w:tcBorders>
                    <w:tl2br w:val="nil"/>
                    <w:tr2bl w:val="nil"/>
                  </w:tcBorders>
                  <w:noWrap w:val="0"/>
                  <w:vAlign w:val="center"/>
                </w:tcPr>
                <w:p w14:paraId="492B087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供热</w:t>
                  </w:r>
                </w:p>
              </w:tc>
              <w:tc>
                <w:tcPr>
                  <w:tcW w:w="4638" w:type="dxa"/>
                  <w:tcBorders>
                    <w:tl2br w:val="nil"/>
                    <w:tr2bl w:val="nil"/>
                  </w:tcBorders>
                  <w:noWrap w:val="0"/>
                  <w:vAlign w:val="center"/>
                </w:tcPr>
                <w:p w14:paraId="2E68DA3F">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生产过程中</w:t>
                  </w:r>
                  <w:r>
                    <w:rPr>
                      <w:rFonts w:hint="eastAsia" w:ascii="Times New Roman" w:hAnsi="Times New Roman" w:eastAsia="宋体"/>
                      <w:color w:val="auto"/>
                      <w:sz w:val="21"/>
                      <w:szCs w:val="21"/>
                      <w:highlight w:val="none"/>
                    </w:rPr>
                    <w:t>采用</w:t>
                  </w:r>
                  <w:r>
                    <w:rPr>
                      <w:rFonts w:hint="eastAsia" w:ascii="Times New Roman" w:hAnsi="Times New Roman" w:eastAsia="宋体"/>
                      <w:color w:val="auto"/>
                      <w:sz w:val="21"/>
                      <w:szCs w:val="21"/>
                      <w:highlight w:val="none"/>
                      <w:lang w:val="en-US" w:eastAsia="zh-CN"/>
                    </w:rPr>
                    <w:t>电</w:t>
                  </w:r>
                  <w:r>
                    <w:rPr>
                      <w:rFonts w:ascii="Times New Roman" w:hAnsi="Times New Roman" w:eastAsia="宋体"/>
                      <w:color w:val="auto"/>
                      <w:sz w:val="21"/>
                      <w:szCs w:val="21"/>
                      <w:highlight w:val="none"/>
                    </w:rPr>
                    <w:t>加热，办公室采用空调供热</w:t>
                  </w:r>
                </w:p>
              </w:tc>
              <w:tc>
                <w:tcPr>
                  <w:tcW w:w="797" w:type="dxa"/>
                  <w:vMerge w:val="continue"/>
                  <w:tcBorders>
                    <w:tl2br w:val="nil"/>
                    <w:tr2bl w:val="nil"/>
                  </w:tcBorders>
                  <w:noWrap w:val="0"/>
                  <w:vAlign w:val="center"/>
                </w:tcPr>
                <w:p w14:paraId="290E5B82">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r>
            <w:tr w14:paraId="3EF6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8" w:type="dxa"/>
                  <w:vMerge w:val="restart"/>
                  <w:tcBorders>
                    <w:tl2br w:val="nil"/>
                    <w:tr2bl w:val="nil"/>
                  </w:tcBorders>
                  <w:noWrap w:val="0"/>
                  <w:vAlign w:val="center"/>
                </w:tcPr>
                <w:p w14:paraId="6383D6A0">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环保工程</w:t>
                  </w:r>
                </w:p>
              </w:tc>
              <w:tc>
                <w:tcPr>
                  <w:tcW w:w="2121" w:type="dxa"/>
                  <w:gridSpan w:val="2"/>
                  <w:vMerge w:val="restart"/>
                  <w:tcBorders>
                    <w:tl2br w:val="nil"/>
                    <w:tr2bl w:val="nil"/>
                  </w:tcBorders>
                  <w:noWrap w:val="0"/>
                  <w:vAlign w:val="center"/>
                </w:tcPr>
                <w:p w14:paraId="7C8D9E81">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废气处理</w:t>
                  </w:r>
                </w:p>
              </w:tc>
              <w:tc>
                <w:tcPr>
                  <w:tcW w:w="4638" w:type="dxa"/>
                  <w:tcBorders>
                    <w:tl2br w:val="nil"/>
                    <w:tr2bl w:val="nil"/>
                  </w:tcBorders>
                  <w:noWrap w:val="0"/>
                  <w:vAlign w:val="center"/>
                </w:tcPr>
                <w:p w14:paraId="26A0E0EF">
                  <w:pPr>
                    <w:keepNext w:val="0"/>
                    <w:keepLines w:val="0"/>
                    <w:pageBreakBefore w:val="0"/>
                    <w:kinsoku/>
                    <w:wordWrap/>
                    <w:overflowPunct/>
                    <w:topLinePunct w:val="0"/>
                    <w:bidi w:val="0"/>
                    <w:snapToGrid w:val="0"/>
                    <w:spacing w:line="240" w:lineRule="auto"/>
                    <w:jc w:val="center"/>
                    <w:textAlignment w:val="auto"/>
                    <w:rPr>
                      <w:rFonts w:hint="default" w:ascii="Times New Roman" w:hAnsi="Times New Roman" w:eastAsia="宋体"/>
                      <w:color w:val="FF0000"/>
                      <w:sz w:val="21"/>
                      <w:szCs w:val="21"/>
                      <w:highlight w:val="none"/>
                      <w:lang w:val="en-US" w:eastAsia="zh-CN"/>
                    </w:rPr>
                  </w:pPr>
                  <w:r>
                    <w:rPr>
                      <w:rFonts w:hint="eastAsia" w:ascii="Times New Roman" w:hAnsi="Times New Roman" w:eastAsia="宋体"/>
                      <w:color w:val="FF0000"/>
                      <w:sz w:val="21"/>
                      <w:szCs w:val="21"/>
                      <w:highlight w:val="none"/>
                      <w:lang w:val="en-US" w:eastAsia="zh-CN"/>
                    </w:rPr>
                    <w:t>打磨产生的粉尘，</w:t>
                  </w:r>
                  <w:r>
                    <w:rPr>
                      <w:rFonts w:hint="eastAsia"/>
                      <w:color w:val="FF0000"/>
                      <w:sz w:val="21"/>
                      <w:szCs w:val="21"/>
                      <w:highlight w:val="none"/>
                      <w:lang w:val="en-US" w:eastAsia="zh-CN"/>
                    </w:rPr>
                    <w:t>密闭</w:t>
                  </w:r>
                  <w:r>
                    <w:rPr>
                      <w:rFonts w:hint="eastAsia" w:ascii="Times New Roman" w:hAnsi="Times New Roman" w:eastAsia="宋体"/>
                      <w:color w:val="FF0000"/>
                      <w:sz w:val="21"/>
                      <w:szCs w:val="21"/>
                      <w:highlight w:val="none"/>
                      <w:lang w:val="en-US" w:eastAsia="zh-CN"/>
                    </w:rPr>
                    <w:t>收集后引入袋式除尘器处理后由15m高排气筒DA001</w:t>
                  </w:r>
                  <w:r>
                    <w:rPr>
                      <w:rFonts w:hint="eastAsia" w:ascii="Times New Roman" w:hAnsi="Times New Roman" w:eastAsia="宋体"/>
                      <w:color w:val="FF0000"/>
                      <w:sz w:val="21"/>
                      <w:szCs w:val="21"/>
                      <w:highlight w:val="none"/>
                      <w:lang w:eastAsia="zh-CN"/>
                    </w:rPr>
                    <w:t>排放</w:t>
                  </w:r>
                  <w:r>
                    <w:rPr>
                      <w:rFonts w:hint="eastAsia" w:ascii="Times New Roman" w:hAnsi="Times New Roman" w:eastAsia="宋体"/>
                      <w:color w:val="FF0000"/>
                      <w:sz w:val="21"/>
                      <w:szCs w:val="21"/>
                      <w:highlight w:val="none"/>
                      <w:lang w:val="en-US" w:eastAsia="zh-CN"/>
                    </w:rPr>
                    <w:t>。</w:t>
                  </w:r>
                </w:p>
              </w:tc>
              <w:tc>
                <w:tcPr>
                  <w:tcW w:w="797" w:type="dxa"/>
                  <w:tcBorders>
                    <w:tl2br w:val="nil"/>
                    <w:tr2bl w:val="nil"/>
                  </w:tcBorders>
                  <w:noWrap w:val="0"/>
                  <w:vAlign w:val="center"/>
                </w:tcPr>
                <w:p w14:paraId="37C49FDD">
                  <w:pPr>
                    <w:keepNext w:val="0"/>
                    <w:keepLines w:val="0"/>
                    <w:pageBreakBefore w:val="0"/>
                    <w:kinsoku/>
                    <w:wordWrap/>
                    <w:overflowPunct/>
                    <w:topLinePunct w:val="0"/>
                    <w:bidi w:val="0"/>
                    <w:snapToGrid w:val="0"/>
                    <w:spacing w:line="240" w:lineRule="auto"/>
                    <w:jc w:val="center"/>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改造现有</w:t>
                  </w:r>
                </w:p>
              </w:tc>
            </w:tr>
            <w:tr w14:paraId="3573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8" w:type="dxa"/>
                  <w:vMerge w:val="continue"/>
                  <w:tcBorders>
                    <w:tl2br w:val="nil"/>
                    <w:tr2bl w:val="nil"/>
                  </w:tcBorders>
                  <w:noWrap w:val="0"/>
                  <w:vAlign w:val="center"/>
                </w:tcPr>
                <w:p w14:paraId="1D5EB6BC">
                  <w:pPr>
                    <w:keepNext w:val="0"/>
                    <w:keepLines w:val="0"/>
                    <w:pageBreakBefore w:val="0"/>
                    <w:widowControl/>
                    <w:kinsoku/>
                    <w:wordWrap/>
                    <w:overflowPunct/>
                    <w:topLinePunct w:val="0"/>
                    <w:bidi w:val="0"/>
                    <w:spacing w:line="240" w:lineRule="auto"/>
                    <w:jc w:val="center"/>
                    <w:textAlignment w:val="auto"/>
                    <w:rPr>
                      <w:rFonts w:hint="eastAsia" w:ascii="Times New Roman" w:hAnsi="Times New Roman" w:eastAsia="宋体"/>
                      <w:color w:val="auto"/>
                      <w:sz w:val="21"/>
                      <w:szCs w:val="21"/>
                      <w:highlight w:val="none"/>
                      <w:lang w:val="en-US" w:eastAsia="zh-CN"/>
                    </w:rPr>
                  </w:pPr>
                </w:p>
              </w:tc>
              <w:tc>
                <w:tcPr>
                  <w:tcW w:w="2121" w:type="dxa"/>
                  <w:gridSpan w:val="2"/>
                  <w:vMerge w:val="continue"/>
                  <w:tcBorders>
                    <w:tl2br w:val="nil"/>
                    <w:tr2bl w:val="nil"/>
                  </w:tcBorders>
                  <w:noWrap w:val="0"/>
                  <w:vAlign w:val="center"/>
                </w:tcPr>
                <w:p w14:paraId="6CC9A3D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4638" w:type="dxa"/>
                  <w:tcBorders>
                    <w:tl2br w:val="nil"/>
                    <w:tr2bl w:val="nil"/>
                  </w:tcBorders>
                  <w:noWrap w:val="0"/>
                  <w:vAlign w:val="center"/>
                </w:tcPr>
                <w:p w14:paraId="01223AC2">
                  <w:pPr>
                    <w:keepNext w:val="0"/>
                    <w:keepLines w:val="0"/>
                    <w:pageBreakBefore w:val="0"/>
                    <w:kinsoku/>
                    <w:wordWrap/>
                    <w:overflowPunct/>
                    <w:topLinePunct w:val="0"/>
                    <w:bidi w:val="0"/>
                    <w:snapToGrid w:val="0"/>
                    <w:spacing w:line="240" w:lineRule="auto"/>
                    <w:jc w:val="center"/>
                    <w:textAlignment w:val="auto"/>
                    <w:rPr>
                      <w:rFonts w:hint="eastAsia" w:ascii="Times New Roman" w:hAnsi="Times New Roman" w:eastAsia="宋体"/>
                      <w:color w:val="FF0000"/>
                      <w:kern w:val="2"/>
                      <w:sz w:val="21"/>
                      <w:szCs w:val="21"/>
                      <w:highlight w:val="none"/>
                      <w:lang w:val="en-US" w:eastAsia="zh-CN" w:bidi="ar-SA"/>
                    </w:rPr>
                  </w:pPr>
                  <w:r>
                    <w:rPr>
                      <w:rFonts w:hint="eastAsia" w:ascii="Times New Roman" w:hAnsi="Times New Roman" w:eastAsia="宋体"/>
                      <w:color w:val="FF0000"/>
                      <w:sz w:val="21"/>
                      <w:szCs w:val="21"/>
                      <w:highlight w:val="none"/>
                      <w:lang w:val="en-US" w:eastAsia="zh-CN"/>
                    </w:rPr>
                    <w:t>烧结工序上料口和出料口及筛分、磁选、包装产生的粉尘、有机废气，收集后引入袋式除尘器+二级活性炭吸附处理后由15m高排气筒DA002</w:t>
                  </w:r>
                  <w:r>
                    <w:rPr>
                      <w:rFonts w:hint="eastAsia" w:ascii="Times New Roman" w:hAnsi="Times New Roman" w:eastAsia="宋体"/>
                      <w:color w:val="FF0000"/>
                      <w:sz w:val="21"/>
                      <w:szCs w:val="21"/>
                      <w:highlight w:val="none"/>
                      <w:lang w:eastAsia="zh-CN"/>
                    </w:rPr>
                    <w:t>排放</w:t>
                  </w:r>
                  <w:r>
                    <w:rPr>
                      <w:rFonts w:hint="eastAsia" w:ascii="Times New Roman" w:hAnsi="Times New Roman" w:eastAsia="宋体"/>
                      <w:color w:val="FF0000"/>
                      <w:sz w:val="21"/>
                      <w:szCs w:val="21"/>
                      <w:highlight w:val="none"/>
                      <w:lang w:val="en-US" w:eastAsia="zh-CN"/>
                    </w:rPr>
                    <w:t>。</w:t>
                  </w:r>
                </w:p>
              </w:tc>
              <w:tc>
                <w:tcPr>
                  <w:tcW w:w="797" w:type="dxa"/>
                  <w:tcBorders>
                    <w:tl2br w:val="nil"/>
                    <w:tr2bl w:val="nil"/>
                  </w:tcBorders>
                  <w:noWrap w:val="0"/>
                  <w:vAlign w:val="center"/>
                </w:tcPr>
                <w:p w14:paraId="40C82E8A">
                  <w:pPr>
                    <w:keepNext w:val="0"/>
                    <w:keepLines w:val="0"/>
                    <w:pageBreakBefore w:val="0"/>
                    <w:kinsoku/>
                    <w:wordWrap/>
                    <w:overflowPunct/>
                    <w:topLinePunct w:val="0"/>
                    <w:bidi w:val="0"/>
                    <w:snapToGrid w:val="0"/>
                    <w:spacing w:line="240" w:lineRule="auto"/>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新建</w:t>
                  </w:r>
                </w:p>
              </w:tc>
            </w:tr>
            <w:tr w14:paraId="7186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03E822E5">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2121" w:type="dxa"/>
                  <w:gridSpan w:val="2"/>
                  <w:tcBorders>
                    <w:tl2br w:val="nil"/>
                    <w:tr2bl w:val="nil"/>
                  </w:tcBorders>
                  <w:noWrap w:val="0"/>
                  <w:vAlign w:val="center"/>
                </w:tcPr>
                <w:p w14:paraId="3037BDE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废水处理</w:t>
                  </w:r>
                </w:p>
              </w:tc>
              <w:tc>
                <w:tcPr>
                  <w:tcW w:w="4638" w:type="dxa"/>
                  <w:tcBorders>
                    <w:tl2br w:val="nil"/>
                    <w:tr2bl w:val="nil"/>
                  </w:tcBorders>
                  <w:noWrap w:val="0"/>
                  <w:vAlign w:val="center"/>
                </w:tcPr>
                <w:p w14:paraId="3CA1E0F1">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改扩建项目不新增生活污水，无生产废水产生及排放</w:t>
                  </w:r>
                  <w:r>
                    <w:rPr>
                      <w:rFonts w:hint="eastAsia" w:ascii="Times New Roman" w:hAnsi="Times New Roman" w:eastAsia="宋体"/>
                      <w:color w:val="auto"/>
                      <w:sz w:val="21"/>
                      <w:szCs w:val="21"/>
                      <w:highlight w:val="none"/>
                    </w:rPr>
                    <w:t>。</w:t>
                  </w:r>
                </w:p>
              </w:tc>
              <w:tc>
                <w:tcPr>
                  <w:tcW w:w="797" w:type="dxa"/>
                  <w:tcBorders>
                    <w:tl2br w:val="nil"/>
                    <w:tr2bl w:val="nil"/>
                  </w:tcBorders>
                  <w:noWrap w:val="0"/>
                  <w:vAlign w:val="center"/>
                </w:tcPr>
                <w:p w14:paraId="67ADBFA0">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kern w:val="0"/>
                      <w:sz w:val="21"/>
                      <w:szCs w:val="21"/>
                      <w:highlight w:val="none"/>
                      <w:lang w:eastAsia="zh-CN"/>
                    </w:rPr>
                  </w:pPr>
                  <w:r>
                    <w:rPr>
                      <w:rFonts w:hint="eastAsia" w:ascii="Times New Roman" w:hAnsi="Times New Roman" w:eastAsia="宋体"/>
                      <w:color w:val="auto"/>
                      <w:kern w:val="0"/>
                      <w:sz w:val="21"/>
                      <w:szCs w:val="21"/>
                      <w:highlight w:val="none"/>
                      <w:lang w:val="en-US" w:eastAsia="zh-CN"/>
                    </w:rPr>
                    <w:t>依托现有</w:t>
                  </w:r>
                </w:p>
              </w:tc>
            </w:tr>
            <w:tr w14:paraId="6C41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1BF9D5EA">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2121" w:type="dxa"/>
                  <w:gridSpan w:val="2"/>
                  <w:tcBorders>
                    <w:tl2br w:val="nil"/>
                    <w:tr2bl w:val="nil"/>
                  </w:tcBorders>
                  <w:noWrap w:val="0"/>
                  <w:vAlign w:val="center"/>
                </w:tcPr>
                <w:p w14:paraId="3FDE100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固废处理</w:t>
                  </w:r>
                </w:p>
              </w:tc>
              <w:tc>
                <w:tcPr>
                  <w:tcW w:w="4638" w:type="dxa"/>
                  <w:tcBorders>
                    <w:tl2br w:val="nil"/>
                    <w:tr2bl w:val="nil"/>
                  </w:tcBorders>
                  <w:noWrap w:val="0"/>
                  <w:vAlign w:val="center"/>
                </w:tcPr>
                <w:p w14:paraId="62DCF48D">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s="Times New Roman"/>
                      <w:b w:val="0"/>
                      <w:color w:val="auto"/>
                      <w:sz w:val="21"/>
                      <w:szCs w:val="21"/>
                      <w:highlight w:val="none"/>
                      <w:lang w:val="en-US" w:eastAsia="zh-CN"/>
                    </w:rPr>
                    <w:t>项目产生的一般固废统一收集后外售处理，产生的危险固废委托有资质单位处理；</w:t>
                  </w:r>
                  <w:r>
                    <w:rPr>
                      <w:rFonts w:hint="default" w:ascii="Times New Roman" w:hAnsi="Times New Roman" w:eastAsia="宋体" w:cs="Times New Roman"/>
                      <w:b w:val="0"/>
                      <w:color w:val="auto"/>
                      <w:sz w:val="21"/>
                      <w:szCs w:val="21"/>
                      <w:highlight w:val="none"/>
                      <w:lang w:val="en-US" w:eastAsia="zh-CN"/>
                    </w:rPr>
                    <w:t>生活垃圾收集后统一交由环卫部门处置</w:t>
                  </w:r>
                </w:p>
              </w:tc>
              <w:tc>
                <w:tcPr>
                  <w:tcW w:w="797" w:type="dxa"/>
                  <w:tcBorders>
                    <w:tl2br w:val="nil"/>
                    <w:tr2bl w:val="nil"/>
                  </w:tcBorders>
                  <w:noWrap w:val="0"/>
                  <w:vAlign w:val="center"/>
                </w:tcPr>
                <w:p w14:paraId="54B26A08">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kern w:val="0"/>
                      <w:sz w:val="21"/>
                      <w:szCs w:val="21"/>
                      <w:highlight w:val="none"/>
                      <w:lang w:val="en-US" w:eastAsia="zh-CN"/>
                    </w:rPr>
                  </w:pPr>
                  <w:r>
                    <w:rPr>
                      <w:rFonts w:hint="eastAsia" w:ascii="Times New Roman" w:hAnsi="Times New Roman" w:eastAsia="宋体"/>
                      <w:color w:val="auto"/>
                      <w:kern w:val="0"/>
                      <w:sz w:val="21"/>
                      <w:szCs w:val="21"/>
                      <w:highlight w:val="none"/>
                      <w:lang w:val="en-US" w:eastAsia="zh-CN"/>
                    </w:rPr>
                    <w:t>依托现有</w:t>
                  </w:r>
                </w:p>
              </w:tc>
            </w:tr>
            <w:tr w14:paraId="2AF5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8" w:type="dxa"/>
                  <w:vMerge w:val="continue"/>
                  <w:tcBorders>
                    <w:tl2br w:val="nil"/>
                    <w:tr2bl w:val="nil"/>
                  </w:tcBorders>
                  <w:noWrap w:val="0"/>
                  <w:vAlign w:val="center"/>
                </w:tcPr>
                <w:p w14:paraId="5FBF2397">
                  <w:pPr>
                    <w:keepNext w:val="0"/>
                    <w:keepLines w:val="0"/>
                    <w:pageBreakBefore w:val="0"/>
                    <w:widowControl/>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p>
              </w:tc>
              <w:tc>
                <w:tcPr>
                  <w:tcW w:w="2121" w:type="dxa"/>
                  <w:gridSpan w:val="2"/>
                  <w:tcBorders>
                    <w:tl2br w:val="nil"/>
                    <w:tr2bl w:val="nil"/>
                  </w:tcBorders>
                  <w:noWrap w:val="0"/>
                  <w:vAlign w:val="center"/>
                </w:tcPr>
                <w:p w14:paraId="58CA862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噪声处理</w:t>
                  </w:r>
                </w:p>
              </w:tc>
              <w:tc>
                <w:tcPr>
                  <w:tcW w:w="4638" w:type="dxa"/>
                  <w:tcBorders>
                    <w:tl2br w:val="nil"/>
                    <w:tr2bl w:val="nil"/>
                  </w:tcBorders>
                  <w:noWrap w:val="0"/>
                  <w:vAlign w:val="center"/>
                </w:tcPr>
                <w:p w14:paraId="18A20011">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采用隔声</w:t>
                  </w: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减振等降噪措施。</w:t>
                  </w:r>
                </w:p>
              </w:tc>
              <w:tc>
                <w:tcPr>
                  <w:tcW w:w="797" w:type="dxa"/>
                  <w:tcBorders>
                    <w:tl2br w:val="nil"/>
                    <w:tr2bl w:val="nil"/>
                  </w:tcBorders>
                  <w:noWrap w:val="0"/>
                  <w:vAlign w:val="center"/>
                </w:tcPr>
                <w:p w14:paraId="094E413A">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w:t>
                  </w:r>
                </w:p>
              </w:tc>
            </w:tr>
          </w:tbl>
          <w:p w14:paraId="2B9EAEE0">
            <w:pPr>
              <w:shd w:val="clear" w:color="auto" w:fill="auto"/>
              <w:spacing w:line="360" w:lineRule="auto"/>
              <w:ind w:firstLine="482"/>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kern w:val="0"/>
                <w:sz w:val="24"/>
                <w:szCs w:val="24"/>
                <w:highlight w:val="none"/>
              </w:rPr>
              <w:t>2、</w:t>
            </w:r>
            <w:r>
              <w:rPr>
                <w:rFonts w:hint="eastAsia" w:cs="Times New Roman"/>
                <w:b/>
                <w:bCs/>
                <w:color w:val="auto"/>
                <w:kern w:val="0"/>
                <w:sz w:val="24"/>
                <w:szCs w:val="24"/>
                <w:highlight w:val="none"/>
                <w:lang w:val="en-US" w:eastAsia="zh-CN"/>
              </w:rPr>
              <w:t>产品规模</w:t>
            </w:r>
          </w:p>
          <w:p w14:paraId="48A73C1E">
            <w:pPr>
              <w:tabs>
                <w:tab w:val="left" w:pos="4065"/>
              </w:tabs>
              <w:spacing w:line="360" w:lineRule="auto"/>
              <w:ind w:firstLine="480"/>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b w:val="0"/>
                <w:bCs w:val="0"/>
                <w:color w:val="auto"/>
                <w:kern w:val="0"/>
                <w:sz w:val="24"/>
                <w:szCs w:val="24"/>
                <w:highlight w:val="none"/>
                <w:lang w:eastAsia="zh-CN"/>
              </w:rPr>
              <w:t>项目建成后全厂</w:t>
            </w:r>
            <w:r>
              <w:rPr>
                <w:rFonts w:hint="eastAsia" w:cs="Times New Roman"/>
                <w:b w:val="0"/>
                <w:bCs w:val="0"/>
                <w:color w:val="auto"/>
                <w:kern w:val="0"/>
                <w:sz w:val="24"/>
                <w:szCs w:val="24"/>
                <w:highlight w:val="none"/>
                <w:lang w:val="en-US" w:eastAsia="zh-CN"/>
              </w:rPr>
              <w:t>再生</w:t>
            </w:r>
            <w:r>
              <w:rPr>
                <w:rFonts w:hint="eastAsia" w:ascii="Times New Roman" w:hAnsi="Times New Roman" w:eastAsia="宋体" w:cs="Times New Roman"/>
                <w:b w:val="0"/>
                <w:bCs w:val="0"/>
                <w:color w:val="auto"/>
                <w:kern w:val="0"/>
                <w:sz w:val="24"/>
                <w:szCs w:val="24"/>
                <w:highlight w:val="none"/>
                <w:lang w:eastAsia="zh-CN"/>
              </w:rPr>
              <w:t>硅</w:t>
            </w:r>
            <w:r>
              <w:rPr>
                <w:rFonts w:hint="eastAsia" w:ascii="Times New Roman" w:hAnsi="Times New Roman" w:eastAsia="宋体" w:cs="Times New Roman"/>
                <w:b w:val="0"/>
                <w:bCs w:val="0"/>
                <w:color w:val="auto"/>
                <w:kern w:val="0"/>
                <w:sz w:val="24"/>
                <w:szCs w:val="24"/>
                <w:highlight w:val="none"/>
                <w:lang w:val="en-US" w:eastAsia="zh-CN"/>
              </w:rPr>
              <w:t>材料</w:t>
            </w:r>
            <w:r>
              <w:rPr>
                <w:rFonts w:hint="eastAsia" w:ascii="Times New Roman" w:hAnsi="Times New Roman" w:eastAsia="宋体" w:cs="Times New Roman"/>
                <w:b w:val="0"/>
                <w:bCs w:val="0"/>
                <w:color w:val="auto"/>
                <w:kern w:val="0"/>
                <w:sz w:val="24"/>
                <w:szCs w:val="24"/>
                <w:highlight w:val="none"/>
                <w:lang w:eastAsia="zh-CN"/>
              </w:rPr>
              <w:t>处理</w:t>
            </w:r>
            <w:r>
              <w:rPr>
                <w:rFonts w:hint="eastAsia" w:cs="Times New Roman"/>
                <w:b w:val="0"/>
                <w:bCs w:val="0"/>
                <w:color w:val="auto"/>
                <w:kern w:val="0"/>
                <w:sz w:val="24"/>
                <w:szCs w:val="24"/>
                <w:highlight w:val="none"/>
                <w:lang w:val="en-US" w:eastAsia="zh-CN"/>
              </w:rPr>
              <w:t>产能</w:t>
            </w:r>
            <w:r>
              <w:rPr>
                <w:rFonts w:hint="eastAsia" w:ascii="Times New Roman" w:hAnsi="Times New Roman" w:eastAsia="宋体" w:cs="Times New Roman"/>
                <w:b w:val="0"/>
                <w:bCs w:val="0"/>
                <w:color w:val="auto"/>
                <w:kern w:val="0"/>
                <w:sz w:val="24"/>
                <w:szCs w:val="24"/>
                <w:highlight w:val="none"/>
                <w:lang w:val="en-US" w:eastAsia="zh-CN"/>
              </w:rPr>
              <w:t>扩增至6000t/a</w:t>
            </w:r>
            <w:r>
              <w:rPr>
                <w:rFonts w:hint="eastAsia" w:ascii="Times New Roman" w:hAnsi="Times New Roman" w:eastAsia="宋体" w:cs="Times New Roman"/>
                <w:b w:val="0"/>
                <w:bCs w:val="0"/>
                <w:color w:val="auto"/>
                <w:kern w:val="0"/>
                <w:sz w:val="24"/>
                <w:szCs w:val="24"/>
                <w:highlight w:val="none"/>
                <w:lang w:eastAsia="zh-CN"/>
              </w:rPr>
              <w:t>，因</w:t>
            </w:r>
            <w:r>
              <w:rPr>
                <w:rFonts w:hint="eastAsia" w:ascii="Times New Roman" w:hAnsi="Times New Roman" w:eastAsia="宋体" w:cs="Times New Roman"/>
                <w:b w:val="0"/>
                <w:bCs w:val="0"/>
                <w:color w:val="auto"/>
                <w:kern w:val="0"/>
                <w:sz w:val="24"/>
                <w:szCs w:val="24"/>
                <w:highlight w:val="none"/>
                <w:lang w:val="en-US" w:eastAsia="zh-CN"/>
              </w:rPr>
              <w:t>增加</w:t>
            </w:r>
            <w:r>
              <w:rPr>
                <w:rFonts w:hint="eastAsia" w:ascii="Times New Roman" w:hAnsi="Times New Roman" w:eastAsia="宋体" w:cs="Times New Roman"/>
                <w:b w:val="0"/>
                <w:bCs w:val="0"/>
                <w:color w:val="auto"/>
                <w:kern w:val="0"/>
                <w:sz w:val="24"/>
                <w:szCs w:val="24"/>
                <w:highlight w:val="none"/>
                <w:lang w:eastAsia="zh-CN"/>
              </w:rPr>
              <w:t>了原料废硅</w:t>
            </w:r>
            <w:r>
              <w:rPr>
                <w:rFonts w:hint="eastAsia" w:ascii="Times New Roman" w:hAnsi="Times New Roman" w:eastAsia="宋体" w:cs="Times New Roman"/>
                <w:b w:val="0"/>
                <w:bCs w:val="0"/>
                <w:color w:val="auto"/>
                <w:kern w:val="0"/>
                <w:sz w:val="24"/>
                <w:szCs w:val="24"/>
                <w:highlight w:val="none"/>
                <w:lang w:val="en-US" w:eastAsia="zh-CN"/>
              </w:rPr>
              <w:t>材料</w:t>
            </w:r>
            <w:r>
              <w:rPr>
                <w:rFonts w:hint="eastAsia" w:ascii="Times New Roman" w:hAnsi="Times New Roman" w:eastAsia="宋体" w:cs="Times New Roman"/>
                <w:b w:val="0"/>
                <w:bCs w:val="0"/>
                <w:color w:val="auto"/>
                <w:kern w:val="0"/>
                <w:sz w:val="24"/>
                <w:szCs w:val="24"/>
                <w:highlight w:val="none"/>
                <w:lang w:eastAsia="zh-CN"/>
              </w:rPr>
              <w:t>的</w:t>
            </w:r>
            <w:r>
              <w:rPr>
                <w:rFonts w:hint="eastAsia" w:cs="Times New Roman"/>
                <w:b w:val="0"/>
                <w:bCs w:val="0"/>
                <w:color w:val="auto"/>
                <w:kern w:val="0"/>
                <w:sz w:val="24"/>
                <w:szCs w:val="24"/>
                <w:highlight w:val="none"/>
                <w:lang w:val="en-US" w:eastAsia="zh-CN"/>
              </w:rPr>
              <w:t>筛分</w:t>
            </w:r>
            <w:r>
              <w:rPr>
                <w:rFonts w:hint="eastAsia" w:ascii="Times New Roman" w:hAnsi="Times New Roman" w:eastAsia="宋体" w:cs="Times New Roman"/>
                <w:b w:val="0"/>
                <w:bCs w:val="0"/>
                <w:color w:val="auto"/>
                <w:kern w:val="0"/>
                <w:sz w:val="24"/>
                <w:szCs w:val="24"/>
                <w:highlight w:val="none"/>
                <w:lang w:eastAsia="zh-CN"/>
              </w:rPr>
              <w:t>设备，</w:t>
            </w:r>
            <w:r>
              <w:rPr>
                <w:rFonts w:hint="eastAsia" w:cs="Times New Roman"/>
                <w:b w:val="0"/>
                <w:bCs w:val="0"/>
                <w:color w:val="auto"/>
                <w:kern w:val="0"/>
                <w:sz w:val="24"/>
                <w:szCs w:val="24"/>
                <w:highlight w:val="none"/>
                <w:lang w:val="en-US" w:eastAsia="zh-CN"/>
              </w:rPr>
              <w:t>将</w:t>
            </w:r>
            <w:r>
              <w:rPr>
                <w:rFonts w:hint="eastAsia" w:ascii="Times New Roman" w:hAnsi="Times New Roman" w:eastAsia="宋体" w:cs="Times New Roman"/>
                <w:b w:val="0"/>
                <w:bCs w:val="0"/>
                <w:color w:val="auto"/>
                <w:kern w:val="0"/>
                <w:sz w:val="24"/>
                <w:szCs w:val="24"/>
                <w:highlight w:val="none"/>
                <w:lang w:eastAsia="zh-CN"/>
              </w:rPr>
              <w:t>废硅</w:t>
            </w:r>
            <w:r>
              <w:rPr>
                <w:rFonts w:hint="eastAsia" w:ascii="Times New Roman" w:hAnsi="Times New Roman" w:eastAsia="宋体" w:cs="Times New Roman"/>
                <w:b w:val="0"/>
                <w:bCs w:val="0"/>
                <w:color w:val="auto"/>
                <w:kern w:val="0"/>
                <w:sz w:val="24"/>
                <w:szCs w:val="24"/>
                <w:highlight w:val="none"/>
                <w:lang w:val="en-US" w:eastAsia="zh-CN"/>
              </w:rPr>
              <w:t>材料进一步细分为不同尺寸</w:t>
            </w:r>
            <w:r>
              <w:rPr>
                <w:rFonts w:hint="eastAsia" w:ascii="Times New Roman" w:hAnsi="Times New Roman" w:eastAsia="宋体" w:cs="Times New Roman"/>
                <w:b w:val="0"/>
                <w:bCs w:val="0"/>
                <w:color w:val="auto"/>
                <w:kern w:val="0"/>
                <w:sz w:val="24"/>
                <w:szCs w:val="24"/>
                <w:highlight w:val="none"/>
                <w:lang w:eastAsia="zh-CN"/>
              </w:rPr>
              <w:t>。项目</w:t>
            </w:r>
            <w:r>
              <w:rPr>
                <w:rFonts w:hint="default" w:ascii="Times New Roman" w:hAnsi="Times New Roman" w:eastAsia="宋体" w:cs="Times New Roman"/>
                <w:color w:val="auto"/>
                <w:kern w:val="0"/>
                <w:sz w:val="24"/>
                <w:szCs w:val="24"/>
                <w:highlight w:val="none"/>
              </w:rPr>
              <w:t>主要产品</w:t>
            </w:r>
            <w:r>
              <w:rPr>
                <w:rFonts w:hint="eastAsia" w:cs="Times New Roman"/>
                <w:color w:val="auto"/>
                <w:kern w:val="0"/>
                <w:sz w:val="24"/>
                <w:szCs w:val="24"/>
                <w:highlight w:val="none"/>
                <w:lang w:eastAsia="zh-CN"/>
              </w:rPr>
              <w:t>情况</w:t>
            </w:r>
            <w:r>
              <w:rPr>
                <w:rFonts w:hint="default" w:ascii="Times New Roman" w:hAnsi="Times New Roman" w:eastAsia="宋体" w:cs="Times New Roman"/>
                <w:color w:val="auto"/>
                <w:kern w:val="0"/>
                <w:sz w:val="24"/>
                <w:szCs w:val="24"/>
                <w:highlight w:val="none"/>
              </w:rPr>
              <w:t>见表</w:t>
            </w:r>
            <w:r>
              <w:rPr>
                <w:rFonts w:hint="eastAsia"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w:t>
            </w:r>
            <w:r>
              <w:rPr>
                <w:rFonts w:hint="eastAsia"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所示。</w:t>
            </w:r>
          </w:p>
          <w:p w14:paraId="1904A805">
            <w:pPr>
              <w:pStyle w:val="101"/>
              <w:bidi w:val="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项目主要产品及产量</w:t>
            </w:r>
            <w:r>
              <w:rPr>
                <w:rFonts w:hint="eastAsia" w:ascii="Times New Roman" w:hAnsi="Times New Roman" w:cs="Times New Roman"/>
                <w:color w:val="auto"/>
                <w:highlight w:val="none"/>
                <w:lang w:val="en-US" w:eastAsia="zh-CN"/>
              </w:rPr>
              <w:t>一览表</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5"/>
              <w:gridCol w:w="843"/>
              <w:gridCol w:w="1015"/>
              <w:gridCol w:w="1129"/>
              <w:gridCol w:w="1041"/>
              <w:gridCol w:w="3795"/>
            </w:tblGrid>
            <w:tr w14:paraId="27205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531" w:type="dxa"/>
                  <w:gridSpan w:val="2"/>
                  <w:vMerge w:val="restart"/>
                  <w:tcBorders>
                    <w:right w:val="single" w:color="auto" w:sz="4" w:space="0"/>
                    <w:tl2br w:val="nil"/>
                    <w:tr2bl w:val="nil"/>
                  </w:tcBorders>
                  <w:noWrap w:val="0"/>
                  <w:vAlign w:val="center"/>
                </w:tcPr>
                <w:p w14:paraId="0DDB44C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产品名称</w:t>
                  </w:r>
                </w:p>
              </w:tc>
              <w:tc>
                <w:tcPr>
                  <w:tcW w:w="1858" w:type="dxa"/>
                  <w:gridSpan w:val="2"/>
                  <w:tcBorders>
                    <w:left w:val="single" w:color="auto" w:sz="4" w:space="0"/>
                    <w:right w:val="single" w:color="auto" w:sz="4" w:space="0"/>
                    <w:tl2br w:val="nil"/>
                    <w:tr2bl w:val="nil"/>
                  </w:tcBorders>
                  <w:noWrap w:val="0"/>
                  <w:vAlign w:val="center"/>
                </w:tcPr>
                <w:p w14:paraId="68CF0C3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eastAsia="宋体" w:cs="Times New Roman"/>
                      <w:b w:val="0"/>
                      <w:bCs/>
                      <w:color w:val="auto"/>
                      <w:sz w:val="21"/>
                      <w:szCs w:val="21"/>
                      <w:highlight w:val="none"/>
                      <w:lang w:val="en-US" w:eastAsia="zh-CN"/>
                    </w:rPr>
                    <w:t>现有项目</w:t>
                  </w:r>
                </w:p>
              </w:tc>
              <w:tc>
                <w:tcPr>
                  <w:tcW w:w="5965" w:type="dxa"/>
                  <w:gridSpan w:val="3"/>
                  <w:tcBorders>
                    <w:left w:val="single" w:color="auto" w:sz="4" w:space="0"/>
                    <w:bottom w:val="single" w:color="auto" w:sz="4" w:space="0"/>
                    <w:tl2br w:val="nil"/>
                    <w:tr2bl w:val="nil"/>
                  </w:tcBorders>
                  <w:noWrap w:val="0"/>
                  <w:vAlign w:val="center"/>
                </w:tcPr>
                <w:p w14:paraId="18837B5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改扩建之后全厂产能</w:t>
                  </w:r>
                </w:p>
              </w:tc>
            </w:tr>
            <w:tr w14:paraId="646F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31" w:type="dxa"/>
                  <w:gridSpan w:val="2"/>
                  <w:vMerge w:val="continue"/>
                  <w:tcBorders>
                    <w:right w:val="single" w:color="auto" w:sz="4" w:space="0"/>
                    <w:tl2br w:val="nil"/>
                    <w:tr2bl w:val="nil"/>
                  </w:tcBorders>
                  <w:noWrap w:val="0"/>
                  <w:vAlign w:val="center"/>
                </w:tcPr>
                <w:p w14:paraId="6078F10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843" w:type="dxa"/>
                  <w:tcBorders>
                    <w:top w:val="single" w:color="auto" w:sz="4" w:space="0"/>
                    <w:left w:val="single" w:color="auto" w:sz="4" w:space="0"/>
                    <w:right w:val="single" w:color="auto" w:sz="4" w:space="0"/>
                    <w:tl2br w:val="nil"/>
                    <w:tr2bl w:val="nil"/>
                  </w:tcBorders>
                  <w:noWrap w:val="0"/>
                  <w:vAlign w:val="center"/>
                </w:tcPr>
                <w:p w14:paraId="19E867D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产品名称</w:t>
                  </w:r>
                </w:p>
              </w:tc>
              <w:tc>
                <w:tcPr>
                  <w:tcW w:w="1015" w:type="dxa"/>
                  <w:tcBorders>
                    <w:top w:val="single" w:color="auto" w:sz="4" w:space="0"/>
                    <w:left w:val="single" w:color="auto" w:sz="4" w:space="0"/>
                    <w:right w:val="single" w:color="auto" w:sz="4" w:space="0"/>
                    <w:tl2br w:val="nil"/>
                    <w:tr2bl w:val="nil"/>
                  </w:tcBorders>
                  <w:noWrap w:val="0"/>
                  <w:vAlign w:val="center"/>
                </w:tcPr>
                <w:p w14:paraId="4F69413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年产量</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kern w:val="0"/>
                      <w:sz w:val="21"/>
                      <w:szCs w:val="21"/>
                      <w:highlight w:val="none"/>
                    </w:rPr>
                    <w:t>吨/年</w:t>
                  </w:r>
                  <w:r>
                    <w:rPr>
                      <w:rFonts w:hint="eastAsia" w:ascii="Times New Roman" w:hAnsi="Times New Roman" w:eastAsia="宋体" w:cs="Times New Roman"/>
                      <w:b w:val="0"/>
                      <w:bCs/>
                      <w:color w:val="auto"/>
                      <w:sz w:val="21"/>
                      <w:szCs w:val="21"/>
                      <w:highlight w:val="none"/>
                      <w:lang w:val="en-US" w:eastAsia="zh-CN"/>
                    </w:rPr>
                    <w:t>）</w:t>
                  </w:r>
                </w:p>
              </w:tc>
              <w:tc>
                <w:tcPr>
                  <w:tcW w:w="1129" w:type="dxa"/>
                  <w:tcBorders>
                    <w:top w:val="single" w:color="auto" w:sz="4" w:space="0"/>
                    <w:left w:val="single" w:color="auto" w:sz="4" w:space="0"/>
                    <w:tl2br w:val="nil"/>
                    <w:tr2bl w:val="nil"/>
                  </w:tcBorders>
                  <w:noWrap w:val="0"/>
                  <w:vAlign w:val="center"/>
                </w:tcPr>
                <w:p w14:paraId="462C3F1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产品名称</w:t>
                  </w:r>
                </w:p>
              </w:tc>
              <w:tc>
                <w:tcPr>
                  <w:tcW w:w="1041" w:type="dxa"/>
                  <w:tcBorders>
                    <w:top w:val="single" w:color="auto" w:sz="4" w:space="0"/>
                    <w:tl2br w:val="nil"/>
                    <w:tr2bl w:val="nil"/>
                  </w:tcBorders>
                  <w:noWrap w:val="0"/>
                  <w:vAlign w:val="center"/>
                </w:tcPr>
                <w:p w14:paraId="7A29E80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年产量</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kern w:val="0"/>
                      <w:sz w:val="21"/>
                      <w:szCs w:val="21"/>
                      <w:highlight w:val="none"/>
                    </w:rPr>
                    <w:t>吨/年</w:t>
                  </w:r>
                  <w:r>
                    <w:rPr>
                      <w:rFonts w:hint="eastAsia" w:ascii="Times New Roman" w:hAnsi="Times New Roman" w:eastAsia="宋体" w:cs="Times New Roman"/>
                      <w:b w:val="0"/>
                      <w:bCs/>
                      <w:color w:val="auto"/>
                      <w:sz w:val="21"/>
                      <w:szCs w:val="21"/>
                      <w:highlight w:val="none"/>
                      <w:lang w:val="en-US" w:eastAsia="zh-CN"/>
                    </w:rPr>
                    <w:t>）</w:t>
                  </w:r>
                </w:p>
              </w:tc>
              <w:tc>
                <w:tcPr>
                  <w:tcW w:w="3795" w:type="dxa"/>
                  <w:tcBorders>
                    <w:top w:val="single" w:color="auto" w:sz="4" w:space="0"/>
                    <w:tl2br w:val="nil"/>
                    <w:tr2bl w:val="nil"/>
                  </w:tcBorders>
                  <w:noWrap w:val="0"/>
                  <w:vAlign w:val="center"/>
                </w:tcPr>
                <w:p w14:paraId="58C7798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产品规格</w:t>
                  </w:r>
                </w:p>
              </w:tc>
            </w:tr>
            <w:tr w14:paraId="48DD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526" w:type="dxa"/>
                  <w:vMerge w:val="restart"/>
                  <w:tcBorders>
                    <w:right w:val="single" w:color="auto" w:sz="4" w:space="0"/>
                    <w:tl2br w:val="nil"/>
                    <w:tr2bl w:val="nil"/>
                  </w:tcBorders>
                  <w:noWrap w:val="0"/>
                  <w:vAlign w:val="center"/>
                </w:tcPr>
                <w:p w14:paraId="4B4AFB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硅材料</w:t>
                  </w:r>
                </w:p>
              </w:tc>
              <w:tc>
                <w:tcPr>
                  <w:tcW w:w="848" w:type="dxa"/>
                  <w:gridSpan w:val="2"/>
                  <w:vMerge w:val="restart"/>
                  <w:tcBorders>
                    <w:left w:val="single" w:color="auto" w:sz="4" w:space="0"/>
                    <w:right w:val="single" w:color="auto" w:sz="4" w:space="0"/>
                    <w:tl2br w:val="nil"/>
                    <w:tr2bl w:val="nil"/>
                  </w:tcBorders>
                  <w:noWrap w:val="0"/>
                  <w:vAlign w:val="center"/>
                </w:tcPr>
                <w:p w14:paraId="15BABB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高纯再生硅材料</w:t>
                  </w:r>
                </w:p>
              </w:tc>
              <w:tc>
                <w:tcPr>
                  <w:tcW w:w="1015" w:type="dxa"/>
                  <w:vMerge w:val="restart"/>
                  <w:tcBorders>
                    <w:left w:val="single" w:color="auto" w:sz="4" w:space="0"/>
                    <w:right w:val="single" w:color="auto" w:sz="4" w:space="0"/>
                    <w:tl2br w:val="nil"/>
                    <w:tr2bl w:val="nil"/>
                  </w:tcBorders>
                  <w:noWrap w:val="0"/>
                  <w:vAlign w:val="center"/>
                </w:tcPr>
                <w:p w14:paraId="57F5D7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600</w:t>
                  </w:r>
                </w:p>
              </w:tc>
              <w:tc>
                <w:tcPr>
                  <w:tcW w:w="1129" w:type="dxa"/>
                  <w:tcBorders>
                    <w:left w:val="single" w:color="auto" w:sz="4" w:space="0"/>
                    <w:tl2br w:val="nil"/>
                    <w:tr2bl w:val="nil"/>
                  </w:tcBorders>
                  <w:noWrap w:val="0"/>
                  <w:vAlign w:val="center"/>
                </w:tcPr>
                <w:p w14:paraId="6F12677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单晶检验碎片</w:t>
                  </w:r>
                </w:p>
              </w:tc>
              <w:tc>
                <w:tcPr>
                  <w:tcW w:w="1041" w:type="dxa"/>
                  <w:tcBorders>
                    <w:tl2br w:val="nil"/>
                    <w:tr2bl w:val="nil"/>
                  </w:tcBorders>
                  <w:noWrap w:val="0"/>
                  <w:vAlign w:val="center"/>
                </w:tcPr>
                <w:p w14:paraId="6BDA78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2500</w:t>
                  </w:r>
                </w:p>
              </w:tc>
              <w:tc>
                <w:tcPr>
                  <w:tcW w:w="3795" w:type="dxa"/>
                  <w:tcBorders>
                    <w:tl2br w:val="nil"/>
                    <w:tr2bl w:val="nil"/>
                  </w:tcBorders>
                  <w:noWrap w:val="0"/>
                  <w:vAlign w:val="center"/>
                </w:tcPr>
                <w:p w14:paraId="659CB7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P型/N型，片状，尺寸2-5mm，10-20mm</w:t>
                  </w:r>
                </w:p>
              </w:tc>
            </w:tr>
            <w:tr w14:paraId="115E8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526" w:type="dxa"/>
                  <w:vMerge w:val="continue"/>
                  <w:tcBorders>
                    <w:tl2br w:val="nil"/>
                    <w:tr2bl w:val="nil"/>
                  </w:tcBorders>
                  <w:noWrap w:val="0"/>
                  <w:vAlign w:val="center"/>
                </w:tcPr>
                <w:p w14:paraId="03CAA7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848" w:type="dxa"/>
                  <w:gridSpan w:val="2"/>
                  <w:vMerge w:val="continue"/>
                  <w:tcBorders>
                    <w:left w:val="single" w:color="auto" w:sz="4" w:space="0"/>
                    <w:right w:val="single" w:color="auto" w:sz="4" w:space="0"/>
                    <w:tl2br w:val="nil"/>
                    <w:tr2bl w:val="nil"/>
                  </w:tcBorders>
                  <w:noWrap w:val="0"/>
                  <w:vAlign w:val="center"/>
                </w:tcPr>
                <w:p w14:paraId="759411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p>
              </w:tc>
              <w:tc>
                <w:tcPr>
                  <w:tcW w:w="1015" w:type="dxa"/>
                  <w:vMerge w:val="continue"/>
                  <w:tcBorders>
                    <w:left w:val="single" w:color="auto" w:sz="4" w:space="0"/>
                    <w:right w:val="single" w:color="auto" w:sz="4" w:space="0"/>
                    <w:tl2br w:val="nil"/>
                    <w:tr2bl w:val="nil"/>
                  </w:tcBorders>
                  <w:noWrap w:val="0"/>
                  <w:vAlign w:val="center"/>
                </w:tcPr>
                <w:p w14:paraId="5FD3CC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p>
              </w:tc>
              <w:tc>
                <w:tcPr>
                  <w:tcW w:w="1129" w:type="dxa"/>
                  <w:tcBorders>
                    <w:left w:val="single" w:color="auto" w:sz="4" w:space="0"/>
                    <w:tl2br w:val="nil"/>
                    <w:tr2bl w:val="nil"/>
                  </w:tcBorders>
                  <w:noWrap w:val="0"/>
                  <w:vAlign w:val="center"/>
                </w:tcPr>
                <w:p w14:paraId="41C7F5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单晶切割碎片</w:t>
                  </w:r>
                </w:p>
              </w:tc>
              <w:tc>
                <w:tcPr>
                  <w:tcW w:w="1041" w:type="dxa"/>
                  <w:tcBorders>
                    <w:tl2br w:val="nil"/>
                    <w:tr2bl w:val="nil"/>
                  </w:tcBorders>
                  <w:noWrap w:val="0"/>
                  <w:vAlign w:val="center"/>
                </w:tcPr>
                <w:p w14:paraId="565C31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1500</w:t>
                  </w:r>
                </w:p>
              </w:tc>
              <w:tc>
                <w:tcPr>
                  <w:tcW w:w="3795" w:type="dxa"/>
                  <w:tcBorders>
                    <w:tl2br w:val="nil"/>
                    <w:tr2bl w:val="nil"/>
                  </w:tcBorders>
                  <w:noWrap w:val="0"/>
                  <w:vAlign w:val="center"/>
                </w:tcPr>
                <w:p w14:paraId="5D9710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color w:val="auto"/>
                      <w:kern w:val="0"/>
                      <w:sz w:val="21"/>
                      <w:szCs w:val="21"/>
                      <w:highlight w:val="none"/>
                      <w:lang w:val="en-US" w:eastAsia="zh-CN"/>
                    </w:rPr>
                    <w:t>P型/N型，片状，尺寸2-5mm，10-20mm</w:t>
                  </w:r>
                </w:p>
              </w:tc>
            </w:tr>
            <w:tr w14:paraId="066A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26" w:type="dxa"/>
                  <w:vMerge w:val="continue"/>
                  <w:tcBorders>
                    <w:tl2br w:val="nil"/>
                    <w:tr2bl w:val="nil"/>
                  </w:tcBorders>
                  <w:noWrap w:val="0"/>
                  <w:vAlign w:val="center"/>
                </w:tcPr>
                <w:p w14:paraId="6D2E90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848" w:type="dxa"/>
                  <w:gridSpan w:val="2"/>
                  <w:vMerge w:val="continue"/>
                  <w:tcBorders>
                    <w:left w:val="single" w:color="auto" w:sz="4" w:space="0"/>
                    <w:right w:val="single" w:color="auto" w:sz="4" w:space="0"/>
                    <w:tl2br w:val="nil"/>
                    <w:tr2bl w:val="nil"/>
                  </w:tcBorders>
                  <w:noWrap w:val="0"/>
                  <w:vAlign w:val="center"/>
                </w:tcPr>
                <w:p w14:paraId="2FCCFF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p>
              </w:tc>
              <w:tc>
                <w:tcPr>
                  <w:tcW w:w="1015" w:type="dxa"/>
                  <w:vMerge w:val="continue"/>
                  <w:tcBorders>
                    <w:left w:val="single" w:color="auto" w:sz="4" w:space="0"/>
                    <w:right w:val="single" w:color="auto" w:sz="4" w:space="0"/>
                    <w:tl2br w:val="nil"/>
                    <w:tr2bl w:val="nil"/>
                  </w:tcBorders>
                  <w:noWrap w:val="0"/>
                  <w:vAlign w:val="center"/>
                </w:tcPr>
                <w:p w14:paraId="14D672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p>
              </w:tc>
              <w:tc>
                <w:tcPr>
                  <w:tcW w:w="1129" w:type="dxa"/>
                  <w:tcBorders>
                    <w:left w:val="single" w:color="auto" w:sz="4" w:space="0"/>
                    <w:tl2br w:val="nil"/>
                    <w:tr2bl w:val="nil"/>
                  </w:tcBorders>
                  <w:noWrap w:val="0"/>
                  <w:vAlign w:val="center"/>
                </w:tcPr>
                <w:p w14:paraId="7E16F9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单晶厚片</w:t>
                  </w:r>
                </w:p>
              </w:tc>
              <w:tc>
                <w:tcPr>
                  <w:tcW w:w="1041" w:type="dxa"/>
                  <w:tcBorders>
                    <w:tl2br w:val="nil"/>
                    <w:tr2bl w:val="nil"/>
                  </w:tcBorders>
                  <w:noWrap w:val="0"/>
                  <w:vAlign w:val="center"/>
                </w:tcPr>
                <w:p w14:paraId="4E0D97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rPr>
                    <w:t>1000</w:t>
                  </w:r>
                </w:p>
              </w:tc>
              <w:tc>
                <w:tcPr>
                  <w:tcW w:w="3795" w:type="dxa"/>
                  <w:tcBorders>
                    <w:tl2br w:val="nil"/>
                    <w:tr2bl w:val="nil"/>
                  </w:tcBorders>
                  <w:noWrap w:val="0"/>
                  <w:vAlign w:val="center"/>
                </w:tcPr>
                <w:p w14:paraId="45A6AF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color w:val="auto"/>
                      <w:kern w:val="0"/>
                      <w:sz w:val="21"/>
                      <w:szCs w:val="21"/>
                      <w:highlight w:val="none"/>
                      <w:lang w:val="en-US" w:eastAsia="zh-CN"/>
                    </w:rPr>
                    <w:t>P型/N型，片状，尺寸2mm以下，2-5mm，5-10mm，10-50mm</w:t>
                  </w:r>
                </w:p>
              </w:tc>
            </w:tr>
            <w:tr w14:paraId="27E5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526" w:type="dxa"/>
                  <w:vMerge w:val="continue"/>
                  <w:tcBorders>
                    <w:tl2br w:val="nil"/>
                    <w:tr2bl w:val="nil"/>
                  </w:tcBorders>
                  <w:noWrap w:val="0"/>
                  <w:vAlign w:val="center"/>
                </w:tcPr>
                <w:p w14:paraId="541184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848" w:type="dxa"/>
                  <w:gridSpan w:val="2"/>
                  <w:vMerge w:val="continue"/>
                  <w:tcBorders>
                    <w:left w:val="single" w:color="auto" w:sz="4" w:space="0"/>
                    <w:right w:val="single" w:color="auto" w:sz="4" w:space="0"/>
                    <w:tl2br w:val="nil"/>
                    <w:tr2bl w:val="nil"/>
                  </w:tcBorders>
                  <w:noWrap w:val="0"/>
                  <w:vAlign w:val="center"/>
                </w:tcPr>
                <w:p w14:paraId="2513B6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1015" w:type="dxa"/>
                  <w:vMerge w:val="continue"/>
                  <w:tcBorders>
                    <w:left w:val="single" w:color="auto" w:sz="4" w:space="0"/>
                    <w:right w:val="single" w:color="auto" w:sz="4" w:space="0"/>
                    <w:tl2br w:val="nil"/>
                    <w:tr2bl w:val="nil"/>
                  </w:tcBorders>
                  <w:noWrap w:val="0"/>
                  <w:vAlign w:val="center"/>
                </w:tcPr>
                <w:p w14:paraId="5A10B8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1129" w:type="dxa"/>
                  <w:tcBorders>
                    <w:left w:val="single" w:color="auto" w:sz="4" w:space="0"/>
                    <w:bottom w:val="single" w:color="auto" w:sz="4" w:space="0"/>
                    <w:tl2br w:val="nil"/>
                    <w:tr2bl w:val="nil"/>
                  </w:tcBorders>
                  <w:noWrap w:val="0"/>
                  <w:vAlign w:val="center"/>
                </w:tcPr>
                <w:p w14:paraId="2EBA20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单晶碎料</w:t>
                  </w:r>
                </w:p>
              </w:tc>
              <w:tc>
                <w:tcPr>
                  <w:tcW w:w="1041" w:type="dxa"/>
                  <w:tcBorders>
                    <w:bottom w:val="single" w:color="auto" w:sz="4" w:space="0"/>
                    <w:tl2br w:val="nil"/>
                    <w:tr2bl w:val="nil"/>
                  </w:tcBorders>
                  <w:noWrap w:val="0"/>
                  <w:vAlign w:val="center"/>
                </w:tcPr>
                <w:p w14:paraId="722D93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rPr>
                  </w:pPr>
                  <w:r>
                    <w:rPr>
                      <w:rFonts w:hint="eastAsia" w:ascii="Times New Roman" w:hAnsi="Times New Roman" w:eastAsia="宋体" w:cs="Times New Roman"/>
                      <w:b w:val="0"/>
                      <w:bCs/>
                      <w:color w:val="auto"/>
                      <w:kern w:val="0"/>
                      <w:sz w:val="21"/>
                      <w:szCs w:val="21"/>
                      <w:highlight w:val="none"/>
                      <w:lang w:val="en-US" w:eastAsia="zh-CN"/>
                    </w:rPr>
                    <w:t>1000</w:t>
                  </w:r>
                </w:p>
              </w:tc>
              <w:tc>
                <w:tcPr>
                  <w:tcW w:w="3795" w:type="dxa"/>
                  <w:tcBorders>
                    <w:bottom w:val="single" w:color="auto" w:sz="4" w:space="0"/>
                    <w:tl2br w:val="nil"/>
                    <w:tr2bl w:val="nil"/>
                  </w:tcBorders>
                  <w:noWrap w:val="0"/>
                  <w:vAlign w:val="center"/>
                </w:tcPr>
                <w:p w14:paraId="664927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color w:val="auto"/>
                      <w:kern w:val="0"/>
                      <w:sz w:val="21"/>
                      <w:szCs w:val="21"/>
                      <w:highlight w:val="none"/>
                      <w:lang w:val="en-US" w:eastAsia="zh-CN"/>
                    </w:rPr>
                    <w:t>P型/N型，块状尺寸2mm以下，2-5mm，5-10mm，10mm以上</w:t>
                  </w:r>
                </w:p>
              </w:tc>
            </w:tr>
            <w:tr w14:paraId="069AE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526" w:type="dxa"/>
                  <w:vMerge w:val="continue"/>
                  <w:tcBorders>
                    <w:tl2br w:val="nil"/>
                    <w:tr2bl w:val="nil"/>
                  </w:tcBorders>
                  <w:noWrap w:val="0"/>
                  <w:vAlign w:val="center"/>
                </w:tcPr>
                <w:p w14:paraId="08F593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848" w:type="dxa"/>
                  <w:gridSpan w:val="2"/>
                  <w:vMerge w:val="continue"/>
                  <w:tcBorders>
                    <w:left w:val="single" w:color="auto" w:sz="4" w:space="0"/>
                    <w:right w:val="single" w:color="auto" w:sz="4" w:space="0"/>
                    <w:tl2br w:val="nil"/>
                    <w:tr2bl w:val="nil"/>
                  </w:tcBorders>
                  <w:noWrap w:val="0"/>
                  <w:vAlign w:val="center"/>
                </w:tcPr>
                <w:p w14:paraId="1AB8B4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1015" w:type="dxa"/>
                  <w:vMerge w:val="continue"/>
                  <w:tcBorders>
                    <w:left w:val="single" w:color="auto" w:sz="4" w:space="0"/>
                    <w:right w:val="single" w:color="auto" w:sz="4" w:space="0"/>
                    <w:tl2br w:val="nil"/>
                    <w:tr2bl w:val="nil"/>
                  </w:tcBorders>
                  <w:noWrap w:val="0"/>
                  <w:vAlign w:val="center"/>
                </w:tcPr>
                <w:p w14:paraId="6842BF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rPr>
                  </w:pPr>
                </w:p>
              </w:tc>
              <w:tc>
                <w:tcPr>
                  <w:tcW w:w="1129" w:type="dxa"/>
                  <w:tcBorders>
                    <w:top w:val="single" w:color="auto" w:sz="4" w:space="0"/>
                    <w:left w:val="single" w:color="auto" w:sz="4" w:space="0"/>
                    <w:tl2br w:val="nil"/>
                    <w:tr2bl w:val="nil"/>
                  </w:tcBorders>
                  <w:noWrap w:val="0"/>
                  <w:vAlign w:val="center"/>
                </w:tcPr>
                <w:p w14:paraId="35F3B7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color w:val="auto"/>
                      <w:kern w:val="0"/>
                      <w:sz w:val="21"/>
                      <w:szCs w:val="21"/>
                      <w:highlight w:val="none"/>
                      <w:lang w:val="en-US" w:eastAsia="zh-CN"/>
                    </w:rPr>
                  </w:pPr>
                  <w:r>
                    <w:rPr>
                      <w:rFonts w:hint="eastAsia" w:ascii="Times New Roman" w:hAnsi="Times New Roman" w:eastAsia="宋体" w:cs="Times New Roman"/>
                      <w:b w:val="0"/>
                      <w:bCs/>
                      <w:color w:val="auto"/>
                      <w:kern w:val="0"/>
                      <w:sz w:val="21"/>
                      <w:szCs w:val="21"/>
                      <w:highlight w:val="none"/>
                      <w:lang w:val="en-US" w:eastAsia="zh-CN"/>
                    </w:rPr>
                    <w:t>总计</w:t>
                  </w:r>
                </w:p>
              </w:tc>
              <w:tc>
                <w:tcPr>
                  <w:tcW w:w="1041" w:type="dxa"/>
                  <w:tcBorders>
                    <w:top w:val="single" w:color="auto" w:sz="4" w:space="0"/>
                    <w:tl2br w:val="nil"/>
                    <w:tr2bl w:val="nil"/>
                  </w:tcBorders>
                  <w:noWrap w:val="0"/>
                  <w:vAlign w:val="center"/>
                </w:tcPr>
                <w:p w14:paraId="47354A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color w:val="auto"/>
                      <w:kern w:val="0"/>
                      <w:sz w:val="21"/>
                      <w:szCs w:val="21"/>
                      <w:highlight w:val="none"/>
                      <w:lang w:val="en-US" w:eastAsia="zh-CN"/>
                    </w:rPr>
                  </w:pPr>
                  <w:r>
                    <w:rPr>
                      <w:rFonts w:hint="eastAsia" w:ascii="Times New Roman" w:hAnsi="Times New Roman" w:eastAsia="宋体" w:cs="Times New Roman"/>
                      <w:b w:val="0"/>
                      <w:bCs/>
                      <w:color w:val="auto"/>
                      <w:kern w:val="0"/>
                      <w:sz w:val="21"/>
                      <w:szCs w:val="21"/>
                      <w:highlight w:val="none"/>
                      <w:lang w:val="en-US" w:eastAsia="zh-CN"/>
                    </w:rPr>
                    <w:t>6000</w:t>
                  </w:r>
                </w:p>
              </w:tc>
              <w:tc>
                <w:tcPr>
                  <w:tcW w:w="3795" w:type="dxa"/>
                  <w:tcBorders>
                    <w:top w:val="single" w:color="auto" w:sz="4" w:space="0"/>
                    <w:tl2br w:val="nil"/>
                    <w:tr2bl w:val="nil"/>
                  </w:tcBorders>
                  <w:noWrap w:val="0"/>
                  <w:vAlign w:val="center"/>
                </w:tcPr>
                <w:p w14:paraId="5E93F0B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r>
          </w:tbl>
          <w:p w14:paraId="35EFE609">
            <w:pPr>
              <w:spacing w:line="360" w:lineRule="auto"/>
              <w:ind w:firstLine="482"/>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3、原辅材料</w:t>
            </w:r>
          </w:p>
          <w:p w14:paraId="3D91A69A">
            <w:pPr>
              <w:spacing w:line="360" w:lineRule="auto"/>
              <w:ind w:firstLine="482"/>
              <w:rPr>
                <w:rFonts w:hint="eastAsia" w:ascii="Times New Roman" w:hAnsi="Times New Roman" w:eastAsia="宋体" w:cs="Times New Roman"/>
                <w:b w:val="0"/>
                <w:bCs w:val="0"/>
                <w:color w:val="auto"/>
                <w:kern w:val="0"/>
                <w:sz w:val="24"/>
                <w:szCs w:val="24"/>
                <w:highlight w:val="none"/>
                <w:lang w:eastAsia="zh-CN"/>
              </w:rPr>
            </w:pPr>
            <w:r>
              <w:rPr>
                <w:rFonts w:hint="eastAsia" w:ascii="Times New Roman" w:hAnsi="Times New Roman" w:eastAsia="宋体" w:cs="Times New Roman"/>
                <w:b w:val="0"/>
                <w:bCs w:val="0"/>
                <w:color w:val="auto"/>
                <w:kern w:val="0"/>
                <w:sz w:val="24"/>
                <w:szCs w:val="24"/>
                <w:highlight w:val="none"/>
                <w:lang w:eastAsia="zh-CN"/>
              </w:rPr>
              <w:t>（</w:t>
            </w:r>
            <w:r>
              <w:rPr>
                <w:rFonts w:hint="eastAsia" w:ascii="Times New Roman" w:hAnsi="Times New Roman" w:eastAsia="宋体" w:cs="Times New Roman"/>
                <w:b w:val="0"/>
                <w:bCs w:val="0"/>
                <w:color w:val="auto"/>
                <w:kern w:val="0"/>
                <w:sz w:val="24"/>
                <w:szCs w:val="24"/>
                <w:highlight w:val="none"/>
                <w:lang w:val="en-US" w:eastAsia="zh-CN"/>
              </w:rPr>
              <w:t>1</w:t>
            </w:r>
            <w:r>
              <w:rPr>
                <w:rFonts w:hint="eastAsia" w:ascii="Times New Roman" w:hAnsi="Times New Roman" w:eastAsia="宋体" w:cs="Times New Roman"/>
                <w:b w:val="0"/>
                <w:bCs w:val="0"/>
                <w:color w:val="auto"/>
                <w:kern w:val="0"/>
                <w:sz w:val="24"/>
                <w:szCs w:val="24"/>
                <w:highlight w:val="none"/>
                <w:lang w:eastAsia="zh-CN"/>
              </w:rPr>
              <w:t>）</w:t>
            </w:r>
            <w:r>
              <w:rPr>
                <w:rFonts w:hint="eastAsia" w:ascii="Times New Roman" w:hAnsi="Times New Roman" w:eastAsia="宋体" w:cs="Times New Roman"/>
                <w:b w:val="0"/>
                <w:bCs w:val="0"/>
                <w:color w:val="auto"/>
                <w:kern w:val="0"/>
                <w:sz w:val="24"/>
                <w:szCs w:val="24"/>
                <w:highlight w:val="none"/>
                <w:lang w:val="en-US" w:eastAsia="zh-CN"/>
              </w:rPr>
              <w:t>主要原辅材料消耗及贮存情况</w:t>
            </w:r>
          </w:p>
          <w:p w14:paraId="6BF75791">
            <w:pPr>
              <w:spacing w:line="360" w:lineRule="auto"/>
              <w:ind w:firstLine="482"/>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项目</w:t>
            </w:r>
            <w:r>
              <w:rPr>
                <w:rFonts w:hint="default" w:ascii="Times New Roman" w:hAnsi="Times New Roman" w:eastAsia="宋体" w:cs="Times New Roman"/>
                <w:b w:val="0"/>
                <w:bCs w:val="0"/>
                <w:color w:val="auto"/>
                <w:kern w:val="0"/>
                <w:sz w:val="24"/>
                <w:szCs w:val="24"/>
                <w:highlight w:val="none"/>
                <w:lang w:val="en-US" w:eastAsia="zh-CN"/>
              </w:rPr>
              <w:t>主要原辅材料见表</w:t>
            </w:r>
            <w:r>
              <w:rPr>
                <w:rFonts w:hint="eastAsia" w:ascii="Times New Roman" w:hAnsi="Times New Roman" w:eastAsia="宋体" w:cs="Times New Roman"/>
                <w:b w:val="0"/>
                <w:bCs w:val="0"/>
                <w:color w:val="auto"/>
                <w:kern w:val="0"/>
                <w:sz w:val="24"/>
                <w:szCs w:val="24"/>
                <w:highlight w:val="none"/>
                <w:lang w:val="en-US" w:eastAsia="zh-CN"/>
              </w:rPr>
              <w:t>2</w:t>
            </w:r>
            <w:r>
              <w:rPr>
                <w:rFonts w:hint="default" w:ascii="Times New Roman" w:hAnsi="Times New Roman" w:eastAsia="宋体" w:cs="Times New Roman"/>
                <w:b w:val="0"/>
                <w:bCs w:val="0"/>
                <w:color w:val="auto"/>
                <w:kern w:val="0"/>
                <w:sz w:val="24"/>
                <w:szCs w:val="24"/>
                <w:highlight w:val="none"/>
                <w:lang w:val="en-US" w:eastAsia="zh-CN"/>
              </w:rPr>
              <w:t>-</w:t>
            </w:r>
            <w:r>
              <w:rPr>
                <w:rFonts w:hint="eastAsia" w:ascii="Times New Roman" w:hAnsi="Times New Roman" w:eastAsia="宋体" w:cs="Times New Roman"/>
                <w:b w:val="0"/>
                <w:bCs w:val="0"/>
                <w:color w:val="auto"/>
                <w:kern w:val="0"/>
                <w:sz w:val="24"/>
                <w:szCs w:val="24"/>
                <w:highlight w:val="none"/>
                <w:lang w:val="en-US" w:eastAsia="zh-CN"/>
              </w:rPr>
              <w:t>3</w:t>
            </w:r>
            <w:r>
              <w:rPr>
                <w:rFonts w:hint="default" w:ascii="Times New Roman" w:hAnsi="Times New Roman" w:eastAsia="宋体" w:cs="Times New Roman"/>
                <w:b w:val="0"/>
                <w:bCs w:val="0"/>
                <w:color w:val="auto"/>
                <w:kern w:val="0"/>
                <w:sz w:val="24"/>
                <w:szCs w:val="24"/>
                <w:highlight w:val="none"/>
                <w:lang w:val="en-US" w:eastAsia="zh-CN"/>
              </w:rPr>
              <w:t>所示。本项目废硅</w:t>
            </w:r>
            <w:r>
              <w:rPr>
                <w:rFonts w:hint="eastAsia" w:ascii="Times New Roman" w:hAnsi="Times New Roman" w:eastAsia="宋体" w:cs="Times New Roman"/>
                <w:b w:val="0"/>
                <w:bCs w:val="0"/>
                <w:color w:val="auto"/>
                <w:kern w:val="0"/>
                <w:sz w:val="24"/>
                <w:szCs w:val="24"/>
                <w:highlight w:val="none"/>
                <w:lang w:val="en-US" w:eastAsia="zh-CN"/>
              </w:rPr>
              <w:t>片</w:t>
            </w:r>
            <w:r>
              <w:rPr>
                <w:rFonts w:hint="default" w:ascii="Times New Roman" w:hAnsi="Times New Roman" w:eastAsia="宋体" w:cs="Times New Roman"/>
                <w:b w:val="0"/>
                <w:bCs w:val="0"/>
                <w:color w:val="auto"/>
                <w:kern w:val="0"/>
                <w:sz w:val="24"/>
                <w:szCs w:val="24"/>
                <w:highlight w:val="none"/>
                <w:lang w:val="en-US" w:eastAsia="zh-CN"/>
              </w:rPr>
              <w:t>为原料（由吨包袋包装拉运至厂房原料贮存区）</w:t>
            </w:r>
            <w:r>
              <w:rPr>
                <w:rFonts w:hint="eastAsia" w:ascii="Times New Roman" w:hAnsi="Times New Roman" w:eastAsia="宋体" w:cs="Times New Roman"/>
                <w:b w:val="0"/>
                <w:bCs w:val="0"/>
                <w:color w:val="auto"/>
                <w:kern w:val="0"/>
                <w:sz w:val="24"/>
                <w:szCs w:val="24"/>
                <w:highlight w:val="none"/>
                <w:lang w:val="en-US" w:eastAsia="zh-CN"/>
              </w:rPr>
              <w:t>，来自银川隆基、江苏协鑫、内蒙古中环等光伏行业</w:t>
            </w:r>
            <w:r>
              <w:rPr>
                <w:rFonts w:hint="default" w:ascii="Times New Roman" w:hAnsi="Times New Roman" w:eastAsia="宋体" w:cs="Times New Roman"/>
                <w:b w:val="0"/>
                <w:bCs w:val="0"/>
                <w:color w:val="auto"/>
                <w:kern w:val="0"/>
                <w:sz w:val="24"/>
                <w:szCs w:val="24"/>
                <w:highlight w:val="none"/>
                <w:lang w:val="en-US" w:eastAsia="zh-CN"/>
              </w:rPr>
              <w:t>。废硅材料</w:t>
            </w:r>
            <w:r>
              <w:rPr>
                <w:rFonts w:hint="eastAsia" w:ascii="Times New Roman" w:hAnsi="Times New Roman" w:eastAsia="宋体" w:cs="Times New Roman"/>
                <w:b w:val="0"/>
                <w:bCs w:val="0"/>
                <w:color w:val="auto"/>
                <w:kern w:val="0"/>
                <w:sz w:val="24"/>
                <w:szCs w:val="24"/>
                <w:highlight w:val="none"/>
                <w:lang w:val="en-US" w:eastAsia="zh-CN"/>
              </w:rPr>
              <w:t>主要来自</w:t>
            </w:r>
            <w:r>
              <w:rPr>
                <w:rFonts w:hint="default" w:ascii="Times New Roman" w:hAnsi="Times New Roman" w:eastAsia="宋体" w:cs="Times New Roman"/>
                <w:b w:val="0"/>
                <w:bCs w:val="0"/>
                <w:color w:val="auto"/>
                <w:kern w:val="0"/>
                <w:sz w:val="24"/>
                <w:szCs w:val="24"/>
                <w:highlight w:val="none"/>
                <w:lang w:val="en-US" w:eastAsia="zh-CN"/>
              </w:rPr>
              <w:t>光伏行业</w:t>
            </w:r>
            <w:r>
              <w:rPr>
                <w:rFonts w:hint="eastAsia" w:ascii="Times New Roman" w:hAnsi="Times New Roman" w:eastAsia="宋体" w:cs="Times New Roman"/>
                <w:b w:val="0"/>
                <w:bCs w:val="0"/>
                <w:color w:val="auto"/>
                <w:kern w:val="0"/>
                <w:sz w:val="24"/>
                <w:szCs w:val="24"/>
                <w:highlight w:val="none"/>
                <w:lang w:val="en-US" w:eastAsia="zh-CN"/>
              </w:rPr>
              <w:t>，根据企业提供的材料，主要来自工序：</w:t>
            </w:r>
          </w:p>
          <w:p w14:paraId="025D266D">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default" w:ascii="Times New Roman" w:hAnsi="Times New Roman" w:eastAsia="宋体" w:cs="Calibri"/>
                <w:b w:val="0"/>
                <w:bCs w:val="0"/>
                <w:color w:val="FF0000"/>
                <w:kern w:val="0"/>
                <w:sz w:val="24"/>
                <w:szCs w:val="24"/>
                <w:highlight w:val="none"/>
                <w:lang w:val="en-US" w:eastAsia="zh-CN"/>
              </w:rPr>
              <w:t>①</w:t>
            </w:r>
            <w:r>
              <w:rPr>
                <w:rFonts w:hint="default" w:ascii="Times New Roman" w:hAnsi="Times New Roman" w:eastAsia="宋体" w:cs="Times New Roman"/>
                <w:b w:val="0"/>
                <w:bCs w:val="0"/>
                <w:color w:val="FF0000"/>
                <w:kern w:val="0"/>
                <w:sz w:val="24"/>
                <w:szCs w:val="24"/>
                <w:highlight w:val="none"/>
                <w:lang w:val="en-US" w:eastAsia="zh-CN"/>
              </w:rPr>
              <w:t>光伏制造端废料（主来源）</w:t>
            </w:r>
          </w:p>
          <w:p w14:paraId="0E6D3D47">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default" w:ascii="Times New Roman" w:hAnsi="Times New Roman" w:eastAsia="宋体" w:cs="Times New Roman"/>
                <w:b w:val="0"/>
                <w:bCs w:val="0"/>
                <w:color w:val="FF0000"/>
                <w:kern w:val="0"/>
                <w:sz w:val="24"/>
                <w:szCs w:val="24"/>
                <w:highlight w:val="none"/>
                <w:lang w:val="en-US" w:eastAsia="zh-CN"/>
              </w:rPr>
              <w:t>硅棒/硅锭头尾料</w:t>
            </w:r>
            <w:r>
              <w:rPr>
                <w:rFonts w:hint="eastAsia" w:ascii="Times New Roman" w:hAnsi="Times New Roman" w:eastAsia="宋体" w:cs="Times New Roman"/>
                <w:b w:val="0"/>
                <w:bCs w:val="0"/>
                <w:color w:val="FF0000"/>
                <w:kern w:val="0"/>
                <w:sz w:val="24"/>
                <w:szCs w:val="24"/>
                <w:highlight w:val="none"/>
                <w:lang w:val="en-US" w:eastAsia="zh-CN"/>
              </w:rPr>
              <w:t>（为了保证后面硅片“好用、合格”，在晶体生长完必须切掉的“两头坏料”。 头部料：晶体刚长出来那一段，缺陷多、氧碳高、结构不稳定，必须切掉。尾部料：晶体快长完那一段，杂质全部聚在最后，必须切掉。）</w:t>
            </w:r>
          </w:p>
          <w:p w14:paraId="160D2B8D">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default" w:ascii="Times New Roman" w:hAnsi="Times New Roman" w:eastAsia="宋体" w:cs="Times New Roman"/>
                <w:b w:val="0"/>
                <w:bCs w:val="0"/>
                <w:color w:val="FF0000"/>
                <w:kern w:val="0"/>
                <w:sz w:val="24"/>
                <w:szCs w:val="24"/>
                <w:highlight w:val="none"/>
                <w:lang w:val="en-US" w:eastAsia="zh-CN"/>
              </w:rPr>
              <w:t>边皮料</w:t>
            </w:r>
            <w:r>
              <w:rPr>
                <w:rFonts w:hint="eastAsia" w:ascii="Times New Roman" w:hAnsi="Times New Roman" w:eastAsia="宋体" w:cs="Times New Roman"/>
                <w:b w:val="0"/>
                <w:bCs w:val="0"/>
                <w:color w:val="FF0000"/>
                <w:kern w:val="0"/>
                <w:sz w:val="24"/>
                <w:szCs w:val="24"/>
                <w:highlight w:val="none"/>
                <w:lang w:val="en-US" w:eastAsia="zh-CN"/>
              </w:rPr>
              <w:t>（为了得到规整方形硅片，从硅棒/硅锭四周切下来的、形状不规则的边角料。）</w:t>
            </w:r>
          </w:p>
          <w:p w14:paraId="451DFF3D">
            <w:pPr>
              <w:spacing w:line="360" w:lineRule="auto"/>
              <w:ind w:firstLine="482"/>
              <w:rPr>
                <w:rFonts w:hint="eastAsia" w:ascii="Times New Roman" w:hAnsi="Times New Roman" w:eastAsia="宋体" w:cs="Times New Roman"/>
                <w:b w:val="0"/>
                <w:bCs w:val="0"/>
                <w:color w:val="FF0000"/>
                <w:kern w:val="0"/>
                <w:sz w:val="24"/>
                <w:szCs w:val="24"/>
                <w:highlight w:val="none"/>
                <w:lang w:val="en-US" w:eastAsia="zh-CN"/>
              </w:rPr>
            </w:pPr>
            <w:r>
              <w:rPr>
                <w:rFonts w:hint="default" w:ascii="Times New Roman" w:hAnsi="Times New Roman" w:eastAsia="宋体" w:cs="Times New Roman"/>
                <w:b w:val="0"/>
                <w:bCs w:val="0"/>
                <w:color w:val="FF0000"/>
                <w:kern w:val="0"/>
                <w:sz w:val="24"/>
                <w:szCs w:val="24"/>
                <w:highlight w:val="none"/>
                <w:lang w:val="en-US" w:eastAsia="zh-CN"/>
              </w:rPr>
              <w:t>不合格硅片</w:t>
            </w:r>
            <w:r>
              <w:rPr>
                <w:rFonts w:hint="eastAsia" w:ascii="Times New Roman" w:hAnsi="Times New Roman" w:eastAsia="宋体" w:cs="Times New Roman"/>
                <w:b w:val="0"/>
                <w:bCs w:val="0"/>
                <w:color w:val="FF0000"/>
                <w:kern w:val="0"/>
                <w:sz w:val="24"/>
                <w:szCs w:val="24"/>
                <w:highlight w:val="none"/>
                <w:lang w:val="en-US" w:eastAsia="zh-CN"/>
              </w:rPr>
              <w:t>（不合格硅片/电池片就是在各个工序里，“长得不好、不干净、尺寸不对、效率不够”的那一部分。不合格硅片：来自硅棒/硅锭切片时，尺寸、厚度、平整度、裂纹、杂质不达标的。）</w:t>
            </w:r>
          </w:p>
          <w:p w14:paraId="1DDDE074">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default" w:ascii="Times New Roman" w:hAnsi="Times New Roman" w:eastAsia="宋体" w:cs="Times New Roman"/>
                <w:b w:val="0"/>
                <w:bCs w:val="0"/>
                <w:color w:val="FF0000"/>
                <w:kern w:val="0"/>
                <w:sz w:val="24"/>
                <w:szCs w:val="24"/>
                <w:highlight w:val="none"/>
                <w:lang w:val="en-US" w:eastAsia="zh-CN"/>
              </w:rPr>
              <w:t>工艺破损硅料</w:t>
            </w:r>
          </w:p>
          <w:p w14:paraId="341792FB">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default" w:ascii="Times New Roman" w:hAnsi="Times New Roman" w:eastAsia="宋体" w:cs="Calibri"/>
                <w:b w:val="0"/>
                <w:bCs w:val="0"/>
                <w:color w:val="FF0000"/>
                <w:kern w:val="0"/>
                <w:sz w:val="24"/>
                <w:szCs w:val="24"/>
                <w:highlight w:val="none"/>
                <w:lang w:val="en-US" w:eastAsia="zh-CN"/>
              </w:rPr>
              <w:t>②</w:t>
            </w:r>
            <w:r>
              <w:rPr>
                <w:rFonts w:hint="default" w:ascii="Times New Roman" w:hAnsi="Times New Roman" w:eastAsia="宋体" w:cs="Times New Roman"/>
                <w:b w:val="0"/>
                <w:bCs w:val="0"/>
                <w:color w:val="FF0000"/>
                <w:kern w:val="0"/>
                <w:sz w:val="24"/>
                <w:szCs w:val="24"/>
                <w:highlight w:val="none"/>
                <w:lang w:val="en-US" w:eastAsia="zh-CN"/>
              </w:rPr>
              <w:t>退役光伏组件（快速增长来源）</w:t>
            </w:r>
          </w:p>
          <w:p w14:paraId="2687C505">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default" w:ascii="Times New Roman" w:hAnsi="Times New Roman" w:eastAsia="宋体" w:cs="Times New Roman"/>
                <w:b w:val="0"/>
                <w:bCs w:val="0"/>
                <w:color w:val="FF0000"/>
                <w:kern w:val="0"/>
                <w:sz w:val="24"/>
                <w:szCs w:val="24"/>
                <w:highlight w:val="none"/>
                <w:lang w:val="en-US" w:eastAsia="zh-CN"/>
              </w:rPr>
              <w:t>拆解后分离玻璃、金属、EVA，得到硅片。</w:t>
            </w:r>
          </w:p>
          <w:p w14:paraId="2D333BF1">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eastAsia" w:ascii="Times New Roman" w:hAnsi="Times New Roman" w:eastAsia="宋体" w:cs="Times New Roman"/>
                <w:b w:val="0"/>
                <w:bCs w:val="0"/>
                <w:color w:val="FF0000"/>
                <w:kern w:val="0"/>
                <w:sz w:val="24"/>
                <w:szCs w:val="24"/>
                <w:highlight w:val="none"/>
                <w:lang w:val="en-US" w:eastAsia="zh-CN"/>
              </w:rPr>
              <w:t>其主要来自光伏行业的</w:t>
            </w:r>
            <w:r>
              <w:rPr>
                <w:rFonts w:hint="default" w:ascii="Times New Roman" w:hAnsi="Times New Roman" w:eastAsia="宋体" w:cs="Times New Roman"/>
                <w:b w:val="0"/>
                <w:bCs w:val="0"/>
                <w:color w:val="FF0000"/>
                <w:kern w:val="0"/>
                <w:sz w:val="24"/>
                <w:szCs w:val="24"/>
                <w:highlight w:val="none"/>
                <w:lang w:val="en-US" w:eastAsia="zh-CN"/>
              </w:rPr>
              <w:t>头尾料</w:t>
            </w:r>
            <w:r>
              <w:rPr>
                <w:rFonts w:hint="eastAsia" w:ascii="Times New Roman" w:hAnsi="Times New Roman" w:eastAsia="宋体" w:cs="Times New Roman"/>
                <w:b w:val="0"/>
                <w:bCs w:val="0"/>
                <w:color w:val="FF0000"/>
                <w:kern w:val="0"/>
                <w:sz w:val="24"/>
                <w:szCs w:val="24"/>
                <w:highlight w:val="none"/>
                <w:lang w:val="en-US" w:eastAsia="zh-CN"/>
              </w:rPr>
              <w:t>、</w:t>
            </w:r>
            <w:r>
              <w:rPr>
                <w:rFonts w:hint="default" w:ascii="Times New Roman" w:hAnsi="Times New Roman" w:eastAsia="宋体" w:cs="Times New Roman"/>
                <w:b w:val="0"/>
                <w:bCs w:val="0"/>
                <w:color w:val="FF0000"/>
                <w:kern w:val="0"/>
                <w:sz w:val="24"/>
                <w:szCs w:val="24"/>
                <w:highlight w:val="none"/>
                <w:lang w:val="en-US" w:eastAsia="zh-CN"/>
              </w:rPr>
              <w:t>边皮料</w:t>
            </w:r>
            <w:r>
              <w:rPr>
                <w:rFonts w:hint="eastAsia" w:ascii="Times New Roman" w:hAnsi="Times New Roman" w:eastAsia="宋体" w:cs="Times New Roman"/>
                <w:b w:val="0"/>
                <w:bCs w:val="0"/>
                <w:color w:val="FF0000"/>
                <w:kern w:val="0"/>
                <w:sz w:val="24"/>
                <w:szCs w:val="24"/>
                <w:highlight w:val="none"/>
                <w:lang w:val="en-US" w:eastAsia="zh-CN"/>
              </w:rPr>
              <w:t>、</w:t>
            </w:r>
            <w:r>
              <w:rPr>
                <w:rFonts w:hint="default" w:ascii="Times New Roman" w:hAnsi="Times New Roman" w:eastAsia="宋体" w:cs="Times New Roman"/>
                <w:b w:val="0"/>
                <w:bCs w:val="0"/>
                <w:color w:val="FF0000"/>
                <w:kern w:val="0"/>
                <w:sz w:val="24"/>
                <w:szCs w:val="24"/>
                <w:highlight w:val="none"/>
                <w:lang w:val="en-US" w:eastAsia="zh-CN"/>
              </w:rPr>
              <w:t>拉晶/铸锭环节切片环节</w:t>
            </w:r>
            <w:r>
              <w:rPr>
                <w:rFonts w:hint="eastAsia" w:ascii="Times New Roman" w:hAnsi="Times New Roman" w:eastAsia="宋体" w:cs="Times New Roman"/>
                <w:b w:val="0"/>
                <w:bCs w:val="0"/>
                <w:color w:val="FF0000"/>
                <w:kern w:val="0"/>
                <w:sz w:val="24"/>
                <w:szCs w:val="24"/>
                <w:highlight w:val="none"/>
                <w:lang w:val="en-US" w:eastAsia="zh-CN"/>
              </w:rPr>
              <w:t>等</w:t>
            </w:r>
            <w:r>
              <w:rPr>
                <w:rFonts w:hint="default" w:ascii="Times New Roman" w:hAnsi="Times New Roman" w:eastAsia="宋体" w:cs="Times New Roman"/>
                <w:b w:val="0"/>
                <w:bCs w:val="0"/>
                <w:color w:val="FF0000"/>
                <w:kern w:val="0"/>
                <w:sz w:val="24"/>
                <w:szCs w:val="24"/>
                <w:highlight w:val="none"/>
                <w:lang w:val="en-US" w:eastAsia="zh-CN"/>
              </w:rPr>
              <w:t>。</w:t>
            </w:r>
          </w:p>
          <w:p w14:paraId="3FC6F4B8">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项目原辅材料清单</w:t>
            </w:r>
          </w:p>
          <w:tbl>
            <w:tblPr>
              <w:tblStyle w:val="3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85"/>
              <w:gridCol w:w="1173"/>
              <w:gridCol w:w="1169"/>
              <w:gridCol w:w="1821"/>
              <w:gridCol w:w="1446"/>
            </w:tblGrid>
            <w:tr w14:paraId="5BF6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tcBorders>
                    <w:tl2br w:val="nil"/>
                    <w:tr2bl w:val="nil"/>
                  </w:tcBorders>
                  <w:noWrap w:val="0"/>
                  <w:vAlign w:val="center"/>
                </w:tcPr>
                <w:p w14:paraId="42DE6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rPr>
                  </w:pPr>
                  <w:r>
                    <w:rPr>
                      <w:rFonts w:hint="eastAsia" w:ascii="Times New Roman" w:hAnsi="Times New Roman" w:eastAsia="宋体"/>
                      <w:b w:val="0"/>
                      <w:bCs/>
                      <w:color w:val="auto"/>
                      <w:sz w:val="21"/>
                      <w:szCs w:val="21"/>
                      <w:highlight w:val="none"/>
                    </w:rPr>
                    <w:t>序号</w:t>
                  </w:r>
                </w:p>
              </w:tc>
              <w:tc>
                <w:tcPr>
                  <w:tcW w:w="1885" w:type="dxa"/>
                  <w:tcBorders>
                    <w:tl2br w:val="nil"/>
                    <w:tr2bl w:val="nil"/>
                  </w:tcBorders>
                  <w:noWrap w:val="0"/>
                  <w:vAlign w:val="center"/>
                </w:tcPr>
                <w:p w14:paraId="0C501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 w:val="0"/>
                      <w:bCs/>
                      <w:color w:val="auto"/>
                      <w:sz w:val="21"/>
                      <w:szCs w:val="21"/>
                      <w:highlight w:val="none"/>
                    </w:rPr>
                  </w:pPr>
                  <w:r>
                    <w:rPr>
                      <w:rFonts w:hint="eastAsia" w:ascii="Times New Roman" w:hAnsi="Times New Roman" w:eastAsia="宋体"/>
                      <w:b w:val="0"/>
                      <w:bCs/>
                      <w:color w:val="auto"/>
                      <w:sz w:val="21"/>
                      <w:szCs w:val="21"/>
                      <w:highlight w:val="none"/>
                    </w:rPr>
                    <w:t>原料名称</w:t>
                  </w:r>
                </w:p>
              </w:tc>
              <w:tc>
                <w:tcPr>
                  <w:tcW w:w="1173" w:type="dxa"/>
                  <w:tcBorders>
                    <w:tl2br w:val="nil"/>
                    <w:tr2bl w:val="nil"/>
                  </w:tcBorders>
                  <w:noWrap w:val="0"/>
                  <w:vAlign w:val="center"/>
                </w:tcPr>
                <w:p w14:paraId="3768A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单位</w:t>
                  </w:r>
                </w:p>
              </w:tc>
              <w:tc>
                <w:tcPr>
                  <w:tcW w:w="1169" w:type="dxa"/>
                  <w:tcBorders>
                    <w:tl2br w:val="nil"/>
                    <w:tr2bl w:val="nil"/>
                  </w:tcBorders>
                  <w:noWrap w:val="0"/>
                  <w:vAlign w:val="center"/>
                </w:tcPr>
                <w:p w14:paraId="063D7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现有工程</w:t>
                  </w:r>
                </w:p>
                <w:p w14:paraId="027F6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消耗量</w:t>
                  </w:r>
                </w:p>
              </w:tc>
              <w:tc>
                <w:tcPr>
                  <w:tcW w:w="1821" w:type="dxa"/>
                  <w:tcBorders>
                    <w:tl2br w:val="nil"/>
                    <w:tr2bl w:val="nil"/>
                  </w:tcBorders>
                  <w:noWrap w:val="0"/>
                  <w:vAlign w:val="center"/>
                </w:tcPr>
                <w:p w14:paraId="0B27D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改扩建工程消耗量</w:t>
                  </w:r>
                </w:p>
              </w:tc>
              <w:tc>
                <w:tcPr>
                  <w:tcW w:w="1446" w:type="dxa"/>
                  <w:tcBorders>
                    <w:tl2br w:val="nil"/>
                    <w:tr2bl w:val="nil"/>
                  </w:tcBorders>
                  <w:noWrap w:val="0"/>
                  <w:vAlign w:val="center"/>
                </w:tcPr>
                <w:p w14:paraId="2752D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改扩建后全厂消耗量</w:t>
                  </w:r>
                </w:p>
              </w:tc>
            </w:tr>
            <w:tr w14:paraId="25F8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53" w:type="dxa"/>
                  <w:tcBorders>
                    <w:tl2br w:val="nil"/>
                    <w:tr2bl w:val="nil"/>
                  </w:tcBorders>
                  <w:noWrap w:val="0"/>
                  <w:vAlign w:val="center"/>
                </w:tcPr>
                <w:p w14:paraId="6505D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w:t>
                  </w:r>
                </w:p>
              </w:tc>
              <w:tc>
                <w:tcPr>
                  <w:tcW w:w="1885" w:type="dxa"/>
                  <w:tcBorders>
                    <w:tl2br w:val="nil"/>
                    <w:tr2bl w:val="nil"/>
                  </w:tcBorders>
                  <w:noWrap w:val="0"/>
                  <w:vAlign w:val="center"/>
                </w:tcPr>
                <w:p w14:paraId="2B2CE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rPr>
                  </w:pPr>
                  <w:r>
                    <w:rPr>
                      <w:rFonts w:hint="eastAsia" w:ascii="Times New Roman" w:hAnsi="Times New Roman" w:eastAsia="宋体"/>
                      <w:b w:val="0"/>
                      <w:bCs/>
                      <w:color w:val="auto"/>
                      <w:kern w:val="2"/>
                      <w:sz w:val="21"/>
                      <w:szCs w:val="21"/>
                      <w:highlight w:val="none"/>
                      <w:lang w:val="en-US" w:eastAsia="zh-CN" w:bidi="ar-SA"/>
                    </w:rPr>
                    <w:t>废硅材料</w:t>
                  </w:r>
                </w:p>
              </w:tc>
              <w:tc>
                <w:tcPr>
                  <w:tcW w:w="1173" w:type="dxa"/>
                  <w:tcBorders>
                    <w:tl2br w:val="nil"/>
                    <w:tr2bl w:val="nil"/>
                  </w:tcBorders>
                  <w:noWrap w:val="0"/>
                  <w:vAlign w:val="center"/>
                </w:tcPr>
                <w:p w14:paraId="16369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6D30B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650</w:t>
                  </w:r>
                </w:p>
              </w:tc>
              <w:tc>
                <w:tcPr>
                  <w:tcW w:w="1821" w:type="dxa"/>
                  <w:tcBorders>
                    <w:tl2br w:val="nil"/>
                    <w:tr2bl w:val="nil"/>
                  </w:tcBorders>
                  <w:noWrap w:val="0"/>
                  <w:vAlign w:val="center"/>
                </w:tcPr>
                <w:p w14:paraId="00F4F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631</w:t>
                  </w:r>
                  <w:r>
                    <w:rPr>
                      <w:rFonts w:hint="eastAsia" w:cs="Times New Roman"/>
                      <w:i w:val="0"/>
                      <w:iCs w:val="0"/>
                      <w:color w:val="auto"/>
                      <w:sz w:val="21"/>
                      <w:szCs w:val="21"/>
                      <w:highlight w:val="none"/>
                      <w:u w:val="none"/>
                      <w:lang w:val="en-US" w:eastAsia="zh-CN"/>
                    </w:rPr>
                    <w:t>3</w:t>
                  </w:r>
                  <w:r>
                    <w:rPr>
                      <w:rFonts w:hint="eastAsia" w:ascii="Times New Roman" w:hAnsi="Times New Roman" w:eastAsia="宋体" w:cs="Times New Roman"/>
                      <w:i w:val="0"/>
                      <w:iCs w:val="0"/>
                      <w:color w:val="auto"/>
                      <w:sz w:val="21"/>
                      <w:szCs w:val="21"/>
                      <w:highlight w:val="none"/>
                      <w:u w:val="none"/>
                      <w:lang w:val="en-US" w:eastAsia="zh-CN"/>
                    </w:rPr>
                    <w:t>.</w:t>
                  </w:r>
                  <w:r>
                    <w:rPr>
                      <w:rFonts w:hint="eastAsia" w:cs="Times New Roman"/>
                      <w:i w:val="0"/>
                      <w:iCs w:val="0"/>
                      <w:color w:val="auto"/>
                      <w:sz w:val="21"/>
                      <w:szCs w:val="21"/>
                      <w:highlight w:val="none"/>
                      <w:u w:val="none"/>
                      <w:lang w:val="en-US" w:eastAsia="zh-CN"/>
                    </w:rPr>
                    <w:t>08</w:t>
                  </w:r>
                </w:p>
              </w:tc>
              <w:tc>
                <w:tcPr>
                  <w:tcW w:w="1446" w:type="dxa"/>
                  <w:tcBorders>
                    <w:tl2br w:val="nil"/>
                    <w:tr2bl w:val="nil"/>
                  </w:tcBorders>
                  <w:noWrap w:val="0"/>
                  <w:vAlign w:val="center"/>
                </w:tcPr>
                <w:p w14:paraId="606CE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631</w:t>
                  </w:r>
                  <w:r>
                    <w:rPr>
                      <w:rFonts w:hint="eastAsia" w:cs="Times New Roman"/>
                      <w:i w:val="0"/>
                      <w:iCs w:val="0"/>
                      <w:color w:val="auto"/>
                      <w:sz w:val="21"/>
                      <w:szCs w:val="21"/>
                      <w:highlight w:val="none"/>
                      <w:u w:val="none"/>
                      <w:lang w:val="en-US" w:eastAsia="zh-CN"/>
                    </w:rPr>
                    <w:t>3</w:t>
                  </w:r>
                  <w:r>
                    <w:rPr>
                      <w:rFonts w:hint="eastAsia" w:ascii="Times New Roman" w:hAnsi="Times New Roman" w:eastAsia="宋体" w:cs="Times New Roman"/>
                      <w:i w:val="0"/>
                      <w:iCs w:val="0"/>
                      <w:color w:val="auto"/>
                      <w:sz w:val="21"/>
                      <w:szCs w:val="21"/>
                      <w:highlight w:val="none"/>
                      <w:u w:val="none"/>
                      <w:lang w:val="en-US" w:eastAsia="zh-CN"/>
                    </w:rPr>
                    <w:t>.</w:t>
                  </w:r>
                  <w:r>
                    <w:rPr>
                      <w:rFonts w:hint="eastAsia" w:cs="Times New Roman"/>
                      <w:i w:val="0"/>
                      <w:iCs w:val="0"/>
                      <w:color w:val="auto"/>
                      <w:sz w:val="21"/>
                      <w:szCs w:val="21"/>
                      <w:highlight w:val="none"/>
                      <w:u w:val="none"/>
                      <w:lang w:val="en-US" w:eastAsia="zh-CN"/>
                    </w:rPr>
                    <w:t>08</w:t>
                  </w:r>
                </w:p>
              </w:tc>
            </w:tr>
            <w:tr w14:paraId="4C82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853" w:type="dxa"/>
                  <w:tcBorders>
                    <w:tl2br w:val="nil"/>
                    <w:tr2bl w:val="nil"/>
                  </w:tcBorders>
                  <w:noWrap w:val="0"/>
                  <w:vAlign w:val="center"/>
                </w:tcPr>
                <w:p w14:paraId="22393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2</w:t>
                  </w:r>
                </w:p>
              </w:tc>
              <w:tc>
                <w:tcPr>
                  <w:tcW w:w="1885" w:type="dxa"/>
                  <w:tcBorders>
                    <w:tl2br w:val="nil"/>
                    <w:tr2bl w:val="nil"/>
                  </w:tcBorders>
                  <w:noWrap w:val="0"/>
                  <w:vAlign w:val="center"/>
                </w:tcPr>
                <w:p w14:paraId="5A233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氢氧化钠</w:t>
                  </w:r>
                </w:p>
              </w:tc>
              <w:tc>
                <w:tcPr>
                  <w:tcW w:w="1173" w:type="dxa"/>
                  <w:tcBorders>
                    <w:tl2br w:val="nil"/>
                    <w:tr2bl w:val="nil"/>
                  </w:tcBorders>
                  <w:noWrap w:val="0"/>
                  <w:vAlign w:val="center"/>
                </w:tcPr>
                <w:p w14:paraId="2F516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20F08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50</w:t>
                  </w:r>
                </w:p>
              </w:tc>
              <w:tc>
                <w:tcPr>
                  <w:tcW w:w="1821" w:type="dxa"/>
                  <w:tcBorders>
                    <w:tl2br w:val="nil"/>
                    <w:tr2bl w:val="nil"/>
                  </w:tcBorders>
                  <w:noWrap w:val="0"/>
                  <w:vAlign w:val="center"/>
                </w:tcPr>
                <w:p w14:paraId="666FD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400D5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365B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853" w:type="dxa"/>
                  <w:tcBorders>
                    <w:tl2br w:val="nil"/>
                    <w:tr2bl w:val="nil"/>
                  </w:tcBorders>
                  <w:noWrap w:val="0"/>
                  <w:vAlign w:val="center"/>
                </w:tcPr>
                <w:p w14:paraId="4D8A8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3</w:t>
                  </w:r>
                </w:p>
              </w:tc>
              <w:tc>
                <w:tcPr>
                  <w:tcW w:w="1885" w:type="dxa"/>
                  <w:tcBorders>
                    <w:tl2br w:val="nil"/>
                    <w:tr2bl w:val="nil"/>
                  </w:tcBorders>
                  <w:noWrap w:val="0"/>
                  <w:vAlign w:val="center"/>
                </w:tcPr>
                <w:p w14:paraId="7C9DF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硅料清洗剂</w:t>
                  </w:r>
                </w:p>
              </w:tc>
              <w:tc>
                <w:tcPr>
                  <w:tcW w:w="1173" w:type="dxa"/>
                  <w:tcBorders>
                    <w:tl2br w:val="nil"/>
                    <w:tr2bl w:val="nil"/>
                  </w:tcBorders>
                  <w:noWrap w:val="0"/>
                  <w:vAlign w:val="center"/>
                </w:tcPr>
                <w:p w14:paraId="253D6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64268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50</w:t>
                  </w:r>
                </w:p>
              </w:tc>
              <w:tc>
                <w:tcPr>
                  <w:tcW w:w="1821" w:type="dxa"/>
                  <w:tcBorders>
                    <w:tl2br w:val="nil"/>
                    <w:tr2bl w:val="nil"/>
                  </w:tcBorders>
                  <w:noWrap w:val="0"/>
                  <w:vAlign w:val="center"/>
                </w:tcPr>
                <w:p w14:paraId="0EAA2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1C837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768E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53" w:type="dxa"/>
                  <w:tcBorders>
                    <w:tl2br w:val="nil"/>
                    <w:tr2bl w:val="nil"/>
                  </w:tcBorders>
                  <w:noWrap w:val="0"/>
                  <w:vAlign w:val="center"/>
                </w:tcPr>
                <w:p w14:paraId="69D46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4</w:t>
                  </w:r>
                </w:p>
              </w:tc>
              <w:tc>
                <w:tcPr>
                  <w:tcW w:w="1885" w:type="dxa"/>
                  <w:tcBorders>
                    <w:tl2br w:val="nil"/>
                    <w:tr2bl w:val="nil"/>
                  </w:tcBorders>
                  <w:noWrap w:val="0"/>
                  <w:vAlign w:val="center"/>
                </w:tcPr>
                <w:p w14:paraId="61867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盐酸</w:t>
                  </w:r>
                </w:p>
              </w:tc>
              <w:tc>
                <w:tcPr>
                  <w:tcW w:w="1173" w:type="dxa"/>
                  <w:tcBorders>
                    <w:tl2br w:val="nil"/>
                    <w:tr2bl w:val="nil"/>
                  </w:tcBorders>
                  <w:noWrap w:val="0"/>
                  <w:vAlign w:val="center"/>
                </w:tcPr>
                <w:p w14:paraId="6F458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39F79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10</w:t>
                  </w:r>
                </w:p>
              </w:tc>
              <w:tc>
                <w:tcPr>
                  <w:tcW w:w="1821" w:type="dxa"/>
                  <w:tcBorders>
                    <w:tl2br w:val="nil"/>
                    <w:tr2bl w:val="nil"/>
                  </w:tcBorders>
                  <w:noWrap w:val="0"/>
                  <w:vAlign w:val="center"/>
                </w:tcPr>
                <w:p w14:paraId="6F3A75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63C0B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0714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53" w:type="dxa"/>
                  <w:tcBorders>
                    <w:tl2br w:val="nil"/>
                    <w:tr2bl w:val="nil"/>
                  </w:tcBorders>
                  <w:noWrap w:val="0"/>
                  <w:vAlign w:val="center"/>
                </w:tcPr>
                <w:p w14:paraId="4984F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5</w:t>
                  </w:r>
                </w:p>
              </w:tc>
              <w:tc>
                <w:tcPr>
                  <w:tcW w:w="1885" w:type="dxa"/>
                  <w:tcBorders>
                    <w:tl2br w:val="nil"/>
                    <w:tr2bl w:val="nil"/>
                  </w:tcBorders>
                  <w:noWrap w:val="0"/>
                  <w:vAlign w:val="center"/>
                </w:tcPr>
                <w:p w14:paraId="304B3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硫酸</w:t>
                  </w:r>
                </w:p>
              </w:tc>
              <w:tc>
                <w:tcPr>
                  <w:tcW w:w="1173" w:type="dxa"/>
                  <w:tcBorders>
                    <w:tl2br w:val="nil"/>
                    <w:tr2bl w:val="nil"/>
                  </w:tcBorders>
                  <w:noWrap w:val="0"/>
                  <w:vAlign w:val="center"/>
                </w:tcPr>
                <w:p w14:paraId="121CC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25318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10</w:t>
                  </w:r>
                </w:p>
              </w:tc>
              <w:tc>
                <w:tcPr>
                  <w:tcW w:w="1821" w:type="dxa"/>
                  <w:tcBorders>
                    <w:tl2br w:val="nil"/>
                    <w:tr2bl w:val="nil"/>
                  </w:tcBorders>
                  <w:noWrap w:val="0"/>
                  <w:vAlign w:val="center"/>
                </w:tcPr>
                <w:p w14:paraId="50609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5245C3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0E64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3" w:type="dxa"/>
                  <w:tcBorders>
                    <w:tl2br w:val="nil"/>
                    <w:tr2bl w:val="nil"/>
                  </w:tcBorders>
                  <w:noWrap w:val="0"/>
                  <w:vAlign w:val="center"/>
                </w:tcPr>
                <w:p w14:paraId="32F3D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rPr>
                    <w:t>1</w:t>
                  </w:r>
                  <w:r>
                    <w:rPr>
                      <w:rFonts w:hint="eastAsia" w:ascii="Times New Roman" w:hAnsi="Times New Roman" w:eastAsia="宋体"/>
                      <w:b w:val="0"/>
                      <w:bCs/>
                      <w:color w:val="auto"/>
                      <w:sz w:val="21"/>
                      <w:szCs w:val="21"/>
                      <w:highlight w:val="none"/>
                      <w:lang w:val="en-US" w:eastAsia="zh-CN"/>
                    </w:rPr>
                    <w:t>6</w:t>
                  </w:r>
                </w:p>
              </w:tc>
              <w:tc>
                <w:tcPr>
                  <w:tcW w:w="1885" w:type="dxa"/>
                  <w:tcBorders>
                    <w:tl2br w:val="nil"/>
                    <w:tr2bl w:val="nil"/>
                  </w:tcBorders>
                  <w:noWrap w:val="0"/>
                  <w:vAlign w:val="center"/>
                </w:tcPr>
                <w:p w14:paraId="4B883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氢氟酸</w:t>
                  </w:r>
                </w:p>
              </w:tc>
              <w:tc>
                <w:tcPr>
                  <w:tcW w:w="1173" w:type="dxa"/>
                  <w:tcBorders>
                    <w:tl2br w:val="nil"/>
                    <w:tr2bl w:val="nil"/>
                  </w:tcBorders>
                  <w:noWrap w:val="0"/>
                  <w:vAlign w:val="center"/>
                </w:tcPr>
                <w:p w14:paraId="54E7C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11719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10</w:t>
                  </w:r>
                </w:p>
              </w:tc>
              <w:tc>
                <w:tcPr>
                  <w:tcW w:w="1821" w:type="dxa"/>
                  <w:tcBorders>
                    <w:tl2br w:val="nil"/>
                    <w:tr2bl w:val="nil"/>
                  </w:tcBorders>
                  <w:noWrap w:val="0"/>
                  <w:vAlign w:val="center"/>
                </w:tcPr>
                <w:p w14:paraId="4DC89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347C4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09E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3" w:type="dxa"/>
                  <w:tcBorders>
                    <w:tl2br w:val="nil"/>
                    <w:tr2bl w:val="nil"/>
                  </w:tcBorders>
                  <w:noWrap w:val="0"/>
                  <w:vAlign w:val="center"/>
                </w:tcPr>
                <w:p w14:paraId="176DD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7</w:t>
                  </w:r>
                </w:p>
              </w:tc>
              <w:tc>
                <w:tcPr>
                  <w:tcW w:w="1885" w:type="dxa"/>
                  <w:tcBorders>
                    <w:tl2br w:val="nil"/>
                    <w:tr2bl w:val="nil"/>
                  </w:tcBorders>
                  <w:noWrap w:val="0"/>
                  <w:vAlign w:val="center"/>
                </w:tcPr>
                <w:p w14:paraId="54456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硝酸</w:t>
                  </w:r>
                </w:p>
              </w:tc>
              <w:tc>
                <w:tcPr>
                  <w:tcW w:w="1173" w:type="dxa"/>
                  <w:tcBorders>
                    <w:tl2br w:val="nil"/>
                    <w:tr2bl w:val="nil"/>
                  </w:tcBorders>
                  <w:noWrap w:val="0"/>
                  <w:vAlign w:val="center"/>
                </w:tcPr>
                <w:p w14:paraId="29884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70BCC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10</w:t>
                  </w:r>
                </w:p>
              </w:tc>
              <w:tc>
                <w:tcPr>
                  <w:tcW w:w="1821" w:type="dxa"/>
                  <w:tcBorders>
                    <w:tl2br w:val="nil"/>
                    <w:tr2bl w:val="nil"/>
                  </w:tcBorders>
                  <w:noWrap w:val="0"/>
                  <w:vAlign w:val="center"/>
                </w:tcPr>
                <w:p w14:paraId="62C7B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1EFB5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5431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3" w:type="dxa"/>
                  <w:tcBorders>
                    <w:tl2br w:val="nil"/>
                    <w:tr2bl w:val="nil"/>
                  </w:tcBorders>
                  <w:noWrap w:val="0"/>
                  <w:vAlign w:val="center"/>
                </w:tcPr>
                <w:p w14:paraId="1FEF07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8</w:t>
                  </w:r>
                </w:p>
              </w:tc>
              <w:tc>
                <w:tcPr>
                  <w:tcW w:w="1885" w:type="dxa"/>
                  <w:tcBorders>
                    <w:tl2br w:val="nil"/>
                    <w:tr2bl w:val="nil"/>
                  </w:tcBorders>
                  <w:noWrap w:val="0"/>
                  <w:vAlign w:val="center"/>
                </w:tcPr>
                <w:p w14:paraId="56EB1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高锰酸钾</w:t>
                  </w:r>
                </w:p>
              </w:tc>
              <w:tc>
                <w:tcPr>
                  <w:tcW w:w="1173" w:type="dxa"/>
                  <w:tcBorders>
                    <w:tl2br w:val="nil"/>
                    <w:tr2bl w:val="nil"/>
                  </w:tcBorders>
                  <w:noWrap w:val="0"/>
                  <w:vAlign w:val="center"/>
                </w:tcPr>
                <w:p w14:paraId="2CB41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431B3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0.5</w:t>
                  </w:r>
                </w:p>
              </w:tc>
              <w:tc>
                <w:tcPr>
                  <w:tcW w:w="1821" w:type="dxa"/>
                  <w:tcBorders>
                    <w:tl2br w:val="nil"/>
                    <w:tr2bl w:val="nil"/>
                  </w:tcBorders>
                  <w:noWrap w:val="0"/>
                  <w:vAlign w:val="center"/>
                </w:tcPr>
                <w:p w14:paraId="1F6D3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2FB5C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310C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3" w:type="dxa"/>
                  <w:tcBorders>
                    <w:tl2br w:val="nil"/>
                    <w:tr2bl w:val="nil"/>
                  </w:tcBorders>
                  <w:noWrap w:val="0"/>
                  <w:vAlign w:val="center"/>
                </w:tcPr>
                <w:p w14:paraId="30D353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9</w:t>
                  </w:r>
                </w:p>
              </w:tc>
              <w:tc>
                <w:tcPr>
                  <w:tcW w:w="1885" w:type="dxa"/>
                  <w:tcBorders>
                    <w:tl2br w:val="nil"/>
                    <w:tr2bl w:val="nil"/>
                  </w:tcBorders>
                  <w:noWrap w:val="0"/>
                  <w:vAlign w:val="center"/>
                </w:tcPr>
                <w:p w14:paraId="0F45D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纯水</w:t>
                  </w:r>
                </w:p>
              </w:tc>
              <w:tc>
                <w:tcPr>
                  <w:tcW w:w="1173" w:type="dxa"/>
                  <w:tcBorders>
                    <w:tl2br w:val="nil"/>
                    <w:tr2bl w:val="nil"/>
                  </w:tcBorders>
                  <w:noWrap w:val="0"/>
                  <w:vAlign w:val="center"/>
                </w:tcPr>
                <w:p w14:paraId="062EE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5CB6D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19.44</w:t>
                  </w:r>
                </w:p>
              </w:tc>
              <w:tc>
                <w:tcPr>
                  <w:tcW w:w="1821" w:type="dxa"/>
                  <w:tcBorders>
                    <w:tl2br w:val="nil"/>
                    <w:tr2bl w:val="nil"/>
                  </w:tcBorders>
                  <w:noWrap w:val="0"/>
                  <w:vAlign w:val="center"/>
                </w:tcPr>
                <w:p w14:paraId="6920C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26C97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58A8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3" w:type="dxa"/>
                  <w:tcBorders>
                    <w:tl2br w:val="nil"/>
                    <w:tr2bl w:val="nil"/>
                  </w:tcBorders>
                  <w:noWrap w:val="0"/>
                  <w:vAlign w:val="center"/>
                </w:tcPr>
                <w:p w14:paraId="7631A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10</w:t>
                  </w:r>
                </w:p>
              </w:tc>
              <w:tc>
                <w:tcPr>
                  <w:tcW w:w="1885" w:type="dxa"/>
                  <w:tcBorders>
                    <w:tl2br w:val="nil"/>
                    <w:tr2bl w:val="nil"/>
                  </w:tcBorders>
                  <w:noWrap w:val="0"/>
                  <w:vAlign w:val="center"/>
                </w:tcPr>
                <w:p w14:paraId="00824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PP塑料箱</w:t>
                  </w:r>
                </w:p>
              </w:tc>
              <w:tc>
                <w:tcPr>
                  <w:tcW w:w="1173" w:type="dxa"/>
                  <w:tcBorders>
                    <w:tl2br w:val="nil"/>
                    <w:tr2bl w:val="nil"/>
                  </w:tcBorders>
                  <w:noWrap w:val="0"/>
                  <w:vAlign w:val="center"/>
                </w:tcPr>
                <w:p w14:paraId="513D6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个/a</w:t>
                  </w:r>
                </w:p>
              </w:tc>
              <w:tc>
                <w:tcPr>
                  <w:tcW w:w="1169" w:type="dxa"/>
                  <w:tcBorders>
                    <w:tl2br w:val="nil"/>
                    <w:tr2bl w:val="nil"/>
                  </w:tcBorders>
                  <w:noWrap w:val="0"/>
                  <w:vAlign w:val="center"/>
                </w:tcPr>
                <w:p w14:paraId="51E2F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100</w:t>
                  </w:r>
                </w:p>
              </w:tc>
              <w:tc>
                <w:tcPr>
                  <w:tcW w:w="1821" w:type="dxa"/>
                  <w:tcBorders>
                    <w:tl2br w:val="nil"/>
                    <w:tr2bl w:val="nil"/>
                  </w:tcBorders>
                  <w:noWrap w:val="0"/>
                  <w:vAlign w:val="center"/>
                </w:tcPr>
                <w:p w14:paraId="5D56D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71FE2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6FEE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3" w:type="dxa"/>
                  <w:tcBorders>
                    <w:tl2br w:val="nil"/>
                    <w:tr2bl w:val="nil"/>
                  </w:tcBorders>
                  <w:noWrap w:val="0"/>
                  <w:vAlign w:val="center"/>
                </w:tcPr>
                <w:p w14:paraId="24998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11</w:t>
                  </w:r>
                </w:p>
              </w:tc>
              <w:tc>
                <w:tcPr>
                  <w:tcW w:w="1885" w:type="dxa"/>
                  <w:tcBorders>
                    <w:tl2br w:val="nil"/>
                    <w:tr2bl w:val="nil"/>
                  </w:tcBorders>
                  <w:noWrap w:val="0"/>
                  <w:vAlign w:val="center"/>
                </w:tcPr>
                <w:p w14:paraId="229A4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砂料</w:t>
                  </w:r>
                </w:p>
              </w:tc>
              <w:tc>
                <w:tcPr>
                  <w:tcW w:w="1173" w:type="dxa"/>
                  <w:tcBorders>
                    <w:tl2br w:val="nil"/>
                    <w:tr2bl w:val="nil"/>
                  </w:tcBorders>
                  <w:noWrap w:val="0"/>
                  <w:vAlign w:val="center"/>
                </w:tcPr>
                <w:p w14:paraId="3DA28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127BF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20</w:t>
                  </w:r>
                </w:p>
              </w:tc>
              <w:tc>
                <w:tcPr>
                  <w:tcW w:w="1821" w:type="dxa"/>
                  <w:tcBorders>
                    <w:tl2br w:val="nil"/>
                    <w:tr2bl w:val="nil"/>
                  </w:tcBorders>
                  <w:noWrap w:val="0"/>
                  <w:vAlign w:val="center"/>
                </w:tcPr>
                <w:p w14:paraId="42B37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446" w:type="dxa"/>
                  <w:tcBorders>
                    <w:tl2br w:val="nil"/>
                    <w:tr2bl w:val="nil"/>
                  </w:tcBorders>
                  <w:noWrap w:val="0"/>
                  <w:vAlign w:val="center"/>
                </w:tcPr>
                <w:p w14:paraId="2416A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0</w:t>
                  </w:r>
                </w:p>
              </w:tc>
            </w:tr>
            <w:tr w14:paraId="41F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3" w:type="dxa"/>
                  <w:tcBorders>
                    <w:tl2br w:val="nil"/>
                    <w:tr2bl w:val="nil"/>
                  </w:tcBorders>
                  <w:noWrap w:val="0"/>
                  <w:vAlign w:val="center"/>
                </w:tcPr>
                <w:p w14:paraId="08A24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12</w:t>
                  </w:r>
                </w:p>
              </w:tc>
              <w:tc>
                <w:tcPr>
                  <w:tcW w:w="1885" w:type="dxa"/>
                  <w:tcBorders>
                    <w:tl2br w:val="nil"/>
                    <w:tr2bl w:val="nil"/>
                  </w:tcBorders>
                  <w:noWrap w:val="0"/>
                  <w:vAlign w:val="center"/>
                </w:tcPr>
                <w:p w14:paraId="605E1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kern w:val="2"/>
                      <w:sz w:val="21"/>
                      <w:szCs w:val="21"/>
                      <w:highlight w:val="none"/>
                      <w:lang w:val="en-US" w:eastAsia="zh-CN" w:bidi="ar-SA"/>
                    </w:rPr>
                  </w:pPr>
                  <w:r>
                    <w:rPr>
                      <w:rFonts w:hint="eastAsia" w:ascii="Times New Roman" w:hAnsi="Times New Roman" w:eastAsia="宋体"/>
                      <w:b w:val="0"/>
                      <w:bCs/>
                      <w:color w:val="auto"/>
                      <w:kern w:val="2"/>
                      <w:sz w:val="21"/>
                      <w:szCs w:val="21"/>
                      <w:highlight w:val="none"/>
                      <w:lang w:val="en-US" w:eastAsia="zh-CN" w:bidi="ar-SA"/>
                    </w:rPr>
                    <w:t>机油</w:t>
                  </w:r>
                </w:p>
              </w:tc>
              <w:tc>
                <w:tcPr>
                  <w:tcW w:w="1173" w:type="dxa"/>
                  <w:tcBorders>
                    <w:tl2br w:val="nil"/>
                    <w:tr2bl w:val="nil"/>
                  </w:tcBorders>
                  <w:noWrap w:val="0"/>
                  <w:vAlign w:val="center"/>
                </w:tcPr>
                <w:p w14:paraId="1827F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t/a</w:t>
                  </w:r>
                </w:p>
              </w:tc>
              <w:tc>
                <w:tcPr>
                  <w:tcW w:w="1169" w:type="dxa"/>
                  <w:tcBorders>
                    <w:tl2br w:val="nil"/>
                    <w:tr2bl w:val="nil"/>
                  </w:tcBorders>
                  <w:noWrap w:val="0"/>
                  <w:vAlign w:val="center"/>
                </w:tcPr>
                <w:p w14:paraId="6054B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w:t>
                  </w:r>
                </w:p>
              </w:tc>
              <w:tc>
                <w:tcPr>
                  <w:tcW w:w="1821" w:type="dxa"/>
                  <w:tcBorders>
                    <w:tl2br w:val="nil"/>
                    <w:tr2bl w:val="nil"/>
                  </w:tcBorders>
                  <w:noWrap w:val="0"/>
                  <w:vAlign w:val="center"/>
                </w:tcPr>
                <w:p w14:paraId="7C983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0.1</w:t>
                  </w:r>
                </w:p>
              </w:tc>
              <w:tc>
                <w:tcPr>
                  <w:tcW w:w="1446" w:type="dxa"/>
                  <w:tcBorders>
                    <w:tl2br w:val="nil"/>
                    <w:tr2bl w:val="nil"/>
                  </w:tcBorders>
                  <w:noWrap w:val="0"/>
                  <w:vAlign w:val="center"/>
                </w:tcPr>
                <w:p w14:paraId="013CA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0.1</w:t>
                  </w:r>
                </w:p>
              </w:tc>
            </w:tr>
          </w:tbl>
          <w:p w14:paraId="4073AA7E">
            <w:pPr>
              <w:pStyle w:val="101"/>
              <w:bidi w:val="0"/>
              <w:rPr>
                <w:rFonts w:hint="eastAsia"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cs="Times New Roman"/>
                <w:color w:val="auto"/>
                <w:highlight w:val="none"/>
                <w:lang w:val="en-US" w:eastAsia="zh-CN"/>
              </w:rPr>
              <w:t>表2-</w:t>
            </w:r>
            <w:r>
              <w:rPr>
                <w:rFonts w:hint="eastAsia" w:ascii="Times New Roman" w:hAnsi="Times New Roman" w:cs="Times New Roman"/>
                <w:color w:val="auto"/>
                <w:highlight w:val="none"/>
                <w:lang w:val="en-US" w:eastAsia="zh-CN"/>
              </w:rPr>
              <w:t>4</w:t>
            </w:r>
            <w:r>
              <w:rPr>
                <w:rFonts w:hint="eastAsia" w:cs="Times New Roman"/>
                <w:color w:val="auto"/>
                <w:highlight w:val="none"/>
                <w:lang w:val="en-US" w:eastAsia="zh-CN"/>
              </w:rPr>
              <w:t>废硅材料</w:t>
            </w:r>
            <w:r>
              <w:rPr>
                <w:rFonts w:hint="eastAsia" w:ascii="Times New Roman" w:hAnsi="Times New Roman" w:cs="Times New Roman"/>
                <w:color w:val="auto"/>
                <w:highlight w:val="none"/>
                <w:lang w:val="en-US" w:eastAsia="zh-CN"/>
              </w:rPr>
              <w:t>物料平衡一览表</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1094"/>
              <w:gridCol w:w="1344"/>
              <w:gridCol w:w="712"/>
              <w:gridCol w:w="1125"/>
              <w:gridCol w:w="1788"/>
              <w:gridCol w:w="1547"/>
            </w:tblGrid>
            <w:tr w14:paraId="79F11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1904" w:type="pct"/>
                  <w:gridSpan w:val="3"/>
                  <w:tcBorders>
                    <w:right w:val="single" w:color="auto" w:sz="4" w:space="0"/>
                    <w:tl2br w:val="nil"/>
                    <w:tr2bl w:val="nil"/>
                  </w:tcBorders>
                  <w:noWrap w:val="0"/>
                  <w:vAlign w:val="center"/>
                </w:tcPr>
                <w:p w14:paraId="4B4D8D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输入</w:t>
                  </w:r>
                </w:p>
              </w:tc>
              <w:tc>
                <w:tcPr>
                  <w:tcW w:w="3095" w:type="pct"/>
                  <w:gridSpan w:val="4"/>
                  <w:tcBorders>
                    <w:right w:val="single" w:color="auto" w:sz="4" w:space="0"/>
                    <w:tl2br w:val="nil"/>
                    <w:tr2bl w:val="nil"/>
                  </w:tcBorders>
                  <w:noWrap w:val="0"/>
                  <w:vAlign w:val="center"/>
                </w:tcPr>
                <w:p w14:paraId="4232B9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输出</w:t>
                  </w:r>
                </w:p>
              </w:tc>
            </w:tr>
            <w:tr w14:paraId="485E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445" w:type="pct"/>
                  <w:tcBorders>
                    <w:tl2br w:val="nil"/>
                    <w:tr2bl w:val="nil"/>
                  </w:tcBorders>
                  <w:noWrap w:val="0"/>
                  <w:vAlign w:val="center"/>
                </w:tcPr>
                <w:p w14:paraId="253161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序号</w:t>
                  </w:r>
                </w:p>
              </w:tc>
              <w:tc>
                <w:tcPr>
                  <w:tcW w:w="654" w:type="pct"/>
                  <w:tcBorders>
                    <w:tl2br w:val="nil"/>
                    <w:tr2bl w:val="nil"/>
                  </w:tcBorders>
                  <w:noWrap w:val="0"/>
                  <w:vAlign w:val="center"/>
                </w:tcPr>
                <w:p w14:paraId="66E362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物料</w:t>
                  </w:r>
                </w:p>
              </w:tc>
              <w:tc>
                <w:tcPr>
                  <w:tcW w:w="804" w:type="pct"/>
                  <w:tcBorders>
                    <w:right w:val="single" w:color="auto" w:sz="4" w:space="0"/>
                    <w:tl2br w:val="nil"/>
                    <w:tr2bl w:val="nil"/>
                  </w:tcBorders>
                  <w:noWrap w:val="0"/>
                  <w:vAlign w:val="center"/>
                </w:tcPr>
                <w:p w14:paraId="4C65DC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投入量（</w:t>
                  </w:r>
                  <w:r>
                    <w:rPr>
                      <w:rFonts w:hint="default" w:ascii="Times New Roman" w:hAnsi="Times New Roman" w:eastAsia="宋体" w:cs="Times New Roman"/>
                      <w:i w:val="0"/>
                      <w:iCs w:val="0"/>
                      <w:color w:val="auto"/>
                      <w:kern w:val="0"/>
                      <w:sz w:val="21"/>
                      <w:szCs w:val="21"/>
                      <w:highlight w:val="none"/>
                      <w:u w:val="none"/>
                      <w:lang w:val="en-US" w:eastAsia="zh-CN" w:bidi="ar"/>
                    </w:rPr>
                    <w:t>t/a</w:t>
                  </w:r>
                  <w:r>
                    <w:rPr>
                      <w:rFonts w:hint="eastAsia" w:ascii="Times New Roman" w:hAnsi="Times New Roman" w:eastAsia="宋体" w:cs="宋体"/>
                      <w:i w:val="0"/>
                      <w:iCs w:val="0"/>
                      <w:color w:val="auto"/>
                      <w:kern w:val="0"/>
                      <w:sz w:val="21"/>
                      <w:szCs w:val="21"/>
                      <w:highlight w:val="none"/>
                      <w:u w:val="none"/>
                      <w:lang w:val="en-US" w:eastAsia="zh-CN" w:bidi="ar"/>
                    </w:rPr>
                    <w:t>）</w:t>
                  </w:r>
                </w:p>
              </w:tc>
              <w:tc>
                <w:tcPr>
                  <w:tcW w:w="426" w:type="pct"/>
                  <w:tcBorders>
                    <w:tl2br w:val="nil"/>
                    <w:tr2bl w:val="nil"/>
                  </w:tcBorders>
                  <w:noWrap w:val="0"/>
                  <w:vAlign w:val="center"/>
                </w:tcPr>
                <w:p w14:paraId="73F46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序号</w:t>
                  </w:r>
                </w:p>
              </w:tc>
              <w:tc>
                <w:tcPr>
                  <w:tcW w:w="1743" w:type="pct"/>
                  <w:gridSpan w:val="2"/>
                  <w:tcBorders>
                    <w:tl2br w:val="nil"/>
                    <w:tr2bl w:val="nil"/>
                  </w:tcBorders>
                  <w:noWrap w:val="0"/>
                  <w:vAlign w:val="center"/>
                </w:tcPr>
                <w:p w14:paraId="5CCC96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产物</w:t>
                  </w:r>
                </w:p>
              </w:tc>
              <w:tc>
                <w:tcPr>
                  <w:tcW w:w="925" w:type="pct"/>
                  <w:tcBorders>
                    <w:right w:val="single" w:color="auto" w:sz="4" w:space="0"/>
                    <w:tl2br w:val="nil"/>
                    <w:tr2bl w:val="nil"/>
                  </w:tcBorders>
                  <w:noWrap w:val="0"/>
                  <w:vAlign w:val="center"/>
                </w:tcPr>
                <w:p w14:paraId="152690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产出量（</w:t>
                  </w:r>
                  <w:r>
                    <w:rPr>
                      <w:rFonts w:hint="default" w:ascii="Times New Roman" w:hAnsi="Times New Roman" w:eastAsia="宋体" w:cs="Times New Roman"/>
                      <w:i w:val="0"/>
                      <w:iCs w:val="0"/>
                      <w:color w:val="auto"/>
                      <w:kern w:val="0"/>
                      <w:sz w:val="21"/>
                      <w:szCs w:val="21"/>
                      <w:highlight w:val="none"/>
                      <w:u w:val="none"/>
                      <w:lang w:val="en-US" w:eastAsia="zh-CN" w:bidi="ar"/>
                    </w:rPr>
                    <w:t>t/a</w:t>
                  </w:r>
                  <w:r>
                    <w:rPr>
                      <w:rFonts w:hint="eastAsia" w:ascii="Times New Roman" w:hAnsi="Times New Roman" w:eastAsia="宋体" w:cs="宋体"/>
                      <w:i w:val="0"/>
                      <w:iCs w:val="0"/>
                      <w:color w:val="auto"/>
                      <w:kern w:val="0"/>
                      <w:sz w:val="21"/>
                      <w:szCs w:val="21"/>
                      <w:highlight w:val="none"/>
                      <w:u w:val="none"/>
                      <w:lang w:val="en-US" w:eastAsia="zh-CN" w:bidi="ar"/>
                    </w:rPr>
                    <w:t>）</w:t>
                  </w:r>
                </w:p>
              </w:tc>
            </w:tr>
            <w:tr w14:paraId="1F67F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45" w:type="pct"/>
                  <w:tcBorders>
                    <w:tl2br w:val="nil"/>
                    <w:tr2bl w:val="nil"/>
                  </w:tcBorders>
                  <w:noWrap w:val="0"/>
                  <w:vAlign w:val="center"/>
                </w:tcPr>
                <w:p w14:paraId="4FF4C0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4" w:type="pct"/>
                  <w:tcBorders>
                    <w:tl2br w:val="nil"/>
                    <w:tr2bl w:val="nil"/>
                  </w:tcBorders>
                  <w:noWrap w:val="0"/>
                  <w:vAlign w:val="center"/>
                </w:tcPr>
                <w:p w14:paraId="29F0C8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废硅材料</w:t>
                  </w:r>
                </w:p>
              </w:tc>
              <w:tc>
                <w:tcPr>
                  <w:tcW w:w="804" w:type="pct"/>
                  <w:tcBorders>
                    <w:tl2br w:val="nil"/>
                    <w:tr2bl w:val="nil"/>
                  </w:tcBorders>
                  <w:noWrap w:val="0"/>
                  <w:vAlign w:val="center"/>
                </w:tcPr>
                <w:p w14:paraId="53AF920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631</w:t>
                  </w:r>
                  <w:r>
                    <w:rPr>
                      <w:rFonts w:hint="eastAsia" w:cs="Times New Roman"/>
                      <w:i w:val="0"/>
                      <w:iCs w:val="0"/>
                      <w:color w:val="auto"/>
                      <w:sz w:val="21"/>
                      <w:szCs w:val="21"/>
                      <w:highlight w:val="none"/>
                      <w:u w:val="none"/>
                      <w:lang w:val="en-US" w:eastAsia="zh-CN"/>
                    </w:rPr>
                    <w:t>3</w:t>
                  </w:r>
                  <w:r>
                    <w:rPr>
                      <w:rFonts w:hint="eastAsia" w:ascii="Times New Roman" w:hAnsi="Times New Roman" w:eastAsia="宋体" w:cs="Times New Roman"/>
                      <w:i w:val="0"/>
                      <w:iCs w:val="0"/>
                      <w:color w:val="auto"/>
                      <w:sz w:val="21"/>
                      <w:szCs w:val="21"/>
                      <w:highlight w:val="none"/>
                      <w:u w:val="none"/>
                      <w:lang w:val="en-US" w:eastAsia="zh-CN"/>
                    </w:rPr>
                    <w:t>.</w:t>
                  </w:r>
                  <w:r>
                    <w:rPr>
                      <w:rFonts w:hint="eastAsia" w:cs="Times New Roman"/>
                      <w:i w:val="0"/>
                      <w:iCs w:val="0"/>
                      <w:color w:val="auto"/>
                      <w:sz w:val="21"/>
                      <w:szCs w:val="21"/>
                      <w:highlight w:val="none"/>
                      <w:u w:val="none"/>
                      <w:lang w:val="en-US" w:eastAsia="zh-CN"/>
                    </w:rPr>
                    <w:t>08</w:t>
                  </w:r>
                </w:p>
              </w:tc>
              <w:tc>
                <w:tcPr>
                  <w:tcW w:w="426" w:type="pct"/>
                  <w:tcBorders>
                    <w:bottom w:val="single" w:color="auto" w:sz="4" w:space="0"/>
                    <w:tl2br w:val="nil"/>
                    <w:tr2bl w:val="nil"/>
                  </w:tcBorders>
                  <w:noWrap w:val="0"/>
                  <w:vAlign w:val="center"/>
                </w:tcPr>
                <w:p w14:paraId="722A5C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743" w:type="pct"/>
                  <w:gridSpan w:val="2"/>
                  <w:tcBorders>
                    <w:bottom w:val="single" w:color="auto" w:sz="4" w:space="0"/>
                    <w:tl2br w:val="nil"/>
                    <w:tr2bl w:val="nil"/>
                  </w:tcBorders>
                  <w:noWrap w:val="0"/>
                  <w:vAlign w:val="center"/>
                </w:tcPr>
                <w:p w14:paraId="12740D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sz w:val="21"/>
                      <w:szCs w:val="21"/>
                      <w:highlight w:val="none"/>
                      <w:u w:val="none"/>
                      <w:lang w:val="en-US"/>
                    </w:rPr>
                  </w:pPr>
                  <w:r>
                    <w:rPr>
                      <w:rFonts w:hint="eastAsia" w:ascii="Times New Roman" w:hAnsi="Times New Roman" w:eastAsia="宋体" w:cs="宋体"/>
                      <w:i w:val="0"/>
                      <w:iCs w:val="0"/>
                      <w:color w:val="auto"/>
                      <w:kern w:val="0"/>
                      <w:sz w:val="21"/>
                      <w:szCs w:val="21"/>
                      <w:highlight w:val="none"/>
                      <w:u w:val="none"/>
                      <w:lang w:val="en-US" w:eastAsia="zh-CN" w:bidi="ar"/>
                    </w:rPr>
                    <w:t>废硅产品</w:t>
                  </w:r>
                </w:p>
              </w:tc>
              <w:tc>
                <w:tcPr>
                  <w:tcW w:w="925" w:type="pct"/>
                  <w:tcBorders>
                    <w:bottom w:val="single" w:color="auto" w:sz="4" w:space="0"/>
                    <w:tl2br w:val="nil"/>
                    <w:tr2bl w:val="nil"/>
                  </w:tcBorders>
                  <w:noWrap w:val="0"/>
                  <w:vAlign w:val="center"/>
                </w:tcPr>
                <w:p w14:paraId="64784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60</w:t>
                  </w:r>
                  <w:r>
                    <w:rPr>
                      <w:rFonts w:hint="default" w:ascii="Times New Roman" w:hAnsi="Times New Roman" w:eastAsia="宋体" w:cs="Times New Roman"/>
                      <w:i w:val="0"/>
                      <w:iCs w:val="0"/>
                      <w:color w:val="auto"/>
                      <w:kern w:val="0"/>
                      <w:sz w:val="21"/>
                      <w:szCs w:val="21"/>
                      <w:highlight w:val="none"/>
                      <w:u w:val="none"/>
                      <w:lang w:val="en-US" w:eastAsia="zh-CN" w:bidi="ar"/>
                    </w:rPr>
                    <w:t>00</w:t>
                  </w:r>
                </w:p>
              </w:tc>
            </w:tr>
            <w:tr w14:paraId="7B78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45" w:type="pct"/>
                  <w:vMerge w:val="restart"/>
                  <w:tcBorders>
                    <w:tl2br w:val="nil"/>
                    <w:tr2bl w:val="nil"/>
                  </w:tcBorders>
                  <w:noWrap w:val="0"/>
                  <w:vAlign w:val="center"/>
                </w:tcPr>
                <w:p w14:paraId="4C9619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eastAsia="宋体" w:cs="Times New Roman"/>
                      <w:i w:val="0"/>
                      <w:iCs w:val="0"/>
                      <w:color w:val="auto"/>
                      <w:sz w:val="21"/>
                      <w:szCs w:val="21"/>
                      <w:highlight w:val="none"/>
                      <w:u w:val="none"/>
                      <w:lang w:val="en-US" w:eastAsia="zh-CN"/>
                    </w:rPr>
                    <w:t>/</w:t>
                  </w:r>
                </w:p>
              </w:tc>
              <w:tc>
                <w:tcPr>
                  <w:tcW w:w="654" w:type="pct"/>
                  <w:vMerge w:val="restart"/>
                  <w:tcBorders>
                    <w:tl2br w:val="nil"/>
                    <w:tr2bl w:val="nil"/>
                  </w:tcBorders>
                  <w:noWrap w:val="0"/>
                  <w:vAlign w:val="center"/>
                </w:tcPr>
                <w:p w14:paraId="395DB5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Times New Roman"/>
                      <w:i w:val="0"/>
                      <w:iCs w:val="0"/>
                      <w:color w:val="auto"/>
                      <w:sz w:val="21"/>
                      <w:szCs w:val="21"/>
                      <w:highlight w:val="none"/>
                      <w:u w:val="none"/>
                      <w:lang w:val="en-US" w:eastAsia="zh-CN"/>
                    </w:rPr>
                    <w:t>/</w:t>
                  </w:r>
                </w:p>
              </w:tc>
              <w:tc>
                <w:tcPr>
                  <w:tcW w:w="804" w:type="pct"/>
                  <w:vMerge w:val="restart"/>
                  <w:tcBorders>
                    <w:tl2br w:val="nil"/>
                    <w:tr2bl w:val="nil"/>
                  </w:tcBorders>
                  <w:noWrap w:val="0"/>
                  <w:vAlign w:val="center"/>
                </w:tcPr>
                <w:p w14:paraId="119A690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w:t>
                  </w:r>
                </w:p>
              </w:tc>
              <w:tc>
                <w:tcPr>
                  <w:tcW w:w="426" w:type="pct"/>
                  <w:vMerge w:val="restart"/>
                  <w:tcBorders>
                    <w:top w:val="single" w:color="auto" w:sz="4" w:space="0"/>
                    <w:tl2br w:val="nil"/>
                    <w:tr2bl w:val="nil"/>
                  </w:tcBorders>
                  <w:noWrap w:val="0"/>
                  <w:vAlign w:val="center"/>
                </w:tcPr>
                <w:p w14:paraId="2A38E170">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w:t>
                  </w:r>
                </w:p>
              </w:tc>
              <w:tc>
                <w:tcPr>
                  <w:tcW w:w="673" w:type="pct"/>
                  <w:vMerge w:val="restart"/>
                  <w:tcBorders>
                    <w:top w:val="single" w:color="auto" w:sz="4" w:space="0"/>
                    <w:right w:val="single" w:color="auto" w:sz="4" w:space="0"/>
                    <w:tl2br w:val="nil"/>
                    <w:tr2bl w:val="nil"/>
                  </w:tcBorders>
                  <w:noWrap w:val="0"/>
                  <w:vAlign w:val="center"/>
                </w:tcPr>
                <w:p w14:paraId="2C5D666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宋体"/>
                      <w:i w:val="0"/>
                      <w:iCs w:val="0"/>
                      <w:color w:val="auto"/>
                      <w:sz w:val="21"/>
                      <w:szCs w:val="21"/>
                      <w:highlight w:val="none"/>
                      <w:u w:val="none"/>
                      <w:lang w:val="en-US" w:eastAsia="zh-CN"/>
                    </w:rPr>
                  </w:pPr>
                  <w:r>
                    <w:rPr>
                      <w:rFonts w:hint="eastAsia" w:ascii="Times New Roman" w:hAnsi="Times New Roman" w:eastAsia="宋体" w:cs="宋体"/>
                      <w:i w:val="0"/>
                      <w:iCs w:val="0"/>
                      <w:color w:val="auto"/>
                      <w:sz w:val="21"/>
                      <w:szCs w:val="21"/>
                      <w:highlight w:val="none"/>
                      <w:u w:val="none"/>
                      <w:lang w:val="en-US" w:eastAsia="zh-CN"/>
                    </w:rPr>
                    <w:t>粉尘产生量11.128</w:t>
                  </w:r>
                </w:p>
              </w:tc>
              <w:tc>
                <w:tcPr>
                  <w:tcW w:w="1070" w:type="pct"/>
                  <w:tcBorders>
                    <w:top w:val="single" w:color="auto" w:sz="4" w:space="0"/>
                    <w:left w:val="single" w:color="auto" w:sz="4" w:space="0"/>
                    <w:bottom w:val="single" w:color="auto" w:sz="4" w:space="0"/>
                    <w:tl2br w:val="nil"/>
                    <w:tr2bl w:val="nil"/>
                  </w:tcBorders>
                  <w:noWrap w:val="0"/>
                  <w:vAlign w:val="center"/>
                </w:tcPr>
                <w:p w14:paraId="6E7AEE86">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宋体"/>
                      <w:i w:val="0"/>
                      <w:iCs w:val="0"/>
                      <w:color w:val="auto"/>
                      <w:sz w:val="21"/>
                      <w:szCs w:val="21"/>
                      <w:highlight w:val="none"/>
                      <w:u w:val="none"/>
                      <w:lang w:val="en-US" w:eastAsia="zh-CN"/>
                    </w:rPr>
                  </w:pPr>
                  <w:r>
                    <w:rPr>
                      <w:rFonts w:hint="eastAsia" w:ascii="Times New Roman" w:hAnsi="Times New Roman" w:eastAsia="宋体" w:cs="宋体"/>
                      <w:i w:val="0"/>
                      <w:iCs w:val="0"/>
                      <w:color w:val="auto"/>
                      <w:sz w:val="21"/>
                      <w:szCs w:val="21"/>
                      <w:highlight w:val="none"/>
                      <w:u w:val="none"/>
                      <w:lang w:val="en-US" w:eastAsia="zh-CN"/>
                    </w:rPr>
                    <w:t>粉尘无组织排放量</w:t>
                  </w:r>
                </w:p>
              </w:tc>
              <w:tc>
                <w:tcPr>
                  <w:tcW w:w="925" w:type="pct"/>
                  <w:tcBorders>
                    <w:top w:val="single" w:color="auto" w:sz="4" w:space="0"/>
                    <w:bottom w:val="single" w:color="auto" w:sz="4" w:space="0"/>
                    <w:tl2br w:val="nil"/>
                    <w:tr2bl w:val="nil"/>
                  </w:tcBorders>
                  <w:noWrap w:val="0"/>
                  <w:vAlign w:val="center"/>
                </w:tcPr>
                <w:p w14:paraId="6A9E7DE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0.307</w:t>
                  </w:r>
                </w:p>
              </w:tc>
            </w:tr>
            <w:tr w14:paraId="4291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45" w:type="pct"/>
                  <w:vMerge w:val="continue"/>
                  <w:tcBorders>
                    <w:tl2br w:val="nil"/>
                    <w:tr2bl w:val="nil"/>
                  </w:tcBorders>
                  <w:noWrap w:val="0"/>
                  <w:vAlign w:val="center"/>
                </w:tcPr>
                <w:p w14:paraId="1B2D4E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654" w:type="pct"/>
                  <w:vMerge w:val="continue"/>
                  <w:tcBorders>
                    <w:tl2br w:val="nil"/>
                    <w:tr2bl w:val="nil"/>
                  </w:tcBorders>
                  <w:noWrap w:val="0"/>
                  <w:vAlign w:val="center"/>
                </w:tcPr>
                <w:p w14:paraId="2446C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p>
              </w:tc>
              <w:tc>
                <w:tcPr>
                  <w:tcW w:w="804" w:type="pct"/>
                  <w:vMerge w:val="continue"/>
                  <w:tcBorders>
                    <w:tl2br w:val="nil"/>
                    <w:tr2bl w:val="nil"/>
                  </w:tcBorders>
                  <w:noWrap w:val="0"/>
                  <w:vAlign w:val="center"/>
                </w:tcPr>
                <w:p w14:paraId="116C3F9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p>
              </w:tc>
              <w:tc>
                <w:tcPr>
                  <w:tcW w:w="426" w:type="pct"/>
                  <w:vMerge w:val="continue"/>
                  <w:tcBorders>
                    <w:tl2br w:val="nil"/>
                    <w:tr2bl w:val="nil"/>
                  </w:tcBorders>
                  <w:noWrap w:val="0"/>
                  <w:vAlign w:val="center"/>
                </w:tcPr>
                <w:p w14:paraId="21C7D70C">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i w:val="0"/>
                      <w:iCs w:val="0"/>
                      <w:color w:val="auto"/>
                      <w:sz w:val="21"/>
                      <w:szCs w:val="21"/>
                      <w:highlight w:val="none"/>
                      <w:u w:val="none"/>
                      <w:lang w:val="en-US" w:eastAsia="zh-CN"/>
                    </w:rPr>
                  </w:pPr>
                </w:p>
              </w:tc>
              <w:tc>
                <w:tcPr>
                  <w:tcW w:w="673" w:type="pct"/>
                  <w:vMerge w:val="continue"/>
                  <w:tcBorders>
                    <w:right w:val="single" w:color="auto" w:sz="4" w:space="0"/>
                    <w:tl2br w:val="nil"/>
                    <w:tr2bl w:val="nil"/>
                  </w:tcBorders>
                  <w:noWrap w:val="0"/>
                  <w:vAlign w:val="center"/>
                </w:tcPr>
                <w:p w14:paraId="513D4FDB">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宋体"/>
                      <w:i w:val="0"/>
                      <w:iCs w:val="0"/>
                      <w:color w:val="auto"/>
                      <w:sz w:val="21"/>
                      <w:szCs w:val="21"/>
                      <w:highlight w:val="none"/>
                      <w:u w:val="none"/>
                    </w:rPr>
                  </w:pPr>
                </w:p>
              </w:tc>
              <w:tc>
                <w:tcPr>
                  <w:tcW w:w="1070" w:type="pct"/>
                  <w:tcBorders>
                    <w:top w:val="single" w:color="auto" w:sz="4" w:space="0"/>
                    <w:left w:val="single" w:color="auto" w:sz="4" w:space="0"/>
                    <w:bottom w:val="single" w:color="auto" w:sz="4" w:space="0"/>
                    <w:tl2br w:val="nil"/>
                    <w:tr2bl w:val="nil"/>
                  </w:tcBorders>
                  <w:noWrap w:val="0"/>
                  <w:vAlign w:val="center"/>
                </w:tcPr>
                <w:p w14:paraId="2D506DC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宋体"/>
                      <w:i w:val="0"/>
                      <w:iCs w:val="0"/>
                      <w:color w:val="auto"/>
                      <w:sz w:val="21"/>
                      <w:szCs w:val="21"/>
                      <w:highlight w:val="none"/>
                      <w:u w:val="none"/>
                      <w:lang w:val="en-US" w:eastAsia="zh-CN"/>
                    </w:rPr>
                  </w:pPr>
                  <w:r>
                    <w:rPr>
                      <w:rFonts w:hint="eastAsia" w:ascii="Times New Roman" w:hAnsi="Times New Roman" w:eastAsia="宋体" w:cs="宋体"/>
                      <w:i w:val="0"/>
                      <w:iCs w:val="0"/>
                      <w:color w:val="auto"/>
                      <w:sz w:val="21"/>
                      <w:szCs w:val="21"/>
                      <w:highlight w:val="none"/>
                      <w:u w:val="none"/>
                      <w:lang w:val="en-US" w:eastAsia="zh-CN"/>
                    </w:rPr>
                    <w:t>袋式除尘拦截量</w:t>
                  </w:r>
                </w:p>
              </w:tc>
              <w:tc>
                <w:tcPr>
                  <w:tcW w:w="925" w:type="pct"/>
                  <w:tcBorders>
                    <w:top w:val="single" w:color="auto" w:sz="4" w:space="0"/>
                    <w:bottom w:val="single" w:color="auto" w:sz="4" w:space="0"/>
                    <w:tl2br w:val="nil"/>
                    <w:tr2bl w:val="nil"/>
                  </w:tcBorders>
                  <w:noWrap w:val="0"/>
                  <w:vAlign w:val="center"/>
                </w:tcPr>
                <w:p w14:paraId="46C9747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10.279</w:t>
                  </w:r>
                </w:p>
              </w:tc>
            </w:tr>
            <w:tr w14:paraId="3895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445" w:type="pct"/>
                  <w:vMerge w:val="continue"/>
                  <w:tcBorders>
                    <w:bottom w:val="single" w:color="auto" w:sz="4" w:space="0"/>
                    <w:tl2br w:val="nil"/>
                    <w:tr2bl w:val="nil"/>
                  </w:tcBorders>
                  <w:noWrap w:val="0"/>
                  <w:vAlign w:val="center"/>
                </w:tcPr>
                <w:p w14:paraId="2CB769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654" w:type="pct"/>
                  <w:vMerge w:val="continue"/>
                  <w:tcBorders>
                    <w:bottom w:val="single" w:color="auto" w:sz="4" w:space="0"/>
                    <w:tl2br w:val="nil"/>
                    <w:tr2bl w:val="nil"/>
                  </w:tcBorders>
                  <w:noWrap w:val="0"/>
                  <w:vAlign w:val="center"/>
                </w:tcPr>
                <w:p w14:paraId="2A724D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p>
              </w:tc>
              <w:tc>
                <w:tcPr>
                  <w:tcW w:w="804" w:type="pct"/>
                  <w:vMerge w:val="continue"/>
                  <w:tcBorders>
                    <w:bottom w:val="single" w:color="auto" w:sz="4" w:space="0"/>
                    <w:tl2br w:val="nil"/>
                    <w:tr2bl w:val="nil"/>
                  </w:tcBorders>
                  <w:noWrap w:val="0"/>
                  <w:vAlign w:val="center"/>
                </w:tcPr>
                <w:p w14:paraId="0AE5F1F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p>
              </w:tc>
              <w:tc>
                <w:tcPr>
                  <w:tcW w:w="426" w:type="pct"/>
                  <w:vMerge w:val="continue"/>
                  <w:tcBorders>
                    <w:bottom w:val="single" w:color="auto" w:sz="4" w:space="0"/>
                    <w:tl2br w:val="nil"/>
                    <w:tr2bl w:val="nil"/>
                  </w:tcBorders>
                  <w:noWrap w:val="0"/>
                  <w:vAlign w:val="center"/>
                </w:tcPr>
                <w:p w14:paraId="5A51BCE5">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i w:val="0"/>
                      <w:iCs w:val="0"/>
                      <w:color w:val="auto"/>
                      <w:sz w:val="21"/>
                      <w:szCs w:val="21"/>
                      <w:highlight w:val="none"/>
                      <w:u w:val="none"/>
                      <w:lang w:val="en-US" w:eastAsia="zh-CN"/>
                    </w:rPr>
                  </w:pPr>
                </w:p>
              </w:tc>
              <w:tc>
                <w:tcPr>
                  <w:tcW w:w="673" w:type="pct"/>
                  <w:vMerge w:val="continue"/>
                  <w:tcBorders>
                    <w:bottom w:val="single" w:color="auto" w:sz="4" w:space="0"/>
                    <w:right w:val="single" w:color="auto" w:sz="4" w:space="0"/>
                    <w:tl2br w:val="nil"/>
                    <w:tr2bl w:val="nil"/>
                  </w:tcBorders>
                  <w:noWrap w:val="0"/>
                  <w:vAlign w:val="center"/>
                </w:tcPr>
                <w:p w14:paraId="135D8794">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宋体"/>
                      <w:i w:val="0"/>
                      <w:iCs w:val="0"/>
                      <w:color w:val="auto"/>
                      <w:sz w:val="21"/>
                      <w:szCs w:val="21"/>
                      <w:highlight w:val="none"/>
                      <w:u w:val="none"/>
                    </w:rPr>
                  </w:pPr>
                </w:p>
              </w:tc>
              <w:tc>
                <w:tcPr>
                  <w:tcW w:w="1070" w:type="pct"/>
                  <w:tcBorders>
                    <w:top w:val="single" w:color="auto" w:sz="4" w:space="0"/>
                    <w:left w:val="single" w:color="auto" w:sz="4" w:space="0"/>
                    <w:bottom w:val="single" w:color="auto" w:sz="4" w:space="0"/>
                    <w:tl2br w:val="nil"/>
                    <w:tr2bl w:val="nil"/>
                  </w:tcBorders>
                  <w:noWrap w:val="0"/>
                  <w:vAlign w:val="center"/>
                </w:tcPr>
                <w:p w14:paraId="4E70C09F">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有组织排放量</w:t>
                  </w:r>
                </w:p>
              </w:tc>
              <w:tc>
                <w:tcPr>
                  <w:tcW w:w="925" w:type="pct"/>
                  <w:tcBorders>
                    <w:top w:val="single" w:color="auto" w:sz="4" w:space="0"/>
                    <w:bottom w:val="single" w:color="auto" w:sz="4" w:space="0"/>
                    <w:tl2br w:val="nil"/>
                    <w:tr2bl w:val="nil"/>
                  </w:tcBorders>
                  <w:noWrap w:val="0"/>
                  <w:vAlign w:val="center"/>
                </w:tcPr>
                <w:p w14:paraId="737B7AF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0.542</w:t>
                  </w:r>
                </w:p>
              </w:tc>
            </w:tr>
            <w:tr w14:paraId="2FF2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445" w:type="pct"/>
                  <w:vMerge w:val="continue"/>
                  <w:tcBorders>
                    <w:bottom w:val="single" w:color="auto" w:sz="4" w:space="0"/>
                    <w:tl2br w:val="nil"/>
                    <w:tr2bl w:val="nil"/>
                  </w:tcBorders>
                  <w:noWrap w:val="0"/>
                  <w:vAlign w:val="center"/>
                </w:tcPr>
                <w:p w14:paraId="5A6FBE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654" w:type="pct"/>
                  <w:vMerge w:val="continue"/>
                  <w:tcBorders>
                    <w:bottom w:val="single" w:color="auto" w:sz="4" w:space="0"/>
                    <w:tl2br w:val="nil"/>
                    <w:tr2bl w:val="nil"/>
                  </w:tcBorders>
                  <w:noWrap w:val="0"/>
                  <w:vAlign w:val="center"/>
                </w:tcPr>
                <w:p w14:paraId="2FDFCD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p>
              </w:tc>
              <w:tc>
                <w:tcPr>
                  <w:tcW w:w="804" w:type="pct"/>
                  <w:vMerge w:val="continue"/>
                  <w:tcBorders>
                    <w:bottom w:val="single" w:color="auto" w:sz="4" w:space="0"/>
                    <w:tl2br w:val="nil"/>
                    <w:tr2bl w:val="nil"/>
                  </w:tcBorders>
                  <w:noWrap w:val="0"/>
                  <w:vAlign w:val="center"/>
                </w:tcPr>
                <w:p w14:paraId="0E90313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p>
              </w:tc>
              <w:tc>
                <w:tcPr>
                  <w:tcW w:w="426" w:type="pct"/>
                  <w:vMerge w:val="continue"/>
                  <w:tcBorders>
                    <w:bottom w:val="single" w:color="auto" w:sz="4" w:space="0"/>
                    <w:tl2br w:val="nil"/>
                    <w:tr2bl w:val="nil"/>
                  </w:tcBorders>
                  <w:noWrap w:val="0"/>
                  <w:vAlign w:val="center"/>
                </w:tcPr>
                <w:p w14:paraId="4CB8C273">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i w:val="0"/>
                      <w:iCs w:val="0"/>
                      <w:color w:val="auto"/>
                      <w:sz w:val="21"/>
                      <w:szCs w:val="21"/>
                      <w:highlight w:val="none"/>
                      <w:u w:val="none"/>
                      <w:lang w:val="en-US" w:eastAsia="zh-CN"/>
                    </w:rPr>
                  </w:pPr>
                </w:p>
              </w:tc>
              <w:tc>
                <w:tcPr>
                  <w:tcW w:w="1743" w:type="pct"/>
                  <w:gridSpan w:val="2"/>
                  <w:tcBorders>
                    <w:top w:val="single" w:color="auto" w:sz="4" w:space="0"/>
                    <w:bottom w:val="single" w:color="auto" w:sz="4" w:space="0"/>
                    <w:tl2br w:val="nil"/>
                    <w:tr2bl w:val="nil"/>
                  </w:tcBorders>
                  <w:noWrap w:val="0"/>
                  <w:vAlign w:val="center"/>
                </w:tcPr>
                <w:p w14:paraId="347DDC6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有机废气产生量</w:t>
                  </w:r>
                </w:p>
              </w:tc>
              <w:tc>
                <w:tcPr>
                  <w:tcW w:w="925" w:type="pct"/>
                  <w:tcBorders>
                    <w:top w:val="single" w:color="auto" w:sz="4" w:space="0"/>
                    <w:bottom w:val="single" w:color="auto" w:sz="4" w:space="0"/>
                    <w:tl2br w:val="nil"/>
                    <w:tr2bl w:val="nil"/>
                  </w:tcBorders>
                  <w:noWrap w:val="0"/>
                  <w:vAlign w:val="center"/>
                </w:tcPr>
                <w:p w14:paraId="2BDAA1B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1.75</w:t>
                  </w:r>
                </w:p>
              </w:tc>
            </w:tr>
            <w:tr w14:paraId="0D68B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45" w:type="pct"/>
                  <w:tcBorders>
                    <w:top w:val="single" w:color="auto" w:sz="4" w:space="0"/>
                    <w:bottom w:val="single" w:color="auto" w:sz="4" w:space="0"/>
                    <w:tl2br w:val="nil"/>
                    <w:tr2bl w:val="nil"/>
                  </w:tcBorders>
                  <w:noWrap w:val="0"/>
                  <w:vAlign w:val="center"/>
                </w:tcPr>
                <w:p w14:paraId="627325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sz w:val="21"/>
                      <w:szCs w:val="21"/>
                      <w:highlight w:val="none"/>
                      <w:u w:val="none"/>
                      <w:lang w:val="en-US" w:eastAsia="zh-CN"/>
                    </w:rPr>
                    <w:t>/</w:t>
                  </w:r>
                </w:p>
              </w:tc>
              <w:tc>
                <w:tcPr>
                  <w:tcW w:w="654" w:type="pct"/>
                  <w:tcBorders>
                    <w:top w:val="single" w:color="auto" w:sz="4" w:space="0"/>
                    <w:bottom w:val="single" w:color="auto" w:sz="4" w:space="0"/>
                    <w:tl2br w:val="nil"/>
                    <w:tr2bl w:val="nil"/>
                  </w:tcBorders>
                  <w:noWrap w:val="0"/>
                  <w:vAlign w:val="center"/>
                </w:tcPr>
                <w:p w14:paraId="5A191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Times New Roman"/>
                      <w:i w:val="0"/>
                      <w:iCs w:val="0"/>
                      <w:color w:val="auto"/>
                      <w:sz w:val="21"/>
                      <w:szCs w:val="21"/>
                      <w:highlight w:val="none"/>
                      <w:u w:val="none"/>
                      <w:lang w:val="en-US" w:eastAsia="zh-CN"/>
                    </w:rPr>
                    <w:t>/</w:t>
                  </w:r>
                </w:p>
              </w:tc>
              <w:tc>
                <w:tcPr>
                  <w:tcW w:w="804" w:type="pct"/>
                  <w:tcBorders>
                    <w:top w:val="single" w:color="auto" w:sz="4" w:space="0"/>
                    <w:bottom w:val="single" w:color="auto" w:sz="4" w:space="0"/>
                    <w:tl2br w:val="nil"/>
                    <w:tr2bl w:val="nil"/>
                  </w:tcBorders>
                  <w:noWrap w:val="0"/>
                  <w:vAlign w:val="center"/>
                </w:tcPr>
                <w:p w14:paraId="376BF19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w:t>
                  </w:r>
                </w:p>
              </w:tc>
              <w:tc>
                <w:tcPr>
                  <w:tcW w:w="426" w:type="pct"/>
                  <w:tcBorders>
                    <w:top w:val="single" w:color="auto" w:sz="4" w:space="0"/>
                    <w:bottom w:val="single" w:color="auto" w:sz="4" w:space="0"/>
                    <w:tl2br w:val="nil"/>
                    <w:tr2bl w:val="nil"/>
                  </w:tcBorders>
                  <w:noWrap w:val="0"/>
                  <w:vAlign w:val="center"/>
                </w:tcPr>
                <w:p w14:paraId="11C9FBF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w:t>
                  </w:r>
                </w:p>
              </w:tc>
              <w:tc>
                <w:tcPr>
                  <w:tcW w:w="1743" w:type="pct"/>
                  <w:gridSpan w:val="2"/>
                  <w:tcBorders>
                    <w:top w:val="single" w:color="auto" w:sz="4" w:space="0"/>
                    <w:bottom w:val="single" w:color="auto" w:sz="4" w:space="0"/>
                    <w:tl2br w:val="nil"/>
                    <w:tr2bl w:val="nil"/>
                  </w:tcBorders>
                  <w:noWrap w:val="0"/>
                  <w:vAlign w:val="center"/>
                </w:tcPr>
                <w:p w14:paraId="1D8E8EDE">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宋体"/>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lang w:val="zh-CN" w:eastAsia="zh-CN"/>
                    </w:rPr>
                    <w:t>人工分拣废渣</w:t>
                  </w:r>
                </w:p>
              </w:tc>
              <w:tc>
                <w:tcPr>
                  <w:tcW w:w="925" w:type="pct"/>
                  <w:tcBorders>
                    <w:top w:val="single" w:color="auto" w:sz="4" w:space="0"/>
                    <w:bottom w:val="single" w:color="auto" w:sz="4" w:space="0"/>
                    <w:tl2br w:val="nil"/>
                    <w:tr2bl w:val="nil"/>
                  </w:tcBorders>
                  <w:noWrap w:val="0"/>
                  <w:vAlign w:val="center"/>
                </w:tcPr>
                <w:p w14:paraId="604F688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120</w:t>
                  </w:r>
                </w:p>
              </w:tc>
            </w:tr>
            <w:tr w14:paraId="7061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45" w:type="pct"/>
                  <w:tcBorders>
                    <w:top w:val="single" w:color="auto" w:sz="4" w:space="0"/>
                    <w:tl2br w:val="nil"/>
                    <w:tr2bl w:val="nil"/>
                  </w:tcBorders>
                  <w:noWrap w:val="0"/>
                  <w:vAlign w:val="center"/>
                </w:tcPr>
                <w:p w14:paraId="6CC96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sz w:val="21"/>
                      <w:szCs w:val="21"/>
                      <w:highlight w:val="none"/>
                      <w:u w:val="none"/>
                      <w:lang w:val="en-US" w:eastAsia="zh-CN"/>
                    </w:rPr>
                    <w:t>/</w:t>
                  </w:r>
                </w:p>
              </w:tc>
              <w:tc>
                <w:tcPr>
                  <w:tcW w:w="654" w:type="pct"/>
                  <w:tcBorders>
                    <w:top w:val="single" w:color="auto" w:sz="4" w:space="0"/>
                    <w:tl2br w:val="nil"/>
                    <w:tr2bl w:val="nil"/>
                  </w:tcBorders>
                  <w:noWrap w:val="0"/>
                  <w:vAlign w:val="center"/>
                </w:tcPr>
                <w:p w14:paraId="44852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Times New Roman"/>
                      <w:i w:val="0"/>
                      <w:iCs w:val="0"/>
                      <w:color w:val="auto"/>
                      <w:sz w:val="21"/>
                      <w:szCs w:val="21"/>
                      <w:highlight w:val="none"/>
                      <w:u w:val="none"/>
                      <w:lang w:val="en-US" w:eastAsia="zh-CN"/>
                    </w:rPr>
                    <w:t>/</w:t>
                  </w:r>
                </w:p>
              </w:tc>
              <w:tc>
                <w:tcPr>
                  <w:tcW w:w="804" w:type="pct"/>
                  <w:tcBorders>
                    <w:top w:val="single" w:color="auto" w:sz="4" w:space="0"/>
                    <w:tl2br w:val="nil"/>
                    <w:tr2bl w:val="nil"/>
                  </w:tcBorders>
                  <w:noWrap w:val="0"/>
                  <w:vAlign w:val="center"/>
                </w:tcPr>
                <w:p w14:paraId="3593B9A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w:t>
                  </w:r>
                </w:p>
              </w:tc>
              <w:tc>
                <w:tcPr>
                  <w:tcW w:w="426" w:type="pct"/>
                  <w:tcBorders>
                    <w:top w:val="single" w:color="auto" w:sz="4" w:space="0"/>
                    <w:tl2br w:val="nil"/>
                    <w:tr2bl w:val="nil"/>
                  </w:tcBorders>
                  <w:noWrap w:val="0"/>
                  <w:vAlign w:val="center"/>
                </w:tcPr>
                <w:p w14:paraId="4D342AB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4</w:t>
                  </w:r>
                </w:p>
              </w:tc>
              <w:tc>
                <w:tcPr>
                  <w:tcW w:w="1743" w:type="pct"/>
                  <w:gridSpan w:val="2"/>
                  <w:tcBorders>
                    <w:top w:val="single" w:color="auto" w:sz="4" w:space="0"/>
                    <w:tl2br w:val="nil"/>
                    <w:tr2bl w:val="nil"/>
                  </w:tcBorders>
                  <w:noWrap w:val="0"/>
                  <w:vAlign w:val="center"/>
                </w:tcPr>
                <w:p w14:paraId="2B125F63">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宋体"/>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lang w:val="en-US" w:eastAsia="zh-CN"/>
                    </w:rPr>
                    <w:t>不合格粗料</w:t>
                  </w:r>
                </w:p>
              </w:tc>
              <w:tc>
                <w:tcPr>
                  <w:tcW w:w="925" w:type="pct"/>
                  <w:tcBorders>
                    <w:top w:val="single" w:color="auto" w:sz="4" w:space="0"/>
                    <w:tl2br w:val="nil"/>
                    <w:tr2bl w:val="nil"/>
                  </w:tcBorders>
                  <w:noWrap w:val="0"/>
                  <w:vAlign w:val="center"/>
                </w:tcPr>
                <w:p w14:paraId="5DF5472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0.2</w:t>
                  </w:r>
                </w:p>
              </w:tc>
            </w:tr>
            <w:tr w14:paraId="079F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45" w:type="pct"/>
                  <w:tcBorders>
                    <w:tl2br w:val="nil"/>
                    <w:tr2bl w:val="nil"/>
                  </w:tcBorders>
                  <w:noWrap w:val="0"/>
                  <w:vAlign w:val="center"/>
                </w:tcPr>
                <w:p w14:paraId="514060B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sz w:val="21"/>
                      <w:szCs w:val="21"/>
                      <w:highlight w:val="none"/>
                      <w:u w:val="none"/>
                      <w:lang w:val="en-US" w:eastAsia="zh-CN"/>
                    </w:rPr>
                    <w:t>/</w:t>
                  </w:r>
                </w:p>
              </w:tc>
              <w:tc>
                <w:tcPr>
                  <w:tcW w:w="654" w:type="pct"/>
                  <w:tcBorders>
                    <w:tl2br w:val="nil"/>
                    <w:tr2bl w:val="nil"/>
                  </w:tcBorders>
                  <w:noWrap w:val="0"/>
                  <w:vAlign w:val="center"/>
                </w:tcPr>
                <w:p w14:paraId="019EE95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sz w:val="21"/>
                      <w:szCs w:val="21"/>
                      <w:highlight w:val="none"/>
                      <w:u w:val="none"/>
                      <w:lang w:val="en-US" w:eastAsia="zh-CN"/>
                    </w:rPr>
                    <w:t>/</w:t>
                  </w:r>
                </w:p>
              </w:tc>
              <w:tc>
                <w:tcPr>
                  <w:tcW w:w="804" w:type="pct"/>
                  <w:tcBorders>
                    <w:tl2br w:val="nil"/>
                    <w:tr2bl w:val="nil"/>
                  </w:tcBorders>
                  <w:noWrap w:val="0"/>
                  <w:vAlign w:val="center"/>
                </w:tcPr>
                <w:p w14:paraId="1ED370A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w:t>
                  </w:r>
                </w:p>
              </w:tc>
              <w:tc>
                <w:tcPr>
                  <w:tcW w:w="426" w:type="pct"/>
                  <w:tcBorders>
                    <w:tl2br w:val="nil"/>
                    <w:tr2bl w:val="nil"/>
                  </w:tcBorders>
                  <w:noWrap w:val="0"/>
                  <w:vAlign w:val="center"/>
                </w:tcPr>
                <w:p w14:paraId="67544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1743" w:type="pct"/>
                  <w:gridSpan w:val="2"/>
                  <w:tcBorders>
                    <w:tl2br w:val="nil"/>
                    <w:tr2bl w:val="nil"/>
                  </w:tcBorders>
                  <w:noWrap w:val="0"/>
                  <w:vAlign w:val="center"/>
                </w:tcPr>
                <w:p w14:paraId="593BA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lang w:val="en-US" w:eastAsia="zh-CN"/>
                    </w:rPr>
                    <w:t>含铁杂质</w:t>
                  </w:r>
                </w:p>
              </w:tc>
              <w:tc>
                <w:tcPr>
                  <w:tcW w:w="925" w:type="pct"/>
                  <w:tcBorders>
                    <w:tl2br w:val="nil"/>
                    <w:tr2bl w:val="nil"/>
                  </w:tcBorders>
                  <w:noWrap w:val="0"/>
                  <w:vAlign w:val="center"/>
                </w:tcPr>
                <w:p w14:paraId="7BC4836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180</w:t>
                  </w:r>
                </w:p>
              </w:tc>
            </w:tr>
            <w:tr w14:paraId="542AE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1100" w:type="pct"/>
                  <w:gridSpan w:val="2"/>
                  <w:tcBorders>
                    <w:tl2br w:val="nil"/>
                    <w:tr2bl w:val="nil"/>
                  </w:tcBorders>
                  <w:noWrap w:val="0"/>
                  <w:vAlign w:val="center"/>
                </w:tcPr>
                <w:p w14:paraId="0854F4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合计</w:t>
                  </w:r>
                </w:p>
              </w:tc>
              <w:tc>
                <w:tcPr>
                  <w:tcW w:w="804" w:type="pct"/>
                  <w:tcBorders>
                    <w:tl2br w:val="nil"/>
                    <w:tr2bl w:val="nil"/>
                  </w:tcBorders>
                  <w:noWrap w:val="0"/>
                  <w:vAlign w:val="center"/>
                </w:tcPr>
                <w:p w14:paraId="0B14443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631</w:t>
                  </w:r>
                  <w:r>
                    <w:rPr>
                      <w:rFonts w:hint="eastAsia" w:cs="Times New Roman"/>
                      <w:i w:val="0"/>
                      <w:iCs w:val="0"/>
                      <w:color w:val="auto"/>
                      <w:sz w:val="21"/>
                      <w:szCs w:val="21"/>
                      <w:highlight w:val="none"/>
                      <w:u w:val="none"/>
                      <w:lang w:val="en-US" w:eastAsia="zh-CN"/>
                    </w:rPr>
                    <w:t>3</w:t>
                  </w:r>
                  <w:r>
                    <w:rPr>
                      <w:rFonts w:hint="eastAsia" w:ascii="Times New Roman" w:hAnsi="Times New Roman" w:eastAsia="宋体" w:cs="Times New Roman"/>
                      <w:i w:val="0"/>
                      <w:iCs w:val="0"/>
                      <w:color w:val="auto"/>
                      <w:sz w:val="21"/>
                      <w:szCs w:val="21"/>
                      <w:highlight w:val="none"/>
                      <w:u w:val="none"/>
                      <w:lang w:val="en-US" w:eastAsia="zh-CN"/>
                    </w:rPr>
                    <w:t>.</w:t>
                  </w:r>
                  <w:r>
                    <w:rPr>
                      <w:rFonts w:hint="eastAsia" w:cs="Times New Roman"/>
                      <w:i w:val="0"/>
                      <w:iCs w:val="0"/>
                      <w:color w:val="auto"/>
                      <w:sz w:val="21"/>
                      <w:szCs w:val="21"/>
                      <w:highlight w:val="none"/>
                      <w:u w:val="none"/>
                      <w:lang w:val="en-US" w:eastAsia="zh-CN"/>
                    </w:rPr>
                    <w:t>08</w:t>
                  </w:r>
                </w:p>
              </w:tc>
              <w:tc>
                <w:tcPr>
                  <w:tcW w:w="2169" w:type="pct"/>
                  <w:gridSpan w:val="3"/>
                  <w:tcBorders>
                    <w:tl2br w:val="nil"/>
                    <w:tr2bl w:val="nil"/>
                  </w:tcBorders>
                  <w:noWrap w:val="0"/>
                  <w:vAlign w:val="center"/>
                </w:tcPr>
                <w:p w14:paraId="6149F9C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宋体"/>
                      <w:i w:val="0"/>
                      <w:iCs w:val="0"/>
                      <w:color w:val="auto"/>
                      <w:kern w:val="0"/>
                      <w:sz w:val="21"/>
                      <w:szCs w:val="21"/>
                      <w:highlight w:val="none"/>
                      <w:u w:val="none"/>
                      <w:lang w:val="en-US" w:eastAsia="zh-CN" w:bidi="ar"/>
                    </w:rPr>
                    <w:t>合计</w:t>
                  </w:r>
                </w:p>
              </w:tc>
              <w:tc>
                <w:tcPr>
                  <w:tcW w:w="925" w:type="pct"/>
                  <w:tcBorders>
                    <w:tl2br w:val="nil"/>
                    <w:tr2bl w:val="nil"/>
                  </w:tcBorders>
                  <w:noWrap w:val="0"/>
                  <w:vAlign w:val="center"/>
                </w:tcPr>
                <w:p w14:paraId="1ECD991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631</w:t>
                  </w:r>
                  <w:r>
                    <w:rPr>
                      <w:rFonts w:hint="eastAsia" w:cs="Times New Roman"/>
                      <w:i w:val="0"/>
                      <w:iCs w:val="0"/>
                      <w:color w:val="auto"/>
                      <w:sz w:val="21"/>
                      <w:szCs w:val="21"/>
                      <w:highlight w:val="none"/>
                      <w:u w:val="none"/>
                      <w:lang w:val="en-US" w:eastAsia="zh-CN"/>
                    </w:rPr>
                    <w:t>3</w:t>
                  </w:r>
                  <w:r>
                    <w:rPr>
                      <w:rFonts w:hint="eastAsia" w:ascii="Times New Roman" w:hAnsi="Times New Roman" w:eastAsia="宋体" w:cs="Times New Roman"/>
                      <w:i w:val="0"/>
                      <w:iCs w:val="0"/>
                      <w:color w:val="auto"/>
                      <w:sz w:val="21"/>
                      <w:szCs w:val="21"/>
                      <w:highlight w:val="none"/>
                      <w:u w:val="none"/>
                      <w:lang w:val="en-US" w:eastAsia="zh-CN"/>
                    </w:rPr>
                    <w:t>.</w:t>
                  </w:r>
                  <w:r>
                    <w:rPr>
                      <w:rFonts w:hint="eastAsia" w:cs="Times New Roman"/>
                      <w:i w:val="0"/>
                      <w:iCs w:val="0"/>
                      <w:color w:val="auto"/>
                      <w:sz w:val="21"/>
                      <w:szCs w:val="21"/>
                      <w:highlight w:val="none"/>
                      <w:u w:val="none"/>
                      <w:lang w:val="en-US" w:eastAsia="zh-CN"/>
                    </w:rPr>
                    <w:t>08</w:t>
                  </w:r>
                </w:p>
              </w:tc>
            </w:tr>
          </w:tbl>
          <w:p w14:paraId="7427DA13">
            <w:pPr>
              <w:spacing w:line="360" w:lineRule="auto"/>
              <w:ind w:firstLine="482"/>
              <w:rPr>
                <w:rFonts w:hint="default" w:ascii="Times New Roman" w:hAnsi="Times New Roman" w:eastAsia="宋体" w:cs="Times New Roman"/>
                <w:b w:val="0"/>
                <w:bCs w:val="0"/>
                <w:color w:val="FF0000"/>
                <w:kern w:val="0"/>
                <w:sz w:val="24"/>
                <w:szCs w:val="24"/>
                <w:highlight w:val="none"/>
                <w:lang w:val="en-US" w:eastAsia="zh-CN"/>
              </w:rPr>
            </w:pPr>
            <w:r>
              <w:rPr>
                <w:rFonts w:hint="eastAsia" w:ascii="Times New Roman" w:hAnsi="Times New Roman" w:eastAsia="宋体" w:cs="Times New Roman"/>
                <w:b w:val="0"/>
                <w:bCs w:val="0"/>
                <w:color w:val="FF0000"/>
                <w:kern w:val="0"/>
                <w:sz w:val="24"/>
                <w:szCs w:val="24"/>
                <w:highlight w:val="none"/>
                <w:lang w:val="en-US" w:eastAsia="zh-CN"/>
              </w:rPr>
              <w:t>根据企业出具的原料检测报告，具体见附件6，项目收集的废硅材料</w:t>
            </w:r>
            <w:r>
              <w:rPr>
                <w:rFonts w:hint="eastAsia" w:cs="Times New Roman"/>
                <w:b w:val="0"/>
                <w:bCs w:val="0"/>
                <w:color w:val="FF0000"/>
                <w:kern w:val="0"/>
                <w:sz w:val="24"/>
                <w:szCs w:val="24"/>
                <w:highlight w:val="none"/>
                <w:lang w:val="en-US" w:eastAsia="zh-CN"/>
              </w:rPr>
              <w:t>主要成分为硅，还含有少量的铁、铝、钙、铜等，其中硅片含有少量残胶，成分约0.05%</w:t>
            </w:r>
            <w:r>
              <w:rPr>
                <w:rFonts w:hint="eastAsia" w:ascii="宋体" w:hAnsi="宋体" w:eastAsia="宋体" w:cs="宋体"/>
                <w:b w:val="0"/>
                <w:bCs w:val="0"/>
                <w:color w:val="FF0000"/>
                <w:kern w:val="0"/>
                <w:sz w:val="24"/>
                <w:szCs w:val="24"/>
                <w:highlight w:val="none"/>
                <w:lang w:val="en-US" w:eastAsia="zh-CN"/>
              </w:rPr>
              <w:t>～</w:t>
            </w:r>
            <w:r>
              <w:rPr>
                <w:rFonts w:hint="eastAsia" w:cs="Times New Roman"/>
                <w:b w:val="0"/>
                <w:bCs w:val="0"/>
                <w:color w:val="FF0000"/>
                <w:kern w:val="0"/>
                <w:sz w:val="24"/>
                <w:szCs w:val="24"/>
                <w:highlight w:val="none"/>
                <w:lang w:val="en-US" w:eastAsia="zh-CN"/>
              </w:rPr>
              <w:t>0.1%，根据企业提供资料残胶为EVA胶。另外项目收集的废硅材料除材料本身，</w:t>
            </w:r>
          </w:p>
          <w:p w14:paraId="79D9FD11">
            <w:pPr>
              <w:spacing w:line="360" w:lineRule="auto"/>
              <w:rPr>
                <w:rFonts w:hint="default" w:ascii="Times New Roman" w:hAnsi="Times New Roman" w:cs="Times New Roman"/>
                <w:color w:val="FF0000"/>
                <w:sz w:val="24"/>
                <w:szCs w:val="24"/>
                <w:highlight w:val="none"/>
                <w:lang w:val="en-US" w:eastAsia="zh-CN"/>
              </w:rPr>
            </w:pPr>
            <w:r>
              <w:rPr>
                <w:rFonts w:hint="eastAsia" w:ascii="Times New Roman" w:hAnsi="Times New Roman" w:eastAsia="宋体" w:cs="Times New Roman"/>
                <w:b w:val="0"/>
                <w:bCs w:val="0"/>
                <w:color w:val="FF0000"/>
                <w:kern w:val="0"/>
                <w:sz w:val="24"/>
                <w:szCs w:val="24"/>
                <w:highlight w:val="none"/>
                <w:lang w:val="en-US" w:eastAsia="zh-CN"/>
              </w:rPr>
              <w:t>外观有纸屑、木屑，</w:t>
            </w:r>
            <w:r>
              <w:rPr>
                <w:rFonts w:hint="eastAsia" w:cs="Times New Roman"/>
                <w:b w:val="0"/>
                <w:bCs w:val="0"/>
                <w:color w:val="FF0000"/>
                <w:kern w:val="0"/>
                <w:sz w:val="24"/>
                <w:szCs w:val="24"/>
                <w:highlight w:val="none"/>
                <w:lang w:val="en-US" w:eastAsia="zh-CN"/>
              </w:rPr>
              <w:t>塑料</w:t>
            </w:r>
            <w:r>
              <w:rPr>
                <w:rFonts w:hint="eastAsia" w:ascii="Times New Roman" w:hAnsi="Times New Roman" w:eastAsia="宋体" w:cs="Times New Roman"/>
                <w:b w:val="0"/>
                <w:bCs w:val="0"/>
                <w:color w:val="FF0000"/>
                <w:kern w:val="0"/>
                <w:sz w:val="24"/>
                <w:szCs w:val="24"/>
                <w:highlight w:val="none"/>
                <w:lang w:val="en-US" w:eastAsia="zh-CN"/>
              </w:rPr>
              <w:t>、石子等杂质，</w:t>
            </w:r>
            <w:r>
              <w:rPr>
                <w:rFonts w:hint="eastAsia" w:cs="Times New Roman"/>
                <w:b w:val="0"/>
                <w:bCs w:val="0"/>
                <w:color w:val="FF0000"/>
                <w:kern w:val="0"/>
                <w:sz w:val="24"/>
                <w:szCs w:val="24"/>
                <w:highlight w:val="none"/>
                <w:lang w:val="en-US" w:eastAsia="zh-CN"/>
              </w:rPr>
              <w:t>通过人工除杂均可去除</w:t>
            </w:r>
            <w:r>
              <w:rPr>
                <w:rFonts w:hint="eastAsia" w:ascii="Times New Roman" w:hAnsi="Times New Roman" w:eastAsia="宋体" w:cs="Times New Roman"/>
                <w:b w:val="0"/>
                <w:bCs w:val="0"/>
                <w:color w:val="FF0000"/>
                <w:kern w:val="0"/>
                <w:sz w:val="24"/>
                <w:szCs w:val="24"/>
                <w:highlight w:val="none"/>
                <w:lang w:val="en-US" w:eastAsia="zh-CN"/>
              </w:rPr>
              <w:t>。本项目的主要目的将原料除杂并筛分不同规格产品包装外售。原料主要成分硅的理化性质见表2-5所示。</w:t>
            </w:r>
          </w:p>
          <w:p w14:paraId="5347B7FC">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项目原材料</w:t>
            </w:r>
            <w:r>
              <w:rPr>
                <w:rFonts w:hint="eastAsia" w:ascii="Times New Roman" w:hAnsi="Times New Roman" w:cs="Times New Roman"/>
                <w:color w:val="auto"/>
                <w:highlight w:val="none"/>
                <w:lang w:val="en-US" w:eastAsia="zh-CN"/>
              </w:rPr>
              <w:t>理化性质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7284"/>
            </w:tblGrid>
            <w:tr w14:paraId="31CF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1075" w:type="dxa"/>
                  <w:tcBorders>
                    <w:tl2br w:val="nil"/>
                    <w:tr2bl w:val="nil"/>
                  </w:tcBorders>
                  <w:noWrap w:val="0"/>
                  <w:vAlign w:val="center"/>
                </w:tcPr>
                <w:p w14:paraId="0AA86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
                      <w:color w:val="auto"/>
                      <w:sz w:val="21"/>
                      <w:szCs w:val="21"/>
                      <w:highlight w:val="none"/>
                    </w:rPr>
                  </w:pPr>
                  <w:r>
                    <w:rPr>
                      <w:rFonts w:hint="eastAsia" w:ascii="Times New Roman" w:hAnsi="Times New Roman" w:eastAsia="宋体"/>
                      <w:b/>
                      <w:color w:val="auto"/>
                      <w:sz w:val="21"/>
                      <w:szCs w:val="21"/>
                      <w:highlight w:val="none"/>
                    </w:rPr>
                    <w:t>原料名称</w:t>
                  </w:r>
                </w:p>
              </w:tc>
              <w:tc>
                <w:tcPr>
                  <w:tcW w:w="7330" w:type="dxa"/>
                  <w:tcBorders>
                    <w:tl2br w:val="nil"/>
                    <w:tr2bl w:val="nil"/>
                  </w:tcBorders>
                  <w:noWrap w:val="0"/>
                  <w:vAlign w:val="center"/>
                </w:tcPr>
                <w:p w14:paraId="778796B0">
                  <w:pPr>
                    <w:keepNext w:val="0"/>
                    <w:keepLines w:val="0"/>
                    <w:widowControl/>
                    <w:suppressLineNumbers w:val="0"/>
                    <w:jc w:val="center"/>
                    <w:rPr>
                      <w:rFonts w:hint="eastAsia" w:ascii="Times New Roman" w:hAnsi="Times New Roman" w:eastAsia="宋体"/>
                      <w:b/>
                      <w:color w:val="auto"/>
                      <w:sz w:val="21"/>
                      <w:szCs w:val="21"/>
                      <w:highlight w:val="none"/>
                      <w:lang w:eastAsia="zh-CN"/>
                    </w:rPr>
                  </w:pPr>
                  <w:r>
                    <w:rPr>
                      <w:rFonts w:hint="eastAsia" w:ascii="Times New Roman" w:hAnsi="Times New Roman" w:eastAsia="宋体" w:cs="宋体"/>
                      <w:b/>
                      <w:bCs/>
                      <w:color w:val="auto"/>
                      <w:kern w:val="0"/>
                      <w:sz w:val="21"/>
                      <w:szCs w:val="21"/>
                      <w:highlight w:val="none"/>
                      <w:lang w:val="en-US" w:eastAsia="zh-CN" w:bidi="ar"/>
                    </w:rPr>
                    <w:t>理化特性</w:t>
                  </w:r>
                </w:p>
              </w:tc>
            </w:tr>
            <w:tr w14:paraId="62B6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75" w:type="dxa"/>
                  <w:tcBorders>
                    <w:tl2br w:val="nil"/>
                    <w:tr2bl w:val="nil"/>
                  </w:tcBorders>
                  <w:noWrap w:val="0"/>
                  <w:vAlign w:val="center"/>
                </w:tcPr>
                <w:p w14:paraId="2190A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olor w:val="auto"/>
                      <w:kern w:val="2"/>
                      <w:sz w:val="21"/>
                      <w:szCs w:val="21"/>
                      <w:highlight w:val="none"/>
                      <w:lang w:val="en-US" w:eastAsia="zh-CN" w:bidi="ar-SA"/>
                    </w:rPr>
                    <w:t>硅</w:t>
                  </w:r>
                </w:p>
              </w:tc>
              <w:tc>
                <w:tcPr>
                  <w:tcW w:w="7330" w:type="dxa"/>
                  <w:tcBorders>
                    <w:tl2br w:val="nil"/>
                    <w:tr2bl w:val="nil"/>
                  </w:tcBorders>
                  <w:noWrap w:val="0"/>
                  <w:vAlign w:val="center"/>
                </w:tcPr>
                <w:p w14:paraId="5FE918E4">
                  <w:pPr>
                    <w:keepNext w:val="0"/>
                    <w:keepLines w:val="0"/>
                    <w:widowControl/>
                    <w:suppressLineNumbers w:val="0"/>
                    <w:jc w:val="left"/>
                    <w:rPr>
                      <w:rFonts w:hint="default" w:ascii="Times New Roman" w:hAnsi="Times New Roman" w:eastAsia="宋体"/>
                      <w:color w:val="auto"/>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bidi="ar"/>
                    </w:rPr>
                    <w:t>硅有明显的非金属特性，可以溶于碱金属氢氧化物溶液中，产生（偏）硅酸盐和氢气。加热下能同单质的卤素、氮、碳等非金属作用，也能同某些金属如</w:t>
                  </w:r>
                  <w:r>
                    <w:rPr>
                      <w:rFonts w:hint="default" w:ascii="Times New Roman" w:hAnsi="Times New Roman" w:eastAsia="宋体" w:cs="Times New Roman"/>
                      <w:color w:val="auto"/>
                      <w:kern w:val="0"/>
                      <w:sz w:val="21"/>
                      <w:szCs w:val="21"/>
                      <w:highlight w:val="none"/>
                      <w:lang w:val="en-US" w:eastAsia="zh-CN" w:bidi="ar"/>
                    </w:rPr>
                    <w:t>Mg</w:t>
                  </w:r>
                  <w:r>
                    <w:rPr>
                      <w:rFonts w:hint="eastAsia" w:ascii="Times New Roman" w:hAnsi="Times New Roman"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Ca</w:t>
                  </w:r>
                  <w:r>
                    <w:rPr>
                      <w:rFonts w:hint="eastAsia" w:ascii="Times New Roman" w:hAnsi="Times New Roman"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Fe</w:t>
                  </w:r>
                  <w:r>
                    <w:rPr>
                      <w:rFonts w:hint="eastAsia" w:ascii="Times New Roman" w:hAnsi="Times New Roman"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Pt </w:t>
                  </w:r>
                  <w:r>
                    <w:rPr>
                      <w:rFonts w:hint="eastAsia" w:ascii="Times New Roman" w:hAnsi="Times New Roman" w:eastAsia="宋体" w:cs="宋体"/>
                      <w:color w:val="auto"/>
                      <w:kern w:val="0"/>
                      <w:sz w:val="21"/>
                      <w:szCs w:val="21"/>
                      <w:highlight w:val="none"/>
                      <w:lang w:val="en-US" w:eastAsia="zh-CN" w:bidi="ar"/>
                    </w:rPr>
                    <w:t>等作用。生成硅化物。不溶于一般无机酸中，可溶于碱溶液中，并有氢气放出，形成相应的碱金属硅酸盐溶液，于赤热温度下，与水蒸气能发生作用。</w:t>
                  </w:r>
                </w:p>
              </w:tc>
            </w:tr>
          </w:tbl>
          <w:p w14:paraId="2C2317B3">
            <w:pPr>
              <w:numPr>
                <w:ilvl w:val="0"/>
                <w:numId w:val="8"/>
              </w:numPr>
              <w:spacing w:line="360" w:lineRule="auto"/>
              <w:ind w:firstLine="482"/>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主要能源消耗情况</w:t>
            </w:r>
          </w:p>
          <w:p w14:paraId="57AAF0E3">
            <w:pPr>
              <w:pStyle w:val="101"/>
              <w:bidi w:val="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项目</w:t>
            </w:r>
            <w:r>
              <w:rPr>
                <w:rFonts w:hint="eastAsia" w:ascii="Times New Roman" w:hAnsi="Times New Roman" w:cs="Times New Roman"/>
                <w:color w:val="auto"/>
                <w:highlight w:val="none"/>
                <w:lang w:val="en-US" w:eastAsia="zh-CN"/>
              </w:rPr>
              <w:t>能耗情况一览表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32"/>
              <w:gridCol w:w="1595"/>
              <w:gridCol w:w="2385"/>
              <w:gridCol w:w="2159"/>
            </w:tblGrid>
            <w:tr w14:paraId="3D54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83" w:type="dxa"/>
                  <w:tcBorders>
                    <w:tl2br w:val="nil"/>
                    <w:tr2bl w:val="nil"/>
                  </w:tcBorders>
                  <w:noWrap w:val="0"/>
                  <w:vAlign w:val="center"/>
                </w:tcPr>
                <w:p w14:paraId="0EC95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1"/>
                      <w:szCs w:val="21"/>
                      <w:highlight w:val="none"/>
                    </w:rPr>
                  </w:pPr>
                  <w:r>
                    <w:rPr>
                      <w:rFonts w:hint="eastAsia" w:ascii="宋体" w:hAnsi="宋体"/>
                      <w:b/>
                      <w:color w:val="auto"/>
                      <w:sz w:val="21"/>
                      <w:szCs w:val="21"/>
                      <w:highlight w:val="none"/>
                    </w:rPr>
                    <w:t>序号</w:t>
                  </w:r>
                </w:p>
              </w:tc>
              <w:tc>
                <w:tcPr>
                  <w:tcW w:w="1232" w:type="dxa"/>
                  <w:tcBorders>
                    <w:tl2br w:val="nil"/>
                    <w:tr2bl w:val="nil"/>
                  </w:tcBorders>
                  <w:noWrap w:val="0"/>
                  <w:vAlign w:val="center"/>
                </w:tcPr>
                <w:p w14:paraId="2EAF2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auto"/>
                      <w:sz w:val="21"/>
                      <w:szCs w:val="21"/>
                      <w:highlight w:val="none"/>
                    </w:rPr>
                  </w:pPr>
                  <w:r>
                    <w:rPr>
                      <w:rFonts w:hint="eastAsia" w:ascii="宋体" w:hAnsi="宋体"/>
                      <w:b/>
                      <w:color w:val="auto"/>
                      <w:sz w:val="21"/>
                      <w:szCs w:val="21"/>
                      <w:highlight w:val="none"/>
                    </w:rPr>
                    <w:t>名称</w:t>
                  </w:r>
                </w:p>
              </w:tc>
              <w:tc>
                <w:tcPr>
                  <w:tcW w:w="1595" w:type="dxa"/>
                  <w:tcBorders>
                    <w:tl2br w:val="nil"/>
                    <w:tr2bl w:val="nil"/>
                  </w:tcBorders>
                  <w:noWrap w:val="0"/>
                  <w:vAlign w:val="center"/>
                </w:tcPr>
                <w:p w14:paraId="42C0C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val="en-US" w:eastAsia="zh-CN"/>
                    </w:rPr>
                    <w:t>单位</w:t>
                  </w:r>
                </w:p>
              </w:tc>
              <w:tc>
                <w:tcPr>
                  <w:tcW w:w="2385" w:type="dxa"/>
                  <w:tcBorders>
                    <w:tl2br w:val="nil"/>
                    <w:tr2bl w:val="nil"/>
                  </w:tcBorders>
                  <w:noWrap w:val="0"/>
                  <w:vAlign w:val="center"/>
                </w:tcPr>
                <w:p w14:paraId="74015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年用量</w:t>
                  </w:r>
                </w:p>
              </w:tc>
              <w:tc>
                <w:tcPr>
                  <w:tcW w:w="2159" w:type="dxa"/>
                  <w:tcBorders>
                    <w:tl2br w:val="nil"/>
                    <w:tr2bl w:val="nil"/>
                  </w:tcBorders>
                  <w:noWrap w:val="0"/>
                  <w:vAlign w:val="center"/>
                </w:tcPr>
                <w:p w14:paraId="3C4BC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来源</w:t>
                  </w:r>
                </w:p>
              </w:tc>
            </w:tr>
            <w:tr w14:paraId="55D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83" w:type="dxa"/>
                  <w:tcBorders>
                    <w:tl2br w:val="nil"/>
                    <w:tr2bl w:val="nil"/>
                  </w:tcBorders>
                  <w:noWrap w:val="0"/>
                  <w:vAlign w:val="center"/>
                </w:tcPr>
                <w:p w14:paraId="78414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rPr>
                    <w:t>1</w:t>
                  </w:r>
                </w:p>
              </w:tc>
              <w:tc>
                <w:tcPr>
                  <w:tcW w:w="1232" w:type="dxa"/>
                  <w:tcBorders>
                    <w:tl2br w:val="nil"/>
                    <w:tr2bl w:val="nil"/>
                  </w:tcBorders>
                  <w:noWrap w:val="0"/>
                  <w:vAlign w:val="center"/>
                </w:tcPr>
                <w:p w14:paraId="199DA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kern w:val="2"/>
                      <w:sz w:val="21"/>
                      <w:szCs w:val="21"/>
                      <w:highlight w:val="none"/>
                      <w:lang w:val="en-US" w:eastAsia="zh-CN" w:bidi="ar-SA"/>
                    </w:rPr>
                  </w:pPr>
                  <w:r>
                    <w:rPr>
                      <w:rFonts w:hint="eastAsia" w:eastAsia="宋体"/>
                      <w:color w:val="auto"/>
                      <w:kern w:val="2"/>
                      <w:sz w:val="21"/>
                      <w:szCs w:val="21"/>
                      <w:highlight w:val="none"/>
                      <w:lang w:val="en-US" w:eastAsia="zh-CN" w:bidi="ar-SA"/>
                    </w:rPr>
                    <w:t>电</w:t>
                  </w:r>
                </w:p>
              </w:tc>
              <w:tc>
                <w:tcPr>
                  <w:tcW w:w="1595" w:type="dxa"/>
                  <w:tcBorders>
                    <w:tl2br w:val="nil"/>
                    <w:tr2bl w:val="nil"/>
                  </w:tcBorders>
                  <w:noWrap w:val="0"/>
                  <w:vAlign w:val="center"/>
                </w:tcPr>
                <w:p w14:paraId="1A635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1"/>
                      <w:szCs w:val="21"/>
                      <w:highlight w:val="none"/>
                      <w:lang w:val="en-US" w:eastAsia="zh-CN"/>
                    </w:rPr>
                  </w:pPr>
                  <w:r>
                    <w:rPr>
                      <w:rFonts w:hint="eastAsia"/>
                      <w:color w:val="auto"/>
                      <w:sz w:val="21"/>
                      <w:szCs w:val="21"/>
                      <w:highlight w:val="none"/>
                      <w:lang w:val="en-US" w:eastAsia="zh-CN"/>
                    </w:rPr>
                    <w:t>万千瓦时</w:t>
                  </w:r>
                </w:p>
              </w:tc>
              <w:tc>
                <w:tcPr>
                  <w:tcW w:w="2385" w:type="dxa"/>
                  <w:tcBorders>
                    <w:tl2br w:val="nil"/>
                    <w:tr2bl w:val="nil"/>
                  </w:tcBorders>
                  <w:noWrap w:val="0"/>
                  <w:vAlign w:val="center"/>
                </w:tcPr>
                <w:p w14:paraId="7C507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144</w:t>
                  </w:r>
                </w:p>
              </w:tc>
              <w:tc>
                <w:tcPr>
                  <w:tcW w:w="2159" w:type="dxa"/>
                  <w:tcBorders>
                    <w:tl2br w:val="nil"/>
                    <w:tr2bl w:val="nil"/>
                  </w:tcBorders>
                  <w:noWrap w:val="0"/>
                  <w:vAlign w:val="center"/>
                </w:tcPr>
                <w:p w14:paraId="670AA438">
                  <w:pPr>
                    <w:keepNext w:val="0"/>
                    <w:keepLines w:val="0"/>
                    <w:pageBreakBefore w:val="0"/>
                    <w:widowControl/>
                    <w:kinsoku/>
                    <w:wordWrap w:val="0"/>
                    <w:overflowPunct/>
                    <w:topLinePunct/>
                    <w:autoSpaceDE/>
                    <w:autoSpaceDN/>
                    <w:bidi w:val="0"/>
                    <w:jc w:val="center"/>
                    <w:rPr>
                      <w:rFonts w:hint="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由</w:t>
                  </w:r>
                  <w:r>
                    <w:rPr>
                      <w:rFonts w:hint="default" w:ascii="Times New Roman" w:hAnsi="Times New Roman" w:cs="Times New Roman"/>
                      <w:color w:val="auto"/>
                      <w:sz w:val="21"/>
                      <w:szCs w:val="21"/>
                      <w:highlight w:val="none"/>
                    </w:rPr>
                    <w:t>市供电网供给</w:t>
                  </w:r>
                </w:p>
              </w:tc>
            </w:tr>
          </w:tbl>
          <w:p w14:paraId="1BB1FDF9">
            <w:pPr>
              <w:keepNext w:val="0"/>
              <w:keepLines w:val="0"/>
              <w:pageBreakBefore w:val="0"/>
              <w:widowControl w:val="0"/>
              <w:numPr>
                <w:ilvl w:val="0"/>
                <w:numId w:val="0"/>
              </w:numPr>
              <w:tabs>
                <w:tab w:val="left" w:pos="4065"/>
              </w:tabs>
              <w:kinsoku/>
              <w:wordWrap/>
              <w:overflowPunct/>
              <w:topLinePunct w:val="0"/>
              <w:autoSpaceDE/>
              <w:autoSpaceDN/>
              <w:bidi w:val="0"/>
              <w:adjustRightInd/>
              <w:snapToGrid/>
              <w:spacing w:line="360" w:lineRule="auto"/>
              <w:ind w:leftChars="0" w:firstLine="482" w:firstLineChars="200"/>
              <w:textAlignment w:val="auto"/>
              <w:rPr>
                <w:rFonts w:hint="eastAsia"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4、主要生产设备</w:t>
            </w:r>
          </w:p>
          <w:p w14:paraId="73E72BAB">
            <w:pPr>
              <w:keepNext w:val="0"/>
              <w:keepLines w:val="0"/>
              <w:pageBreakBefore w:val="0"/>
              <w:widowControl w:val="0"/>
              <w:numPr>
                <w:ilvl w:val="0"/>
                <w:numId w:val="0"/>
              </w:numPr>
              <w:tabs>
                <w:tab w:val="left" w:pos="4065"/>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本项目</w:t>
            </w:r>
            <w:r>
              <w:rPr>
                <w:rFonts w:hint="eastAsia" w:cs="Times New Roman"/>
                <w:color w:val="auto"/>
                <w:kern w:val="0"/>
                <w:sz w:val="24"/>
                <w:szCs w:val="24"/>
                <w:highlight w:val="none"/>
                <w:lang w:val="en-US" w:eastAsia="zh-CN"/>
              </w:rPr>
              <w:t>为改扩建项目，改扩建项目完成后现有项目主要设备拆除，仅保留打磨机6台，</w:t>
            </w:r>
            <w:r>
              <w:rPr>
                <w:rFonts w:hint="eastAsia" w:ascii="Times New Roman" w:hAnsi="Times New Roman" w:cs="Times New Roman"/>
                <w:b w:val="0"/>
                <w:bCs w:val="0"/>
                <w:color w:val="auto"/>
                <w:kern w:val="0"/>
                <w:sz w:val="24"/>
                <w:szCs w:val="24"/>
                <w:highlight w:val="none"/>
                <w:lang w:val="en-US" w:eastAsia="zh-CN"/>
              </w:rPr>
              <w:t>新增烧结炉，磁选机，振动筛等设备，项目建成后，全厂</w:t>
            </w:r>
            <w:r>
              <w:rPr>
                <w:rFonts w:hint="default" w:ascii="Times New Roman" w:hAnsi="Times New Roman" w:eastAsia="宋体" w:cs="Times New Roman"/>
                <w:color w:val="auto"/>
                <w:kern w:val="0"/>
                <w:sz w:val="24"/>
                <w:szCs w:val="24"/>
                <w:highlight w:val="none"/>
              </w:rPr>
              <w:t>设备清单如表</w:t>
            </w:r>
            <w:r>
              <w:rPr>
                <w:rFonts w:hint="eastAsia"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w:t>
            </w:r>
            <w:r>
              <w:rPr>
                <w:rFonts w:hint="eastAsia"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rPr>
              <w:t>所示。</w:t>
            </w:r>
          </w:p>
          <w:p w14:paraId="64256F87">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主要设备清单</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70"/>
              <w:gridCol w:w="980"/>
              <w:gridCol w:w="2492"/>
              <w:gridCol w:w="1000"/>
              <w:gridCol w:w="1252"/>
            </w:tblGrid>
            <w:tr w14:paraId="1A15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4" w:type="pct"/>
                  <w:tcBorders>
                    <w:tl2br w:val="nil"/>
                    <w:tr2bl w:val="nil"/>
                  </w:tcBorders>
                  <w:noWrap w:val="0"/>
                  <w:vAlign w:val="center"/>
                </w:tcPr>
                <w:p w14:paraId="4F08B089">
                  <w:pPr>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主要工艺单元</w:t>
                  </w:r>
                </w:p>
              </w:tc>
              <w:tc>
                <w:tcPr>
                  <w:tcW w:w="819" w:type="pct"/>
                  <w:tcBorders>
                    <w:tl2br w:val="nil"/>
                    <w:tr2bl w:val="nil"/>
                  </w:tcBorders>
                  <w:noWrap w:val="0"/>
                  <w:vAlign w:val="center"/>
                </w:tcPr>
                <w:p w14:paraId="1798DA6B">
                  <w:pPr>
                    <w:snapToGrid w:val="0"/>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设备名称</w:t>
                  </w:r>
                </w:p>
              </w:tc>
              <w:tc>
                <w:tcPr>
                  <w:tcW w:w="586" w:type="pct"/>
                  <w:tcBorders>
                    <w:tl2br w:val="nil"/>
                    <w:tr2bl w:val="nil"/>
                  </w:tcBorders>
                  <w:noWrap w:val="0"/>
                  <w:vAlign w:val="center"/>
                </w:tcPr>
                <w:p w14:paraId="569DB1AD">
                  <w:pPr>
                    <w:snapToGrid w:val="0"/>
                    <w:spacing w:line="240" w:lineRule="auto"/>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单位</w:t>
                  </w:r>
                </w:p>
              </w:tc>
              <w:tc>
                <w:tcPr>
                  <w:tcW w:w="1491" w:type="pct"/>
                  <w:tcBorders>
                    <w:tl2br w:val="nil"/>
                    <w:tr2bl w:val="nil"/>
                  </w:tcBorders>
                  <w:noWrap w:val="0"/>
                  <w:vAlign w:val="center"/>
                </w:tcPr>
                <w:p w14:paraId="17505D94">
                  <w:pPr>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设备参数</w:t>
                  </w:r>
                </w:p>
              </w:tc>
              <w:tc>
                <w:tcPr>
                  <w:tcW w:w="598" w:type="pct"/>
                  <w:tcBorders>
                    <w:tl2br w:val="nil"/>
                    <w:tr2bl w:val="nil"/>
                  </w:tcBorders>
                  <w:noWrap w:val="0"/>
                  <w:vAlign w:val="center"/>
                </w:tcPr>
                <w:p w14:paraId="06B9C166">
                  <w:pPr>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数量</w:t>
                  </w:r>
                </w:p>
              </w:tc>
              <w:tc>
                <w:tcPr>
                  <w:tcW w:w="749" w:type="pct"/>
                  <w:tcBorders>
                    <w:tl2br w:val="nil"/>
                    <w:tr2bl w:val="nil"/>
                  </w:tcBorders>
                  <w:noWrap w:val="0"/>
                  <w:vAlign w:val="center"/>
                </w:tcPr>
                <w:p w14:paraId="2AC3F064">
                  <w:pPr>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备注</w:t>
                  </w:r>
                </w:p>
              </w:tc>
            </w:tr>
            <w:tr w14:paraId="4CAE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754" w:type="pct"/>
                  <w:tcBorders>
                    <w:tl2br w:val="nil"/>
                    <w:tr2bl w:val="nil"/>
                  </w:tcBorders>
                  <w:noWrap w:val="0"/>
                  <w:vAlign w:val="center"/>
                </w:tcPr>
                <w:p w14:paraId="6328BDA7">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打磨</w:t>
                  </w:r>
                </w:p>
              </w:tc>
              <w:tc>
                <w:tcPr>
                  <w:tcW w:w="819" w:type="pct"/>
                  <w:tcBorders>
                    <w:tl2br w:val="nil"/>
                    <w:tr2bl w:val="nil"/>
                  </w:tcBorders>
                  <w:noWrap w:val="0"/>
                  <w:vAlign w:val="center"/>
                </w:tcPr>
                <w:p w14:paraId="1CC93F1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打磨机</w:t>
                  </w:r>
                </w:p>
              </w:tc>
              <w:tc>
                <w:tcPr>
                  <w:tcW w:w="586" w:type="pct"/>
                  <w:tcBorders>
                    <w:tl2br w:val="nil"/>
                    <w:tr2bl w:val="nil"/>
                  </w:tcBorders>
                  <w:noWrap w:val="0"/>
                  <w:vAlign w:val="center"/>
                </w:tcPr>
                <w:p w14:paraId="5280A40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tcBorders>
                    <w:tl2br w:val="nil"/>
                    <w:tr2bl w:val="nil"/>
                  </w:tcBorders>
                  <w:noWrap w:val="0"/>
                  <w:vAlign w:val="center"/>
                </w:tcPr>
                <w:p w14:paraId="0B65BFCE">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0.35t/d</w:t>
                  </w:r>
                </w:p>
              </w:tc>
              <w:tc>
                <w:tcPr>
                  <w:tcW w:w="598" w:type="pct"/>
                  <w:tcBorders>
                    <w:tl2br w:val="nil"/>
                    <w:tr2bl w:val="nil"/>
                  </w:tcBorders>
                  <w:noWrap w:val="0"/>
                  <w:vAlign w:val="center"/>
                </w:tcPr>
                <w:p w14:paraId="4248551B">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6</w:t>
                  </w:r>
                </w:p>
              </w:tc>
              <w:tc>
                <w:tcPr>
                  <w:tcW w:w="749" w:type="pct"/>
                  <w:tcBorders>
                    <w:tl2br w:val="nil"/>
                    <w:tr2bl w:val="nil"/>
                  </w:tcBorders>
                  <w:noWrap w:val="0"/>
                  <w:vAlign w:val="center"/>
                </w:tcPr>
                <w:p w14:paraId="321073F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依托原有</w:t>
                  </w:r>
                </w:p>
              </w:tc>
            </w:tr>
            <w:tr w14:paraId="2500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54" w:type="pct"/>
                  <w:tcBorders>
                    <w:tl2br w:val="nil"/>
                    <w:tr2bl w:val="nil"/>
                  </w:tcBorders>
                  <w:noWrap w:val="0"/>
                  <w:vAlign w:val="center"/>
                </w:tcPr>
                <w:p w14:paraId="4D350F38">
                  <w:pPr>
                    <w:spacing w:line="240" w:lineRule="auto"/>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烧结</w:t>
                  </w:r>
                </w:p>
              </w:tc>
              <w:tc>
                <w:tcPr>
                  <w:tcW w:w="819" w:type="pct"/>
                  <w:tcBorders>
                    <w:tl2br w:val="nil"/>
                    <w:tr2bl w:val="nil"/>
                  </w:tcBorders>
                  <w:noWrap w:val="0"/>
                  <w:vAlign w:val="center"/>
                </w:tcPr>
                <w:p w14:paraId="70D3B0D7">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olor w:val="auto"/>
                      <w:kern w:val="0"/>
                      <w:sz w:val="21"/>
                      <w:szCs w:val="21"/>
                      <w:highlight w:val="none"/>
                      <w:u w:val="none"/>
                      <w:lang w:val="en-US" w:eastAsia="zh-CN" w:bidi="ar"/>
                    </w:rPr>
                    <w:t>烧结</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炉</w:t>
                  </w:r>
                </w:p>
              </w:tc>
              <w:tc>
                <w:tcPr>
                  <w:tcW w:w="586" w:type="pct"/>
                  <w:tcBorders>
                    <w:tl2br w:val="nil"/>
                    <w:tr2bl w:val="nil"/>
                  </w:tcBorders>
                  <w:noWrap w:val="0"/>
                  <w:vAlign w:val="center"/>
                </w:tcPr>
                <w:p w14:paraId="3B49EF15">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tcBorders>
                    <w:tl2br w:val="nil"/>
                    <w:tr2bl w:val="nil"/>
                  </w:tcBorders>
                  <w:noWrap w:val="0"/>
                  <w:vAlign w:val="center"/>
                </w:tcPr>
                <w:p w14:paraId="60E9BD93">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5*1.55米、150kw</w:t>
                  </w:r>
                </w:p>
              </w:tc>
              <w:tc>
                <w:tcPr>
                  <w:tcW w:w="598" w:type="pct"/>
                  <w:tcBorders>
                    <w:tl2br w:val="nil"/>
                    <w:tr2bl w:val="nil"/>
                  </w:tcBorders>
                  <w:noWrap w:val="0"/>
                  <w:vAlign w:val="center"/>
                </w:tcPr>
                <w:p w14:paraId="199D8E88">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2</w:t>
                  </w:r>
                </w:p>
              </w:tc>
              <w:tc>
                <w:tcPr>
                  <w:tcW w:w="749" w:type="pct"/>
                  <w:tcBorders>
                    <w:tl2br w:val="nil"/>
                    <w:tr2bl w:val="nil"/>
                  </w:tcBorders>
                  <w:noWrap w:val="0"/>
                  <w:vAlign w:val="center"/>
                </w:tcPr>
                <w:p w14:paraId="1592EB5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新上</w:t>
                  </w:r>
                </w:p>
              </w:tc>
            </w:tr>
            <w:tr w14:paraId="7B48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54" w:type="pct"/>
                  <w:tcBorders>
                    <w:tl2br w:val="nil"/>
                    <w:tr2bl w:val="nil"/>
                  </w:tcBorders>
                  <w:noWrap w:val="0"/>
                  <w:vAlign w:val="center"/>
                </w:tcPr>
                <w:p w14:paraId="7F7403C5">
                  <w:pPr>
                    <w:spacing w:line="240" w:lineRule="auto"/>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磁选</w:t>
                  </w:r>
                </w:p>
              </w:tc>
              <w:tc>
                <w:tcPr>
                  <w:tcW w:w="819" w:type="pct"/>
                  <w:tcBorders>
                    <w:tl2br w:val="nil"/>
                    <w:tr2bl w:val="nil"/>
                  </w:tcBorders>
                  <w:noWrap w:val="0"/>
                  <w:vAlign w:val="center"/>
                </w:tcPr>
                <w:p w14:paraId="3446DF6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磁选机</w:t>
                  </w:r>
                </w:p>
              </w:tc>
              <w:tc>
                <w:tcPr>
                  <w:tcW w:w="586" w:type="pct"/>
                  <w:tcBorders>
                    <w:tl2br w:val="nil"/>
                    <w:tr2bl w:val="nil"/>
                  </w:tcBorders>
                  <w:noWrap w:val="0"/>
                  <w:vAlign w:val="center"/>
                </w:tcPr>
                <w:p w14:paraId="69EA4357">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tcBorders>
                    <w:tl2br w:val="nil"/>
                    <w:tr2bl w:val="nil"/>
                  </w:tcBorders>
                  <w:noWrap w:val="0"/>
                  <w:vAlign w:val="center"/>
                </w:tcPr>
                <w:p w14:paraId="63B5193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15000高斯三层磁辊1.5KW380V</w:t>
                  </w:r>
                </w:p>
              </w:tc>
              <w:tc>
                <w:tcPr>
                  <w:tcW w:w="598" w:type="pct"/>
                  <w:tcBorders>
                    <w:tl2br w:val="nil"/>
                    <w:tr2bl w:val="nil"/>
                  </w:tcBorders>
                  <w:noWrap w:val="0"/>
                  <w:vAlign w:val="center"/>
                </w:tcPr>
                <w:p w14:paraId="07A49FA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3</w:t>
                  </w:r>
                </w:p>
              </w:tc>
              <w:tc>
                <w:tcPr>
                  <w:tcW w:w="749" w:type="pct"/>
                  <w:tcBorders>
                    <w:tl2br w:val="nil"/>
                    <w:tr2bl w:val="nil"/>
                  </w:tcBorders>
                  <w:noWrap w:val="0"/>
                  <w:vAlign w:val="center"/>
                </w:tcPr>
                <w:p w14:paraId="462B4B02">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新上</w:t>
                  </w:r>
                </w:p>
              </w:tc>
            </w:tr>
            <w:tr w14:paraId="3ECE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54" w:type="pct"/>
                  <w:tcBorders>
                    <w:tl2br w:val="nil"/>
                    <w:tr2bl w:val="nil"/>
                  </w:tcBorders>
                  <w:noWrap w:val="0"/>
                  <w:vAlign w:val="center"/>
                </w:tcPr>
                <w:p w14:paraId="03B11BE4">
                  <w:pPr>
                    <w:spacing w:line="240" w:lineRule="auto"/>
                    <w:jc w:val="center"/>
                    <w:rPr>
                      <w:rFonts w:hint="default" w:ascii="Times New Roman" w:hAnsi="Times New Roman" w:eastAsia="宋体" w:cs="Times New Roman"/>
                      <w:b w:val="0"/>
                      <w:bCs w:val="0"/>
                      <w:color w:val="auto"/>
                      <w:sz w:val="21"/>
                      <w:szCs w:val="21"/>
                      <w:highlight w:val="none"/>
                      <w:lang w:val="en-US"/>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筛分</w:t>
                  </w:r>
                </w:p>
              </w:tc>
              <w:tc>
                <w:tcPr>
                  <w:tcW w:w="819" w:type="pct"/>
                  <w:tcBorders>
                    <w:tl2br w:val="nil"/>
                    <w:tr2bl w:val="nil"/>
                  </w:tcBorders>
                  <w:noWrap w:val="0"/>
                  <w:vAlign w:val="center"/>
                </w:tcPr>
                <w:p w14:paraId="2A586F8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振动筛</w:t>
                  </w:r>
                </w:p>
              </w:tc>
              <w:tc>
                <w:tcPr>
                  <w:tcW w:w="586" w:type="pct"/>
                  <w:tcBorders>
                    <w:tl2br w:val="nil"/>
                    <w:tr2bl w:val="nil"/>
                  </w:tcBorders>
                  <w:noWrap w:val="0"/>
                  <w:vAlign w:val="center"/>
                </w:tcPr>
                <w:p w14:paraId="69A15913">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tcBorders>
                    <w:tl2br w:val="nil"/>
                    <w:tr2bl w:val="nil"/>
                  </w:tcBorders>
                  <w:noWrap w:val="0"/>
                  <w:vAlign w:val="center"/>
                </w:tcPr>
                <w:p w14:paraId="6EE3F363">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内筛网长2米宽70厘米(上层)，三层网四个出口，双电机380v配置</w:t>
                  </w:r>
                </w:p>
              </w:tc>
              <w:tc>
                <w:tcPr>
                  <w:tcW w:w="598" w:type="pct"/>
                  <w:tcBorders>
                    <w:tl2br w:val="nil"/>
                    <w:tr2bl w:val="nil"/>
                  </w:tcBorders>
                  <w:noWrap w:val="0"/>
                  <w:vAlign w:val="center"/>
                </w:tcPr>
                <w:p w14:paraId="317F05F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3</w:t>
                  </w:r>
                </w:p>
              </w:tc>
              <w:tc>
                <w:tcPr>
                  <w:tcW w:w="749" w:type="pct"/>
                  <w:tcBorders>
                    <w:tl2br w:val="nil"/>
                    <w:tr2bl w:val="nil"/>
                  </w:tcBorders>
                  <w:noWrap w:val="0"/>
                  <w:vAlign w:val="center"/>
                </w:tcPr>
                <w:p w14:paraId="7B411D8E">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新上</w:t>
                  </w:r>
                </w:p>
              </w:tc>
            </w:tr>
            <w:tr w14:paraId="6A37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54" w:type="pct"/>
                  <w:tcBorders>
                    <w:tl2br w:val="nil"/>
                    <w:tr2bl w:val="nil"/>
                  </w:tcBorders>
                  <w:noWrap w:val="0"/>
                  <w:vAlign w:val="center"/>
                </w:tcPr>
                <w:p w14:paraId="7ABA1AAD">
                  <w:pPr>
                    <w:spacing w:line="240" w:lineRule="auto"/>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除尘</w:t>
                  </w:r>
                </w:p>
              </w:tc>
              <w:tc>
                <w:tcPr>
                  <w:tcW w:w="819" w:type="pct"/>
                  <w:tcBorders>
                    <w:tl2br w:val="nil"/>
                    <w:tr2bl w:val="nil"/>
                  </w:tcBorders>
                  <w:noWrap w:val="0"/>
                  <w:vAlign w:val="center"/>
                </w:tcPr>
                <w:p w14:paraId="0C8DA8CD">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抽风机</w:t>
                  </w:r>
                </w:p>
              </w:tc>
              <w:tc>
                <w:tcPr>
                  <w:tcW w:w="586" w:type="pct"/>
                  <w:tcBorders>
                    <w:tl2br w:val="nil"/>
                    <w:tr2bl w:val="nil"/>
                  </w:tcBorders>
                  <w:noWrap w:val="0"/>
                  <w:vAlign w:val="center"/>
                </w:tcPr>
                <w:p w14:paraId="4EDD3A33">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tcBorders>
                    <w:tl2br w:val="nil"/>
                    <w:tr2bl w:val="nil"/>
                  </w:tcBorders>
                  <w:noWrap w:val="0"/>
                  <w:vAlign w:val="center"/>
                </w:tcPr>
                <w:p w14:paraId="41950F06">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22KW、2万风量</w:t>
                  </w:r>
                </w:p>
              </w:tc>
              <w:tc>
                <w:tcPr>
                  <w:tcW w:w="598" w:type="pct"/>
                  <w:tcBorders>
                    <w:tl2br w:val="nil"/>
                    <w:tr2bl w:val="nil"/>
                  </w:tcBorders>
                  <w:noWrap w:val="0"/>
                  <w:vAlign w:val="center"/>
                </w:tcPr>
                <w:p w14:paraId="5C2F1094">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bidi="ar-SA"/>
                    </w:rPr>
                    <w:t>2</w:t>
                  </w:r>
                </w:p>
              </w:tc>
              <w:tc>
                <w:tcPr>
                  <w:tcW w:w="749" w:type="pct"/>
                  <w:tcBorders>
                    <w:tl2br w:val="nil"/>
                    <w:tr2bl w:val="nil"/>
                  </w:tcBorders>
                  <w:noWrap w:val="0"/>
                  <w:vAlign w:val="center"/>
                </w:tcPr>
                <w:p w14:paraId="64D0A1FE">
                  <w:pPr>
                    <w:keepNext w:val="0"/>
                    <w:keepLines w:val="0"/>
                    <w:widowControl/>
                    <w:suppressLineNumbers w:val="0"/>
                    <w:spacing w:line="240" w:lineRule="auto"/>
                    <w:jc w:val="center"/>
                    <w:textAlignment w:val="center"/>
                    <w:rPr>
                      <w:rFonts w:hint="eastAsia"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新上</w:t>
                  </w:r>
                </w:p>
              </w:tc>
            </w:tr>
            <w:tr w14:paraId="580C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54" w:type="pct"/>
                  <w:tcBorders>
                    <w:tl2br w:val="nil"/>
                    <w:tr2bl w:val="nil"/>
                  </w:tcBorders>
                  <w:noWrap w:val="0"/>
                  <w:vAlign w:val="center"/>
                </w:tcPr>
                <w:p w14:paraId="2698D18D">
                  <w:pPr>
                    <w:spacing w:line="240" w:lineRule="auto"/>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除尘</w:t>
                  </w:r>
                </w:p>
              </w:tc>
              <w:tc>
                <w:tcPr>
                  <w:tcW w:w="819" w:type="pct"/>
                  <w:tcBorders>
                    <w:tl2br w:val="nil"/>
                    <w:tr2bl w:val="nil"/>
                  </w:tcBorders>
                  <w:noWrap w:val="0"/>
                  <w:vAlign w:val="center"/>
                </w:tcPr>
                <w:p w14:paraId="20DEBC2B">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除尘设备</w:t>
                  </w:r>
                </w:p>
              </w:tc>
              <w:tc>
                <w:tcPr>
                  <w:tcW w:w="586" w:type="pct"/>
                  <w:tcBorders>
                    <w:tl2br w:val="nil"/>
                    <w:tr2bl w:val="nil"/>
                  </w:tcBorders>
                  <w:noWrap w:val="0"/>
                  <w:vAlign w:val="center"/>
                </w:tcPr>
                <w:p w14:paraId="31129D29">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tcBorders>
                    <w:tl2br w:val="nil"/>
                    <w:tr2bl w:val="nil"/>
                  </w:tcBorders>
                  <w:noWrap w:val="0"/>
                  <w:vAlign w:val="center"/>
                </w:tcPr>
                <w:p w14:paraId="75B5657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598" w:type="pct"/>
                  <w:tcBorders>
                    <w:tl2br w:val="nil"/>
                    <w:tr2bl w:val="nil"/>
                  </w:tcBorders>
                  <w:noWrap w:val="0"/>
                  <w:vAlign w:val="center"/>
                </w:tcPr>
                <w:p w14:paraId="737F7A25">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bidi="ar-SA"/>
                    </w:rPr>
                    <w:t>2</w:t>
                  </w:r>
                </w:p>
              </w:tc>
              <w:tc>
                <w:tcPr>
                  <w:tcW w:w="749" w:type="pct"/>
                  <w:tcBorders>
                    <w:tl2br w:val="nil"/>
                    <w:tr2bl w:val="nil"/>
                  </w:tcBorders>
                  <w:noWrap w:val="0"/>
                  <w:vAlign w:val="center"/>
                </w:tcPr>
                <w:p w14:paraId="023658F2">
                  <w:pPr>
                    <w:keepNext w:val="0"/>
                    <w:keepLines w:val="0"/>
                    <w:widowControl/>
                    <w:suppressLineNumbers w:val="0"/>
                    <w:spacing w:line="240" w:lineRule="auto"/>
                    <w:jc w:val="center"/>
                    <w:textAlignment w:val="center"/>
                    <w:rPr>
                      <w:rFonts w:hint="eastAsia"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新上</w:t>
                  </w:r>
                </w:p>
              </w:tc>
            </w:tr>
            <w:tr w14:paraId="6904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54" w:type="pct"/>
                  <w:noWrap w:val="0"/>
                  <w:vAlign w:val="center"/>
                </w:tcPr>
                <w:p w14:paraId="6DDB0D0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none"/>
                      <w:lang w:val="en-US" w:eastAsia="zh-CN" w:bidi="ar-SA"/>
                    </w:rPr>
                    <w:t>分选</w:t>
                  </w:r>
                </w:p>
              </w:tc>
              <w:tc>
                <w:tcPr>
                  <w:tcW w:w="819" w:type="pct"/>
                  <w:noWrap w:val="0"/>
                  <w:vAlign w:val="center"/>
                </w:tcPr>
                <w:p w14:paraId="6733E57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色选机</w:t>
                  </w:r>
                </w:p>
              </w:tc>
              <w:tc>
                <w:tcPr>
                  <w:tcW w:w="586" w:type="pct"/>
                  <w:noWrap w:val="0"/>
                  <w:vAlign w:val="center"/>
                </w:tcPr>
                <w:p w14:paraId="25918346">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noWrap w:val="0"/>
                  <w:vAlign w:val="center"/>
                </w:tcPr>
                <w:p w14:paraId="4D3DBF7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598" w:type="pct"/>
                  <w:noWrap w:val="0"/>
                  <w:vAlign w:val="center"/>
                </w:tcPr>
                <w:p w14:paraId="4A6C066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bidi="ar-SA"/>
                    </w:rPr>
                    <w:t>1</w:t>
                  </w:r>
                </w:p>
              </w:tc>
              <w:tc>
                <w:tcPr>
                  <w:tcW w:w="749" w:type="pct"/>
                  <w:noWrap w:val="0"/>
                  <w:vAlign w:val="center"/>
                </w:tcPr>
                <w:p w14:paraId="5CC3ECBA">
                  <w:pPr>
                    <w:keepNext w:val="0"/>
                    <w:keepLines w:val="0"/>
                    <w:widowControl/>
                    <w:suppressLineNumbers w:val="0"/>
                    <w:spacing w:line="240" w:lineRule="auto"/>
                    <w:jc w:val="center"/>
                    <w:textAlignment w:val="center"/>
                    <w:rPr>
                      <w:rFonts w:hint="eastAsia"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新上</w:t>
                  </w:r>
                </w:p>
              </w:tc>
            </w:tr>
            <w:tr w14:paraId="24E1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54" w:type="pct"/>
                  <w:noWrap w:val="0"/>
                  <w:vAlign w:val="center"/>
                </w:tcPr>
                <w:p w14:paraId="2D394A3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2"/>
                      <w:sz w:val="21"/>
                      <w:szCs w:val="21"/>
                      <w:highlight w:val="none"/>
                      <w:u w:val="none"/>
                      <w:lang w:val="en-US" w:eastAsia="zh-CN" w:bidi="ar-SA"/>
                    </w:rPr>
                    <w:t>公用设施</w:t>
                  </w:r>
                </w:p>
              </w:tc>
              <w:tc>
                <w:tcPr>
                  <w:tcW w:w="819" w:type="pct"/>
                  <w:noWrap w:val="0"/>
                  <w:vAlign w:val="center"/>
                </w:tcPr>
                <w:p w14:paraId="670EC09E">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机动叉车</w:t>
                  </w:r>
                </w:p>
              </w:tc>
              <w:tc>
                <w:tcPr>
                  <w:tcW w:w="586" w:type="pct"/>
                  <w:noWrap w:val="0"/>
                  <w:vAlign w:val="center"/>
                </w:tcPr>
                <w:p w14:paraId="212E5BB2">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1491" w:type="pct"/>
                  <w:noWrap w:val="0"/>
                  <w:vAlign w:val="center"/>
                </w:tcPr>
                <w:p w14:paraId="22DB944B">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2吨</w:t>
                  </w:r>
                </w:p>
              </w:tc>
              <w:tc>
                <w:tcPr>
                  <w:tcW w:w="598" w:type="pct"/>
                  <w:noWrap w:val="0"/>
                  <w:vAlign w:val="center"/>
                </w:tcPr>
                <w:p w14:paraId="54E5968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1</w:t>
                  </w:r>
                </w:p>
              </w:tc>
              <w:tc>
                <w:tcPr>
                  <w:tcW w:w="749" w:type="pct"/>
                  <w:noWrap w:val="0"/>
                  <w:vAlign w:val="center"/>
                </w:tcPr>
                <w:p w14:paraId="24FB5A27">
                  <w:pPr>
                    <w:keepNext w:val="0"/>
                    <w:keepLines w:val="0"/>
                    <w:widowControl/>
                    <w:suppressLineNumbers w:val="0"/>
                    <w:spacing w:line="240" w:lineRule="auto"/>
                    <w:jc w:val="center"/>
                    <w:textAlignment w:val="center"/>
                    <w:rPr>
                      <w:rFonts w:hint="eastAsia"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SA"/>
                    </w:rPr>
                    <w:t>新上</w:t>
                  </w:r>
                </w:p>
              </w:tc>
            </w:tr>
            <w:tr w14:paraId="6F1C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54" w:type="pct"/>
                  <w:noWrap w:val="0"/>
                  <w:vAlign w:val="center"/>
                </w:tcPr>
                <w:p w14:paraId="0C08EC1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2"/>
                      <w:sz w:val="21"/>
                      <w:szCs w:val="21"/>
                      <w:highlight w:val="none"/>
                      <w:u w:val="none"/>
                      <w:lang w:val="en-US" w:eastAsia="zh-CN" w:bidi="ar-SA"/>
                    </w:rPr>
                    <w:t>喷砂</w:t>
                  </w:r>
                </w:p>
              </w:tc>
              <w:tc>
                <w:tcPr>
                  <w:tcW w:w="819" w:type="pct"/>
                  <w:noWrap w:val="0"/>
                  <w:vAlign w:val="center"/>
                </w:tcPr>
                <w:p w14:paraId="0ECC541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喷砂机</w:t>
                  </w:r>
                </w:p>
              </w:tc>
              <w:tc>
                <w:tcPr>
                  <w:tcW w:w="586" w:type="pct"/>
                  <w:noWrap w:val="0"/>
                  <w:vAlign w:val="center"/>
                </w:tcPr>
                <w:p w14:paraId="07EB3744">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台</w:t>
                  </w:r>
                </w:p>
              </w:tc>
              <w:tc>
                <w:tcPr>
                  <w:tcW w:w="2492" w:type="dxa"/>
                  <w:noWrap w:val="0"/>
                  <w:vAlign w:val="center"/>
                </w:tcPr>
                <w:p w14:paraId="5BE96AE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598" w:type="pct"/>
                  <w:noWrap w:val="0"/>
                  <w:vAlign w:val="center"/>
                </w:tcPr>
                <w:p w14:paraId="1F2F5D14">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6</w:t>
                  </w:r>
                </w:p>
              </w:tc>
              <w:tc>
                <w:tcPr>
                  <w:tcW w:w="749" w:type="pct"/>
                  <w:noWrap w:val="0"/>
                  <w:vAlign w:val="center"/>
                </w:tcPr>
                <w:p w14:paraId="56C0CFF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bidi="ar-SA"/>
                    </w:rPr>
                    <w:t>淘汰</w:t>
                  </w:r>
                </w:p>
              </w:tc>
            </w:tr>
            <w:tr w14:paraId="020F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54" w:type="pct"/>
                  <w:noWrap w:val="0"/>
                  <w:vAlign w:val="center"/>
                </w:tcPr>
                <w:p w14:paraId="3A952FD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2"/>
                      <w:sz w:val="21"/>
                      <w:szCs w:val="21"/>
                      <w:highlight w:val="none"/>
                      <w:u w:val="none"/>
                      <w:lang w:val="en-US" w:eastAsia="zh-CN" w:bidi="ar-SA"/>
                    </w:rPr>
                  </w:pPr>
                  <w:r>
                    <w:rPr>
                      <w:rFonts w:hint="eastAsia" w:cs="Times New Roman"/>
                      <w:b w:val="0"/>
                      <w:bCs w:val="0"/>
                      <w:i w:val="0"/>
                      <w:iCs w:val="0"/>
                      <w:color w:val="FF0000"/>
                      <w:kern w:val="2"/>
                      <w:sz w:val="21"/>
                      <w:szCs w:val="21"/>
                      <w:highlight w:val="none"/>
                      <w:u w:val="none"/>
                      <w:lang w:val="en-US" w:eastAsia="zh-CN" w:bidi="ar-SA"/>
                    </w:rPr>
                    <w:t>/</w:t>
                  </w:r>
                </w:p>
              </w:tc>
              <w:tc>
                <w:tcPr>
                  <w:tcW w:w="819" w:type="pct"/>
                  <w:noWrap w:val="0"/>
                  <w:vAlign w:val="center"/>
                </w:tcPr>
                <w:p w14:paraId="673D2CEB">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default" w:ascii="Times New Roman" w:hAnsi="Times New Roman" w:eastAsia="宋体" w:cs="Times New Roman"/>
                      <w:b w:val="0"/>
                      <w:bCs w:val="0"/>
                      <w:i w:val="0"/>
                      <w:iCs w:val="0"/>
                      <w:color w:val="FF0000"/>
                      <w:kern w:val="0"/>
                      <w:sz w:val="21"/>
                      <w:szCs w:val="21"/>
                      <w:highlight w:val="none"/>
                      <w:u w:val="none"/>
                      <w:lang w:val="en-US" w:eastAsia="zh-CN" w:bidi="ar"/>
                    </w:rPr>
                    <w:t>滚筒式马沸炉</w:t>
                  </w:r>
                </w:p>
              </w:tc>
              <w:tc>
                <w:tcPr>
                  <w:tcW w:w="586" w:type="pct"/>
                  <w:noWrap w:val="0"/>
                  <w:vAlign w:val="center"/>
                </w:tcPr>
                <w:p w14:paraId="00D8C6B1">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台</w:t>
                  </w:r>
                </w:p>
              </w:tc>
              <w:tc>
                <w:tcPr>
                  <w:tcW w:w="2492" w:type="dxa"/>
                  <w:noWrap w:val="0"/>
                  <w:vAlign w:val="center"/>
                </w:tcPr>
                <w:p w14:paraId="7D39FE1B">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w:t>
                  </w:r>
                </w:p>
              </w:tc>
              <w:tc>
                <w:tcPr>
                  <w:tcW w:w="598" w:type="pct"/>
                  <w:shd w:val="clear" w:color="auto" w:fill="auto"/>
                  <w:noWrap w:val="0"/>
                  <w:vAlign w:val="center"/>
                </w:tcPr>
                <w:p w14:paraId="54B55908">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cs="Times New Roman"/>
                      <w:b w:val="0"/>
                      <w:bCs w:val="0"/>
                      <w:i w:val="0"/>
                      <w:iCs w:val="0"/>
                      <w:color w:val="FF0000"/>
                      <w:kern w:val="0"/>
                      <w:sz w:val="21"/>
                      <w:szCs w:val="21"/>
                      <w:highlight w:val="none"/>
                      <w:u w:val="none"/>
                      <w:lang w:val="en-US" w:eastAsia="zh-CN" w:bidi="ar"/>
                    </w:rPr>
                    <w:t>1</w:t>
                  </w:r>
                </w:p>
              </w:tc>
              <w:tc>
                <w:tcPr>
                  <w:tcW w:w="749" w:type="pct"/>
                  <w:noWrap w:val="0"/>
                  <w:vAlign w:val="center"/>
                </w:tcPr>
                <w:p w14:paraId="249A4AE3">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FF0000"/>
                      <w:kern w:val="0"/>
                      <w:sz w:val="21"/>
                      <w:szCs w:val="21"/>
                      <w:highlight w:val="none"/>
                      <w:lang w:val="en-US" w:eastAsia="zh-CN" w:bidi="ar-SA"/>
                    </w:rPr>
                  </w:pPr>
                  <w:r>
                    <w:rPr>
                      <w:rFonts w:hint="eastAsia" w:cs="Times New Roman"/>
                      <w:b w:val="0"/>
                      <w:bCs w:val="0"/>
                      <w:color w:val="FF0000"/>
                      <w:kern w:val="0"/>
                      <w:sz w:val="21"/>
                      <w:szCs w:val="21"/>
                      <w:highlight w:val="none"/>
                      <w:lang w:val="en-US" w:eastAsia="zh-CN" w:bidi="ar-SA"/>
                    </w:rPr>
                    <w:t>淘汰</w:t>
                  </w:r>
                </w:p>
              </w:tc>
            </w:tr>
            <w:tr w14:paraId="217C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54" w:type="pct"/>
                  <w:noWrap w:val="0"/>
                  <w:vAlign w:val="center"/>
                </w:tcPr>
                <w:p w14:paraId="113644E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2"/>
                      <w:sz w:val="21"/>
                      <w:szCs w:val="21"/>
                      <w:highlight w:val="none"/>
                      <w:u w:val="none"/>
                      <w:lang w:val="en-US" w:eastAsia="zh-CN" w:bidi="ar-SA"/>
                    </w:rPr>
                  </w:pPr>
                  <w:r>
                    <w:rPr>
                      <w:rFonts w:hint="eastAsia" w:cs="Times New Roman"/>
                      <w:b w:val="0"/>
                      <w:bCs w:val="0"/>
                      <w:i w:val="0"/>
                      <w:iCs w:val="0"/>
                      <w:color w:val="FF0000"/>
                      <w:kern w:val="2"/>
                      <w:sz w:val="21"/>
                      <w:szCs w:val="21"/>
                      <w:highlight w:val="none"/>
                      <w:u w:val="none"/>
                      <w:lang w:val="en-US" w:eastAsia="zh-CN" w:bidi="ar-SA"/>
                    </w:rPr>
                    <w:t>/</w:t>
                  </w:r>
                </w:p>
              </w:tc>
              <w:tc>
                <w:tcPr>
                  <w:tcW w:w="819" w:type="pct"/>
                  <w:noWrap w:val="0"/>
                  <w:vAlign w:val="center"/>
                </w:tcPr>
                <w:p w14:paraId="53D8E9A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default" w:ascii="Times New Roman" w:hAnsi="Times New Roman" w:eastAsia="宋体" w:cs="Times New Roman"/>
                      <w:b w:val="0"/>
                      <w:bCs w:val="0"/>
                      <w:i w:val="0"/>
                      <w:iCs w:val="0"/>
                      <w:color w:val="FF0000"/>
                      <w:kern w:val="0"/>
                      <w:sz w:val="21"/>
                      <w:szCs w:val="21"/>
                      <w:highlight w:val="none"/>
                      <w:u w:val="none"/>
                      <w:lang w:val="en-US" w:eastAsia="zh-CN" w:bidi="ar"/>
                    </w:rPr>
                    <w:t>超声波清洗机</w:t>
                  </w:r>
                </w:p>
              </w:tc>
              <w:tc>
                <w:tcPr>
                  <w:tcW w:w="586" w:type="pct"/>
                  <w:noWrap w:val="0"/>
                  <w:vAlign w:val="center"/>
                </w:tcPr>
                <w:p w14:paraId="0DED5CF2">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台</w:t>
                  </w:r>
                </w:p>
              </w:tc>
              <w:tc>
                <w:tcPr>
                  <w:tcW w:w="2492" w:type="dxa"/>
                  <w:noWrap w:val="0"/>
                  <w:vAlign w:val="center"/>
                </w:tcPr>
                <w:p w14:paraId="46740CE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w:t>
                  </w:r>
                </w:p>
              </w:tc>
              <w:tc>
                <w:tcPr>
                  <w:tcW w:w="598" w:type="pct"/>
                  <w:shd w:val="clear" w:color="auto" w:fill="auto"/>
                  <w:noWrap w:val="0"/>
                  <w:vAlign w:val="center"/>
                </w:tcPr>
                <w:p w14:paraId="729E7775">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cs="Times New Roman"/>
                      <w:b w:val="0"/>
                      <w:bCs w:val="0"/>
                      <w:i w:val="0"/>
                      <w:iCs w:val="0"/>
                      <w:color w:val="FF0000"/>
                      <w:kern w:val="0"/>
                      <w:sz w:val="21"/>
                      <w:szCs w:val="21"/>
                      <w:highlight w:val="none"/>
                      <w:u w:val="none"/>
                      <w:lang w:val="en-US" w:eastAsia="zh-CN" w:bidi="ar"/>
                    </w:rPr>
                    <w:t>15</w:t>
                  </w:r>
                </w:p>
              </w:tc>
              <w:tc>
                <w:tcPr>
                  <w:tcW w:w="749" w:type="pct"/>
                  <w:noWrap w:val="0"/>
                  <w:vAlign w:val="center"/>
                </w:tcPr>
                <w:p w14:paraId="0B33C449">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FF0000"/>
                      <w:kern w:val="0"/>
                      <w:sz w:val="21"/>
                      <w:szCs w:val="21"/>
                      <w:highlight w:val="none"/>
                      <w:lang w:val="en-US" w:eastAsia="zh-CN" w:bidi="ar-SA"/>
                    </w:rPr>
                  </w:pPr>
                  <w:r>
                    <w:rPr>
                      <w:rFonts w:hint="eastAsia" w:cs="Times New Roman"/>
                      <w:b w:val="0"/>
                      <w:bCs w:val="0"/>
                      <w:color w:val="FF0000"/>
                      <w:kern w:val="0"/>
                      <w:sz w:val="21"/>
                      <w:szCs w:val="21"/>
                      <w:highlight w:val="none"/>
                      <w:lang w:val="en-US" w:eastAsia="zh-CN" w:bidi="ar-SA"/>
                    </w:rPr>
                    <w:t>淘汰</w:t>
                  </w:r>
                </w:p>
              </w:tc>
            </w:tr>
            <w:tr w14:paraId="4D62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54" w:type="pct"/>
                  <w:noWrap w:val="0"/>
                  <w:vAlign w:val="center"/>
                </w:tcPr>
                <w:p w14:paraId="158BD29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2"/>
                      <w:sz w:val="21"/>
                      <w:szCs w:val="21"/>
                      <w:highlight w:val="none"/>
                      <w:u w:val="none"/>
                      <w:lang w:val="en-US" w:eastAsia="zh-CN" w:bidi="ar-SA"/>
                    </w:rPr>
                  </w:pPr>
                  <w:r>
                    <w:rPr>
                      <w:rFonts w:hint="eastAsia" w:cs="Times New Roman"/>
                      <w:b w:val="0"/>
                      <w:bCs w:val="0"/>
                      <w:i w:val="0"/>
                      <w:iCs w:val="0"/>
                      <w:color w:val="FF0000"/>
                      <w:kern w:val="2"/>
                      <w:sz w:val="21"/>
                      <w:szCs w:val="21"/>
                      <w:highlight w:val="none"/>
                      <w:u w:val="none"/>
                      <w:lang w:val="en-US" w:eastAsia="zh-CN" w:bidi="ar-SA"/>
                    </w:rPr>
                    <w:t>/</w:t>
                  </w:r>
                </w:p>
              </w:tc>
              <w:tc>
                <w:tcPr>
                  <w:tcW w:w="819" w:type="pct"/>
                  <w:noWrap w:val="0"/>
                  <w:vAlign w:val="center"/>
                </w:tcPr>
                <w:p w14:paraId="46AD9FF5">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default" w:ascii="Times New Roman" w:hAnsi="Times New Roman" w:eastAsia="宋体" w:cs="Times New Roman"/>
                      <w:b w:val="0"/>
                      <w:bCs w:val="0"/>
                      <w:i w:val="0"/>
                      <w:iCs w:val="0"/>
                      <w:color w:val="FF0000"/>
                      <w:kern w:val="0"/>
                      <w:sz w:val="21"/>
                      <w:szCs w:val="21"/>
                      <w:highlight w:val="none"/>
                      <w:u w:val="none"/>
                      <w:lang w:val="en-US" w:eastAsia="zh-CN" w:bidi="ar"/>
                    </w:rPr>
                    <w:t>清洗设备</w:t>
                  </w:r>
                </w:p>
              </w:tc>
              <w:tc>
                <w:tcPr>
                  <w:tcW w:w="586" w:type="pct"/>
                  <w:noWrap w:val="0"/>
                  <w:vAlign w:val="center"/>
                </w:tcPr>
                <w:p w14:paraId="2F7ED8ED">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台</w:t>
                  </w:r>
                </w:p>
              </w:tc>
              <w:tc>
                <w:tcPr>
                  <w:tcW w:w="2492" w:type="dxa"/>
                  <w:noWrap w:val="0"/>
                  <w:vAlign w:val="center"/>
                </w:tcPr>
                <w:p w14:paraId="658BDFD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w:t>
                  </w:r>
                </w:p>
              </w:tc>
              <w:tc>
                <w:tcPr>
                  <w:tcW w:w="598" w:type="pct"/>
                  <w:shd w:val="clear" w:color="auto" w:fill="auto"/>
                  <w:noWrap w:val="0"/>
                  <w:vAlign w:val="center"/>
                </w:tcPr>
                <w:p w14:paraId="4A9FBE1B">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cs="Times New Roman"/>
                      <w:b w:val="0"/>
                      <w:bCs w:val="0"/>
                      <w:i w:val="0"/>
                      <w:iCs w:val="0"/>
                      <w:color w:val="FF0000"/>
                      <w:kern w:val="0"/>
                      <w:sz w:val="21"/>
                      <w:szCs w:val="21"/>
                      <w:highlight w:val="none"/>
                      <w:u w:val="none"/>
                      <w:lang w:val="en-US" w:eastAsia="zh-CN" w:bidi="ar"/>
                    </w:rPr>
                    <w:t>7</w:t>
                  </w:r>
                </w:p>
              </w:tc>
              <w:tc>
                <w:tcPr>
                  <w:tcW w:w="749" w:type="pct"/>
                  <w:noWrap w:val="0"/>
                  <w:vAlign w:val="center"/>
                </w:tcPr>
                <w:p w14:paraId="427BED26">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FF0000"/>
                      <w:kern w:val="0"/>
                      <w:sz w:val="21"/>
                      <w:szCs w:val="21"/>
                      <w:highlight w:val="none"/>
                      <w:lang w:val="en-US" w:eastAsia="zh-CN" w:bidi="ar-SA"/>
                    </w:rPr>
                  </w:pPr>
                  <w:r>
                    <w:rPr>
                      <w:rFonts w:hint="eastAsia" w:cs="Times New Roman"/>
                      <w:b w:val="0"/>
                      <w:bCs w:val="0"/>
                      <w:color w:val="FF0000"/>
                      <w:kern w:val="0"/>
                      <w:sz w:val="21"/>
                      <w:szCs w:val="21"/>
                      <w:highlight w:val="none"/>
                      <w:lang w:val="en-US" w:eastAsia="zh-CN" w:bidi="ar-SA"/>
                    </w:rPr>
                    <w:t>淘汰</w:t>
                  </w:r>
                </w:p>
              </w:tc>
            </w:tr>
            <w:tr w14:paraId="4400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54" w:type="pct"/>
                  <w:noWrap w:val="0"/>
                  <w:vAlign w:val="center"/>
                </w:tcPr>
                <w:p w14:paraId="063A3C7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2"/>
                      <w:sz w:val="21"/>
                      <w:szCs w:val="21"/>
                      <w:highlight w:val="none"/>
                      <w:u w:val="none"/>
                      <w:lang w:val="en-US" w:eastAsia="zh-CN" w:bidi="ar-SA"/>
                    </w:rPr>
                  </w:pPr>
                  <w:r>
                    <w:rPr>
                      <w:rFonts w:hint="eastAsia" w:cs="Times New Roman"/>
                      <w:b w:val="0"/>
                      <w:bCs w:val="0"/>
                      <w:i w:val="0"/>
                      <w:iCs w:val="0"/>
                      <w:color w:val="FF0000"/>
                      <w:kern w:val="2"/>
                      <w:sz w:val="21"/>
                      <w:szCs w:val="21"/>
                      <w:highlight w:val="none"/>
                      <w:u w:val="none"/>
                      <w:lang w:val="en-US" w:eastAsia="zh-CN" w:bidi="ar-SA"/>
                    </w:rPr>
                    <w:t>/</w:t>
                  </w:r>
                </w:p>
              </w:tc>
              <w:tc>
                <w:tcPr>
                  <w:tcW w:w="819" w:type="pct"/>
                  <w:noWrap w:val="0"/>
                  <w:vAlign w:val="center"/>
                </w:tcPr>
                <w:p w14:paraId="5DBBC90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default" w:ascii="Times New Roman" w:hAnsi="Times New Roman" w:eastAsia="宋体" w:cs="Times New Roman"/>
                      <w:b w:val="0"/>
                      <w:bCs w:val="0"/>
                      <w:i w:val="0"/>
                      <w:iCs w:val="0"/>
                      <w:color w:val="FF0000"/>
                      <w:kern w:val="0"/>
                      <w:sz w:val="21"/>
                      <w:szCs w:val="21"/>
                      <w:highlight w:val="none"/>
                      <w:u w:val="none"/>
                      <w:lang w:val="en-US" w:eastAsia="zh-CN" w:bidi="ar"/>
                    </w:rPr>
                    <w:t>自动检测机</w:t>
                  </w:r>
                </w:p>
              </w:tc>
              <w:tc>
                <w:tcPr>
                  <w:tcW w:w="586" w:type="pct"/>
                  <w:noWrap w:val="0"/>
                  <w:vAlign w:val="center"/>
                </w:tcPr>
                <w:p w14:paraId="68E0D7EC">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台</w:t>
                  </w:r>
                </w:p>
              </w:tc>
              <w:tc>
                <w:tcPr>
                  <w:tcW w:w="2492" w:type="dxa"/>
                  <w:noWrap w:val="0"/>
                  <w:vAlign w:val="center"/>
                </w:tcPr>
                <w:p w14:paraId="23BB842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ascii="Times New Roman" w:hAnsi="Times New Roman" w:eastAsia="宋体" w:cs="Times New Roman"/>
                      <w:b w:val="0"/>
                      <w:bCs w:val="0"/>
                      <w:i w:val="0"/>
                      <w:iCs w:val="0"/>
                      <w:color w:val="FF0000"/>
                      <w:kern w:val="0"/>
                      <w:sz w:val="21"/>
                      <w:szCs w:val="21"/>
                      <w:highlight w:val="none"/>
                      <w:u w:val="none"/>
                      <w:lang w:val="en-US" w:eastAsia="zh-CN" w:bidi="ar"/>
                    </w:rPr>
                    <w:t>/</w:t>
                  </w:r>
                </w:p>
              </w:tc>
              <w:tc>
                <w:tcPr>
                  <w:tcW w:w="598" w:type="pct"/>
                  <w:shd w:val="clear" w:color="auto" w:fill="auto"/>
                  <w:noWrap w:val="0"/>
                  <w:vAlign w:val="center"/>
                </w:tcPr>
                <w:p w14:paraId="0F7B2BF2">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i w:val="0"/>
                      <w:iCs w:val="0"/>
                      <w:color w:val="FF0000"/>
                      <w:kern w:val="0"/>
                      <w:sz w:val="21"/>
                      <w:szCs w:val="21"/>
                      <w:highlight w:val="none"/>
                      <w:u w:val="none"/>
                      <w:lang w:val="en-US" w:eastAsia="zh-CN" w:bidi="ar"/>
                    </w:rPr>
                  </w:pPr>
                  <w:r>
                    <w:rPr>
                      <w:rFonts w:hint="eastAsia" w:cs="Times New Roman"/>
                      <w:b w:val="0"/>
                      <w:bCs w:val="0"/>
                      <w:i w:val="0"/>
                      <w:iCs w:val="0"/>
                      <w:color w:val="FF0000"/>
                      <w:kern w:val="0"/>
                      <w:sz w:val="21"/>
                      <w:szCs w:val="21"/>
                      <w:highlight w:val="none"/>
                      <w:u w:val="none"/>
                      <w:lang w:val="en-US" w:eastAsia="zh-CN" w:bidi="ar"/>
                    </w:rPr>
                    <w:t>5</w:t>
                  </w:r>
                </w:p>
              </w:tc>
              <w:tc>
                <w:tcPr>
                  <w:tcW w:w="749" w:type="pct"/>
                  <w:noWrap w:val="0"/>
                  <w:vAlign w:val="center"/>
                </w:tcPr>
                <w:p w14:paraId="49FCFB86">
                  <w:pPr>
                    <w:keepNext w:val="0"/>
                    <w:keepLines w:val="0"/>
                    <w:widowControl/>
                    <w:suppressLineNumbers w:val="0"/>
                    <w:spacing w:line="240" w:lineRule="auto"/>
                    <w:jc w:val="center"/>
                    <w:textAlignment w:val="center"/>
                    <w:rPr>
                      <w:rFonts w:hint="eastAsia" w:ascii="Times New Roman" w:hAnsi="Times New Roman" w:eastAsia="宋体" w:cs="Times New Roman"/>
                      <w:b w:val="0"/>
                      <w:bCs w:val="0"/>
                      <w:color w:val="FF0000"/>
                      <w:kern w:val="0"/>
                      <w:sz w:val="21"/>
                      <w:szCs w:val="21"/>
                      <w:highlight w:val="none"/>
                      <w:lang w:val="en-US" w:eastAsia="zh-CN" w:bidi="ar-SA"/>
                    </w:rPr>
                  </w:pPr>
                  <w:r>
                    <w:rPr>
                      <w:rFonts w:hint="eastAsia" w:cs="Times New Roman"/>
                      <w:b w:val="0"/>
                      <w:bCs w:val="0"/>
                      <w:color w:val="FF0000"/>
                      <w:kern w:val="0"/>
                      <w:sz w:val="21"/>
                      <w:szCs w:val="21"/>
                      <w:highlight w:val="none"/>
                      <w:lang w:val="en-US" w:eastAsia="zh-CN" w:bidi="ar-SA"/>
                    </w:rPr>
                    <w:t>淘汰</w:t>
                  </w:r>
                </w:p>
              </w:tc>
            </w:tr>
          </w:tbl>
          <w:p w14:paraId="567AC728">
            <w:pPr>
              <w:tabs>
                <w:tab w:val="left" w:pos="4065"/>
              </w:tabs>
              <w:spacing w:line="360" w:lineRule="auto"/>
              <w:ind w:firstLine="482"/>
              <w:rPr>
                <w:rFonts w:hint="default" w:ascii="Times New Roman" w:hAnsi="Times New Roman" w:eastAsia="宋体" w:cs="Times New Roman"/>
                <w:b w:val="0"/>
                <w:bCs/>
                <w:color w:val="FF0000"/>
                <w:kern w:val="0"/>
                <w:sz w:val="24"/>
                <w:szCs w:val="24"/>
                <w:highlight w:val="none"/>
                <w:lang w:val="en-US" w:eastAsia="zh-CN"/>
              </w:rPr>
            </w:pPr>
            <w:r>
              <w:rPr>
                <w:rFonts w:hint="eastAsia" w:cs="Times New Roman"/>
                <w:b w:val="0"/>
                <w:bCs/>
                <w:color w:val="FF0000"/>
                <w:kern w:val="0"/>
                <w:sz w:val="24"/>
                <w:szCs w:val="24"/>
                <w:highlight w:val="none"/>
                <w:lang w:val="en-US" w:eastAsia="zh-CN"/>
              </w:rPr>
              <w:t>项目烧结炉年处理废硅材料量约3500t/a，</w:t>
            </w:r>
            <w:r>
              <w:rPr>
                <w:rFonts w:hint="eastAsia" w:ascii="Times New Roman" w:hAnsi="Times New Roman" w:eastAsia="宋体" w:cs="Times New Roman"/>
                <w:b w:val="0"/>
                <w:bCs/>
                <w:color w:val="FF0000"/>
                <w:kern w:val="0"/>
                <w:sz w:val="24"/>
                <w:szCs w:val="24"/>
                <w:highlight w:val="none"/>
                <w:lang w:val="en-US" w:eastAsia="zh-CN"/>
              </w:rPr>
              <w:t>烧结炉完成一个完整工艺周期所需的时间需2小时/炉，每炉装载量约0.5kg，共设置2台，年工作7200h/a，则年处理能力为3600</w:t>
            </w:r>
            <w:r>
              <w:rPr>
                <w:rFonts w:hint="eastAsia" w:cs="Times New Roman"/>
                <w:b w:val="0"/>
                <w:bCs/>
                <w:color w:val="FF0000"/>
                <w:kern w:val="0"/>
                <w:sz w:val="24"/>
                <w:szCs w:val="24"/>
                <w:highlight w:val="none"/>
                <w:lang w:val="en-US" w:eastAsia="zh-CN"/>
              </w:rPr>
              <w:t>t/a，</w:t>
            </w:r>
            <w:r>
              <w:rPr>
                <w:rFonts w:hint="eastAsia" w:ascii="Times New Roman" w:hAnsi="Times New Roman" w:eastAsia="宋体" w:cs="Times New Roman"/>
                <w:b w:val="0"/>
                <w:bCs/>
                <w:color w:val="FF0000"/>
                <w:kern w:val="0"/>
                <w:sz w:val="24"/>
                <w:szCs w:val="24"/>
                <w:highlight w:val="none"/>
                <w:lang w:val="en-US" w:eastAsia="zh-CN"/>
              </w:rPr>
              <w:t>实际需要处理量</w:t>
            </w:r>
            <w:r>
              <w:rPr>
                <w:rFonts w:hint="eastAsia" w:cs="Times New Roman"/>
                <w:b w:val="0"/>
                <w:bCs/>
                <w:color w:val="FF0000"/>
                <w:kern w:val="0"/>
                <w:sz w:val="24"/>
                <w:szCs w:val="24"/>
                <w:highlight w:val="none"/>
                <w:lang w:val="en-US" w:eastAsia="zh-CN"/>
              </w:rPr>
              <w:t>3500t/a</w:t>
            </w:r>
            <w:r>
              <w:rPr>
                <w:rFonts w:hint="eastAsia" w:ascii="Times New Roman" w:hAnsi="Times New Roman" w:eastAsia="宋体" w:cs="Times New Roman"/>
                <w:b w:val="0"/>
                <w:bCs/>
                <w:color w:val="FF0000"/>
                <w:kern w:val="0"/>
                <w:sz w:val="24"/>
                <w:szCs w:val="24"/>
                <w:highlight w:val="none"/>
                <w:lang w:val="en-US" w:eastAsia="zh-CN"/>
              </w:rPr>
              <w:t>满足要求。</w:t>
            </w:r>
          </w:p>
          <w:p w14:paraId="2C8EE68F">
            <w:pPr>
              <w:tabs>
                <w:tab w:val="left" w:pos="4065"/>
              </w:tabs>
              <w:spacing w:line="360" w:lineRule="auto"/>
              <w:ind w:firstLine="482"/>
              <w:rPr>
                <w:rFonts w:hint="default" w:ascii="Times New Roman" w:hAnsi="Times New Roman" w:eastAsia="宋体" w:cs="Times New Roman"/>
                <w:b/>
                <w:color w:val="auto"/>
                <w:kern w:val="0"/>
                <w:sz w:val="24"/>
                <w:szCs w:val="24"/>
                <w:highlight w:val="none"/>
              </w:rPr>
            </w:pPr>
            <w:r>
              <w:rPr>
                <w:rFonts w:hint="eastAsia" w:cs="Times New Roman"/>
                <w:b/>
                <w:color w:val="auto"/>
                <w:kern w:val="0"/>
                <w:sz w:val="24"/>
                <w:szCs w:val="24"/>
                <w:highlight w:val="none"/>
                <w:lang w:val="en-US" w:eastAsia="zh-CN"/>
              </w:rPr>
              <w:t>5</w:t>
            </w:r>
            <w:r>
              <w:rPr>
                <w:rFonts w:hint="default" w:ascii="Times New Roman" w:hAnsi="Times New Roman" w:eastAsia="宋体" w:cs="Times New Roman"/>
                <w:b/>
                <w:color w:val="auto"/>
                <w:kern w:val="0"/>
                <w:sz w:val="24"/>
                <w:szCs w:val="24"/>
                <w:highlight w:val="none"/>
              </w:rPr>
              <w:t>、项目定员及工作制度</w:t>
            </w:r>
          </w:p>
          <w:p w14:paraId="4F55C180">
            <w:pPr>
              <w:tabs>
                <w:tab w:val="left" w:pos="4065"/>
              </w:tabs>
              <w:spacing w:line="360" w:lineRule="auto"/>
              <w:ind w:firstLine="480"/>
              <w:rPr>
                <w:rFonts w:hint="default" w:cs="Times New Roman"/>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本次改扩建项目不新增</w:t>
            </w:r>
            <w:r>
              <w:rPr>
                <w:rFonts w:hint="eastAsia" w:cs="Times New Roman"/>
                <w:color w:val="auto"/>
                <w:kern w:val="0"/>
                <w:sz w:val="24"/>
                <w:szCs w:val="24"/>
                <w:highlight w:val="none"/>
                <w:lang w:val="en-US" w:eastAsia="zh-CN"/>
              </w:rPr>
              <w:t>劳动定员，全厂职工现有定员20人；</w:t>
            </w:r>
          </w:p>
          <w:p w14:paraId="76E0D0FE">
            <w:pPr>
              <w:tabs>
                <w:tab w:val="left" w:pos="4065"/>
              </w:tabs>
              <w:spacing w:line="360" w:lineRule="auto"/>
              <w:ind w:firstLine="480"/>
              <w:rPr>
                <w:rFonts w:hint="eastAsia" w:eastAsia="宋体"/>
                <w:color w:val="auto"/>
                <w:highlight w:val="none"/>
                <w:lang w:eastAsia="zh-CN"/>
              </w:rPr>
            </w:pPr>
            <w:r>
              <w:rPr>
                <w:rFonts w:hint="eastAsia" w:cs="Times New Roman"/>
                <w:color w:val="auto"/>
                <w:kern w:val="0"/>
                <w:sz w:val="24"/>
                <w:szCs w:val="24"/>
                <w:highlight w:val="none"/>
                <w:lang w:val="en-US" w:eastAsia="zh-CN"/>
              </w:rPr>
              <w:t>工作制度：</w:t>
            </w:r>
            <w:r>
              <w:rPr>
                <w:rFonts w:hint="default" w:ascii="Times New Roman" w:hAnsi="Times New Roman" w:eastAsia="宋体" w:cs="Times New Roman"/>
                <w:color w:val="auto"/>
                <w:kern w:val="0"/>
                <w:sz w:val="24"/>
                <w:szCs w:val="24"/>
                <w:highlight w:val="none"/>
              </w:rPr>
              <w:t>实行</w:t>
            </w:r>
            <w:r>
              <w:rPr>
                <w:rFonts w:hint="eastAsia"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班制，每班8h，每年工作300天</w:t>
            </w: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年工作7200h/a</w:t>
            </w:r>
            <w:r>
              <w:rPr>
                <w:rFonts w:hint="eastAsia" w:cs="Times New Roman"/>
                <w:color w:val="auto"/>
                <w:kern w:val="0"/>
                <w:sz w:val="24"/>
                <w:szCs w:val="24"/>
                <w:highlight w:val="none"/>
                <w:lang w:eastAsia="zh-CN"/>
              </w:rPr>
              <w:t>。</w:t>
            </w:r>
          </w:p>
          <w:p w14:paraId="01923D03">
            <w:pPr>
              <w:shd w:val="clear" w:color="auto" w:fill="auto"/>
              <w:spacing w:line="360" w:lineRule="auto"/>
              <w:ind w:firstLine="482"/>
              <w:rPr>
                <w:rFonts w:hint="default" w:ascii="Times New Roman" w:hAnsi="Times New Roman" w:eastAsia="宋体" w:cs="Times New Roman"/>
                <w:color w:val="auto"/>
                <w:kern w:val="0"/>
                <w:sz w:val="24"/>
                <w:szCs w:val="24"/>
                <w:highlight w:val="none"/>
              </w:rPr>
            </w:pPr>
            <w:r>
              <w:rPr>
                <w:rFonts w:hint="eastAsia" w:cs="Times New Roman"/>
                <w:b/>
                <w:bCs/>
                <w:color w:val="auto"/>
                <w:kern w:val="0"/>
                <w:sz w:val="24"/>
                <w:szCs w:val="24"/>
                <w:highlight w:val="none"/>
                <w:lang w:val="en-US" w:eastAsia="zh-CN"/>
              </w:rPr>
              <w:t>6</w:t>
            </w:r>
            <w:r>
              <w:rPr>
                <w:rFonts w:hint="default" w:ascii="Times New Roman" w:hAnsi="Times New Roman" w:eastAsia="宋体" w:cs="Times New Roman"/>
                <w:b/>
                <w:bCs/>
                <w:color w:val="auto"/>
                <w:kern w:val="0"/>
                <w:sz w:val="24"/>
                <w:szCs w:val="24"/>
                <w:highlight w:val="none"/>
              </w:rPr>
              <w:t>、项目总平面布置</w:t>
            </w:r>
          </w:p>
          <w:p w14:paraId="3014B832">
            <w:pPr>
              <w:spacing w:line="360" w:lineRule="auto"/>
              <w:ind w:firstLine="480" w:firstLineChars="200"/>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FF0000"/>
                <w:sz w:val="24"/>
                <w:szCs w:val="24"/>
                <w:highlight w:val="none"/>
              </w:rPr>
              <w:t>现有项目占地约</w:t>
            </w:r>
            <w:r>
              <w:rPr>
                <w:rFonts w:hint="eastAsia" w:cs="Times New Roman"/>
                <w:color w:val="FF0000"/>
                <w:sz w:val="24"/>
                <w:szCs w:val="24"/>
                <w:highlight w:val="none"/>
                <w:lang w:val="en-US" w:eastAsia="zh-CN"/>
              </w:rPr>
              <w:t>3500</w:t>
            </w:r>
            <w:r>
              <w:rPr>
                <w:rFonts w:hint="eastAsia" w:ascii="Times New Roman" w:hAnsi="Times New Roman" w:eastAsia="宋体" w:cs="Times New Roman"/>
                <w:color w:val="FF0000"/>
                <w:sz w:val="24"/>
                <w:szCs w:val="24"/>
                <w:highlight w:val="none"/>
              </w:rPr>
              <w:t>m</w:t>
            </w:r>
            <w:r>
              <w:rPr>
                <w:rFonts w:hint="eastAsia" w:ascii="Times New Roman" w:hAnsi="Times New Roman" w:eastAsia="宋体" w:cs="Times New Roman"/>
                <w:color w:val="FF0000"/>
                <w:sz w:val="24"/>
                <w:szCs w:val="24"/>
                <w:highlight w:val="none"/>
                <w:vertAlign w:val="superscript"/>
              </w:rPr>
              <w:t>2</w:t>
            </w:r>
            <w:r>
              <w:rPr>
                <w:rFonts w:hint="eastAsia" w:ascii="Times New Roman" w:hAnsi="Times New Roman" w:eastAsia="宋体" w:cs="Times New Roman"/>
                <w:color w:val="FF0000"/>
                <w:sz w:val="24"/>
                <w:szCs w:val="24"/>
                <w:highlight w:val="none"/>
              </w:rPr>
              <w:t>，本次改扩建项目不新增用地，生产设施依托现有车间布设。</w:t>
            </w:r>
            <w:r>
              <w:rPr>
                <w:rFonts w:hint="eastAsia" w:ascii="Times New Roman" w:hAnsi="Times New Roman" w:eastAsia="宋体" w:cs="Times New Roman"/>
                <w:color w:val="auto"/>
                <w:sz w:val="24"/>
                <w:szCs w:val="24"/>
                <w:highlight w:val="none"/>
              </w:rPr>
              <w:t>项目所在厂房为东西走向，生产车间</w:t>
            </w:r>
            <w:r>
              <w:rPr>
                <w:rFonts w:hint="eastAsia" w:ascii="Times New Roman" w:hAnsi="Times New Roman" w:eastAsia="宋体" w:cs="Times New Roman"/>
                <w:color w:val="auto"/>
                <w:sz w:val="24"/>
                <w:szCs w:val="24"/>
                <w:highlight w:val="none"/>
                <w:lang w:val="en-US" w:eastAsia="zh-CN"/>
              </w:rPr>
              <w:t>1分为</w:t>
            </w:r>
            <w:r>
              <w:rPr>
                <w:rFonts w:hint="eastAsia" w:ascii="Times New Roman" w:hAnsi="Times New Roman" w:eastAsia="宋体" w:cs="Times New Roman"/>
                <w:color w:val="auto"/>
                <w:sz w:val="24"/>
                <w:szCs w:val="24"/>
                <w:highlight w:val="none"/>
              </w:rPr>
              <w:t>分选区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打磨</w:t>
            </w:r>
            <w:r>
              <w:rPr>
                <w:rFonts w:hint="eastAsia" w:ascii="Times New Roman" w:hAnsi="Times New Roman" w:eastAsia="宋体" w:cs="Times New Roman"/>
                <w:color w:val="auto"/>
                <w:sz w:val="24"/>
                <w:szCs w:val="24"/>
                <w:highlight w:val="none"/>
              </w:rPr>
              <w:t>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原料暂存区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其中打磨区为利用原有项目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生产车间2设置烧结炉，磁选机等设备</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用于烧结</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磁选及筛选工序。项目平面布置图见附图</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w:t>
            </w:r>
          </w:p>
          <w:p w14:paraId="2AEE92E8">
            <w:pPr>
              <w:spacing w:line="360" w:lineRule="auto"/>
              <w:ind w:firstLine="480" w:firstLineChars="200"/>
              <w:rPr>
                <w:color w:val="auto"/>
                <w:sz w:val="24"/>
                <w:szCs w:val="24"/>
                <w:highlight w:val="none"/>
              </w:rPr>
            </w:pPr>
            <w:r>
              <w:rPr>
                <w:rFonts w:eastAsia="新宋体"/>
                <w:color w:val="auto"/>
                <w:sz w:val="24"/>
                <w:szCs w:val="24"/>
                <w:highlight w:val="none"/>
              </w:rPr>
              <w:t>总体而言，</w:t>
            </w:r>
            <w:r>
              <w:rPr>
                <w:rFonts w:hint="eastAsia" w:eastAsia="新宋体"/>
                <w:color w:val="auto"/>
                <w:sz w:val="24"/>
                <w:szCs w:val="24"/>
                <w:highlight w:val="none"/>
              </w:rPr>
              <w:t>项目区</w:t>
            </w:r>
            <w:r>
              <w:rPr>
                <w:rFonts w:eastAsia="新宋体"/>
                <w:color w:val="auto"/>
                <w:sz w:val="24"/>
                <w:szCs w:val="24"/>
                <w:highlight w:val="none"/>
              </w:rPr>
              <w:t>功能分区明确，平面布置紧凑，满足工艺要求，实现了生产作业线连续、短捷、方便。</w:t>
            </w:r>
          </w:p>
          <w:p w14:paraId="581976F3">
            <w:pPr>
              <w:shd w:val="clear" w:color="auto" w:fill="auto"/>
              <w:spacing w:line="360" w:lineRule="auto"/>
              <w:ind w:firstLine="482"/>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7、</w:t>
            </w:r>
            <w:r>
              <w:rPr>
                <w:rFonts w:hint="default" w:ascii="Times New Roman" w:hAnsi="Times New Roman" w:eastAsia="宋体" w:cs="Times New Roman"/>
                <w:b/>
                <w:bCs/>
                <w:color w:val="auto"/>
                <w:kern w:val="0"/>
                <w:sz w:val="24"/>
                <w:szCs w:val="24"/>
                <w:highlight w:val="none"/>
                <w:lang w:val="en-US" w:eastAsia="zh-CN"/>
              </w:rPr>
              <w:t>公用工程</w:t>
            </w:r>
          </w:p>
          <w:p w14:paraId="5A0250EC">
            <w:pPr>
              <w:spacing w:line="360" w:lineRule="auto"/>
              <w:ind w:firstLine="494" w:firstLineChars="206"/>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1</w:t>
            </w:r>
            <w:r>
              <w:rPr>
                <w:color w:val="auto"/>
                <w:sz w:val="24"/>
                <w:szCs w:val="24"/>
                <w:highlight w:val="none"/>
              </w:rPr>
              <w:t>）给水</w:t>
            </w:r>
          </w:p>
          <w:p w14:paraId="1ADBC2A9">
            <w:pPr>
              <w:spacing w:line="360" w:lineRule="auto"/>
              <w:ind w:firstLine="470" w:firstLineChars="196"/>
              <w:rPr>
                <w:rFonts w:hint="eastAsia"/>
                <w:color w:val="auto"/>
                <w:sz w:val="24"/>
                <w:highlight w:val="none"/>
                <w:lang w:val="en-US" w:eastAsia="zh-CN"/>
              </w:rPr>
            </w:pPr>
            <w:r>
              <w:rPr>
                <w:rFonts w:hint="eastAsia"/>
                <w:color w:val="auto"/>
                <w:sz w:val="24"/>
                <w:szCs w:val="24"/>
                <w:highlight w:val="none"/>
                <w:lang w:val="en-US" w:eastAsia="zh-CN"/>
              </w:rPr>
              <w:t>本次改扩建项目不新增</w:t>
            </w:r>
            <w:r>
              <w:rPr>
                <w:rFonts w:hint="eastAsia" w:eastAsia="宋体"/>
                <w:color w:val="auto"/>
                <w:sz w:val="24"/>
                <w:szCs w:val="24"/>
                <w:highlight w:val="none"/>
                <w:lang w:eastAsia="zh-CN"/>
              </w:rPr>
              <w:t>职工生活用水，</w:t>
            </w:r>
            <w:r>
              <w:rPr>
                <w:rFonts w:hint="eastAsia" w:eastAsia="宋体"/>
                <w:color w:val="auto"/>
                <w:sz w:val="24"/>
                <w:szCs w:val="24"/>
                <w:highlight w:val="none"/>
                <w:lang w:val="en-US" w:eastAsia="zh-CN"/>
              </w:rPr>
              <w:t>因此不新增生活用水；</w:t>
            </w:r>
            <w:r>
              <w:rPr>
                <w:rFonts w:hint="eastAsia" w:ascii="Times New Roman" w:hAnsi="Times New Roman" w:eastAsia="宋体" w:cs="Times New Roman"/>
                <w:color w:val="auto"/>
                <w:sz w:val="24"/>
                <w:szCs w:val="24"/>
                <w:highlight w:val="none"/>
                <w:lang w:val="en-US" w:eastAsia="zh-CN"/>
              </w:rPr>
              <w:t>现有项目生活用水量</w:t>
            </w:r>
            <w:r>
              <w:rPr>
                <w:rFonts w:hint="eastAsia"/>
                <w:color w:val="auto"/>
                <w:sz w:val="24"/>
                <w:szCs w:val="24"/>
                <w:highlight w:val="none"/>
                <w:lang w:val="en-US" w:eastAsia="zh-CN"/>
              </w:rPr>
              <w:t>为900</w:t>
            </w:r>
            <w:r>
              <w:rPr>
                <w:rFonts w:hint="eastAsia"/>
                <w:color w:val="auto"/>
                <w:sz w:val="24"/>
                <w:highlight w:val="none"/>
                <w:lang w:val="en-US" w:eastAsia="zh-CN"/>
              </w:rPr>
              <w:t>m</w:t>
            </w:r>
            <w:r>
              <w:rPr>
                <w:rFonts w:hint="eastAsia"/>
                <w:color w:val="auto"/>
                <w:sz w:val="24"/>
                <w:highlight w:val="none"/>
                <w:vertAlign w:val="superscript"/>
                <w:lang w:val="en-US" w:eastAsia="zh-CN"/>
              </w:rPr>
              <w:t>3</w:t>
            </w:r>
            <w:r>
              <w:rPr>
                <w:rFonts w:hint="eastAsia"/>
                <w:color w:val="auto"/>
                <w:sz w:val="24"/>
                <w:highlight w:val="none"/>
                <w:lang w:val="en-US" w:eastAsia="zh-CN"/>
              </w:rPr>
              <w:t>/a。</w:t>
            </w:r>
          </w:p>
          <w:p w14:paraId="10463B2C">
            <w:pPr>
              <w:spacing w:line="360" w:lineRule="auto"/>
              <w:ind w:firstLine="470" w:firstLineChars="196"/>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本次改扩建项目建成后，生产不用水；</w:t>
            </w:r>
            <w:r>
              <w:rPr>
                <w:rFonts w:hint="eastAsia" w:ascii="Times New Roman" w:hAnsi="Times New Roman" w:eastAsia="宋体" w:cs="Times New Roman"/>
                <w:color w:val="auto"/>
                <w:sz w:val="24"/>
                <w:szCs w:val="24"/>
                <w:highlight w:val="none"/>
                <w:lang w:val="en-US" w:eastAsia="zh-CN"/>
              </w:rPr>
              <w:t>现有项目生产用水</w:t>
            </w:r>
            <w:r>
              <w:rPr>
                <w:rFonts w:hint="eastAsia"/>
                <w:color w:val="auto"/>
                <w:sz w:val="24"/>
                <w:szCs w:val="24"/>
                <w:highlight w:val="none"/>
                <w:lang w:val="en-US" w:eastAsia="zh-CN"/>
              </w:rPr>
              <w:t>为3540</w:t>
            </w:r>
            <w:r>
              <w:rPr>
                <w:rFonts w:hint="eastAsia"/>
                <w:color w:val="auto"/>
                <w:sz w:val="24"/>
                <w:highlight w:val="none"/>
                <w:lang w:val="en-US" w:eastAsia="zh-CN"/>
              </w:rPr>
              <w:t>m</w:t>
            </w:r>
            <w:r>
              <w:rPr>
                <w:rFonts w:hint="eastAsia"/>
                <w:color w:val="auto"/>
                <w:sz w:val="24"/>
                <w:highlight w:val="none"/>
                <w:vertAlign w:val="superscript"/>
                <w:lang w:val="en-US" w:eastAsia="zh-CN"/>
              </w:rPr>
              <w:t>3</w:t>
            </w:r>
            <w:r>
              <w:rPr>
                <w:rFonts w:hint="eastAsia"/>
                <w:color w:val="auto"/>
                <w:sz w:val="24"/>
                <w:highlight w:val="none"/>
                <w:lang w:val="en-US" w:eastAsia="zh-CN"/>
              </w:rPr>
              <w:t>/a，本次改建项目完成后</w:t>
            </w:r>
            <w:r>
              <w:rPr>
                <w:rFonts w:hint="eastAsia" w:ascii="Times New Roman" w:hAnsi="Times New Roman" w:eastAsia="宋体" w:cs="Times New Roman"/>
                <w:color w:val="auto"/>
                <w:sz w:val="24"/>
                <w:szCs w:val="24"/>
                <w:highlight w:val="none"/>
                <w:lang w:val="en-US" w:eastAsia="zh-CN"/>
              </w:rPr>
              <w:t>现有项目</w:t>
            </w:r>
            <w:r>
              <w:rPr>
                <w:rFonts w:hint="eastAsia"/>
                <w:color w:val="auto"/>
                <w:sz w:val="24"/>
                <w:highlight w:val="none"/>
                <w:lang w:val="en-US" w:eastAsia="zh-CN"/>
              </w:rPr>
              <w:t>生产线拆除，现有项目不再生产。故项目建成后全厂生产用水量为0.</w:t>
            </w:r>
          </w:p>
          <w:p w14:paraId="2038CC7D">
            <w:pPr>
              <w:spacing w:line="360" w:lineRule="auto"/>
              <w:ind w:firstLine="470" w:firstLineChars="196"/>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因此本次改建项目建成后全厂用水为生活用水，水量为</w:t>
            </w:r>
            <w:r>
              <w:rPr>
                <w:rFonts w:hint="eastAsia"/>
                <w:color w:val="auto"/>
                <w:sz w:val="24"/>
                <w:highlight w:val="none"/>
                <w:lang w:val="en-US" w:eastAsia="zh-CN"/>
              </w:rPr>
              <w:t>3.0m</w:t>
            </w:r>
            <w:r>
              <w:rPr>
                <w:rFonts w:hint="eastAsia"/>
                <w:color w:val="auto"/>
                <w:sz w:val="24"/>
                <w:highlight w:val="none"/>
                <w:vertAlign w:val="superscript"/>
                <w:lang w:val="en-US" w:eastAsia="zh-CN"/>
              </w:rPr>
              <w:t>3</w:t>
            </w:r>
            <w:r>
              <w:rPr>
                <w:rFonts w:hint="eastAsia"/>
                <w:color w:val="auto"/>
                <w:sz w:val="24"/>
                <w:highlight w:val="none"/>
                <w:lang w:val="en-US" w:eastAsia="zh-CN"/>
              </w:rPr>
              <w:t>/d，900m</w:t>
            </w:r>
            <w:r>
              <w:rPr>
                <w:rFonts w:hint="eastAsia"/>
                <w:color w:val="auto"/>
                <w:sz w:val="24"/>
                <w:highlight w:val="none"/>
                <w:vertAlign w:val="superscript"/>
                <w:lang w:val="en-US" w:eastAsia="zh-CN"/>
              </w:rPr>
              <w:t>3</w:t>
            </w:r>
            <w:r>
              <w:rPr>
                <w:rFonts w:hint="eastAsia"/>
                <w:color w:val="auto"/>
                <w:sz w:val="24"/>
                <w:highlight w:val="none"/>
                <w:lang w:val="en-US" w:eastAsia="zh-CN"/>
              </w:rPr>
              <w:t>/a。</w:t>
            </w:r>
            <w:r>
              <w:rPr>
                <w:rFonts w:hint="eastAsia" w:eastAsia="宋体"/>
                <w:color w:val="auto"/>
                <w:sz w:val="24"/>
                <w:szCs w:val="24"/>
                <w:highlight w:val="none"/>
                <w:lang w:eastAsia="zh-CN"/>
              </w:rPr>
              <w:t>由</w:t>
            </w:r>
            <w:r>
              <w:rPr>
                <w:rFonts w:hint="eastAsia" w:eastAsia="宋体"/>
                <w:color w:val="auto"/>
                <w:sz w:val="24"/>
                <w:szCs w:val="24"/>
                <w:highlight w:val="none"/>
                <w:lang w:val="en-US" w:eastAsia="zh-CN"/>
              </w:rPr>
              <w:t>市政供水管网</w:t>
            </w:r>
            <w:r>
              <w:rPr>
                <w:rFonts w:hint="eastAsia" w:eastAsia="宋体"/>
                <w:color w:val="auto"/>
                <w:sz w:val="24"/>
                <w:szCs w:val="24"/>
                <w:highlight w:val="none"/>
                <w:lang w:eastAsia="zh-CN"/>
              </w:rPr>
              <w:t>提供。</w:t>
            </w:r>
          </w:p>
          <w:p w14:paraId="166E276B">
            <w:pPr>
              <w:pStyle w:val="10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表2-8 企业用水量一览表</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564"/>
              <w:gridCol w:w="1670"/>
              <w:gridCol w:w="1770"/>
              <w:gridCol w:w="1659"/>
              <w:gridCol w:w="1374"/>
              <w:gridCol w:w="1316"/>
            </w:tblGrid>
            <w:tr w14:paraId="6B17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7" w:hRule="atLeast"/>
                <w:tblHeader/>
                <w:jc w:val="center"/>
              </w:trPr>
              <w:tc>
                <w:tcPr>
                  <w:tcW w:w="563" w:type="dxa"/>
                  <w:vMerge w:val="restart"/>
                  <w:tcBorders>
                    <w:tl2br w:val="nil"/>
                    <w:tr2bl w:val="nil"/>
                  </w:tcBorders>
                  <w:noWrap w:val="0"/>
                  <w:vAlign w:val="center"/>
                </w:tcPr>
                <w:p w14:paraId="57B548F7">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序号</w:t>
                  </w:r>
                </w:p>
              </w:tc>
              <w:tc>
                <w:tcPr>
                  <w:tcW w:w="1666" w:type="dxa"/>
                  <w:vMerge w:val="restart"/>
                  <w:tcBorders>
                    <w:tl2br w:val="nil"/>
                    <w:tr2bl w:val="nil"/>
                  </w:tcBorders>
                  <w:noWrap w:val="0"/>
                  <w:vAlign w:val="center"/>
                </w:tcPr>
                <w:p w14:paraId="6A648E38">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用水情况</w:t>
                  </w:r>
                </w:p>
              </w:tc>
              <w:tc>
                <w:tcPr>
                  <w:tcW w:w="1766" w:type="dxa"/>
                  <w:vMerge w:val="restart"/>
                  <w:tcBorders>
                    <w:tl2br w:val="nil"/>
                    <w:tr2bl w:val="nil"/>
                  </w:tcBorders>
                  <w:noWrap w:val="0"/>
                  <w:vAlign w:val="center"/>
                </w:tcPr>
                <w:p w14:paraId="3C4286ED">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现有项目用水量</w:t>
                  </w: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lang w:val="en-US" w:eastAsia="zh-CN"/>
                    </w:rPr>
                    <w:t>/d）</w:t>
                  </w:r>
                </w:p>
              </w:tc>
              <w:tc>
                <w:tcPr>
                  <w:tcW w:w="1655" w:type="dxa"/>
                  <w:vMerge w:val="restart"/>
                  <w:tcBorders>
                    <w:tl2br w:val="nil"/>
                    <w:tr2bl w:val="nil"/>
                  </w:tcBorders>
                  <w:noWrap w:val="0"/>
                  <w:vAlign w:val="center"/>
                </w:tcPr>
                <w:p w14:paraId="13FA6088">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改扩建新增用水量</w:t>
                  </w: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lang w:val="en-US" w:eastAsia="zh-CN"/>
                    </w:rPr>
                    <w:t>/d）</w:t>
                  </w:r>
                </w:p>
              </w:tc>
              <w:tc>
                <w:tcPr>
                  <w:tcW w:w="2684" w:type="dxa"/>
                  <w:gridSpan w:val="2"/>
                  <w:tcBorders>
                    <w:tl2br w:val="nil"/>
                    <w:tr2bl w:val="nil"/>
                  </w:tcBorders>
                  <w:noWrap w:val="0"/>
                  <w:vAlign w:val="center"/>
                </w:tcPr>
                <w:p w14:paraId="255124A5">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全厂用水量</w:t>
                  </w:r>
                </w:p>
              </w:tc>
            </w:tr>
            <w:tr w14:paraId="56842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7" w:hRule="atLeast"/>
                <w:tblHeader/>
                <w:jc w:val="center"/>
              </w:trPr>
              <w:tc>
                <w:tcPr>
                  <w:tcW w:w="563" w:type="dxa"/>
                  <w:vMerge w:val="continue"/>
                  <w:tcBorders>
                    <w:tl2br w:val="nil"/>
                    <w:tr2bl w:val="nil"/>
                  </w:tcBorders>
                  <w:noWrap w:val="0"/>
                  <w:vAlign w:val="center"/>
                </w:tcPr>
                <w:p w14:paraId="3333B666">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p>
              </w:tc>
              <w:tc>
                <w:tcPr>
                  <w:tcW w:w="1666" w:type="dxa"/>
                  <w:vMerge w:val="continue"/>
                  <w:tcBorders>
                    <w:tl2br w:val="nil"/>
                    <w:tr2bl w:val="nil"/>
                  </w:tcBorders>
                  <w:noWrap w:val="0"/>
                  <w:vAlign w:val="center"/>
                </w:tcPr>
                <w:p w14:paraId="3D923FA6">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p>
              </w:tc>
              <w:tc>
                <w:tcPr>
                  <w:tcW w:w="1766" w:type="dxa"/>
                  <w:vMerge w:val="continue"/>
                  <w:tcBorders>
                    <w:tl2br w:val="nil"/>
                    <w:tr2bl w:val="nil"/>
                  </w:tcBorders>
                  <w:noWrap w:val="0"/>
                  <w:vAlign w:val="center"/>
                </w:tcPr>
                <w:p w14:paraId="0A4200BA">
                  <w:pPr>
                    <w:widowControl/>
                    <w:adjustRightInd w:val="0"/>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p>
              </w:tc>
              <w:tc>
                <w:tcPr>
                  <w:tcW w:w="1655" w:type="dxa"/>
                  <w:vMerge w:val="continue"/>
                  <w:tcBorders>
                    <w:tl2br w:val="nil"/>
                    <w:tr2bl w:val="nil"/>
                  </w:tcBorders>
                  <w:noWrap w:val="0"/>
                  <w:vAlign w:val="center"/>
                </w:tcPr>
                <w:p w14:paraId="78BE6D06">
                  <w:pPr>
                    <w:widowControl/>
                    <w:adjustRightInd w:val="0"/>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p>
              </w:tc>
              <w:tc>
                <w:tcPr>
                  <w:tcW w:w="1371" w:type="dxa"/>
                  <w:tcBorders>
                    <w:tl2br w:val="nil"/>
                    <w:tr2bl w:val="nil"/>
                  </w:tcBorders>
                  <w:noWrap w:val="0"/>
                  <w:vAlign w:val="center"/>
                </w:tcPr>
                <w:p w14:paraId="08476983">
                  <w:pPr>
                    <w:widowControl/>
                    <w:adjustRightInd w:val="0"/>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lang w:val="en-US" w:eastAsia="zh-CN"/>
                    </w:rPr>
                    <w:t>/d</w:t>
                  </w:r>
                </w:p>
              </w:tc>
              <w:tc>
                <w:tcPr>
                  <w:tcW w:w="1313" w:type="dxa"/>
                  <w:tcBorders>
                    <w:tl2br w:val="nil"/>
                    <w:tr2bl w:val="nil"/>
                  </w:tcBorders>
                  <w:noWrap w:val="0"/>
                  <w:vAlign w:val="center"/>
                </w:tcPr>
                <w:p w14:paraId="7A4302A2">
                  <w:pPr>
                    <w:widowControl/>
                    <w:adjustRightInd w:val="0"/>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a</w:t>
                  </w:r>
                </w:p>
              </w:tc>
            </w:tr>
            <w:tr w14:paraId="23622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7" w:hRule="atLeast"/>
                <w:jc w:val="center"/>
              </w:trPr>
              <w:tc>
                <w:tcPr>
                  <w:tcW w:w="563" w:type="dxa"/>
                  <w:tcBorders>
                    <w:tl2br w:val="nil"/>
                    <w:tr2bl w:val="nil"/>
                  </w:tcBorders>
                  <w:noWrap w:val="0"/>
                  <w:vAlign w:val="center"/>
                </w:tcPr>
                <w:p w14:paraId="228E36B8">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w:t>
                  </w:r>
                </w:p>
              </w:tc>
              <w:tc>
                <w:tcPr>
                  <w:tcW w:w="1666" w:type="dxa"/>
                  <w:tcBorders>
                    <w:tl2br w:val="nil"/>
                    <w:tr2bl w:val="nil"/>
                  </w:tcBorders>
                  <w:noWrap w:val="0"/>
                  <w:vAlign w:val="center"/>
                </w:tcPr>
                <w:p w14:paraId="59CE9A6B">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生活</w:t>
                  </w:r>
                  <w:r>
                    <w:rPr>
                      <w:rFonts w:hint="default" w:ascii="Times New Roman" w:hAnsi="Times New Roman" w:eastAsia="宋体" w:cs="Times New Roman"/>
                      <w:color w:val="auto"/>
                      <w:kern w:val="0"/>
                      <w:sz w:val="21"/>
                      <w:szCs w:val="21"/>
                      <w:highlight w:val="none"/>
                      <w:lang w:val="en-US" w:eastAsia="zh-CN"/>
                    </w:rPr>
                    <w:t>用水</w:t>
                  </w:r>
                </w:p>
              </w:tc>
              <w:tc>
                <w:tcPr>
                  <w:tcW w:w="1766" w:type="dxa"/>
                  <w:tcBorders>
                    <w:tl2br w:val="nil"/>
                    <w:tr2bl w:val="nil"/>
                  </w:tcBorders>
                  <w:noWrap w:val="0"/>
                  <w:vAlign w:val="center"/>
                </w:tcPr>
                <w:p w14:paraId="431FC6DC">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3.0</w:t>
                  </w:r>
                </w:p>
              </w:tc>
              <w:tc>
                <w:tcPr>
                  <w:tcW w:w="1655" w:type="dxa"/>
                  <w:tcBorders>
                    <w:tl2br w:val="nil"/>
                    <w:tr2bl w:val="nil"/>
                  </w:tcBorders>
                  <w:noWrap w:val="0"/>
                  <w:vAlign w:val="center"/>
                </w:tcPr>
                <w:p w14:paraId="51980092">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w:t>
                  </w:r>
                </w:p>
              </w:tc>
              <w:tc>
                <w:tcPr>
                  <w:tcW w:w="1371" w:type="dxa"/>
                  <w:tcBorders>
                    <w:tl2br w:val="nil"/>
                    <w:tr2bl w:val="nil"/>
                  </w:tcBorders>
                  <w:noWrap w:val="0"/>
                  <w:vAlign w:val="center"/>
                </w:tcPr>
                <w:p w14:paraId="5F5D039A">
                  <w:pPr>
                    <w:widowControl/>
                    <w:tabs>
                      <w:tab w:val="left" w:pos="545"/>
                    </w:tabs>
                    <w:adjustRightInd w:val="0"/>
                    <w:snapToGrid w:val="0"/>
                    <w:spacing w:line="240" w:lineRule="auto"/>
                    <w:jc w:val="left"/>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ab/>
                  </w:r>
                  <w:r>
                    <w:rPr>
                      <w:rFonts w:hint="eastAsia" w:ascii="Times New Roman" w:hAnsi="Times New Roman" w:eastAsia="宋体" w:cs="Times New Roman"/>
                      <w:color w:val="auto"/>
                      <w:kern w:val="0"/>
                      <w:sz w:val="21"/>
                      <w:szCs w:val="21"/>
                      <w:highlight w:val="none"/>
                      <w:lang w:val="en-US" w:eastAsia="zh-CN"/>
                    </w:rPr>
                    <w:t>3.0</w:t>
                  </w:r>
                </w:p>
              </w:tc>
              <w:tc>
                <w:tcPr>
                  <w:tcW w:w="1313" w:type="dxa"/>
                  <w:tcBorders>
                    <w:tl2br w:val="nil"/>
                    <w:tr2bl w:val="nil"/>
                  </w:tcBorders>
                  <w:noWrap w:val="0"/>
                  <w:vAlign w:val="center"/>
                </w:tcPr>
                <w:p w14:paraId="0D97CB04">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w:t>
                  </w:r>
                  <w:r>
                    <w:rPr>
                      <w:rFonts w:hint="eastAsia" w:ascii="Times New Roman" w:hAnsi="Times New Roman" w:eastAsia="宋体" w:cs="Times New Roman"/>
                      <w:color w:val="auto"/>
                      <w:kern w:val="0"/>
                      <w:sz w:val="21"/>
                      <w:szCs w:val="21"/>
                      <w:highlight w:val="none"/>
                      <w:lang w:val="en-US" w:eastAsia="zh-CN"/>
                    </w:rPr>
                    <w:t>00</w:t>
                  </w:r>
                </w:p>
              </w:tc>
            </w:tr>
            <w:tr w14:paraId="368B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7" w:hRule="atLeast"/>
                <w:jc w:val="center"/>
              </w:trPr>
              <w:tc>
                <w:tcPr>
                  <w:tcW w:w="563" w:type="dxa"/>
                  <w:tcBorders>
                    <w:tl2br w:val="nil"/>
                    <w:tr2bl w:val="nil"/>
                  </w:tcBorders>
                  <w:noWrap w:val="0"/>
                  <w:vAlign w:val="center"/>
                </w:tcPr>
                <w:p w14:paraId="486783F1">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2</w:t>
                  </w:r>
                </w:p>
              </w:tc>
              <w:tc>
                <w:tcPr>
                  <w:tcW w:w="1666" w:type="dxa"/>
                  <w:tcBorders>
                    <w:tl2br w:val="nil"/>
                    <w:tr2bl w:val="nil"/>
                  </w:tcBorders>
                  <w:noWrap w:val="0"/>
                  <w:vAlign w:val="center"/>
                </w:tcPr>
                <w:p w14:paraId="7640A55C">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生产用</w:t>
                  </w:r>
                  <w:r>
                    <w:rPr>
                      <w:rFonts w:hint="default" w:ascii="Times New Roman" w:hAnsi="Times New Roman" w:eastAsia="宋体" w:cs="Times New Roman"/>
                      <w:color w:val="auto"/>
                      <w:kern w:val="0"/>
                      <w:sz w:val="21"/>
                      <w:szCs w:val="21"/>
                      <w:highlight w:val="none"/>
                      <w:lang w:val="en-US" w:eastAsia="zh-CN"/>
                    </w:rPr>
                    <w:t>水</w:t>
                  </w:r>
                </w:p>
              </w:tc>
              <w:tc>
                <w:tcPr>
                  <w:tcW w:w="1766" w:type="dxa"/>
                  <w:tcBorders>
                    <w:tl2br w:val="nil"/>
                    <w:tr2bl w:val="nil"/>
                  </w:tcBorders>
                  <w:noWrap w:val="0"/>
                  <w:vAlign w:val="center"/>
                </w:tcPr>
                <w:p w14:paraId="4260ACF1">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11.8</w:t>
                  </w:r>
                </w:p>
              </w:tc>
              <w:tc>
                <w:tcPr>
                  <w:tcW w:w="1655" w:type="dxa"/>
                  <w:tcBorders>
                    <w:tl2br w:val="nil"/>
                    <w:tr2bl w:val="nil"/>
                  </w:tcBorders>
                  <w:noWrap w:val="0"/>
                  <w:vAlign w:val="center"/>
                </w:tcPr>
                <w:p w14:paraId="624429DC">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w:t>
                  </w:r>
                </w:p>
              </w:tc>
              <w:tc>
                <w:tcPr>
                  <w:tcW w:w="1371" w:type="dxa"/>
                  <w:tcBorders>
                    <w:tl2br w:val="nil"/>
                    <w:tr2bl w:val="nil"/>
                  </w:tcBorders>
                  <w:noWrap w:val="0"/>
                  <w:vAlign w:val="center"/>
                </w:tcPr>
                <w:p w14:paraId="11AF98EE">
                  <w:pPr>
                    <w:widowControl/>
                    <w:tabs>
                      <w:tab w:val="left" w:pos="555"/>
                    </w:tabs>
                    <w:adjustRightInd w:val="0"/>
                    <w:snapToGrid w:val="0"/>
                    <w:spacing w:line="240" w:lineRule="auto"/>
                    <w:jc w:val="left"/>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ab/>
                  </w:r>
                  <w:r>
                    <w:rPr>
                      <w:rFonts w:hint="eastAsia" w:ascii="Times New Roman" w:hAnsi="Times New Roman" w:eastAsia="宋体" w:cs="Times New Roman"/>
                      <w:color w:val="auto"/>
                      <w:kern w:val="0"/>
                      <w:sz w:val="21"/>
                      <w:szCs w:val="21"/>
                      <w:highlight w:val="none"/>
                      <w:lang w:val="en-US" w:eastAsia="zh-CN"/>
                    </w:rPr>
                    <w:t>0</w:t>
                  </w:r>
                </w:p>
              </w:tc>
              <w:tc>
                <w:tcPr>
                  <w:tcW w:w="1313" w:type="dxa"/>
                  <w:tcBorders>
                    <w:tl2br w:val="nil"/>
                    <w:tr2bl w:val="nil"/>
                  </w:tcBorders>
                  <w:noWrap w:val="0"/>
                  <w:vAlign w:val="center"/>
                </w:tcPr>
                <w:p w14:paraId="0D915FF6">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w:t>
                  </w:r>
                </w:p>
              </w:tc>
            </w:tr>
            <w:tr w14:paraId="516B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57" w:hRule="atLeast"/>
                <w:jc w:val="center"/>
              </w:trPr>
              <w:tc>
                <w:tcPr>
                  <w:tcW w:w="2229" w:type="dxa"/>
                  <w:gridSpan w:val="2"/>
                  <w:tcBorders>
                    <w:tl2br w:val="nil"/>
                    <w:tr2bl w:val="nil"/>
                  </w:tcBorders>
                  <w:noWrap w:val="0"/>
                  <w:vAlign w:val="center"/>
                </w:tcPr>
                <w:p w14:paraId="23A0510A">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合计</w:t>
                  </w:r>
                </w:p>
              </w:tc>
              <w:tc>
                <w:tcPr>
                  <w:tcW w:w="1766" w:type="dxa"/>
                  <w:tcBorders>
                    <w:tl2br w:val="nil"/>
                    <w:tr2bl w:val="nil"/>
                  </w:tcBorders>
                  <w:noWrap w:val="0"/>
                  <w:vAlign w:val="center"/>
                </w:tcPr>
                <w:p w14:paraId="567FAB12">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14.8</w:t>
                  </w:r>
                </w:p>
              </w:tc>
              <w:tc>
                <w:tcPr>
                  <w:tcW w:w="1655" w:type="dxa"/>
                  <w:tcBorders>
                    <w:tl2br w:val="nil"/>
                    <w:tr2bl w:val="nil"/>
                  </w:tcBorders>
                  <w:noWrap w:val="0"/>
                  <w:vAlign w:val="center"/>
                </w:tcPr>
                <w:p w14:paraId="40EBB482">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w:t>
                  </w:r>
                </w:p>
              </w:tc>
              <w:tc>
                <w:tcPr>
                  <w:tcW w:w="1371" w:type="dxa"/>
                  <w:tcBorders>
                    <w:tl2br w:val="nil"/>
                    <w:tr2bl w:val="nil"/>
                  </w:tcBorders>
                  <w:noWrap w:val="0"/>
                  <w:vAlign w:val="center"/>
                </w:tcPr>
                <w:p w14:paraId="280B0C61">
                  <w:pPr>
                    <w:widowControl/>
                    <w:tabs>
                      <w:tab w:val="left" w:pos="545"/>
                    </w:tabs>
                    <w:adjustRightInd w:val="0"/>
                    <w:snapToGrid w:val="0"/>
                    <w:spacing w:line="240" w:lineRule="auto"/>
                    <w:jc w:val="left"/>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ab/>
                  </w:r>
                  <w:r>
                    <w:rPr>
                      <w:rFonts w:hint="eastAsia" w:cs="Times New Roman"/>
                      <w:color w:val="auto"/>
                      <w:kern w:val="0"/>
                      <w:sz w:val="21"/>
                      <w:szCs w:val="21"/>
                      <w:highlight w:val="none"/>
                      <w:lang w:val="en-US" w:eastAsia="zh-CN"/>
                    </w:rPr>
                    <w:t>3.0</w:t>
                  </w:r>
                </w:p>
              </w:tc>
              <w:tc>
                <w:tcPr>
                  <w:tcW w:w="1313" w:type="dxa"/>
                  <w:tcBorders>
                    <w:tl2br w:val="nil"/>
                    <w:tr2bl w:val="nil"/>
                  </w:tcBorders>
                  <w:noWrap w:val="0"/>
                  <w:vAlign w:val="center"/>
                </w:tcPr>
                <w:p w14:paraId="04911331">
                  <w:pPr>
                    <w:widowControl/>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900</w:t>
                  </w:r>
                </w:p>
              </w:tc>
            </w:tr>
          </w:tbl>
          <w:p w14:paraId="217B6089">
            <w:pPr>
              <w:spacing w:line="360" w:lineRule="auto"/>
              <w:ind w:firstLine="480" w:firstLineChars="200"/>
              <w:rPr>
                <w:rFonts w:eastAsia="新宋体"/>
                <w:color w:val="auto"/>
                <w:sz w:val="24"/>
                <w:szCs w:val="24"/>
                <w:highlight w:val="none"/>
              </w:rPr>
            </w:pPr>
            <w:r>
              <w:rPr>
                <w:color w:val="auto"/>
                <w:sz w:val="24"/>
                <w:szCs w:val="24"/>
                <w:highlight w:val="none"/>
              </w:rPr>
              <w:t>（</w:t>
            </w:r>
            <w:r>
              <w:rPr>
                <w:rFonts w:hint="eastAsia"/>
                <w:color w:val="auto"/>
                <w:sz w:val="24"/>
                <w:szCs w:val="24"/>
                <w:highlight w:val="none"/>
                <w:lang w:val="en-US" w:eastAsia="zh-CN"/>
              </w:rPr>
              <w:t>2</w:t>
            </w:r>
            <w:r>
              <w:rPr>
                <w:color w:val="auto"/>
                <w:sz w:val="24"/>
                <w:szCs w:val="24"/>
                <w:highlight w:val="none"/>
              </w:rPr>
              <w:t>）排水</w:t>
            </w:r>
          </w:p>
          <w:p w14:paraId="51BA6856">
            <w:pPr>
              <w:spacing w:line="360" w:lineRule="auto"/>
              <w:ind w:firstLine="480"/>
              <w:rPr>
                <w:rFonts w:hint="eastAsia"/>
                <w:color w:val="auto"/>
                <w:sz w:val="24"/>
                <w:highlight w:val="none"/>
                <w:lang w:val="en-US" w:eastAsia="zh-CN"/>
              </w:rPr>
            </w:pPr>
            <w:r>
              <w:rPr>
                <w:rFonts w:hint="eastAsia"/>
                <w:color w:val="auto"/>
                <w:sz w:val="24"/>
                <w:highlight w:val="none"/>
              </w:rPr>
              <w:t>项目采用雨、污分流制</w:t>
            </w:r>
            <w:r>
              <w:rPr>
                <w:rFonts w:hint="eastAsia"/>
                <w:color w:val="auto"/>
                <w:sz w:val="24"/>
                <w:highlight w:val="none"/>
                <w:lang w:eastAsia="zh-CN"/>
              </w:rPr>
              <w:t>。</w:t>
            </w:r>
            <w:r>
              <w:rPr>
                <w:rFonts w:hint="eastAsia"/>
                <w:color w:val="auto"/>
                <w:highlight w:val="none"/>
                <w:lang w:val="en-US" w:eastAsia="zh-CN"/>
              </w:rPr>
              <w:t>改扩建项目不新增员工，因此不新增生活污水，现有生活污水产生量为2.4</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/d，720m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/a，经化粪池处理后定期外运沤制农肥，不外排</w:t>
            </w:r>
            <w:r>
              <w:rPr>
                <w:rFonts w:hint="eastAsia"/>
                <w:color w:val="auto"/>
                <w:highlight w:val="none"/>
                <w:lang w:val="en-US" w:eastAsia="zh-CN"/>
              </w:rPr>
              <w:t>；生产工序不用水，无生产废水产生及排放</w:t>
            </w:r>
            <w:r>
              <w:rPr>
                <w:rFonts w:hint="eastAsia"/>
                <w:color w:val="auto"/>
                <w:sz w:val="24"/>
                <w:highlight w:val="none"/>
                <w:lang w:val="en-US" w:eastAsia="zh-CN"/>
              </w:rPr>
              <w:t>。</w:t>
            </w:r>
          </w:p>
          <w:p w14:paraId="20891C96">
            <w:pPr>
              <w:pStyle w:val="29"/>
              <w:rPr>
                <w:rFonts w:hint="eastAsia"/>
                <w:color w:val="auto"/>
                <w:highlight w:val="none"/>
                <w:lang w:val="en-US" w:eastAsia="zh-CN"/>
              </w:rPr>
            </w:pPr>
            <w:r>
              <w:rPr>
                <w:rFonts w:hint="eastAsia"/>
                <w:color w:val="auto"/>
                <w:highlight w:val="none"/>
                <w:lang w:val="en-US" w:eastAsia="zh-CN"/>
              </w:rPr>
              <w:t>项目建成后全厂水平衡图：</w:t>
            </w:r>
          </w:p>
          <w:p w14:paraId="5A12AC44">
            <w:pPr>
              <w:adjustRightInd w:val="0"/>
              <w:spacing w:before="240" w:beforeLines="100" w:line="360" w:lineRule="auto"/>
              <w:jc w:val="center"/>
              <w:rPr>
                <w:rFonts w:hint="eastAsia"/>
                <w:color w:val="auto"/>
                <w:highlight w:val="none"/>
                <w:lang w:eastAsia="zh-CN"/>
              </w:rPr>
            </w:pPr>
            <w:r>
              <w:rPr>
                <w:rFonts w:hint="eastAsia"/>
                <w:color w:val="auto"/>
                <w:highlight w:val="none"/>
                <w:lang w:eastAsia="zh-CN"/>
              </w:rPr>
              <w:drawing>
                <wp:inline distT="0" distB="0" distL="114300" distR="114300">
                  <wp:extent cx="3627120" cy="817245"/>
                  <wp:effectExtent l="0" t="0" r="0" b="0"/>
                  <wp:docPr id="4"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3" descr="wps"/>
                          <pic:cNvPicPr>
                            <a:picLocks noChangeAspect="1"/>
                          </pic:cNvPicPr>
                        </pic:nvPicPr>
                        <pic:blipFill>
                          <a:blip r:embed="rId8"/>
                          <a:srcRect l="2022" t="3964" r="21553" b="43849"/>
                          <a:stretch>
                            <a:fillRect/>
                          </a:stretch>
                        </pic:blipFill>
                        <pic:spPr>
                          <a:xfrm>
                            <a:off x="0" y="0"/>
                            <a:ext cx="3627120" cy="817245"/>
                          </a:xfrm>
                          <a:prstGeom prst="rect">
                            <a:avLst/>
                          </a:prstGeom>
                          <a:noFill/>
                          <a:ln>
                            <a:noFill/>
                          </a:ln>
                        </pic:spPr>
                      </pic:pic>
                    </a:graphicData>
                  </a:graphic>
                </wp:inline>
              </w:drawing>
            </w:r>
          </w:p>
          <w:p w14:paraId="37F32E28">
            <w:pPr>
              <w:keepNext w:val="0"/>
              <w:keepLines w:val="0"/>
              <w:pageBreakBefore w:val="0"/>
              <w:widowControl w:val="0"/>
              <w:kinsoku/>
              <w:wordWrap/>
              <w:overflowPunct/>
              <w:topLinePunct w:val="0"/>
              <w:autoSpaceDE/>
              <w:autoSpaceDN/>
              <w:bidi w:val="0"/>
              <w:adjustRightInd w:val="0"/>
              <w:snapToGrid/>
              <w:spacing w:before="240" w:beforeLines="100" w:line="240" w:lineRule="auto"/>
              <w:jc w:val="center"/>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图2-1 项目</w:t>
            </w:r>
            <w:r>
              <w:rPr>
                <w:rFonts w:hint="eastAsia" w:ascii="Times New Roman" w:hAnsi="Times New Roman" w:cs="Times New Roman"/>
                <w:b/>
                <w:color w:val="auto"/>
                <w:sz w:val="24"/>
                <w:highlight w:val="none"/>
                <w:lang w:val="en-US" w:eastAsia="zh-CN"/>
              </w:rPr>
              <w:t>建成后全厂</w:t>
            </w:r>
            <w:r>
              <w:rPr>
                <w:rFonts w:hint="default" w:ascii="Times New Roman" w:hAnsi="Times New Roman" w:cs="Times New Roman"/>
                <w:b/>
                <w:color w:val="auto"/>
                <w:sz w:val="24"/>
                <w:highlight w:val="none"/>
              </w:rPr>
              <w:t>水量平衡图   单位：m</w:t>
            </w:r>
            <w:r>
              <w:rPr>
                <w:rFonts w:hint="default" w:ascii="Times New Roman" w:hAnsi="Times New Roman" w:cs="Times New Roman"/>
                <w:b/>
                <w:color w:val="auto"/>
                <w:sz w:val="24"/>
                <w:highlight w:val="none"/>
                <w:vertAlign w:val="superscript"/>
              </w:rPr>
              <w:t>3</w:t>
            </w:r>
            <w:r>
              <w:rPr>
                <w:rFonts w:hint="default" w:ascii="Times New Roman" w:hAnsi="Times New Roman" w:cs="Times New Roman"/>
                <w:b/>
                <w:color w:val="auto"/>
                <w:sz w:val="24"/>
                <w:highlight w:val="none"/>
              </w:rPr>
              <w:t>/a</w:t>
            </w:r>
          </w:p>
          <w:p w14:paraId="24B60F7D">
            <w:pPr>
              <w:spacing w:line="360" w:lineRule="auto"/>
              <w:ind w:firstLine="480"/>
              <w:rPr>
                <w:rFonts w:hint="default" w:ascii="Times New Roman" w:hAnsi="Times New Roman" w:eastAsia="宋体" w:cs="Times New Roman"/>
                <w:b/>
                <w:color w:val="auto"/>
                <w:sz w:val="24"/>
                <w:szCs w:val="24"/>
                <w:highlight w:val="none"/>
              </w:rPr>
            </w:pPr>
            <w:r>
              <w:rPr>
                <w:rFonts w:hint="eastAsia"/>
                <w:color w:val="auto"/>
                <w:sz w:val="24"/>
                <w:highlight w:val="none"/>
                <w:lang w:val="en-US" w:eastAsia="zh-CN"/>
              </w:rPr>
              <w:t>（3）</w:t>
            </w:r>
            <w:r>
              <w:rPr>
                <w:rFonts w:hint="default" w:ascii="Times New Roman" w:hAnsi="Times New Roman" w:eastAsia="宋体" w:cs="Times New Roman"/>
                <w:color w:val="auto"/>
                <w:sz w:val="24"/>
                <w:szCs w:val="24"/>
                <w:highlight w:val="none"/>
              </w:rPr>
              <w:t>供电</w:t>
            </w:r>
          </w:p>
          <w:p w14:paraId="5B1AC45E">
            <w:pPr>
              <w:spacing w:line="360" w:lineRule="auto"/>
              <w:ind w:firstLine="48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本工程电源取自供电管网，场内供电通过外接电源接入项目配电房内变压器直接转换。项目用电量基本为生产、办公用电</w:t>
            </w:r>
            <w:r>
              <w:rPr>
                <w:rFonts w:hint="eastAsia" w:cs="Times New Roman"/>
                <w:color w:val="auto"/>
                <w:kern w:val="0"/>
                <w:sz w:val="24"/>
                <w:szCs w:val="24"/>
                <w:highlight w:val="none"/>
                <w:lang w:val="en-US" w:eastAsia="zh-CN"/>
              </w:rPr>
              <w:t>。</w:t>
            </w:r>
          </w:p>
          <w:p w14:paraId="14BC2455">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（4）制冷与供暖</w:t>
            </w:r>
          </w:p>
          <w:p w14:paraId="37859EEA">
            <w:pPr>
              <w:pStyle w:val="29"/>
              <w:widowControl/>
              <w:spacing w:after="0" w:line="360" w:lineRule="auto"/>
              <w:ind w:left="0" w:leftChars="0" w:firstLineChars="175"/>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本项目办公室采用空调制冷和供暖</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生产采用电</w:t>
            </w:r>
            <w:r>
              <w:rPr>
                <w:rFonts w:hint="eastAsia"/>
                <w:color w:val="auto"/>
                <w:highlight w:val="none"/>
                <w:lang w:val="en-US" w:eastAsia="zh-CN"/>
              </w:rPr>
              <w:t>加热</w:t>
            </w:r>
            <w:r>
              <w:rPr>
                <w:rFonts w:hint="default" w:ascii="Times New Roman" w:hAnsi="Times New Roman" w:eastAsia="宋体" w:cs="Times New Roman"/>
                <w:color w:val="auto"/>
                <w:sz w:val="24"/>
                <w:szCs w:val="24"/>
                <w:highlight w:val="none"/>
              </w:rPr>
              <w:t>。</w:t>
            </w:r>
          </w:p>
        </w:tc>
      </w:tr>
      <w:tr w14:paraId="31DA9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404" w:type="dxa"/>
            <w:noWrap w:val="0"/>
            <w:vAlign w:val="center"/>
          </w:tcPr>
          <w:p w14:paraId="0F6F9B27">
            <w:pPr>
              <w:pStyle w:val="26"/>
              <w:adjustRightInd w:val="0"/>
              <w:snapToGrid w:val="0"/>
              <w:spacing w:before="0" w:beforeAutospacing="0" w:after="0" w:afterAutospacing="0"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工艺流程和产排污环节</w:t>
            </w:r>
          </w:p>
        </w:tc>
        <w:tc>
          <w:tcPr>
            <w:tcW w:w="8580" w:type="dxa"/>
            <w:noWrap w:val="0"/>
            <w:vAlign w:val="top"/>
          </w:tcPr>
          <w:p w14:paraId="7C32D280">
            <w:pPr>
              <w:keepNext w:val="0"/>
              <w:keepLines w:val="0"/>
              <w:pageBreakBefore w:val="0"/>
              <w:widowControl w:val="0"/>
              <w:numPr>
                <w:ilvl w:val="0"/>
                <w:numId w:val="9"/>
              </w:numPr>
              <w:tabs>
                <w:tab w:val="left" w:pos="1200"/>
              </w:tabs>
              <w:kinsoku/>
              <w:wordWrap/>
              <w:overflowPunct/>
              <w:topLinePunct w:val="0"/>
              <w:autoSpaceDE/>
              <w:autoSpaceDN/>
              <w:bidi w:val="0"/>
              <w:adjustRightInd w:val="0"/>
              <w:snapToGrid w:val="0"/>
              <w:spacing w:line="360" w:lineRule="auto"/>
              <w:ind w:leftChars="0"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工艺流程</w:t>
            </w:r>
            <w:r>
              <w:rPr>
                <w:rFonts w:hint="eastAsia" w:cs="Times New Roman"/>
                <w:b/>
                <w:color w:val="auto"/>
                <w:sz w:val="24"/>
                <w:szCs w:val="24"/>
                <w:highlight w:val="none"/>
                <w:lang w:val="en-US" w:eastAsia="zh-CN"/>
              </w:rPr>
              <w:t>图及</w:t>
            </w:r>
            <w:r>
              <w:rPr>
                <w:rFonts w:hint="default" w:ascii="Times New Roman" w:hAnsi="Times New Roman" w:eastAsia="宋体" w:cs="Times New Roman"/>
                <w:b/>
                <w:color w:val="auto"/>
                <w:sz w:val="24"/>
                <w:szCs w:val="24"/>
                <w:highlight w:val="none"/>
              </w:rPr>
              <w:t>简述</w:t>
            </w:r>
          </w:p>
          <w:p w14:paraId="7F1B139D">
            <w:pPr>
              <w:pStyle w:val="28"/>
              <w:keepNext w:val="0"/>
              <w:keepLines w:val="0"/>
              <w:pageBreakBefore w:val="0"/>
              <w:widowControl/>
              <w:tabs>
                <w:tab w:val="left" w:pos="1200"/>
              </w:tabs>
              <w:kinsoku/>
              <w:wordWrap/>
              <w:overflowPunct/>
              <w:topLinePunct w:val="0"/>
              <w:autoSpaceDE/>
              <w:autoSpaceDN/>
              <w:bidi w:val="0"/>
              <w:adjustRightInd/>
              <w:snapToGrid w:val="0"/>
              <w:spacing w:before="0" w:after="0" w:line="360" w:lineRule="auto"/>
              <w:ind w:right="0" w:firstLine="482" w:firstLineChars="200"/>
              <w:jc w:val="left"/>
              <w:textAlignment w:val="auto"/>
              <w:rPr>
                <w:rFonts w:hint="default"/>
                <w:b/>
                <w:color w:val="auto"/>
                <w:sz w:val="24"/>
                <w:highlight w:val="none"/>
                <w:lang w:val="en-US" w:eastAsia="zh-CN"/>
              </w:rPr>
            </w:pPr>
            <w:r>
              <w:rPr>
                <w:rFonts w:hint="eastAsia"/>
                <w:b/>
                <w:color w:val="auto"/>
                <w:sz w:val="24"/>
                <w:highlight w:val="none"/>
                <w:lang w:val="en-US" w:eastAsia="zh-CN"/>
              </w:rPr>
              <w:t>工艺流程图：</w:t>
            </w:r>
          </w:p>
          <w:p w14:paraId="26B8BE3E">
            <w:pPr>
              <w:keepNext w:val="0"/>
              <w:keepLines w:val="0"/>
              <w:pageBreakBefore w:val="0"/>
              <w:widowControl w:val="0"/>
              <w:tabs>
                <w:tab w:val="left" w:pos="1200"/>
              </w:tabs>
              <w:kinsoku/>
              <w:wordWrap/>
              <w:overflowPunct/>
              <w:topLinePunct w:val="0"/>
              <w:autoSpaceDE/>
              <w:autoSpaceDN/>
              <w:bidi w:val="0"/>
              <w:adjustRightInd/>
              <w:snapToGrid/>
              <w:spacing w:line="360" w:lineRule="auto"/>
              <w:ind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3329305" cy="3435350"/>
                  <wp:effectExtent l="0" t="0" r="0" b="0"/>
                  <wp:docPr id="5" name="ECB019B1-382A-4266-B25C-5B523AA43C14-6" descr="C:/Users/Administrator/AppData/Local/Temp/wps.valsi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6" descr="C:/Users/Administrator/AppData/Local/Temp/wps.valsiewps"/>
                          <pic:cNvPicPr>
                            <a:picLocks noChangeAspect="1"/>
                          </pic:cNvPicPr>
                        </pic:nvPicPr>
                        <pic:blipFill>
                          <a:blip r:embed="rId9"/>
                          <a:stretch>
                            <a:fillRect/>
                          </a:stretch>
                        </pic:blipFill>
                        <pic:spPr>
                          <a:xfrm>
                            <a:off x="0" y="0"/>
                            <a:ext cx="3329305" cy="3435350"/>
                          </a:xfrm>
                          <a:prstGeom prst="rect">
                            <a:avLst/>
                          </a:prstGeom>
                          <a:noFill/>
                          <a:ln>
                            <a:noFill/>
                          </a:ln>
                        </pic:spPr>
                      </pic:pic>
                    </a:graphicData>
                  </a:graphic>
                </wp:inline>
              </w:drawing>
            </w:r>
          </w:p>
          <w:p w14:paraId="7A865278">
            <w:pPr>
              <w:pStyle w:val="28"/>
              <w:tabs>
                <w:tab w:val="left" w:pos="1200"/>
              </w:tabs>
              <w:jc w:val="center"/>
              <w:rPr>
                <w:b/>
                <w:color w:val="auto"/>
                <w:sz w:val="24"/>
                <w:highlight w:val="none"/>
              </w:rPr>
            </w:pPr>
            <w:r>
              <w:rPr>
                <w:b/>
                <w:color w:val="auto"/>
                <w:sz w:val="24"/>
                <w:highlight w:val="none"/>
              </w:rPr>
              <w:t>图</w:t>
            </w:r>
            <w:r>
              <w:rPr>
                <w:rFonts w:hint="eastAsia"/>
                <w:b/>
                <w:color w:val="auto"/>
                <w:sz w:val="24"/>
                <w:highlight w:val="none"/>
                <w:lang w:val="en-US" w:eastAsia="zh-CN"/>
              </w:rPr>
              <w:t>2</w:t>
            </w:r>
            <w:r>
              <w:rPr>
                <w:b/>
                <w:color w:val="auto"/>
                <w:sz w:val="24"/>
                <w:highlight w:val="none"/>
              </w:rPr>
              <w:t>-</w:t>
            </w:r>
            <w:r>
              <w:rPr>
                <w:rFonts w:hint="eastAsia"/>
                <w:b/>
                <w:color w:val="auto"/>
                <w:sz w:val="24"/>
                <w:highlight w:val="none"/>
                <w:lang w:val="en-US" w:eastAsia="zh-CN"/>
              </w:rPr>
              <w:t>2</w:t>
            </w:r>
            <w:r>
              <w:rPr>
                <w:rFonts w:hint="eastAsia"/>
                <w:b/>
                <w:color w:val="auto"/>
                <w:sz w:val="24"/>
                <w:highlight w:val="none"/>
                <w:lang w:eastAsia="zh-CN"/>
              </w:rPr>
              <w:t>生产</w:t>
            </w:r>
            <w:r>
              <w:rPr>
                <w:b/>
                <w:color w:val="auto"/>
                <w:sz w:val="24"/>
                <w:highlight w:val="none"/>
              </w:rPr>
              <w:t>工艺流程及产污环节图</w:t>
            </w:r>
          </w:p>
          <w:p w14:paraId="7474248F">
            <w:pPr>
              <w:pStyle w:val="28"/>
              <w:tabs>
                <w:tab w:val="left" w:pos="1200"/>
              </w:tabs>
              <w:jc w:val="both"/>
              <w:rPr>
                <w:rFonts w:hint="eastAsia"/>
                <w:b/>
                <w:color w:val="auto"/>
                <w:sz w:val="24"/>
                <w:highlight w:val="none"/>
                <w:lang w:val="en-US" w:eastAsia="zh-CN"/>
              </w:rPr>
            </w:pPr>
            <w:r>
              <w:rPr>
                <w:rFonts w:hint="eastAsia"/>
                <w:b/>
                <w:color w:val="auto"/>
                <w:sz w:val="24"/>
                <w:highlight w:val="none"/>
                <w:lang w:val="en-US" w:eastAsia="zh-CN"/>
              </w:rPr>
              <w:t>主要工艺简述：</w:t>
            </w:r>
          </w:p>
          <w:p w14:paraId="448BD29D">
            <w:pPr>
              <w:keepNext w:val="0"/>
              <w:keepLines w:val="0"/>
              <w:pageBreakBefore w:val="0"/>
              <w:widowControl w:val="0"/>
              <w:numPr>
                <w:ilvl w:val="0"/>
                <w:numId w:val="1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Times New Roman" w:hAnsi="Times New Roman" w:eastAsia="宋体" w:cs="Times New Roman"/>
                <w:b w:val="0"/>
                <w:bCs/>
                <w:color w:val="auto"/>
                <w:sz w:val="24"/>
                <w:highlight w:val="none"/>
                <w:lang w:val="en-US" w:eastAsia="zh-CN"/>
              </w:rPr>
              <w:t>收集的</w:t>
            </w:r>
            <w:r>
              <w:rPr>
                <w:rFonts w:hint="eastAsia" w:ascii="Times New Roman" w:hAnsi="Times New Roman" w:eastAsia="宋体" w:cs="Times New Roman"/>
                <w:b w:val="0"/>
                <w:bCs/>
                <w:color w:val="auto"/>
                <w:sz w:val="24"/>
                <w:szCs w:val="24"/>
                <w:highlight w:val="none"/>
                <w:lang w:val="en-US" w:eastAsia="zh-CN"/>
              </w:rPr>
              <w:t>原料</w:t>
            </w:r>
            <w:r>
              <w:rPr>
                <w:rFonts w:hint="eastAsia" w:ascii="Times New Roman" w:hAnsi="Times New Roman" w:eastAsia="宋体" w:cs="Times New Roman"/>
                <w:b w:val="0"/>
                <w:bCs/>
                <w:color w:val="auto"/>
                <w:sz w:val="24"/>
                <w:highlight w:val="none"/>
                <w:lang w:val="en-US" w:eastAsia="zh-CN"/>
              </w:rPr>
              <w:t>废</w:t>
            </w:r>
            <w:r>
              <w:rPr>
                <w:rFonts w:hint="eastAsia" w:ascii="Times New Roman" w:hAnsi="Times New Roman" w:eastAsia="宋体" w:cs="Times New Roman"/>
                <w:b w:val="0"/>
                <w:bCs/>
                <w:color w:val="auto"/>
                <w:sz w:val="24"/>
                <w:szCs w:val="24"/>
                <w:highlight w:val="none"/>
                <w:lang w:val="en-US" w:eastAsia="zh-CN"/>
              </w:rPr>
              <w:t>硅片进厂后，送至原料处理车间，通过人工分选，分选出大块废硅材料去打磨处理，</w:t>
            </w:r>
            <w:r>
              <w:rPr>
                <w:rFonts w:hint="eastAsia" w:ascii="Times New Roman" w:hAnsi="Times New Roman" w:eastAsia="宋体"/>
                <w:color w:val="auto"/>
                <w:sz w:val="24"/>
                <w:szCs w:val="24"/>
                <w:highlight w:val="none"/>
                <w:lang w:val="en-US" w:eastAsia="zh-CN"/>
              </w:rPr>
              <w:t>打磨处理主要将表面杂质打磨干净。打磨的废硅原料约2500t/a。打磨后对打磨物料进行检验，不合格物料退回</w:t>
            </w:r>
            <w:r>
              <w:rPr>
                <w:rFonts w:hint="eastAsia"/>
                <w:color w:val="FF0000"/>
                <w:sz w:val="24"/>
                <w:szCs w:val="24"/>
                <w:highlight w:val="none"/>
                <w:lang w:val="en-US" w:eastAsia="zh-CN"/>
              </w:rPr>
              <w:t>重新</w:t>
            </w:r>
            <w:r>
              <w:rPr>
                <w:rFonts w:hint="eastAsia" w:ascii="Times New Roman" w:hAnsi="Times New Roman" w:eastAsia="宋体"/>
                <w:color w:val="auto"/>
                <w:sz w:val="24"/>
                <w:szCs w:val="24"/>
                <w:highlight w:val="none"/>
                <w:lang w:val="en-US" w:eastAsia="zh-CN"/>
              </w:rPr>
              <w:t>打磨，打磨合格物料装箱，获得单晶检验碎片（10-20mm）、单晶切割碎片（10-20mm）、单晶厚片（</w:t>
            </w:r>
            <w:r>
              <w:rPr>
                <w:rFonts w:hint="eastAsia" w:ascii="Times New Roman" w:hAnsi="Times New Roman" w:eastAsia="宋体" w:cs="Times New Roman"/>
                <w:color w:val="auto"/>
                <w:kern w:val="0"/>
                <w:sz w:val="24"/>
                <w:szCs w:val="24"/>
                <w:highlight w:val="none"/>
                <w:lang w:val="en-US" w:eastAsia="zh-CN"/>
              </w:rPr>
              <w:t>10-50mm</w:t>
            </w:r>
            <w:r>
              <w:rPr>
                <w:rFonts w:hint="eastAsia" w:ascii="Times New Roman" w:hAnsi="Times New Roman" w:eastAsia="宋体"/>
                <w:color w:val="auto"/>
                <w:sz w:val="24"/>
                <w:szCs w:val="24"/>
                <w:highlight w:val="none"/>
                <w:lang w:val="en-US" w:eastAsia="zh-CN"/>
              </w:rPr>
              <w:t>）及单晶碎料（</w:t>
            </w:r>
            <w:r>
              <w:rPr>
                <w:rFonts w:hint="eastAsia" w:ascii="Times New Roman" w:hAnsi="Times New Roman" w:eastAsia="宋体" w:cs="Times New Roman"/>
                <w:color w:val="auto"/>
                <w:kern w:val="0"/>
                <w:sz w:val="24"/>
                <w:szCs w:val="24"/>
                <w:highlight w:val="none"/>
                <w:lang w:val="en-US" w:eastAsia="zh-CN"/>
              </w:rPr>
              <w:t>10mm以上</w:t>
            </w:r>
            <w:r>
              <w:rPr>
                <w:rFonts w:hint="eastAsia" w:ascii="Times New Roman" w:hAnsi="Times New Roman" w:eastAsia="宋体"/>
                <w:color w:val="auto"/>
                <w:sz w:val="24"/>
                <w:szCs w:val="24"/>
                <w:highlight w:val="none"/>
                <w:lang w:val="en-US" w:eastAsia="zh-CN"/>
              </w:rPr>
              <w:t>）打包入库发货。</w:t>
            </w:r>
          </w:p>
          <w:p w14:paraId="53062B3D">
            <w:pPr>
              <w:keepNext w:val="0"/>
              <w:keepLines w:val="0"/>
              <w:pageBreakBefore w:val="0"/>
              <w:widowControl w:val="0"/>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color w:val="auto"/>
                <w:highlight w:val="none"/>
                <w:lang w:val="en-US" w:eastAsia="zh-CN"/>
              </w:rPr>
              <w:t>该工序产生废原料包装袋（S1）、打磨粉尘</w:t>
            </w:r>
            <w:r>
              <w:rPr>
                <w:rFonts w:hint="eastAsia" w:ascii="Times New Roman" w:hAnsi="Times New Roman" w:eastAsia="宋体" w:cs="Times New Roman"/>
                <w:color w:val="auto"/>
                <w:kern w:val="2"/>
                <w:sz w:val="24"/>
                <w:szCs w:val="24"/>
                <w:highlight w:val="none"/>
                <w:lang w:val="en-US" w:eastAsia="zh-CN" w:bidi="ar-SA"/>
              </w:rPr>
              <w:t>（G1）</w:t>
            </w:r>
            <w:r>
              <w:rPr>
                <w:rFonts w:hint="eastAsia" w:ascii="Times New Roman" w:hAnsi="Times New Roman" w:eastAsia="宋体" w:cs="Times New Roman"/>
                <w:b w:val="0"/>
                <w:bCs/>
                <w:color w:val="auto"/>
                <w:sz w:val="24"/>
                <w:highlight w:val="none"/>
                <w:lang w:val="en-US" w:eastAsia="zh-CN"/>
              </w:rPr>
              <w:t>、设备噪音（N）。</w:t>
            </w:r>
          </w:p>
          <w:p w14:paraId="328576FD">
            <w:pPr>
              <w:keepNext w:val="0"/>
              <w:keepLines w:val="0"/>
              <w:pageBreakBefore w:val="0"/>
              <w:widowControl w:val="0"/>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Times New Roman" w:hAnsi="Times New Roman" w:eastAsia="宋体" w:cs="Times New Roman"/>
                <w:b w:val="0"/>
                <w:bCs/>
                <w:color w:val="auto"/>
                <w:sz w:val="24"/>
                <w:highlight w:val="none"/>
                <w:lang w:val="en-US" w:eastAsia="zh-CN"/>
              </w:rPr>
              <w:t>（2）收集的</w:t>
            </w:r>
            <w:r>
              <w:rPr>
                <w:rFonts w:hint="eastAsia"/>
                <w:color w:val="auto"/>
                <w:highlight w:val="none"/>
                <w:lang w:val="en-US" w:eastAsia="zh-CN"/>
              </w:rPr>
              <w:t>其他废硅材料处理：</w:t>
            </w:r>
          </w:p>
          <w:p w14:paraId="4F3C289C">
            <w:pPr>
              <w:keepNext w:val="0"/>
              <w:keepLines w:val="0"/>
              <w:pageBreakBefore w:val="0"/>
              <w:widowControl w:val="0"/>
              <w:numPr>
                <w:ilvl w:val="0"/>
                <w:numId w:val="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①</w:t>
            </w:r>
            <w:r>
              <w:rPr>
                <w:rFonts w:hint="eastAsia" w:ascii="Times New Roman" w:hAnsi="Times New Roman" w:eastAsia="宋体" w:cs="Times New Roman"/>
                <w:b w:val="0"/>
                <w:bCs/>
                <w:color w:val="auto"/>
                <w:sz w:val="24"/>
                <w:highlight w:val="none"/>
                <w:lang w:val="en-US" w:eastAsia="zh-CN"/>
              </w:rPr>
              <w:t>分选处理：废硅材料经过色选机进一步分选出大块杂质，降低后续加工负荷。杂质成分主要为废塑料、废木屑及纸屑、石英砂等</w:t>
            </w:r>
          </w:p>
          <w:p w14:paraId="080FF3D1">
            <w:pPr>
              <w:keepNext w:val="0"/>
              <w:keepLines w:val="0"/>
              <w:pageBreakBefore w:val="0"/>
              <w:widowControl w:val="0"/>
              <w:numPr>
                <w:ilvl w:val="0"/>
                <w:numId w:val="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②</w:t>
            </w:r>
            <w:r>
              <w:rPr>
                <w:rFonts w:hint="eastAsia" w:ascii="Times New Roman" w:hAnsi="Times New Roman" w:eastAsia="宋体" w:cs="Times New Roman"/>
                <w:b w:val="0"/>
                <w:bCs/>
                <w:color w:val="auto"/>
                <w:sz w:val="24"/>
                <w:highlight w:val="none"/>
                <w:lang w:val="en-US" w:eastAsia="zh-CN"/>
              </w:rPr>
              <w:t>烧结：分选后的废硅材料送入烧结炉中进行烧结，随后进行自然冷却。烧结炉采用电加热。该步骤主要去除废硅材料表面的可燃杂质，降低废硅材料的杂质含量。烧结</w:t>
            </w:r>
            <w:r>
              <w:rPr>
                <w:rFonts w:hint="default" w:ascii="Times New Roman" w:hAnsi="Times New Roman" w:eastAsia="宋体" w:cs="Times New Roman"/>
                <w:b w:val="0"/>
                <w:bCs/>
                <w:color w:val="auto"/>
                <w:sz w:val="24"/>
                <w:highlight w:val="none"/>
                <w:lang w:val="en-US" w:eastAsia="zh-CN"/>
              </w:rPr>
              <w:t>温度控制</w:t>
            </w:r>
            <w:r>
              <w:rPr>
                <w:rFonts w:hint="eastAsia" w:ascii="Times New Roman" w:hAnsi="Times New Roman" w:eastAsia="宋体" w:cs="Times New Roman"/>
                <w:b w:val="0"/>
                <w:bCs/>
                <w:color w:val="auto"/>
                <w:sz w:val="24"/>
                <w:highlight w:val="none"/>
                <w:lang w:val="en-US" w:eastAsia="zh-CN"/>
              </w:rPr>
              <w:t>约700℃～800℃，该温度不会产生热力型氮氧化物。</w:t>
            </w:r>
          </w:p>
          <w:p w14:paraId="0C3AF220">
            <w:pPr>
              <w:keepNext w:val="0"/>
              <w:keepLines w:val="0"/>
              <w:pageBreakBefore w:val="0"/>
              <w:widowControl w:val="0"/>
              <w:numPr>
                <w:ilvl w:val="0"/>
                <w:numId w:val="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经分拣后的硅片送至</w:t>
            </w:r>
            <w:r>
              <w:rPr>
                <w:rFonts w:hint="eastAsia" w:cs="Times New Roman"/>
                <w:b w:val="0"/>
                <w:bCs/>
                <w:color w:val="auto"/>
                <w:sz w:val="24"/>
                <w:highlight w:val="none"/>
                <w:lang w:val="en-US" w:eastAsia="zh-CN"/>
              </w:rPr>
              <w:t>烧结</w:t>
            </w:r>
            <w:r>
              <w:rPr>
                <w:rFonts w:hint="eastAsia" w:ascii="Times New Roman" w:hAnsi="Times New Roman" w:eastAsia="宋体" w:cs="Times New Roman"/>
                <w:b w:val="0"/>
                <w:bCs/>
                <w:color w:val="auto"/>
                <w:sz w:val="24"/>
                <w:highlight w:val="none"/>
                <w:lang w:val="en-US" w:eastAsia="zh-CN"/>
              </w:rPr>
              <w:t>车间上料口，该环节会产生</w:t>
            </w:r>
            <w:r>
              <w:rPr>
                <w:rFonts w:hint="eastAsia" w:cs="Times New Roman"/>
                <w:b w:val="0"/>
                <w:bCs/>
                <w:color w:val="auto"/>
                <w:sz w:val="24"/>
                <w:highlight w:val="none"/>
                <w:lang w:val="en-US" w:eastAsia="zh-CN"/>
              </w:rPr>
              <w:t>投料</w:t>
            </w:r>
            <w:r>
              <w:rPr>
                <w:rFonts w:hint="eastAsia" w:ascii="Times New Roman" w:hAnsi="Times New Roman" w:eastAsia="宋体" w:cs="Times New Roman"/>
                <w:b w:val="0"/>
                <w:bCs/>
                <w:color w:val="auto"/>
                <w:sz w:val="24"/>
                <w:highlight w:val="none"/>
                <w:lang w:val="en-US" w:eastAsia="zh-CN"/>
              </w:rPr>
              <w:t>粉尘</w:t>
            </w:r>
            <w:r>
              <w:rPr>
                <w:rFonts w:hint="eastAsia"/>
                <w:color w:val="auto"/>
                <w:highlight w:val="none"/>
                <w:lang w:val="en-US" w:eastAsia="zh-CN"/>
              </w:rPr>
              <w:t>（G2）</w:t>
            </w:r>
            <w:r>
              <w:rPr>
                <w:rFonts w:hint="eastAsia" w:ascii="Times New Roman" w:hAnsi="Times New Roman" w:eastAsia="宋体" w:cs="Times New Roman"/>
                <w:b w:val="0"/>
                <w:bCs/>
                <w:color w:val="auto"/>
                <w:sz w:val="24"/>
                <w:highlight w:val="none"/>
                <w:lang w:val="en-US" w:eastAsia="zh-CN"/>
              </w:rPr>
              <w:t>，</w:t>
            </w:r>
            <w:r>
              <w:rPr>
                <w:rFonts w:hint="eastAsia"/>
                <w:color w:val="auto"/>
                <w:highlight w:val="none"/>
                <w:lang w:val="en-US" w:eastAsia="zh-CN"/>
              </w:rPr>
              <w:t>烧结工序出料口处产生烧结废气（G3）</w:t>
            </w:r>
            <w:r>
              <w:rPr>
                <w:rFonts w:hint="eastAsia" w:ascii="Times New Roman" w:hAnsi="Times New Roman" w:eastAsia="宋体" w:cs="Times New Roman"/>
                <w:b w:val="0"/>
                <w:bCs/>
                <w:color w:val="auto"/>
                <w:sz w:val="24"/>
                <w:highlight w:val="none"/>
                <w:lang w:val="en-US" w:eastAsia="zh-CN"/>
              </w:rPr>
              <w:t>，在上料口处和出料口处设置密闭隔间，三面及顶部封闭，一面软帘设置</w:t>
            </w:r>
            <w:r>
              <w:rPr>
                <w:rFonts w:hint="eastAsia" w:cs="Times New Roman"/>
                <w:b w:val="0"/>
                <w:bCs/>
                <w:color w:val="auto"/>
                <w:sz w:val="24"/>
                <w:highlight w:val="none"/>
                <w:lang w:val="en-US" w:eastAsia="zh-CN"/>
              </w:rPr>
              <w:t>收集产生的废气</w:t>
            </w:r>
            <w:r>
              <w:rPr>
                <w:rFonts w:hint="eastAsia" w:ascii="Times New Roman" w:hAnsi="Times New Roman" w:eastAsia="宋体" w:cs="Times New Roman"/>
                <w:b w:val="0"/>
                <w:bCs/>
                <w:color w:val="auto"/>
                <w:sz w:val="24"/>
                <w:highlight w:val="none"/>
                <w:lang w:val="en-US" w:eastAsia="zh-CN"/>
              </w:rPr>
              <w:t>。</w:t>
            </w:r>
          </w:p>
          <w:p w14:paraId="1E6A042D">
            <w:pPr>
              <w:keepNext w:val="0"/>
              <w:keepLines w:val="0"/>
              <w:pageBreakBefore w:val="0"/>
              <w:widowControl w:val="0"/>
              <w:numPr>
                <w:ilvl w:val="0"/>
                <w:numId w:val="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default" w:ascii="宋体" w:hAnsi="宋体" w:eastAsia="宋体" w:cs="宋体"/>
                <w:color w:val="auto"/>
                <w:highlight w:val="none"/>
                <w:lang w:val="en-US" w:eastAsia="zh-CN"/>
              </w:rPr>
              <w:t>③</w:t>
            </w:r>
            <w:r>
              <w:rPr>
                <w:rFonts w:hint="eastAsia"/>
                <w:color w:val="auto"/>
                <w:highlight w:val="none"/>
                <w:lang w:val="en-US" w:eastAsia="zh-CN"/>
              </w:rPr>
              <w:t>磁选：物料进入磁选机，利用磁选机将物料中的磁性物料分选出来。</w:t>
            </w:r>
          </w:p>
          <w:p w14:paraId="562A8A08">
            <w:pPr>
              <w:pStyle w:val="28"/>
              <w:keepNext w:val="0"/>
              <w:keepLines w:val="0"/>
              <w:pageBreakBefore w:val="0"/>
              <w:widowControl/>
              <w:numPr>
                <w:ilvl w:val="0"/>
                <w:numId w:val="0"/>
              </w:numPr>
              <w:tabs>
                <w:tab w:val="left" w:pos="1200"/>
              </w:tabs>
              <w:kinsoku/>
              <w:wordWrap/>
              <w:overflowPunct/>
              <w:topLinePunct w:val="0"/>
              <w:autoSpaceDE/>
              <w:autoSpaceDN/>
              <w:bidi w:val="0"/>
              <w:adjustRightInd/>
              <w:snapToGrid w:val="0"/>
              <w:spacing w:before="0" w:after="0" w:line="360" w:lineRule="auto"/>
              <w:ind w:leftChars="0" w:right="0" w:rightChars="0" w:firstLine="480" w:firstLineChars="200"/>
              <w:jc w:val="left"/>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此过程会产生磁选粉尘（</w:t>
            </w:r>
            <w:r>
              <w:rPr>
                <w:rFonts w:hint="eastAsia"/>
                <w:color w:val="auto"/>
                <w:sz w:val="24"/>
                <w:szCs w:val="24"/>
                <w:highlight w:val="none"/>
                <w:lang w:val="en-US" w:eastAsia="zh-CN"/>
              </w:rPr>
              <w:t>G4</w:t>
            </w:r>
            <w:r>
              <w:rPr>
                <w:rFonts w:hint="eastAsia" w:ascii="Times New Roman" w:hAnsi="Times New Roman" w:eastAsia="宋体" w:cs="Times New Roman"/>
                <w:b w:val="0"/>
                <w:bCs/>
                <w:color w:val="auto"/>
                <w:sz w:val="24"/>
                <w:szCs w:val="24"/>
                <w:highlight w:val="none"/>
                <w:lang w:val="en-US" w:eastAsia="zh-CN"/>
              </w:rPr>
              <w:t>）、废铁杂质（S3）、设备噪音（N）。</w:t>
            </w:r>
          </w:p>
          <w:p w14:paraId="664D4E04">
            <w:pPr>
              <w:keepNext w:val="0"/>
              <w:keepLines w:val="0"/>
              <w:pageBreakBefore w:val="0"/>
              <w:widowControl w:val="0"/>
              <w:numPr>
                <w:ilvl w:val="0"/>
                <w:numId w:val="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highlight w:val="none"/>
                <w:lang w:val="en-US" w:eastAsia="zh-CN"/>
              </w:rPr>
              <w:t>④</w:t>
            </w:r>
            <w:r>
              <w:rPr>
                <w:rFonts w:hint="eastAsia"/>
                <w:color w:val="auto"/>
                <w:highlight w:val="none"/>
                <w:lang w:val="en-US" w:eastAsia="zh-CN"/>
              </w:rPr>
              <w:t>筛分：物料经密闭传输带进入密闭振动筛，主要是按照粒径进行筛分归类，筛分物料直接落入吨包内，按目数筛分，得到不同的产品。物料经筛分机筛分出符合尺寸要求。</w:t>
            </w:r>
          </w:p>
          <w:p w14:paraId="308615F5">
            <w:pPr>
              <w:keepNext w:val="0"/>
              <w:keepLines w:val="0"/>
              <w:pageBreakBefore w:val="0"/>
              <w:widowControl w:val="0"/>
              <w:numPr>
                <w:ilvl w:val="0"/>
                <w:numId w:val="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default" w:ascii="Times New Roman" w:hAnsi="Times New Roman" w:eastAsia="宋体" w:cs="Times New Roman"/>
                <w:b w:val="0"/>
                <w:bCs/>
                <w:color w:val="auto"/>
                <w:sz w:val="24"/>
                <w:highlight w:val="none"/>
                <w:lang w:val="en-US" w:eastAsia="zh-CN"/>
              </w:rPr>
              <w:t>筛分过程会产生筛分</w:t>
            </w:r>
            <w:r>
              <w:rPr>
                <w:rFonts w:hint="eastAsia" w:ascii="Times New Roman" w:hAnsi="Times New Roman" w:eastAsia="宋体" w:cs="Times New Roman"/>
                <w:b w:val="0"/>
                <w:bCs/>
                <w:color w:val="auto"/>
                <w:sz w:val="24"/>
                <w:highlight w:val="none"/>
                <w:lang w:val="en-US" w:eastAsia="zh-CN"/>
              </w:rPr>
              <w:t>粉尘（G5）</w:t>
            </w:r>
            <w:r>
              <w:rPr>
                <w:rFonts w:hint="default" w:ascii="Times New Roman" w:hAnsi="Times New Roman" w:eastAsia="宋体" w:cs="Times New Roman"/>
                <w:b w:val="0"/>
                <w:bCs/>
                <w:color w:val="auto"/>
                <w:sz w:val="24"/>
                <w:highlight w:val="none"/>
                <w:lang w:val="en-US" w:eastAsia="zh-CN"/>
              </w:rPr>
              <w:t>和</w:t>
            </w:r>
            <w:r>
              <w:rPr>
                <w:rFonts w:hint="eastAsia" w:ascii="Times New Roman" w:hAnsi="Times New Roman" w:eastAsia="宋体" w:cs="Times New Roman"/>
                <w:b w:val="0"/>
                <w:bCs/>
                <w:color w:val="auto"/>
                <w:sz w:val="24"/>
                <w:highlight w:val="none"/>
                <w:lang w:val="en-US" w:eastAsia="zh-CN"/>
              </w:rPr>
              <w:t>设备噪音（N）</w:t>
            </w:r>
            <w:r>
              <w:rPr>
                <w:rFonts w:hint="default" w:ascii="Times New Roman" w:hAnsi="Times New Roman" w:eastAsia="宋体" w:cs="Times New Roman"/>
                <w:b w:val="0"/>
                <w:bCs/>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不符合尺寸的粗料</w:t>
            </w:r>
            <w:r>
              <w:rPr>
                <w:rFonts w:hint="eastAsia" w:ascii="Times New Roman" w:hAnsi="Times New Roman" w:eastAsia="宋体" w:cs="Times New Roman"/>
                <w:color w:val="auto"/>
                <w:sz w:val="24"/>
                <w:highlight w:val="none"/>
                <w:lang w:val="en-US" w:eastAsia="zh-CN"/>
              </w:rPr>
              <w:t>（S4）。</w:t>
            </w:r>
          </w:p>
          <w:p w14:paraId="1DA10B01">
            <w:pPr>
              <w:keepNext w:val="0"/>
              <w:keepLines w:val="0"/>
              <w:pageBreakBefore w:val="0"/>
              <w:widowControl w:val="0"/>
              <w:numPr>
                <w:ilvl w:val="0"/>
                <w:numId w:val="0"/>
              </w:numPr>
              <w:tabs>
                <w:tab w:val="left" w:pos="1200"/>
              </w:tabs>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rPr>
            </w:pPr>
            <w:r>
              <w:rPr>
                <w:rFonts w:hint="eastAsia" w:ascii="宋体" w:hAnsi="宋体" w:eastAsia="宋体" w:cs="宋体"/>
                <w:color w:val="auto"/>
                <w:highlight w:val="none"/>
                <w:lang w:val="en-US" w:eastAsia="zh-CN"/>
              </w:rPr>
              <w:t>⑤</w:t>
            </w:r>
            <w:r>
              <w:rPr>
                <w:rFonts w:hint="eastAsia"/>
                <w:color w:val="auto"/>
                <w:highlight w:val="none"/>
                <w:lang w:val="en-US" w:eastAsia="zh-CN"/>
              </w:rPr>
              <w:t>包装：</w:t>
            </w:r>
            <w:r>
              <w:rPr>
                <w:rFonts w:hint="default" w:ascii="Times New Roman" w:hAnsi="Times New Roman" w:eastAsia="宋体" w:cs="Times New Roman"/>
                <w:b w:val="0"/>
                <w:bCs w:val="0"/>
                <w:color w:val="auto"/>
                <w:sz w:val="24"/>
                <w:highlight w:val="none"/>
              </w:rPr>
              <w:t>成品物料经筛分后通过密闭管道进行</w:t>
            </w:r>
            <w:r>
              <w:rPr>
                <w:rFonts w:hint="eastAsia" w:ascii="Times New Roman" w:hAnsi="Times New Roman" w:eastAsia="宋体" w:cs="Times New Roman"/>
                <w:b w:val="0"/>
                <w:bCs w:val="0"/>
                <w:color w:val="auto"/>
                <w:sz w:val="24"/>
                <w:highlight w:val="none"/>
                <w:lang w:val="en-US" w:eastAsia="zh-CN"/>
              </w:rPr>
              <w:t>装</w:t>
            </w:r>
            <w:r>
              <w:rPr>
                <w:rFonts w:hint="default" w:ascii="Times New Roman" w:hAnsi="Times New Roman" w:eastAsia="宋体" w:cs="Times New Roman"/>
                <w:b w:val="0"/>
                <w:bCs w:val="0"/>
                <w:color w:val="auto"/>
                <w:sz w:val="24"/>
                <w:highlight w:val="none"/>
              </w:rPr>
              <w:t>包</w:t>
            </w:r>
            <w:r>
              <w:rPr>
                <w:rFonts w:hint="eastAsia" w:ascii="Times New Roman" w:hAnsi="Times New Roman" w:eastAsia="宋体" w:cs="Times New Roman"/>
                <w:b w:val="0"/>
                <w:bCs w:val="0"/>
                <w:color w:val="auto"/>
                <w:sz w:val="24"/>
                <w:highlight w:val="none"/>
                <w:lang w:val="en-US" w:eastAsia="zh-CN"/>
              </w:rPr>
              <w:t>入库</w:t>
            </w:r>
            <w:r>
              <w:rPr>
                <w:rFonts w:hint="default" w:ascii="Times New Roman" w:hAnsi="Times New Roman" w:eastAsia="宋体" w:cs="Times New Roman"/>
                <w:b w:val="0"/>
                <w:bCs w:val="0"/>
                <w:color w:val="auto"/>
                <w:sz w:val="24"/>
                <w:highlight w:val="none"/>
              </w:rPr>
              <w:t>。此工序会产生粉尘</w:t>
            </w:r>
            <w:r>
              <w:rPr>
                <w:rFonts w:hint="eastAsia" w:ascii="Times New Roman" w:hAnsi="Times New Roman" w:eastAsia="宋体" w:cs="Times New Roman"/>
                <w:color w:val="auto"/>
                <w:kern w:val="2"/>
                <w:sz w:val="24"/>
                <w:szCs w:val="24"/>
                <w:highlight w:val="none"/>
                <w:lang w:val="en-US" w:eastAsia="zh-CN" w:bidi="ar-SA"/>
              </w:rPr>
              <w:t>（G6）</w:t>
            </w:r>
            <w:r>
              <w:rPr>
                <w:rFonts w:hint="default" w:ascii="Times New Roman" w:hAnsi="Times New Roman" w:eastAsia="宋体" w:cs="Times New Roman"/>
                <w:b w:val="0"/>
                <w:bCs w:val="0"/>
                <w:color w:val="auto"/>
                <w:sz w:val="24"/>
                <w:highlight w:val="none"/>
              </w:rPr>
              <w:t>及噪声</w:t>
            </w:r>
            <w:r>
              <w:rPr>
                <w:rFonts w:hint="eastAsia" w:ascii="Times New Roman" w:hAnsi="Times New Roman" w:eastAsia="宋体" w:cs="Times New Roman"/>
                <w:b w:val="0"/>
                <w:bCs w:val="0"/>
                <w:color w:val="auto"/>
                <w:sz w:val="24"/>
                <w:highlight w:val="none"/>
                <w:lang w:eastAsia="zh-CN"/>
              </w:rPr>
              <w:t>。</w:t>
            </w:r>
          </w:p>
          <w:p w14:paraId="6FA5726B">
            <w:pPr>
              <w:keepNext w:val="0"/>
              <w:keepLines w:val="0"/>
              <w:pageBreakBefore w:val="0"/>
              <w:widowControl w:val="0"/>
              <w:numPr>
                <w:ilvl w:val="0"/>
                <w:numId w:val="9"/>
              </w:numPr>
              <w:tabs>
                <w:tab w:val="left" w:pos="1200"/>
              </w:tabs>
              <w:kinsoku/>
              <w:wordWrap/>
              <w:overflowPunct/>
              <w:topLinePunct w:val="0"/>
              <w:autoSpaceDE/>
              <w:autoSpaceDN/>
              <w:bidi w:val="0"/>
              <w:adjustRightInd w:val="0"/>
              <w:snapToGrid w:val="0"/>
              <w:spacing w:line="360" w:lineRule="auto"/>
              <w:ind w:leftChars="0" w:firstLine="482"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产污环节</w:t>
            </w:r>
          </w:p>
          <w:p w14:paraId="61F8FF73">
            <w:pPr>
              <w:keepNext w:val="0"/>
              <w:keepLines w:val="0"/>
              <w:pageBreakBefore w:val="0"/>
              <w:widowControl w:val="0"/>
              <w:numPr>
                <w:ilvl w:val="0"/>
                <w:numId w:val="0"/>
              </w:numPr>
              <w:tabs>
                <w:tab w:val="left" w:pos="1200"/>
              </w:tabs>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32"/>
                <w:highlight w:val="none"/>
                <w:lang w:val="en-US" w:eastAsia="zh-CN"/>
              </w:rPr>
            </w:pPr>
            <w:r>
              <w:rPr>
                <w:rFonts w:hint="eastAsia"/>
                <w:color w:val="auto"/>
                <w:sz w:val="24"/>
                <w:szCs w:val="24"/>
                <w:highlight w:val="none"/>
                <w:lang w:val="en-US" w:eastAsia="zh-CN"/>
              </w:rPr>
              <w:t>根据工程分析，本</w:t>
            </w:r>
            <w:r>
              <w:rPr>
                <w:rFonts w:hint="eastAsia"/>
                <w:color w:val="auto"/>
                <w:sz w:val="24"/>
                <w:szCs w:val="32"/>
                <w:highlight w:val="none"/>
                <w:lang w:val="en-US" w:eastAsia="zh-CN"/>
              </w:rPr>
              <w:t>项目具体产排污环节详见表2-9。</w:t>
            </w:r>
          </w:p>
          <w:p w14:paraId="2B146570">
            <w:pPr>
              <w:pStyle w:val="101"/>
              <w:tabs>
                <w:tab w:val="left" w:pos="1200"/>
              </w:tabs>
              <w:bidi w:val="0"/>
              <w:rPr>
                <w:rFonts w:hint="eastAsia"/>
                <w:b/>
                <w:bCs/>
                <w:color w:val="auto"/>
                <w:sz w:val="24"/>
                <w:szCs w:val="32"/>
                <w:highlight w:val="none"/>
                <w:lang w:val="en-US" w:eastAsia="zh-CN"/>
              </w:rPr>
            </w:pPr>
            <w:r>
              <w:rPr>
                <w:rFonts w:hint="eastAsia" w:ascii="Times New Roman" w:hAnsi="Times New Roman" w:cs="Times New Roman"/>
                <w:color w:val="auto"/>
                <w:highlight w:val="none"/>
                <w:lang w:val="en-US" w:eastAsia="zh-CN"/>
              </w:rPr>
              <w:t>表2-9项目产污环节一览表</w:t>
            </w:r>
          </w:p>
          <w:tbl>
            <w:tblPr>
              <w:tblStyle w:val="30"/>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9"/>
              <w:gridCol w:w="586"/>
              <w:gridCol w:w="696"/>
              <w:gridCol w:w="1586"/>
              <w:gridCol w:w="1103"/>
              <w:gridCol w:w="1660"/>
              <w:gridCol w:w="828"/>
              <w:gridCol w:w="1277"/>
            </w:tblGrid>
            <w:tr w14:paraId="1A4A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629" w:type="dxa"/>
                  <w:tcBorders>
                    <w:tl2br w:val="nil"/>
                    <w:tr2bl w:val="nil"/>
                  </w:tcBorders>
                  <w:noWrap/>
                  <w:vAlign w:val="center"/>
                </w:tcPr>
                <w:p w14:paraId="71B6D3F2">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类别</w:t>
                  </w:r>
                </w:p>
              </w:tc>
              <w:tc>
                <w:tcPr>
                  <w:tcW w:w="1282" w:type="dxa"/>
                  <w:gridSpan w:val="2"/>
                  <w:tcBorders>
                    <w:tl2br w:val="nil"/>
                    <w:tr2bl w:val="nil"/>
                  </w:tcBorders>
                  <w:noWrap/>
                  <w:vAlign w:val="center"/>
                </w:tcPr>
                <w:p w14:paraId="1BC81FCC">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产生点</w:t>
                  </w:r>
                </w:p>
              </w:tc>
              <w:tc>
                <w:tcPr>
                  <w:tcW w:w="1586" w:type="dxa"/>
                  <w:tcBorders>
                    <w:tl2br w:val="nil"/>
                    <w:tr2bl w:val="nil"/>
                  </w:tcBorders>
                  <w:noWrap/>
                  <w:vAlign w:val="center"/>
                </w:tcPr>
                <w:p w14:paraId="0AE67CA4">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污染物名称</w:t>
                  </w:r>
                </w:p>
              </w:tc>
              <w:tc>
                <w:tcPr>
                  <w:tcW w:w="1103" w:type="dxa"/>
                  <w:tcBorders>
                    <w:tl2br w:val="nil"/>
                    <w:tr2bl w:val="nil"/>
                  </w:tcBorders>
                  <w:noWrap/>
                  <w:vAlign w:val="center"/>
                </w:tcPr>
                <w:p w14:paraId="6B9A805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主要污染因子</w:t>
                  </w:r>
                </w:p>
              </w:tc>
              <w:tc>
                <w:tcPr>
                  <w:tcW w:w="2488" w:type="dxa"/>
                  <w:gridSpan w:val="2"/>
                  <w:tcBorders>
                    <w:tl2br w:val="nil"/>
                    <w:tr2bl w:val="nil"/>
                  </w:tcBorders>
                  <w:noWrap/>
                  <w:vAlign w:val="center"/>
                </w:tcPr>
                <w:p w14:paraId="1C811975">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处理措施</w:t>
                  </w:r>
                </w:p>
              </w:tc>
              <w:tc>
                <w:tcPr>
                  <w:tcW w:w="1277" w:type="dxa"/>
                  <w:tcBorders>
                    <w:tl2br w:val="nil"/>
                    <w:tr2bl w:val="nil"/>
                  </w:tcBorders>
                  <w:noWrap/>
                  <w:vAlign w:val="center"/>
                </w:tcPr>
                <w:p w14:paraId="34014EBC">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排放去向</w:t>
                  </w:r>
                </w:p>
              </w:tc>
            </w:tr>
            <w:tr w14:paraId="1AB9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629" w:type="dxa"/>
                  <w:vMerge w:val="restart"/>
                  <w:tcBorders>
                    <w:tl2br w:val="nil"/>
                    <w:tr2bl w:val="nil"/>
                  </w:tcBorders>
                  <w:noWrap/>
                  <w:vAlign w:val="center"/>
                </w:tcPr>
                <w:p w14:paraId="02469701">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废气</w:t>
                  </w:r>
                </w:p>
              </w:tc>
              <w:tc>
                <w:tcPr>
                  <w:tcW w:w="1282" w:type="dxa"/>
                  <w:gridSpan w:val="2"/>
                  <w:tcBorders>
                    <w:tl2br w:val="nil"/>
                    <w:tr2bl w:val="nil"/>
                  </w:tcBorders>
                  <w:noWrap/>
                  <w:vAlign w:val="center"/>
                </w:tcPr>
                <w:p w14:paraId="59677D2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打磨</w:t>
                  </w:r>
                </w:p>
              </w:tc>
              <w:tc>
                <w:tcPr>
                  <w:tcW w:w="1586" w:type="dxa"/>
                  <w:tcBorders>
                    <w:tl2br w:val="nil"/>
                    <w:tr2bl w:val="nil"/>
                  </w:tcBorders>
                  <w:noWrap/>
                  <w:vAlign w:val="center"/>
                </w:tcPr>
                <w:p w14:paraId="05CE261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打磨粉尘</w:t>
                  </w:r>
                  <w:r>
                    <w:rPr>
                      <w:rFonts w:hint="eastAsia" w:ascii="Times New Roman" w:hAnsi="Times New Roman" w:eastAsia="宋体" w:cs="Times New Roman"/>
                      <w:b w:val="0"/>
                      <w:bCs/>
                      <w:color w:val="auto"/>
                      <w:sz w:val="21"/>
                      <w:szCs w:val="21"/>
                      <w:highlight w:val="none"/>
                      <w:lang w:val="en-US" w:eastAsia="zh-CN"/>
                    </w:rPr>
                    <w:t>（G1）</w:t>
                  </w:r>
                </w:p>
              </w:tc>
              <w:tc>
                <w:tcPr>
                  <w:tcW w:w="1103" w:type="dxa"/>
                  <w:tcBorders>
                    <w:tl2br w:val="nil"/>
                    <w:tr2bl w:val="nil"/>
                  </w:tcBorders>
                  <w:noWrap/>
                  <w:vAlign w:val="center"/>
                </w:tcPr>
                <w:p w14:paraId="07A9358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2488" w:type="dxa"/>
                  <w:gridSpan w:val="2"/>
                  <w:tcBorders>
                    <w:tl2br w:val="nil"/>
                    <w:tr2bl w:val="nil"/>
                  </w:tcBorders>
                  <w:noWrap/>
                  <w:vAlign w:val="center"/>
                </w:tcPr>
                <w:p w14:paraId="37A9DF0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打磨区域房间整体密闭，经布袋除尘器处理</w:t>
                  </w:r>
                </w:p>
              </w:tc>
              <w:tc>
                <w:tcPr>
                  <w:tcW w:w="1277" w:type="dxa"/>
                  <w:tcBorders>
                    <w:tl2br w:val="nil"/>
                    <w:tr2bl w:val="nil"/>
                  </w:tcBorders>
                  <w:noWrap/>
                  <w:vAlign w:val="center"/>
                </w:tcPr>
                <w:p w14:paraId="54F2272C">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15米高排气筒DA001</w:t>
                  </w:r>
                </w:p>
              </w:tc>
            </w:tr>
            <w:tr w14:paraId="599A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9" w:hRule="atLeast"/>
                <w:jc w:val="center"/>
              </w:trPr>
              <w:tc>
                <w:tcPr>
                  <w:tcW w:w="629" w:type="dxa"/>
                  <w:vMerge w:val="continue"/>
                  <w:tcBorders>
                    <w:tl2br w:val="nil"/>
                    <w:tr2bl w:val="nil"/>
                  </w:tcBorders>
                  <w:noWrap/>
                  <w:vAlign w:val="center"/>
                </w:tcPr>
                <w:p w14:paraId="11DF7AEA">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586" w:type="dxa"/>
                  <w:vMerge w:val="restart"/>
                  <w:tcBorders>
                    <w:tl2br w:val="nil"/>
                    <w:tr2bl w:val="nil"/>
                  </w:tcBorders>
                  <w:noWrap/>
                  <w:vAlign w:val="center"/>
                </w:tcPr>
                <w:p w14:paraId="6B542FB2">
                  <w:pPr>
                    <w:keepNext w:val="0"/>
                    <w:keepLines w:val="0"/>
                    <w:pageBreakBefore w:val="0"/>
                    <w:widowControl/>
                    <w:tabs>
                      <w:tab w:val="left" w:pos="457"/>
                      <w:tab w:val="left" w:pos="1200"/>
                    </w:tabs>
                    <w:kinsoku/>
                    <w:wordWrap/>
                    <w:overflowPunct/>
                    <w:topLinePunct w:val="0"/>
                    <w:autoSpaceDE/>
                    <w:autoSpaceDN/>
                    <w:bidi w:val="0"/>
                    <w:adjustRightInd w:val="0"/>
                    <w:snapToGrid w:val="0"/>
                    <w:spacing w:line="240" w:lineRule="auto"/>
                    <w:jc w:val="center"/>
                    <w:textAlignment w:val="auto"/>
                    <w:rPr>
                      <w:rFonts w:hint="default"/>
                      <w:color w:val="auto"/>
                      <w:sz w:val="21"/>
                      <w:szCs w:val="21"/>
                      <w:highlight w:val="none"/>
                      <w:lang w:val="en-US" w:eastAsia="zh-CN"/>
                    </w:rPr>
                  </w:pPr>
                  <w:r>
                    <w:rPr>
                      <w:rFonts w:hint="eastAsia" w:cs="Times New Roman"/>
                      <w:b w:val="0"/>
                      <w:bCs w:val="0"/>
                      <w:color w:val="auto"/>
                      <w:sz w:val="21"/>
                      <w:szCs w:val="21"/>
                      <w:highlight w:val="none"/>
                      <w:lang w:val="en-US" w:eastAsia="zh-CN"/>
                    </w:rPr>
                    <w:t>烧结</w:t>
                  </w:r>
                </w:p>
              </w:tc>
              <w:tc>
                <w:tcPr>
                  <w:tcW w:w="696" w:type="dxa"/>
                  <w:tcBorders>
                    <w:tl2br w:val="nil"/>
                    <w:tr2bl w:val="nil"/>
                  </w:tcBorders>
                  <w:noWrap/>
                  <w:vAlign w:val="center"/>
                </w:tcPr>
                <w:p w14:paraId="38CC3D61">
                  <w:pPr>
                    <w:keepNext w:val="0"/>
                    <w:keepLines w:val="0"/>
                    <w:pageBreakBefore w:val="0"/>
                    <w:widowControl/>
                    <w:tabs>
                      <w:tab w:val="left" w:pos="457"/>
                      <w:tab w:val="left" w:pos="1200"/>
                    </w:tabs>
                    <w:kinsoku/>
                    <w:wordWrap/>
                    <w:overflowPunct/>
                    <w:topLinePunct w:val="0"/>
                    <w:autoSpaceDE/>
                    <w:autoSpaceDN/>
                    <w:bidi w:val="0"/>
                    <w:adjustRightInd w:val="0"/>
                    <w:snapToGrid w:val="0"/>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上料口</w:t>
                  </w:r>
                </w:p>
              </w:tc>
              <w:tc>
                <w:tcPr>
                  <w:tcW w:w="1586" w:type="dxa"/>
                  <w:tcBorders>
                    <w:tl2br w:val="nil"/>
                    <w:tr2bl w:val="nil"/>
                  </w:tcBorders>
                  <w:noWrap/>
                  <w:vAlign w:val="center"/>
                </w:tcPr>
                <w:p w14:paraId="3621C4E9">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上料粉尘</w:t>
                  </w:r>
                  <w:r>
                    <w:rPr>
                      <w:rFonts w:hint="eastAsia" w:ascii="Times New Roman" w:eastAsia="宋体"/>
                      <w:color w:val="auto"/>
                      <w:sz w:val="21"/>
                      <w:szCs w:val="21"/>
                      <w:highlight w:val="none"/>
                      <w:lang w:val="en-US" w:eastAsia="zh-CN"/>
                    </w:rPr>
                    <w:t>（</w:t>
                  </w:r>
                  <w:r>
                    <w:rPr>
                      <w:rFonts w:hint="eastAsia" w:eastAsia="宋体" w:cs="Times New Roman"/>
                      <w:b w:val="0"/>
                      <w:bCs w:val="0"/>
                      <w:color w:val="auto"/>
                      <w:sz w:val="21"/>
                      <w:szCs w:val="21"/>
                      <w:highlight w:val="none"/>
                      <w:lang w:val="en-US" w:eastAsia="zh-CN"/>
                    </w:rPr>
                    <w:t>G2</w:t>
                  </w:r>
                  <w:r>
                    <w:rPr>
                      <w:rFonts w:hint="eastAsia" w:ascii="Times New Roman" w:eastAsia="宋体"/>
                      <w:color w:val="auto"/>
                      <w:sz w:val="21"/>
                      <w:szCs w:val="21"/>
                      <w:highlight w:val="none"/>
                      <w:lang w:val="en-US" w:eastAsia="zh-CN"/>
                    </w:rPr>
                    <w:t>）</w:t>
                  </w:r>
                </w:p>
              </w:tc>
              <w:tc>
                <w:tcPr>
                  <w:tcW w:w="1103" w:type="dxa"/>
                  <w:tcBorders>
                    <w:tl2br w:val="nil"/>
                    <w:tr2bl w:val="nil"/>
                  </w:tcBorders>
                  <w:noWrap/>
                  <w:vAlign w:val="center"/>
                </w:tcPr>
                <w:p w14:paraId="2D2E9D0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1660" w:type="dxa"/>
                  <w:vMerge w:val="restart"/>
                  <w:tcBorders>
                    <w:tl2br w:val="nil"/>
                    <w:tr2bl w:val="nil"/>
                  </w:tcBorders>
                  <w:noWrap/>
                  <w:vAlign w:val="center"/>
                </w:tcPr>
                <w:p w14:paraId="167D6F3F">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上料口和出料口设置密闭隔间</w:t>
                  </w:r>
                </w:p>
              </w:tc>
              <w:tc>
                <w:tcPr>
                  <w:tcW w:w="828" w:type="dxa"/>
                  <w:vMerge w:val="restart"/>
                  <w:tcBorders>
                    <w:tl2br w:val="nil"/>
                    <w:tr2bl w:val="nil"/>
                  </w:tcBorders>
                  <w:noWrap/>
                  <w:vAlign w:val="center"/>
                </w:tcPr>
                <w:p w14:paraId="78C42F2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废气送至布袋除尘器+二级活性炭吸附</w:t>
                  </w:r>
                </w:p>
              </w:tc>
              <w:tc>
                <w:tcPr>
                  <w:tcW w:w="1277" w:type="dxa"/>
                  <w:vMerge w:val="restart"/>
                  <w:tcBorders>
                    <w:tl2br w:val="nil"/>
                    <w:tr2bl w:val="nil"/>
                  </w:tcBorders>
                  <w:noWrap/>
                  <w:vAlign w:val="center"/>
                </w:tcPr>
                <w:p w14:paraId="73108074">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15米高排气筒DA002</w:t>
                  </w:r>
                </w:p>
              </w:tc>
            </w:tr>
            <w:tr w14:paraId="1811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jc w:val="center"/>
              </w:trPr>
              <w:tc>
                <w:tcPr>
                  <w:tcW w:w="629" w:type="dxa"/>
                  <w:vMerge w:val="continue"/>
                  <w:tcBorders>
                    <w:tl2br w:val="nil"/>
                    <w:tr2bl w:val="nil"/>
                  </w:tcBorders>
                  <w:noWrap/>
                  <w:vAlign w:val="center"/>
                </w:tcPr>
                <w:p w14:paraId="5C78C3BF">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586" w:type="dxa"/>
                  <w:vMerge w:val="continue"/>
                  <w:tcBorders>
                    <w:tl2br w:val="nil"/>
                    <w:tr2bl w:val="nil"/>
                  </w:tcBorders>
                  <w:noWrap/>
                  <w:vAlign w:val="center"/>
                </w:tcPr>
                <w:p w14:paraId="67755CC3">
                  <w:pPr>
                    <w:keepNext w:val="0"/>
                    <w:keepLines w:val="0"/>
                    <w:pageBreakBefore w:val="0"/>
                    <w:widowControl/>
                    <w:tabs>
                      <w:tab w:val="left" w:pos="457"/>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p>
              </w:tc>
              <w:tc>
                <w:tcPr>
                  <w:tcW w:w="696" w:type="dxa"/>
                  <w:tcBorders>
                    <w:tl2br w:val="nil"/>
                    <w:tr2bl w:val="nil"/>
                  </w:tcBorders>
                  <w:noWrap/>
                  <w:vAlign w:val="center"/>
                </w:tcPr>
                <w:p w14:paraId="68F9E76D">
                  <w:pPr>
                    <w:keepNext w:val="0"/>
                    <w:keepLines w:val="0"/>
                    <w:pageBreakBefore w:val="0"/>
                    <w:widowControl/>
                    <w:tabs>
                      <w:tab w:val="left" w:pos="457"/>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出料</w:t>
                  </w:r>
                  <w:r>
                    <w:rPr>
                      <w:rFonts w:hint="eastAsia" w:cs="Times New Roman"/>
                      <w:b w:val="0"/>
                      <w:bCs w:val="0"/>
                      <w:color w:val="auto"/>
                      <w:sz w:val="21"/>
                      <w:szCs w:val="21"/>
                      <w:highlight w:val="none"/>
                      <w:lang w:val="en-US" w:eastAsia="zh-CN"/>
                    </w:rPr>
                    <w:t>口</w:t>
                  </w:r>
                </w:p>
              </w:tc>
              <w:tc>
                <w:tcPr>
                  <w:tcW w:w="1586" w:type="dxa"/>
                  <w:tcBorders>
                    <w:tl2br w:val="nil"/>
                    <w:tr2bl w:val="nil"/>
                  </w:tcBorders>
                  <w:noWrap/>
                  <w:vAlign w:val="center"/>
                </w:tcPr>
                <w:p w14:paraId="7AB93FD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烧结废气</w:t>
                  </w:r>
                  <w:r>
                    <w:rPr>
                      <w:rFonts w:hint="eastAsia" w:eastAsia="宋体" w:cs="Times New Roman"/>
                      <w:b w:val="0"/>
                      <w:bCs w:val="0"/>
                      <w:color w:val="auto"/>
                      <w:sz w:val="21"/>
                      <w:szCs w:val="21"/>
                      <w:highlight w:val="none"/>
                      <w:lang w:val="en-US" w:eastAsia="zh-CN"/>
                    </w:rPr>
                    <w:t>（G3）</w:t>
                  </w:r>
                </w:p>
              </w:tc>
              <w:tc>
                <w:tcPr>
                  <w:tcW w:w="1103" w:type="dxa"/>
                  <w:tcBorders>
                    <w:tl2br w:val="nil"/>
                    <w:tr2bl w:val="nil"/>
                  </w:tcBorders>
                  <w:noWrap/>
                  <w:vAlign w:val="center"/>
                </w:tcPr>
                <w:p w14:paraId="183978BA">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颗粒物、VOCs</w:t>
                  </w:r>
                </w:p>
              </w:tc>
              <w:tc>
                <w:tcPr>
                  <w:tcW w:w="1660" w:type="dxa"/>
                  <w:vMerge w:val="continue"/>
                  <w:tcBorders>
                    <w:tl2br w:val="nil"/>
                    <w:tr2bl w:val="nil"/>
                  </w:tcBorders>
                  <w:noWrap/>
                  <w:vAlign w:val="center"/>
                </w:tcPr>
                <w:p w14:paraId="0C63F27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c>
                <w:tcPr>
                  <w:tcW w:w="828" w:type="dxa"/>
                  <w:vMerge w:val="continue"/>
                  <w:tcBorders>
                    <w:tl2br w:val="nil"/>
                    <w:tr2bl w:val="nil"/>
                  </w:tcBorders>
                  <w:noWrap/>
                  <w:vAlign w:val="center"/>
                </w:tcPr>
                <w:p w14:paraId="71874B20">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c>
                <w:tcPr>
                  <w:tcW w:w="1277" w:type="dxa"/>
                  <w:vMerge w:val="continue"/>
                  <w:tcBorders>
                    <w:tl2br w:val="nil"/>
                    <w:tr2bl w:val="nil"/>
                  </w:tcBorders>
                  <w:noWrap/>
                  <w:vAlign w:val="center"/>
                </w:tcPr>
                <w:p w14:paraId="5B3AD262">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r>
            <w:tr w14:paraId="7C95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 w:hRule="atLeast"/>
                <w:jc w:val="center"/>
              </w:trPr>
              <w:tc>
                <w:tcPr>
                  <w:tcW w:w="629" w:type="dxa"/>
                  <w:vMerge w:val="continue"/>
                  <w:tcBorders>
                    <w:tl2br w:val="nil"/>
                    <w:tr2bl w:val="nil"/>
                  </w:tcBorders>
                  <w:noWrap/>
                  <w:vAlign w:val="center"/>
                </w:tcPr>
                <w:p w14:paraId="38F16F5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2B0D31A6">
                  <w:pPr>
                    <w:keepNext w:val="0"/>
                    <w:keepLines w:val="0"/>
                    <w:pageBreakBefore w:val="0"/>
                    <w:widowControl/>
                    <w:tabs>
                      <w:tab w:val="left" w:pos="457"/>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磁选</w:t>
                  </w:r>
                </w:p>
              </w:tc>
              <w:tc>
                <w:tcPr>
                  <w:tcW w:w="1586" w:type="dxa"/>
                  <w:tcBorders>
                    <w:tl2br w:val="nil"/>
                    <w:tr2bl w:val="nil"/>
                  </w:tcBorders>
                  <w:noWrap/>
                  <w:vAlign w:val="center"/>
                </w:tcPr>
                <w:p w14:paraId="28C89B5F">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磁选废气</w:t>
                  </w:r>
                  <w:r>
                    <w:rPr>
                      <w:rFonts w:hint="eastAsia" w:ascii="Times New Roman" w:hAnsi="Times New Roman" w:eastAsia="宋体" w:cs="Times New Roman"/>
                      <w:b w:val="0"/>
                      <w:bCs/>
                      <w:color w:val="auto"/>
                      <w:sz w:val="21"/>
                      <w:szCs w:val="21"/>
                      <w:highlight w:val="none"/>
                      <w:lang w:val="en-US" w:eastAsia="zh-CN"/>
                    </w:rPr>
                    <w:t>（G4）</w:t>
                  </w:r>
                </w:p>
              </w:tc>
              <w:tc>
                <w:tcPr>
                  <w:tcW w:w="1103" w:type="dxa"/>
                  <w:tcBorders>
                    <w:tl2br w:val="nil"/>
                    <w:tr2bl w:val="nil"/>
                  </w:tcBorders>
                  <w:noWrap/>
                  <w:vAlign w:val="center"/>
                </w:tcPr>
                <w:p w14:paraId="62118702">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1660" w:type="dxa"/>
                  <w:tcBorders>
                    <w:tl2br w:val="nil"/>
                    <w:tr2bl w:val="nil"/>
                  </w:tcBorders>
                  <w:noWrap/>
                  <w:vAlign w:val="center"/>
                </w:tcPr>
                <w:p w14:paraId="1E291D0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出料口经过集气罩收集</w:t>
                  </w:r>
                </w:p>
              </w:tc>
              <w:tc>
                <w:tcPr>
                  <w:tcW w:w="828" w:type="dxa"/>
                  <w:vMerge w:val="continue"/>
                  <w:tcBorders>
                    <w:tl2br w:val="nil"/>
                    <w:tr2bl w:val="nil"/>
                  </w:tcBorders>
                  <w:noWrap/>
                  <w:vAlign w:val="center"/>
                </w:tcPr>
                <w:p w14:paraId="0D919C50">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c>
                <w:tcPr>
                  <w:tcW w:w="1277" w:type="dxa"/>
                  <w:vMerge w:val="continue"/>
                  <w:tcBorders>
                    <w:tl2br w:val="nil"/>
                    <w:tr2bl w:val="nil"/>
                  </w:tcBorders>
                  <w:noWrap/>
                  <w:vAlign w:val="center"/>
                </w:tcPr>
                <w:p w14:paraId="6633F46A">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r>
            <w:tr w14:paraId="6A27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629" w:type="dxa"/>
                  <w:vMerge w:val="continue"/>
                  <w:tcBorders>
                    <w:tl2br w:val="nil"/>
                    <w:tr2bl w:val="nil"/>
                  </w:tcBorders>
                  <w:noWrap/>
                  <w:vAlign w:val="center"/>
                </w:tcPr>
                <w:p w14:paraId="7A35345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7E502A74">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筛分</w:t>
                  </w:r>
                </w:p>
              </w:tc>
              <w:tc>
                <w:tcPr>
                  <w:tcW w:w="1586" w:type="dxa"/>
                  <w:tcBorders>
                    <w:tl2br w:val="nil"/>
                    <w:tr2bl w:val="nil"/>
                  </w:tcBorders>
                  <w:noWrap/>
                  <w:vAlign w:val="center"/>
                </w:tcPr>
                <w:p w14:paraId="09AC9ADC">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筛分</w:t>
                  </w:r>
                  <w:r>
                    <w:rPr>
                      <w:rFonts w:hint="eastAsia" w:eastAsia="宋体" w:cs="Times New Roman"/>
                      <w:b w:val="0"/>
                      <w:bCs w:val="0"/>
                      <w:color w:val="auto"/>
                      <w:sz w:val="21"/>
                      <w:szCs w:val="21"/>
                      <w:highlight w:val="none"/>
                      <w:lang w:val="en-US" w:eastAsia="zh-CN"/>
                    </w:rPr>
                    <w:t>粉尘</w:t>
                  </w:r>
                  <w:r>
                    <w:rPr>
                      <w:rFonts w:hint="eastAsia" w:ascii="Times New Roman" w:hAnsi="Times New Roman" w:eastAsia="宋体" w:cs="Times New Roman"/>
                      <w:b w:val="0"/>
                      <w:bCs/>
                      <w:color w:val="auto"/>
                      <w:sz w:val="21"/>
                      <w:szCs w:val="21"/>
                      <w:highlight w:val="none"/>
                      <w:lang w:val="en-US" w:eastAsia="zh-CN"/>
                    </w:rPr>
                    <w:t>（G5）</w:t>
                  </w:r>
                </w:p>
              </w:tc>
              <w:tc>
                <w:tcPr>
                  <w:tcW w:w="1103" w:type="dxa"/>
                  <w:tcBorders>
                    <w:tl2br w:val="nil"/>
                    <w:tr2bl w:val="nil"/>
                  </w:tcBorders>
                  <w:noWrap/>
                  <w:vAlign w:val="center"/>
                </w:tcPr>
                <w:p w14:paraId="2449818F">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1660" w:type="dxa"/>
                  <w:tcBorders>
                    <w:tl2br w:val="nil"/>
                    <w:tr2bl w:val="nil"/>
                  </w:tcBorders>
                  <w:noWrap/>
                  <w:vAlign w:val="center"/>
                </w:tcPr>
                <w:p w14:paraId="25FCE43B">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设备密闭，经设备自带排气孔通过管道连接</w:t>
                  </w:r>
                </w:p>
              </w:tc>
              <w:tc>
                <w:tcPr>
                  <w:tcW w:w="828" w:type="dxa"/>
                  <w:vMerge w:val="continue"/>
                  <w:tcBorders>
                    <w:tl2br w:val="nil"/>
                    <w:tr2bl w:val="nil"/>
                  </w:tcBorders>
                  <w:noWrap/>
                  <w:vAlign w:val="center"/>
                </w:tcPr>
                <w:p w14:paraId="41D1CAB6">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c>
                <w:tcPr>
                  <w:tcW w:w="1277" w:type="dxa"/>
                  <w:vMerge w:val="continue"/>
                  <w:tcBorders>
                    <w:tl2br w:val="nil"/>
                    <w:tr2bl w:val="nil"/>
                  </w:tcBorders>
                  <w:noWrap/>
                  <w:vAlign w:val="center"/>
                </w:tcPr>
                <w:p w14:paraId="1A0C86D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r>
            <w:tr w14:paraId="177B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629" w:type="dxa"/>
                  <w:vMerge w:val="continue"/>
                  <w:tcBorders>
                    <w:tl2br w:val="nil"/>
                    <w:tr2bl w:val="nil"/>
                  </w:tcBorders>
                  <w:noWrap/>
                  <w:vAlign w:val="center"/>
                </w:tcPr>
                <w:p w14:paraId="03464CB6">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5B7C52CF">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包装</w:t>
                  </w:r>
                  <w:r>
                    <w:rPr>
                      <w:rFonts w:hint="eastAsia" w:eastAsia="宋体" w:cs="Times New Roman"/>
                      <w:b w:val="0"/>
                      <w:bCs w:val="0"/>
                      <w:color w:val="auto"/>
                      <w:sz w:val="21"/>
                      <w:szCs w:val="21"/>
                      <w:highlight w:val="none"/>
                      <w:lang w:val="en-US" w:eastAsia="zh-CN"/>
                    </w:rPr>
                    <w:t>工序</w:t>
                  </w:r>
                </w:p>
              </w:tc>
              <w:tc>
                <w:tcPr>
                  <w:tcW w:w="1586" w:type="dxa"/>
                  <w:tcBorders>
                    <w:tl2br w:val="nil"/>
                    <w:tr2bl w:val="nil"/>
                  </w:tcBorders>
                  <w:noWrap/>
                  <w:vAlign w:val="center"/>
                </w:tcPr>
                <w:p w14:paraId="4BFFF84A">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包装粉尘（G6）</w:t>
                  </w:r>
                </w:p>
              </w:tc>
              <w:tc>
                <w:tcPr>
                  <w:tcW w:w="1103" w:type="dxa"/>
                  <w:tcBorders>
                    <w:tl2br w:val="nil"/>
                    <w:tr2bl w:val="nil"/>
                  </w:tcBorders>
                  <w:noWrap/>
                  <w:vAlign w:val="center"/>
                </w:tcPr>
                <w:p w14:paraId="0879EB6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1660" w:type="dxa"/>
                  <w:tcBorders>
                    <w:tl2br w:val="nil"/>
                    <w:tr2bl w:val="nil"/>
                  </w:tcBorders>
                  <w:noWrap/>
                  <w:vAlign w:val="center"/>
                </w:tcPr>
                <w:p w14:paraId="3E913AE9">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装料口经过集气罩收集</w:t>
                  </w:r>
                </w:p>
              </w:tc>
              <w:tc>
                <w:tcPr>
                  <w:tcW w:w="828" w:type="dxa"/>
                  <w:vMerge w:val="continue"/>
                  <w:tcBorders>
                    <w:tl2br w:val="nil"/>
                    <w:tr2bl w:val="nil"/>
                  </w:tcBorders>
                  <w:noWrap/>
                  <w:vAlign w:val="center"/>
                </w:tcPr>
                <w:p w14:paraId="7718B62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c>
                <w:tcPr>
                  <w:tcW w:w="1277" w:type="dxa"/>
                  <w:vMerge w:val="continue"/>
                  <w:tcBorders>
                    <w:tl2br w:val="nil"/>
                    <w:tr2bl w:val="nil"/>
                  </w:tcBorders>
                  <w:noWrap/>
                  <w:vAlign w:val="center"/>
                </w:tcPr>
                <w:p w14:paraId="73F29F0C">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p>
              </w:tc>
            </w:tr>
            <w:tr w14:paraId="56AD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629" w:type="dxa"/>
                  <w:tcBorders>
                    <w:tl2br w:val="nil"/>
                    <w:tr2bl w:val="nil"/>
                  </w:tcBorders>
                  <w:noWrap/>
                  <w:vAlign w:val="center"/>
                </w:tcPr>
                <w:p w14:paraId="2DB0253A">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lang w:eastAsia="zh-CN"/>
                    </w:rPr>
                  </w:pPr>
                  <w:r>
                    <w:rPr>
                      <w:rFonts w:hint="eastAsia" w:ascii="Times New Roman" w:hAnsi="Times New Roman" w:eastAsia="宋体" w:cs="Times New Roman"/>
                      <w:b w:val="0"/>
                      <w:bCs w:val="0"/>
                      <w:color w:val="auto"/>
                      <w:kern w:val="0"/>
                      <w:sz w:val="21"/>
                      <w:szCs w:val="21"/>
                      <w:highlight w:val="none"/>
                      <w:lang w:eastAsia="zh-CN"/>
                    </w:rPr>
                    <w:t>废水</w:t>
                  </w:r>
                </w:p>
              </w:tc>
              <w:tc>
                <w:tcPr>
                  <w:tcW w:w="7736" w:type="dxa"/>
                  <w:gridSpan w:val="7"/>
                  <w:tcBorders>
                    <w:tl2br w:val="nil"/>
                    <w:tr2bl w:val="nil"/>
                  </w:tcBorders>
                  <w:noWrap/>
                  <w:vAlign w:val="center"/>
                </w:tcPr>
                <w:p w14:paraId="7E9EB36B">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olor w:val="auto"/>
                      <w:sz w:val="21"/>
                      <w:szCs w:val="21"/>
                      <w:highlight w:val="none"/>
                      <w:lang w:val="en-US" w:eastAsia="zh-CN"/>
                    </w:rPr>
                    <w:t>不新增生活污水，无生产废水产生及排放。</w:t>
                  </w:r>
                </w:p>
              </w:tc>
            </w:tr>
            <w:tr w14:paraId="3D86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29" w:type="dxa"/>
                  <w:vMerge w:val="restart"/>
                  <w:tcBorders>
                    <w:tl2br w:val="nil"/>
                    <w:tr2bl w:val="nil"/>
                  </w:tcBorders>
                  <w:noWrap/>
                  <w:vAlign w:val="center"/>
                </w:tcPr>
                <w:p w14:paraId="3E75AE9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固废</w:t>
                  </w:r>
                </w:p>
              </w:tc>
              <w:tc>
                <w:tcPr>
                  <w:tcW w:w="1282" w:type="dxa"/>
                  <w:gridSpan w:val="2"/>
                  <w:tcBorders>
                    <w:tl2br w:val="nil"/>
                    <w:tr2bl w:val="nil"/>
                  </w:tcBorders>
                  <w:noWrap/>
                  <w:vAlign w:val="center"/>
                </w:tcPr>
                <w:p w14:paraId="4C6711D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人工分拣（S</w:t>
                  </w:r>
                  <w:r>
                    <w:rPr>
                      <w:rFonts w:hint="eastAsia" w:ascii="Times New Roman" w:hAnsi="Times New Roman" w:eastAsia="宋体" w:cs="Times New Roman"/>
                      <w:b w:val="0"/>
                      <w:bCs w:val="0"/>
                      <w:color w:val="auto"/>
                      <w:kern w:val="0"/>
                      <w:sz w:val="21"/>
                      <w:szCs w:val="21"/>
                      <w:highlight w:val="none"/>
                      <w:lang w:val="en-US" w:eastAsia="zh-CN" w:bidi="ar-SA"/>
                    </w:rPr>
                    <w:t>1</w:t>
                  </w:r>
                  <w:r>
                    <w:rPr>
                      <w:rFonts w:hint="default" w:ascii="Times New Roman" w:hAnsi="Times New Roman" w:eastAsia="宋体" w:cs="Times New Roman"/>
                      <w:b w:val="0"/>
                      <w:bCs w:val="0"/>
                      <w:color w:val="auto"/>
                      <w:kern w:val="0"/>
                      <w:sz w:val="21"/>
                      <w:szCs w:val="21"/>
                      <w:highlight w:val="none"/>
                      <w:lang w:val="en-US" w:eastAsia="zh-CN" w:bidi="ar-SA"/>
                    </w:rPr>
                    <w:t>）</w:t>
                  </w:r>
                </w:p>
              </w:tc>
              <w:tc>
                <w:tcPr>
                  <w:tcW w:w="1586" w:type="dxa"/>
                  <w:tcBorders>
                    <w:tl2br w:val="nil"/>
                    <w:tr2bl w:val="nil"/>
                  </w:tcBorders>
                  <w:noWrap/>
                  <w:vAlign w:val="center"/>
                </w:tcPr>
                <w:p w14:paraId="14AE0D52">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废原料包装袋</w:t>
                  </w:r>
                </w:p>
              </w:tc>
              <w:tc>
                <w:tcPr>
                  <w:tcW w:w="1103" w:type="dxa"/>
                  <w:tcBorders>
                    <w:tl2br w:val="nil"/>
                    <w:tr2bl w:val="nil"/>
                  </w:tcBorders>
                  <w:noWrap/>
                  <w:vAlign w:val="center"/>
                </w:tcPr>
                <w:p w14:paraId="1F1B15AF">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包装袋</w:t>
                  </w:r>
                </w:p>
              </w:tc>
              <w:tc>
                <w:tcPr>
                  <w:tcW w:w="3765" w:type="dxa"/>
                  <w:gridSpan w:val="3"/>
                  <w:tcBorders>
                    <w:tl2br w:val="nil"/>
                    <w:tr2bl w:val="nil"/>
                  </w:tcBorders>
                  <w:noWrap/>
                  <w:vAlign w:val="center"/>
                </w:tcPr>
                <w:p w14:paraId="1D7C69F3">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收集后外售</w:t>
                  </w:r>
                </w:p>
              </w:tc>
            </w:tr>
            <w:tr w14:paraId="6C00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 w:hRule="atLeast"/>
                <w:jc w:val="center"/>
              </w:trPr>
              <w:tc>
                <w:tcPr>
                  <w:tcW w:w="629" w:type="dxa"/>
                  <w:vMerge w:val="continue"/>
                  <w:tcBorders>
                    <w:tl2br w:val="nil"/>
                    <w:tr2bl w:val="nil"/>
                  </w:tcBorders>
                  <w:noWrap/>
                  <w:vAlign w:val="center"/>
                </w:tcPr>
                <w:p w14:paraId="0EE860E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34164355">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分选</w:t>
                  </w:r>
                  <w:r>
                    <w:rPr>
                      <w:rFonts w:hint="default" w:ascii="Times New Roman" w:hAnsi="Times New Roman" w:eastAsia="宋体" w:cs="Times New Roman"/>
                      <w:b w:val="0"/>
                      <w:bCs w:val="0"/>
                      <w:color w:val="auto"/>
                      <w:kern w:val="0"/>
                      <w:sz w:val="21"/>
                      <w:szCs w:val="21"/>
                      <w:highlight w:val="none"/>
                      <w:lang w:val="en-US" w:eastAsia="zh-CN" w:bidi="ar-SA"/>
                    </w:rPr>
                    <w:t>（S</w:t>
                  </w:r>
                  <w:r>
                    <w:rPr>
                      <w:rFonts w:hint="eastAsia" w:ascii="Times New Roman" w:hAnsi="Times New Roman" w:eastAsia="宋体" w:cs="Times New Roman"/>
                      <w:b w:val="0"/>
                      <w:bCs w:val="0"/>
                      <w:color w:val="auto"/>
                      <w:kern w:val="0"/>
                      <w:sz w:val="21"/>
                      <w:szCs w:val="21"/>
                      <w:highlight w:val="none"/>
                      <w:lang w:val="en-US" w:eastAsia="zh-CN" w:bidi="ar-SA"/>
                    </w:rPr>
                    <w:t>2</w:t>
                  </w:r>
                  <w:r>
                    <w:rPr>
                      <w:rFonts w:hint="default" w:ascii="Times New Roman" w:hAnsi="Times New Roman" w:eastAsia="宋体" w:cs="Times New Roman"/>
                      <w:b w:val="0"/>
                      <w:bCs w:val="0"/>
                      <w:color w:val="auto"/>
                      <w:kern w:val="0"/>
                      <w:sz w:val="21"/>
                      <w:szCs w:val="21"/>
                      <w:highlight w:val="none"/>
                      <w:lang w:val="en-US" w:eastAsia="zh-CN" w:bidi="ar-SA"/>
                    </w:rPr>
                    <w:t>）</w:t>
                  </w:r>
                </w:p>
              </w:tc>
              <w:tc>
                <w:tcPr>
                  <w:tcW w:w="1586" w:type="dxa"/>
                  <w:tcBorders>
                    <w:tl2br w:val="nil"/>
                    <w:tr2bl w:val="nil"/>
                  </w:tcBorders>
                  <w:noWrap/>
                  <w:vAlign w:val="center"/>
                </w:tcPr>
                <w:p w14:paraId="03360DC9">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废</w:t>
                  </w:r>
                  <w:r>
                    <w:rPr>
                      <w:rFonts w:hint="eastAsia" w:cs="Times New Roman"/>
                      <w:b w:val="0"/>
                      <w:bCs w:val="0"/>
                      <w:color w:val="auto"/>
                      <w:kern w:val="0"/>
                      <w:sz w:val="21"/>
                      <w:szCs w:val="21"/>
                      <w:highlight w:val="none"/>
                      <w:lang w:val="en-US" w:eastAsia="zh-CN" w:bidi="ar-SA"/>
                    </w:rPr>
                    <w:t>杂质类</w:t>
                  </w:r>
                </w:p>
              </w:tc>
              <w:tc>
                <w:tcPr>
                  <w:tcW w:w="1103" w:type="dxa"/>
                  <w:tcBorders>
                    <w:tl2br w:val="nil"/>
                    <w:tr2bl w:val="nil"/>
                  </w:tcBorders>
                  <w:noWrap/>
                  <w:vAlign w:val="center"/>
                </w:tcPr>
                <w:p w14:paraId="2731DED6">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bidi="ar-SA"/>
                    </w:rPr>
                    <w:t>塑料、纸</w:t>
                  </w:r>
                  <w:r>
                    <w:rPr>
                      <w:rFonts w:hint="eastAsia" w:ascii="Times New Roman" w:hAnsi="Times New Roman" w:eastAsia="宋体" w:cs="Times New Roman"/>
                      <w:b w:val="0"/>
                      <w:bCs w:val="0"/>
                      <w:color w:val="auto"/>
                      <w:kern w:val="0"/>
                      <w:sz w:val="21"/>
                      <w:szCs w:val="21"/>
                      <w:highlight w:val="none"/>
                      <w:lang w:val="en-US" w:eastAsia="zh-CN" w:bidi="ar-SA"/>
                    </w:rPr>
                    <w:t>类</w:t>
                  </w:r>
                </w:p>
              </w:tc>
              <w:tc>
                <w:tcPr>
                  <w:tcW w:w="3765" w:type="dxa"/>
                  <w:gridSpan w:val="3"/>
                  <w:tcBorders>
                    <w:tl2br w:val="nil"/>
                    <w:tr2bl w:val="nil"/>
                  </w:tcBorders>
                  <w:noWrap/>
                  <w:vAlign w:val="center"/>
                </w:tcPr>
                <w:p w14:paraId="748DD460">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收集后外售</w:t>
                  </w:r>
                </w:p>
              </w:tc>
            </w:tr>
            <w:tr w14:paraId="7859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629" w:type="dxa"/>
                  <w:vMerge w:val="continue"/>
                  <w:tcBorders>
                    <w:tl2br w:val="nil"/>
                    <w:tr2bl w:val="nil"/>
                  </w:tcBorders>
                  <w:noWrap/>
                  <w:vAlign w:val="center"/>
                </w:tcPr>
                <w:p w14:paraId="6960999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55210F7B">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磁选</w:t>
                  </w:r>
                  <w:r>
                    <w:rPr>
                      <w:rFonts w:hint="default" w:ascii="Times New Roman" w:hAnsi="Times New Roman" w:eastAsia="宋体" w:cs="Times New Roman"/>
                      <w:b w:val="0"/>
                      <w:bCs w:val="0"/>
                      <w:color w:val="auto"/>
                      <w:kern w:val="2"/>
                      <w:sz w:val="21"/>
                      <w:szCs w:val="21"/>
                      <w:highlight w:val="none"/>
                      <w:lang w:val="en-US" w:eastAsia="zh-CN" w:bidi="ar-SA"/>
                    </w:rPr>
                    <w:t>（S</w:t>
                  </w:r>
                  <w:r>
                    <w:rPr>
                      <w:rFonts w:hint="eastAsia" w:ascii="Times New Roman" w:hAnsi="Times New Roman" w:eastAsia="宋体" w:cs="Times New Roman"/>
                      <w:b w:val="0"/>
                      <w:bCs w:val="0"/>
                      <w:color w:val="auto"/>
                      <w:kern w:val="2"/>
                      <w:sz w:val="21"/>
                      <w:szCs w:val="21"/>
                      <w:highlight w:val="none"/>
                      <w:lang w:val="en-US" w:eastAsia="zh-CN" w:bidi="ar-SA"/>
                    </w:rPr>
                    <w:t>3</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1586" w:type="dxa"/>
                  <w:tcBorders>
                    <w:tl2br w:val="nil"/>
                    <w:tr2bl w:val="nil"/>
                  </w:tcBorders>
                  <w:noWrap/>
                  <w:vAlign w:val="center"/>
                </w:tcPr>
                <w:p w14:paraId="4F0822C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废铁杂质</w:t>
                  </w:r>
                </w:p>
              </w:tc>
              <w:tc>
                <w:tcPr>
                  <w:tcW w:w="1103" w:type="dxa"/>
                  <w:tcBorders>
                    <w:tl2br w:val="nil"/>
                    <w:tr2bl w:val="nil"/>
                  </w:tcBorders>
                  <w:noWrap/>
                  <w:vAlign w:val="center"/>
                </w:tcPr>
                <w:p w14:paraId="0EFBA74B">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金属铁类杂质</w:t>
                  </w:r>
                </w:p>
              </w:tc>
              <w:tc>
                <w:tcPr>
                  <w:tcW w:w="3765" w:type="dxa"/>
                  <w:gridSpan w:val="3"/>
                  <w:tcBorders>
                    <w:tl2br w:val="nil"/>
                    <w:tr2bl w:val="nil"/>
                  </w:tcBorders>
                  <w:noWrap/>
                  <w:vAlign w:val="center"/>
                </w:tcPr>
                <w:p w14:paraId="58F32806">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收集后外售</w:t>
                  </w:r>
                </w:p>
              </w:tc>
            </w:tr>
            <w:tr w14:paraId="5FF1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1" w:hRule="atLeast"/>
                <w:jc w:val="center"/>
              </w:trPr>
              <w:tc>
                <w:tcPr>
                  <w:tcW w:w="629" w:type="dxa"/>
                  <w:vMerge w:val="continue"/>
                  <w:tcBorders>
                    <w:tl2br w:val="nil"/>
                    <w:tr2bl w:val="nil"/>
                  </w:tcBorders>
                  <w:noWrap/>
                  <w:vAlign w:val="center"/>
                </w:tcPr>
                <w:p w14:paraId="6102C8EA">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73BB27E2">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筛选</w:t>
                  </w:r>
                  <w:r>
                    <w:rPr>
                      <w:rFonts w:hint="default" w:ascii="Times New Roman" w:hAnsi="Times New Roman" w:eastAsia="宋体" w:cs="Times New Roman"/>
                      <w:b w:val="0"/>
                      <w:bCs w:val="0"/>
                      <w:color w:val="auto"/>
                      <w:kern w:val="2"/>
                      <w:sz w:val="21"/>
                      <w:szCs w:val="21"/>
                      <w:highlight w:val="none"/>
                      <w:lang w:val="en-US" w:eastAsia="zh-CN" w:bidi="ar-SA"/>
                    </w:rPr>
                    <w:t>（S</w:t>
                  </w:r>
                  <w:r>
                    <w:rPr>
                      <w:rFonts w:hint="eastAsia" w:ascii="Times New Roman" w:hAnsi="Times New Roman" w:eastAsia="宋体" w:cs="Times New Roman"/>
                      <w:b w:val="0"/>
                      <w:bCs w:val="0"/>
                      <w:color w:val="auto"/>
                      <w:kern w:val="2"/>
                      <w:sz w:val="21"/>
                      <w:szCs w:val="21"/>
                      <w:highlight w:val="none"/>
                      <w:lang w:val="en-US" w:eastAsia="zh-CN" w:bidi="ar-SA"/>
                    </w:rPr>
                    <w:t>4</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1586" w:type="dxa"/>
                  <w:tcBorders>
                    <w:tl2br w:val="nil"/>
                    <w:tr2bl w:val="nil"/>
                  </w:tcBorders>
                  <w:noWrap/>
                  <w:vAlign w:val="center"/>
                </w:tcPr>
                <w:p w14:paraId="009D6622">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不符合尺寸的粗料</w:t>
                  </w:r>
                </w:p>
              </w:tc>
              <w:tc>
                <w:tcPr>
                  <w:tcW w:w="1103" w:type="dxa"/>
                  <w:tcBorders>
                    <w:tl2br w:val="nil"/>
                    <w:tr2bl w:val="nil"/>
                  </w:tcBorders>
                  <w:noWrap/>
                  <w:vAlign w:val="center"/>
                </w:tcPr>
                <w:p w14:paraId="4B671343">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含硅</w:t>
                  </w:r>
                  <w:r>
                    <w:rPr>
                      <w:rFonts w:hint="default" w:ascii="Times New Roman" w:hAnsi="Times New Roman" w:eastAsia="宋体" w:cs="Times New Roman"/>
                      <w:b w:val="0"/>
                      <w:bCs w:val="0"/>
                      <w:color w:val="auto"/>
                      <w:kern w:val="2"/>
                      <w:sz w:val="21"/>
                      <w:szCs w:val="21"/>
                      <w:highlight w:val="none"/>
                      <w:lang w:val="en-US" w:eastAsia="zh-CN" w:bidi="ar-SA"/>
                    </w:rPr>
                    <w:t>粗料</w:t>
                  </w:r>
                </w:p>
              </w:tc>
              <w:tc>
                <w:tcPr>
                  <w:tcW w:w="3765" w:type="dxa"/>
                  <w:gridSpan w:val="3"/>
                  <w:tcBorders>
                    <w:tl2br w:val="nil"/>
                    <w:tr2bl w:val="nil"/>
                  </w:tcBorders>
                  <w:noWrap/>
                  <w:vAlign w:val="center"/>
                </w:tcPr>
                <w:p w14:paraId="23B90704">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收集后外售</w:t>
                  </w:r>
                </w:p>
              </w:tc>
            </w:tr>
            <w:tr w14:paraId="7BD1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9" w:type="dxa"/>
                  <w:vMerge w:val="continue"/>
                  <w:tcBorders>
                    <w:tl2br w:val="nil"/>
                    <w:tr2bl w:val="nil"/>
                  </w:tcBorders>
                  <w:noWrap/>
                  <w:vAlign w:val="center"/>
                </w:tcPr>
                <w:p w14:paraId="324E3BE6">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78E6181F">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rPr>
                    <w:t>废气处理</w:t>
                  </w:r>
                </w:p>
              </w:tc>
              <w:tc>
                <w:tcPr>
                  <w:tcW w:w="1586" w:type="dxa"/>
                  <w:tcBorders>
                    <w:tl2br w:val="nil"/>
                    <w:tr2bl w:val="nil"/>
                  </w:tcBorders>
                  <w:noWrap/>
                  <w:vAlign w:val="center"/>
                </w:tcPr>
                <w:p w14:paraId="5319D86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除尘器收尘</w:t>
                  </w:r>
                </w:p>
              </w:tc>
              <w:tc>
                <w:tcPr>
                  <w:tcW w:w="1103" w:type="dxa"/>
                  <w:tcBorders>
                    <w:tl2br w:val="nil"/>
                    <w:tr2bl w:val="nil"/>
                  </w:tcBorders>
                  <w:noWrap/>
                  <w:vAlign w:val="center"/>
                </w:tcPr>
                <w:p w14:paraId="3D6DFED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含硅颗粒</w:t>
                  </w:r>
                </w:p>
              </w:tc>
              <w:tc>
                <w:tcPr>
                  <w:tcW w:w="3765" w:type="dxa"/>
                  <w:gridSpan w:val="3"/>
                  <w:tcBorders>
                    <w:tl2br w:val="nil"/>
                    <w:tr2bl w:val="nil"/>
                  </w:tcBorders>
                  <w:noWrap/>
                  <w:vAlign w:val="center"/>
                </w:tcPr>
                <w:p w14:paraId="0586D8A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收集后外售</w:t>
                  </w:r>
                </w:p>
              </w:tc>
            </w:tr>
            <w:tr w14:paraId="59E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 w:hRule="atLeast"/>
                <w:jc w:val="center"/>
              </w:trPr>
              <w:tc>
                <w:tcPr>
                  <w:tcW w:w="629" w:type="dxa"/>
                  <w:vMerge w:val="continue"/>
                  <w:tcBorders>
                    <w:tl2br w:val="nil"/>
                    <w:tr2bl w:val="nil"/>
                  </w:tcBorders>
                  <w:noWrap/>
                  <w:vAlign w:val="center"/>
                </w:tcPr>
                <w:p w14:paraId="60838E09">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4CCAE8C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kern w:val="0"/>
                      <w:sz w:val="21"/>
                      <w:szCs w:val="21"/>
                      <w:highlight w:val="none"/>
                      <w:lang w:val="en-US" w:eastAsia="zh-CN"/>
                    </w:rPr>
                  </w:pPr>
                  <w:r>
                    <w:rPr>
                      <w:rFonts w:hint="eastAsia" w:eastAsia="宋体" w:cs="Times New Roman"/>
                      <w:b w:val="0"/>
                      <w:bCs w:val="0"/>
                      <w:color w:val="auto"/>
                      <w:kern w:val="0"/>
                      <w:sz w:val="21"/>
                      <w:szCs w:val="21"/>
                      <w:highlight w:val="none"/>
                      <w:lang w:val="en-US" w:eastAsia="zh-CN"/>
                    </w:rPr>
                    <w:t>废气处理</w:t>
                  </w:r>
                </w:p>
              </w:tc>
              <w:tc>
                <w:tcPr>
                  <w:tcW w:w="1586" w:type="dxa"/>
                  <w:tcBorders>
                    <w:tl2br w:val="nil"/>
                    <w:tr2bl w:val="nil"/>
                  </w:tcBorders>
                  <w:noWrap/>
                  <w:vAlign w:val="center"/>
                </w:tcPr>
                <w:p w14:paraId="14004F4A">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废布袋</w:t>
                  </w:r>
                </w:p>
              </w:tc>
              <w:tc>
                <w:tcPr>
                  <w:tcW w:w="1103" w:type="dxa"/>
                  <w:tcBorders>
                    <w:tl2br w:val="nil"/>
                    <w:tr2bl w:val="nil"/>
                  </w:tcBorders>
                  <w:noWrap/>
                  <w:vAlign w:val="center"/>
                </w:tcPr>
                <w:p w14:paraId="0FCA9C46">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含废气</w:t>
                  </w:r>
                </w:p>
              </w:tc>
              <w:tc>
                <w:tcPr>
                  <w:tcW w:w="3765" w:type="dxa"/>
                  <w:gridSpan w:val="3"/>
                  <w:tcBorders>
                    <w:tl2br w:val="nil"/>
                    <w:tr2bl w:val="nil"/>
                  </w:tcBorders>
                  <w:noWrap/>
                  <w:vAlign w:val="center"/>
                </w:tcPr>
                <w:p w14:paraId="3AA539F2">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委托有资质单位处理</w:t>
                  </w:r>
                </w:p>
              </w:tc>
            </w:tr>
            <w:tr w14:paraId="5C13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 w:hRule="atLeast"/>
                <w:jc w:val="center"/>
              </w:trPr>
              <w:tc>
                <w:tcPr>
                  <w:tcW w:w="629" w:type="dxa"/>
                  <w:vMerge w:val="continue"/>
                  <w:tcBorders>
                    <w:tl2br w:val="nil"/>
                    <w:tr2bl w:val="nil"/>
                  </w:tcBorders>
                  <w:noWrap/>
                  <w:vAlign w:val="center"/>
                </w:tcPr>
                <w:p w14:paraId="4D2F0229">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6F0D299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kern w:val="0"/>
                      <w:sz w:val="21"/>
                      <w:szCs w:val="21"/>
                      <w:highlight w:val="none"/>
                      <w:lang w:val="en-US" w:eastAsia="zh-CN"/>
                    </w:rPr>
                  </w:pPr>
                  <w:r>
                    <w:rPr>
                      <w:rFonts w:hint="eastAsia" w:eastAsia="宋体" w:cs="Times New Roman"/>
                      <w:b w:val="0"/>
                      <w:bCs w:val="0"/>
                      <w:color w:val="auto"/>
                      <w:kern w:val="0"/>
                      <w:sz w:val="21"/>
                      <w:szCs w:val="21"/>
                      <w:highlight w:val="none"/>
                      <w:lang w:val="en-US" w:eastAsia="zh-CN"/>
                    </w:rPr>
                    <w:t>废气处理</w:t>
                  </w:r>
                </w:p>
              </w:tc>
              <w:tc>
                <w:tcPr>
                  <w:tcW w:w="1586" w:type="dxa"/>
                  <w:tcBorders>
                    <w:tl2br w:val="nil"/>
                    <w:tr2bl w:val="nil"/>
                  </w:tcBorders>
                  <w:noWrap/>
                  <w:vAlign w:val="center"/>
                </w:tcPr>
                <w:p w14:paraId="111FB8B5">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废活性炭</w:t>
                  </w:r>
                </w:p>
              </w:tc>
              <w:tc>
                <w:tcPr>
                  <w:tcW w:w="1103" w:type="dxa"/>
                  <w:tcBorders>
                    <w:tl2br w:val="nil"/>
                    <w:tr2bl w:val="nil"/>
                  </w:tcBorders>
                  <w:noWrap/>
                  <w:vAlign w:val="center"/>
                </w:tcPr>
                <w:p w14:paraId="21298D9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活性炭</w:t>
                  </w:r>
                </w:p>
              </w:tc>
              <w:tc>
                <w:tcPr>
                  <w:tcW w:w="3765" w:type="dxa"/>
                  <w:gridSpan w:val="3"/>
                  <w:tcBorders>
                    <w:tl2br w:val="nil"/>
                    <w:tr2bl w:val="nil"/>
                  </w:tcBorders>
                  <w:noWrap/>
                  <w:vAlign w:val="center"/>
                </w:tcPr>
                <w:p w14:paraId="31BEE4AB">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委托有资质单位处理</w:t>
                  </w:r>
                </w:p>
              </w:tc>
            </w:tr>
            <w:tr w14:paraId="7886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 w:hRule="atLeast"/>
                <w:jc w:val="center"/>
              </w:trPr>
              <w:tc>
                <w:tcPr>
                  <w:tcW w:w="629" w:type="dxa"/>
                  <w:vMerge w:val="continue"/>
                  <w:tcBorders>
                    <w:tl2br w:val="nil"/>
                    <w:tr2bl w:val="nil"/>
                  </w:tcBorders>
                  <w:noWrap/>
                  <w:vAlign w:val="center"/>
                </w:tcPr>
                <w:p w14:paraId="2DCB00D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p>
              </w:tc>
              <w:tc>
                <w:tcPr>
                  <w:tcW w:w="1282" w:type="dxa"/>
                  <w:gridSpan w:val="2"/>
                  <w:tcBorders>
                    <w:tl2br w:val="nil"/>
                    <w:tr2bl w:val="nil"/>
                  </w:tcBorders>
                  <w:noWrap/>
                  <w:vAlign w:val="center"/>
                </w:tcPr>
                <w:p w14:paraId="7AB3F040">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0"/>
                      <w:sz w:val="21"/>
                      <w:szCs w:val="21"/>
                      <w:highlight w:val="none"/>
                      <w:lang w:val="en-US" w:eastAsia="zh-CN"/>
                    </w:rPr>
                  </w:pPr>
                  <w:r>
                    <w:rPr>
                      <w:rFonts w:hint="eastAsia" w:eastAsia="宋体" w:cs="Times New Roman"/>
                      <w:b w:val="0"/>
                      <w:bCs w:val="0"/>
                      <w:color w:val="auto"/>
                      <w:kern w:val="0"/>
                      <w:sz w:val="21"/>
                      <w:szCs w:val="21"/>
                      <w:highlight w:val="none"/>
                      <w:lang w:val="en-US" w:eastAsia="zh-CN"/>
                    </w:rPr>
                    <w:t>设备维修</w:t>
                  </w:r>
                </w:p>
              </w:tc>
              <w:tc>
                <w:tcPr>
                  <w:tcW w:w="1586" w:type="dxa"/>
                  <w:tcBorders>
                    <w:tl2br w:val="nil"/>
                    <w:tr2bl w:val="nil"/>
                  </w:tcBorders>
                  <w:noWrap/>
                  <w:vAlign w:val="center"/>
                </w:tcPr>
                <w:p w14:paraId="11FF310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废机油及油桶</w:t>
                  </w:r>
                </w:p>
              </w:tc>
              <w:tc>
                <w:tcPr>
                  <w:tcW w:w="1103" w:type="dxa"/>
                  <w:tcBorders>
                    <w:tl2br w:val="nil"/>
                    <w:tr2bl w:val="nil"/>
                  </w:tcBorders>
                  <w:noWrap/>
                  <w:vAlign w:val="center"/>
                </w:tcPr>
                <w:p w14:paraId="3C0830D5">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矿物油类</w:t>
                  </w:r>
                </w:p>
              </w:tc>
              <w:tc>
                <w:tcPr>
                  <w:tcW w:w="3765" w:type="dxa"/>
                  <w:gridSpan w:val="3"/>
                  <w:tcBorders>
                    <w:tl2br w:val="nil"/>
                    <w:tr2bl w:val="nil"/>
                  </w:tcBorders>
                  <w:noWrap/>
                  <w:vAlign w:val="center"/>
                </w:tcPr>
                <w:p w14:paraId="36C311E8">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委托有资质单位处理</w:t>
                  </w:r>
                </w:p>
              </w:tc>
            </w:tr>
            <w:tr w14:paraId="1EF1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629" w:type="dxa"/>
                  <w:tcBorders>
                    <w:tl2br w:val="nil"/>
                    <w:tr2bl w:val="nil"/>
                  </w:tcBorders>
                  <w:noWrap/>
                  <w:vAlign w:val="center"/>
                </w:tcPr>
                <w:p w14:paraId="582660DE">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噪声</w:t>
                  </w:r>
                </w:p>
              </w:tc>
              <w:tc>
                <w:tcPr>
                  <w:tcW w:w="1282" w:type="dxa"/>
                  <w:gridSpan w:val="2"/>
                  <w:tcBorders>
                    <w:tl2br w:val="nil"/>
                    <w:tr2bl w:val="nil"/>
                  </w:tcBorders>
                  <w:noWrap/>
                  <w:vAlign w:val="center"/>
                </w:tcPr>
                <w:p w14:paraId="1864A704">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设备</w:t>
                  </w:r>
                </w:p>
              </w:tc>
              <w:tc>
                <w:tcPr>
                  <w:tcW w:w="1586" w:type="dxa"/>
                  <w:tcBorders>
                    <w:tl2br w:val="nil"/>
                    <w:tr2bl w:val="nil"/>
                  </w:tcBorders>
                  <w:noWrap/>
                  <w:vAlign w:val="center"/>
                </w:tcPr>
                <w:p w14:paraId="4161B13D">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噪声</w:t>
                  </w:r>
                </w:p>
              </w:tc>
              <w:tc>
                <w:tcPr>
                  <w:tcW w:w="1103" w:type="dxa"/>
                  <w:tcBorders>
                    <w:tl2br w:val="nil"/>
                    <w:tr2bl w:val="nil"/>
                  </w:tcBorders>
                  <w:noWrap/>
                  <w:vAlign w:val="center"/>
                </w:tcPr>
                <w:p w14:paraId="283CD09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sz w:val="21"/>
                      <w:szCs w:val="21"/>
                      <w:highlight w:val="none"/>
                    </w:rPr>
                    <w:t>Leq（A）</w:t>
                  </w:r>
                </w:p>
              </w:tc>
              <w:tc>
                <w:tcPr>
                  <w:tcW w:w="3765" w:type="dxa"/>
                  <w:gridSpan w:val="3"/>
                  <w:tcBorders>
                    <w:tl2br w:val="nil"/>
                    <w:tr2bl w:val="nil"/>
                  </w:tcBorders>
                  <w:noWrap/>
                  <w:vAlign w:val="center"/>
                </w:tcPr>
                <w:p w14:paraId="565861A7">
                  <w:pPr>
                    <w:keepNext w:val="0"/>
                    <w:keepLines w:val="0"/>
                    <w:pageBreakBefore w:val="0"/>
                    <w:widowControl/>
                    <w:tabs>
                      <w:tab w:val="left" w:pos="120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隔声、减振、消声等</w:t>
                  </w:r>
                </w:p>
              </w:tc>
            </w:tr>
          </w:tbl>
          <w:tbl>
            <w:tblPr>
              <w:tblStyle w:val="31"/>
              <w:tblW w:w="614" w:type="dxa"/>
              <w:tblInd w:w="-2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
              <w:gridCol w:w="298"/>
              <w:gridCol w:w="26"/>
            </w:tblGrid>
            <w:tr w14:paraId="24FA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6" w:type="dxa"/>
                <w:trHeight w:val="30" w:hRule="atLeast"/>
              </w:trPr>
              <w:tc>
                <w:tcPr>
                  <w:tcW w:w="588" w:type="dxa"/>
                  <w:gridSpan w:val="2"/>
                  <w:noWrap w:val="0"/>
                  <w:vAlign w:val="top"/>
                </w:tcPr>
                <w:p w14:paraId="53F557E8">
                  <w:pPr>
                    <w:pStyle w:val="28"/>
                    <w:keepNext w:val="0"/>
                    <w:keepLines w:val="0"/>
                    <w:pageBreakBefore w:val="0"/>
                    <w:widowControl/>
                    <w:numPr>
                      <w:ilvl w:val="0"/>
                      <w:numId w:val="0"/>
                    </w:numPr>
                    <w:tabs>
                      <w:tab w:val="left" w:pos="1200"/>
                    </w:tabs>
                    <w:kinsoku/>
                    <w:wordWrap/>
                    <w:overflowPunct/>
                    <w:topLinePunct w:val="0"/>
                    <w:autoSpaceDE/>
                    <w:autoSpaceDN/>
                    <w:bidi w:val="0"/>
                    <w:adjustRightInd/>
                    <w:snapToGrid w:val="0"/>
                    <w:spacing w:before="0" w:after="0" w:line="360" w:lineRule="auto"/>
                    <w:ind w:right="0" w:rightChars="0"/>
                    <w:textAlignment w:val="auto"/>
                    <w:rPr>
                      <w:rFonts w:hint="default" w:ascii="Times New Roman" w:hAnsi="Times New Roman" w:eastAsia="宋体" w:cs="Times New Roman"/>
                      <w:color w:val="auto"/>
                      <w:sz w:val="24"/>
                      <w:highlight w:val="none"/>
                      <w:vertAlign w:val="baseline"/>
                      <w:lang w:val="en-US" w:eastAsia="zh-CN"/>
                    </w:rPr>
                  </w:pPr>
                </w:p>
              </w:tc>
            </w:tr>
            <w:tr w14:paraId="4F6F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0" w:type="dxa"/>
                <w:trHeight w:val="40" w:hRule="atLeast"/>
              </w:trPr>
              <w:tc>
                <w:tcPr>
                  <w:tcW w:w="324" w:type="dxa"/>
                  <w:gridSpan w:val="2"/>
                  <w:noWrap w:val="0"/>
                  <w:vAlign w:val="top"/>
                </w:tcPr>
                <w:p w14:paraId="644EB369">
                  <w:pPr>
                    <w:pStyle w:val="28"/>
                    <w:keepNext w:val="0"/>
                    <w:keepLines w:val="0"/>
                    <w:pageBreakBefore w:val="0"/>
                    <w:widowControl/>
                    <w:numPr>
                      <w:ilvl w:val="0"/>
                      <w:numId w:val="0"/>
                    </w:numPr>
                    <w:tabs>
                      <w:tab w:val="left" w:pos="1200"/>
                    </w:tabs>
                    <w:kinsoku/>
                    <w:wordWrap/>
                    <w:overflowPunct/>
                    <w:topLinePunct w:val="0"/>
                    <w:autoSpaceDE/>
                    <w:autoSpaceDN/>
                    <w:bidi w:val="0"/>
                    <w:adjustRightInd/>
                    <w:snapToGrid w:val="0"/>
                    <w:spacing w:before="0" w:after="0" w:line="360" w:lineRule="auto"/>
                    <w:ind w:right="0" w:rightChars="0"/>
                    <w:textAlignment w:val="auto"/>
                    <w:rPr>
                      <w:rFonts w:hint="default" w:ascii="Times New Roman" w:hAnsi="Times New Roman" w:eastAsia="宋体" w:cs="Times New Roman"/>
                      <w:color w:val="auto"/>
                      <w:sz w:val="24"/>
                      <w:highlight w:val="none"/>
                      <w:vertAlign w:val="baseline"/>
                      <w:lang w:val="en-US" w:eastAsia="zh-CN"/>
                    </w:rPr>
                  </w:pPr>
                  <w:r>
                    <w:rPr>
                      <w:rFonts w:hint="eastAsia"/>
                      <w:color w:val="auto"/>
                      <w:highlight w:val="none"/>
                      <w:lang w:eastAsia="zh-CN"/>
                    </w:rPr>
                    <w:tab/>
                  </w:r>
                </w:p>
              </w:tc>
            </w:tr>
          </w:tbl>
          <w:p w14:paraId="6F1C519F">
            <w:pPr>
              <w:pStyle w:val="28"/>
              <w:keepNext w:val="0"/>
              <w:keepLines w:val="0"/>
              <w:pageBreakBefore w:val="0"/>
              <w:widowControl/>
              <w:numPr>
                <w:ilvl w:val="0"/>
                <w:numId w:val="0"/>
              </w:numPr>
              <w:tabs>
                <w:tab w:val="left" w:pos="1200"/>
              </w:tabs>
              <w:kinsoku/>
              <w:wordWrap/>
              <w:overflowPunct/>
              <w:topLinePunct w:val="0"/>
              <w:autoSpaceDE/>
              <w:autoSpaceDN/>
              <w:bidi w:val="0"/>
              <w:adjustRightInd/>
              <w:snapToGrid w:val="0"/>
              <w:spacing w:before="0" w:after="0" w:line="360" w:lineRule="auto"/>
              <w:ind w:right="0" w:rightChars="0" w:firstLine="480" w:firstLineChars="200"/>
              <w:textAlignment w:val="auto"/>
              <w:rPr>
                <w:rFonts w:hint="default" w:ascii="Times New Roman" w:hAnsi="Times New Roman" w:eastAsia="宋体" w:cs="Times New Roman"/>
                <w:color w:val="auto"/>
                <w:sz w:val="24"/>
                <w:highlight w:val="none"/>
                <w:lang w:val="en-US" w:eastAsia="zh-CN"/>
              </w:rPr>
            </w:pPr>
          </w:p>
        </w:tc>
      </w:tr>
      <w:tr w14:paraId="1D2D1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4" w:type="dxa"/>
            <w:noWrap w:val="0"/>
            <w:vAlign w:val="center"/>
          </w:tcPr>
          <w:p w14:paraId="6989ACE8">
            <w:pPr>
              <w:pStyle w:val="26"/>
              <w:adjustRightInd w:val="0"/>
              <w:snapToGrid w:val="0"/>
              <w:spacing w:before="0" w:beforeAutospacing="0" w:after="0" w:afterAutospacing="0"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kern w:val="2"/>
                <w:sz w:val="24"/>
                <w:szCs w:val="24"/>
                <w:highlight w:val="none"/>
              </w:rPr>
              <w:t>与项目有关的</w:t>
            </w:r>
            <w:r>
              <w:rPr>
                <w:rFonts w:hint="eastAsia" w:ascii="Times New Roman" w:hAnsi="Times New Roman" w:cs="Times New Roman"/>
                <w:bCs/>
                <w:color w:val="auto"/>
                <w:kern w:val="2"/>
                <w:sz w:val="24"/>
                <w:szCs w:val="24"/>
                <w:highlight w:val="none"/>
                <w:lang w:eastAsia="zh-CN"/>
              </w:rPr>
              <w:t>现有</w:t>
            </w:r>
            <w:r>
              <w:rPr>
                <w:rFonts w:hint="default" w:ascii="Times New Roman" w:hAnsi="Times New Roman" w:eastAsia="宋体" w:cs="Times New Roman"/>
                <w:bCs/>
                <w:color w:val="auto"/>
                <w:kern w:val="2"/>
                <w:sz w:val="24"/>
                <w:szCs w:val="24"/>
                <w:highlight w:val="none"/>
              </w:rPr>
              <w:t>环境污染问题</w:t>
            </w:r>
          </w:p>
        </w:tc>
        <w:tc>
          <w:tcPr>
            <w:tcW w:w="8580" w:type="dxa"/>
            <w:noWrap w:val="0"/>
            <w:vAlign w:val="top"/>
          </w:tcPr>
          <w:p w14:paraId="75A45B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一、现有工程概况</w:t>
            </w:r>
          </w:p>
          <w:p w14:paraId="044C98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cs="Times New Roman"/>
                <w:color w:val="auto"/>
                <w:sz w:val="24"/>
                <w:szCs w:val="24"/>
                <w:highlight w:val="none"/>
                <w:vertAlign w:val="baseline"/>
                <w:lang w:val="en-US" w:eastAsia="zh-CN"/>
              </w:rPr>
              <w:t>山东辰宇稀有材料科技有限公司于2013年12月13日取得了《山东辰宇稀有材料科技有限公司年产600吨高纯再生硅材料项目环境影响报告表》泗水县环境保护局的批复意见，批复文号：泗环审字[2013]194号（见附件）。公司在后期建设及运营过程中建设方案及污染物处理措施发生了改变。于2016年企业委托编制《山东辰宇稀有材料科技有限公司年产600吨高纯再生硅材料变更项目环境影响报告表》；2017年5月4日泗水县环保局验收组主持召开了山东辰宇稀有材料科技有限公司年产600吨高纯再生硅材料及其变更项目竣工环境保护验收会议，并取得年产600吨高纯再生硅材料及其变更项目验收意见，验收文号：泗环验[2017]18号。</w:t>
            </w:r>
            <w:r>
              <w:rPr>
                <w:rFonts w:hint="eastAsia" w:ascii="Times New Roman" w:hAnsi="Times New Roman" w:eastAsia="宋体" w:cs="Times New Roman"/>
                <w:b w:val="0"/>
                <w:bCs w:val="0"/>
                <w:color w:val="auto"/>
                <w:kern w:val="0"/>
                <w:sz w:val="24"/>
                <w:szCs w:val="24"/>
                <w:highlight w:val="none"/>
                <w:lang w:val="en-US" w:eastAsia="zh-CN"/>
              </w:rPr>
              <w:t>公司于2020年申请排污许可简化管理，排污单位编码：91370831089788251G，并于2023年4月申请排污许可延续。2023年12月进行了重新申请。现有工程产品方案为年产600t硅材料，生产工艺为喷砂打磨、漂洗、烘干、包装，其中漂洗工段于2021年起至今停用，其余工段自2025年1月起至今处于停产状态。</w:t>
            </w:r>
          </w:p>
          <w:p w14:paraId="137CFDA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现有工程产品方案</w:t>
            </w:r>
          </w:p>
          <w:p w14:paraId="66AA409A">
            <w:pPr>
              <w:pStyle w:val="101"/>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表2-10项目现有工程组成情况一览表</w:t>
            </w:r>
          </w:p>
          <w:tbl>
            <w:tblPr>
              <w:tblStyle w:val="10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7"/>
              <w:gridCol w:w="1985"/>
              <w:gridCol w:w="3442"/>
            </w:tblGrid>
            <w:tr w14:paraId="6256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 w:hRule="atLeast"/>
                <w:jc w:val="center"/>
              </w:trPr>
              <w:tc>
                <w:tcPr>
                  <w:tcW w:w="2927" w:type="dxa"/>
                  <w:tcBorders>
                    <w:tl2br w:val="nil"/>
                    <w:tr2bl w:val="nil"/>
                  </w:tcBorders>
                  <w:noWrap w:val="0"/>
                  <w:vAlign w:val="center"/>
                </w:tcPr>
                <w:p w14:paraId="172B586B">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eastAsia="宋体"/>
                      <w:b w:val="0"/>
                      <w:bCs w:val="0"/>
                      <w:color w:val="auto"/>
                      <w:spacing w:val="-5"/>
                      <w:sz w:val="21"/>
                      <w:szCs w:val="21"/>
                      <w:highlight w:val="none"/>
                      <w:lang w:val="en-US" w:eastAsia="zh-CN"/>
                    </w:rPr>
                    <w:t>现有项目产品</w:t>
                  </w:r>
                </w:p>
              </w:tc>
              <w:tc>
                <w:tcPr>
                  <w:tcW w:w="1985" w:type="dxa"/>
                  <w:tcBorders>
                    <w:tl2br w:val="nil"/>
                    <w:tr2bl w:val="nil"/>
                  </w:tcBorders>
                  <w:noWrap w:val="0"/>
                  <w:vAlign w:val="center"/>
                </w:tcPr>
                <w:p w14:paraId="5828BD25">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hint="eastAsia" w:ascii="Times New Roman" w:hAnsi="Times New Roman" w:eastAsia="宋体"/>
                      <w:b w:val="0"/>
                      <w:bCs w:val="0"/>
                      <w:color w:val="auto"/>
                      <w:sz w:val="21"/>
                      <w:szCs w:val="21"/>
                      <w:highlight w:val="none"/>
                      <w:lang w:eastAsia="zh-CN"/>
                    </w:rPr>
                  </w:pPr>
                  <w:r>
                    <w:rPr>
                      <w:rFonts w:hint="eastAsia" w:ascii="Times New Roman" w:hAnsi="Times New Roman" w:eastAsia="宋体"/>
                      <w:b w:val="0"/>
                      <w:bCs w:val="0"/>
                      <w:color w:val="auto"/>
                      <w:spacing w:val="2"/>
                      <w:sz w:val="21"/>
                      <w:szCs w:val="21"/>
                      <w:highlight w:val="none"/>
                      <w:lang w:val="en-US" w:eastAsia="zh-CN"/>
                    </w:rPr>
                    <w:t>单位</w:t>
                  </w:r>
                </w:p>
              </w:tc>
              <w:tc>
                <w:tcPr>
                  <w:tcW w:w="3442" w:type="dxa"/>
                  <w:tcBorders>
                    <w:tl2br w:val="nil"/>
                    <w:tr2bl w:val="nil"/>
                  </w:tcBorders>
                  <w:noWrap w:val="0"/>
                  <w:vAlign w:val="center"/>
                </w:tcPr>
                <w:p w14:paraId="50E48793">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eastAsia="宋体"/>
                      <w:b w:val="0"/>
                      <w:bCs w:val="0"/>
                      <w:color w:val="auto"/>
                      <w:sz w:val="21"/>
                      <w:szCs w:val="21"/>
                      <w:highlight w:val="none"/>
                      <w:lang w:val="en-US" w:eastAsia="zh-CN"/>
                    </w:rPr>
                    <w:t>产量</w:t>
                  </w:r>
                </w:p>
              </w:tc>
            </w:tr>
            <w:tr w14:paraId="2F7B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2927" w:type="dxa"/>
                  <w:tcBorders>
                    <w:tl2br w:val="nil"/>
                    <w:tr2bl w:val="nil"/>
                  </w:tcBorders>
                  <w:noWrap w:val="0"/>
                  <w:vAlign w:val="center"/>
                </w:tcPr>
                <w:p w14:paraId="5BCCB48F">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高纯再生硅材料</w:t>
                  </w:r>
                </w:p>
              </w:tc>
              <w:tc>
                <w:tcPr>
                  <w:tcW w:w="1985" w:type="dxa"/>
                  <w:tcBorders>
                    <w:tl2br w:val="nil"/>
                    <w:tr2bl w:val="nil"/>
                  </w:tcBorders>
                  <w:noWrap w:val="0"/>
                  <w:vAlign w:val="center"/>
                </w:tcPr>
                <w:p w14:paraId="620B75E6">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eastAsia="宋体"/>
                      <w:b w:val="0"/>
                      <w:bCs w:val="0"/>
                      <w:color w:val="auto"/>
                      <w:sz w:val="21"/>
                      <w:szCs w:val="21"/>
                      <w:highlight w:val="none"/>
                      <w:lang w:val="en-US" w:eastAsia="zh-CN"/>
                    </w:rPr>
                    <w:t>t/a</w:t>
                  </w:r>
                </w:p>
              </w:tc>
              <w:tc>
                <w:tcPr>
                  <w:tcW w:w="3442" w:type="dxa"/>
                  <w:tcBorders>
                    <w:tl2br w:val="nil"/>
                    <w:tr2bl w:val="nil"/>
                  </w:tcBorders>
                  <w:noWrap w:val="0"/>
                  <w:vAlign w:val="center"/>
                </w:tcPr>
                <w:p w14:paraId="14B2C047">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eastAsia="宋体"/>
                      <w:b w:val="0"/>
                      <w:bCs w:val="0"/>
                      <w:color w:val="auto"/>
                      <w:sz w:val="21"/>
                      <w:szCs w:val="21"/>
                      <w:highlight w:val="none"/>
                      <w:lang w:val="en-US" w:eastAsia="zh-CN"/>
                    </w:rPr>
                    <w:t>600</w:t>
                  </w:r>
                </w:p>
              </w:tc>
            </w:tr>
          </w:tbl>
          <w:p w14:paraId="61564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b/>
                <w:bCs/>
                <w:color w:val="auto"/>
                <w:sz w:val="24"/>
                <w:szCs w:val="24"/>
                <w:highlight w:val="none"/>
                <w:vertAlign w:val="baseline"/>
                <w:lang w:val="en-US" w:eastAsia="zh-CN"/>
              </w:rPr>
              <w:t>三、现有工程组成情况</w:t>
            </w:r>
          </w:p>
          <w:p w14:paraId="6B64D413">
            <w:pPr>
              <w:pStyle w:val="101"/>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表2-11项目现有工程组成情况一览表</w:t>
            </w:r>
          </w:p>
          <w:tbl>
            <w:tblPr>
              <w:tblStyle w:val="10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9"/>
              <w:gridCol w:w="951"/>
              <w:gridCol w:w="1667"/>
              <w:gridCol w:w="4827"/>
            </w:tblGrid>
            <w:tr w14:paraId="543D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860" w:type="dxa"/>
                  <w:gridSpan w:val="2"/>
                  <w:tcBorders>
                    <w:tl2br w:val="nil"/>
                    <w:tr2bl w:val="nil"/>
                  </w:tcBorders>
                  <w:noWrap w:val="0"/>
                  <w:vAlign w:val="center"/>
                </w:tcPr>
                <w:p w14:paraId="075DE876">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b/>
                      <w:bCs/>
                      <w:color w:val="auto"/>
                      <w:spacing w:val="-5"/>
                      <w:sz w:val="21"/>
                      <w:szCs w:val="21"/>
                      <w:highlight w:val="none"/>
                    </w:rPr>
                    <w:t>工程组成</w:t>
                  </w:r>
                </w:p>
              </w:tc>
              <w:tc>
                <w:tcPr>
                  <w:tcW w:w="1667" w:type="dxa"/>
                  <w:tcBorders>
                    <w:tl2br w:val="nil"/>
                    <w:tr2bl w:val="nil"/>
                  </w:tcBorders>
                  <w:noWrap w:val="0"/>
                  <w:vAlign w:val="center"/>
                </w:tcPr>
                <w:p w14:paraId="1349A0CD">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2"/>
                      <w:sz w:val="21"/>
                      <w:szCs w:val="21"/>
                      <w:highlight w:val="none"/>
                    </w:rPr>
                    <w:t>工程内容</w:t>
                  </w:r>
                </w:p>
              </w:tc>
              <w:tc>
                <w:tcPr>
                  <w:tcW w:w="4827" w:type="dxa"/>
                  <w:tcBorders>
                    <w:tl2br w:val="nil"/>
                    <w:tr2bl w:val="nil"/>
                  </w:tcBorders>
                  <w:noWrap w:val="0"/>
                  <w:vAlign w:val="center"/>
                </w:tcPr>
                <w:p w14:paraId="6E034EED">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5"/>
                      <w:sz w:val="21"/>
                      <w:szCs w:val="21"/>
                      <w:highlight w:val="none"/>
                    </w:rPr>
                    <w:t>备注</w:t>
                  </w:r>
                </w:p>
              </w:tc>
            </w:tr>
            <w:tr w14:paraId="2FAA7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9" w:type="dxa"/>
                  <w:tcBorders>
                    <w:tl2br w:val="nil"/>
                    <w:tr2bl w:val="nil"/>
                  </w:tcBorders>
                  <w:noWrap w:val="0"/>
                  <w:vAlign w:val="center"/>
                </w:tcPr>
                <w:p w14:paraId="6F6EAE51">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pacing w:val="-3"/>
                      <w:sz w:val="21"/>
                      <w:szCs w:val="21"/>
                      <w:highlight w:val="none"/>
                    </w:rPr>
                  </w:pPr>
                  <w:r>
                    <w:rPr>
                      <w:rFonts w:ascii="Times New Roman" w:hAnsi="Times New Roman" w:eastAsia="宋体"/>
                      <w:color w:val="auto"/>
                      <w:spacing w:val="-3"/>
                      <w:sz w:val="21"/>
                      <w:szCs w:val="21"/>
                      <w:highlight w:val="none"/>
                    </w:rPr>
                    <w:t>主体</w:t>
                  </w:r>
                </w:p>
                <w:p w14:paraId="1F258BAD">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3"/>
                      <w:sz w:val="21"/>
                      <w:szCs w:val="21"/>
                      <w:highlight w:val="none"/>
                    </w:rPr>
                    <w:t>工程</w:t>
                  </w:r>
                </w:p>
              </w:tc>
              <w:tc>
                <w:tcPr>
                  <w:tcW w:w="951" w:type="dxa"/>
                  <w:tcBorders>
                    <w:tl2br w:val="nil"/>
                    <w:tr2bl w:val="nil"/>
                  </w:tcBorders>
                  <w:noWrap w:val="0"/>
                  <w:vAlign w:val="center"/>
                </w:tcPr>
                <w:p w14:paraId="28505889">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5"/>
                      <w:sz w:val="21"/>
                      <w:szCs w:val="21"/>
                      <w:highlight w:val="none"/>
                    </w:rPr>
                    <w:t>生产车间</w:t>
                  </w:r>
                </w:p>
              </w:tc>
              <w:tc>
                <w:tcPr>
                  <w:tcW w:w="1667" w:type="dxa"/>
                  <w:tcBorders>
                    <w:tl2br w:val="nil"/>
                    <w:tr2bl w:val="nil"/>
                  </w:tcBorders>
                  <w:noWrap w:val="0"/>
                  <w:vAlign w:val="center"/>
                </w:tcPr>
                <w:p w14:paraId="395589B5">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4"/>
                      <w:sz w:val="21"/>
                      <w:szCs w:val="21"/>
                      <w:highlight w:val="none"/>
                    </w:rPr>
                    <w:t>1000m²</w:t>
                  </w:r>
                </w:p>
              </w:tc>
              <w:tc>
                <w:tcPr>
                  <w:tcW w:w="4827" w:type="dxa"/>
                  <w:tcBorders>
                    <w:tl2br w:val="nil"/>
                    <w:tr2bl w:val="nil"/>
                  </w:tcBorders>
                  <w:noWrap w:val="0"/>
                  <w:vAlign w:val="center"/>
                </w:tcPr>
                <w:p w14:paraId="7C16A807">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1"/>
                      <w:sz w:val="21"/>
                      <w:szCs w:val="21"/>
                      <w:highlight w:val="none"/>
                    </w:rPr>
                    <w:t>共2座，分别为1#和2#生产车间，其中1#车间主要进行预处理分拣、打磨、高温烧结、表面漂</w:t>
                  </w:r>
                  <w:r>
                    <w:rPr>
                      <w:rFonts w:ascii="Times New Roman" w:hAnsi="Times New Roman" w:eastAsia="宋体"/>
                      <w:color w:val="auto"/>
                      <w:spacing w:val="2"/>
                      <w:sz w:val="21"/>
                      <w:szCs w:val="21"/>
                      <w:highlight w:val="none"/>
                    </w:rPr>
                    <w:t>洗、手工去杂等工序；2#车间主要用于产品检验、</w:t>
                  </w:r>
                  <w:r>
                    <w:rPr>
                      <w:rFonts w:ascii="Times New Roman" w:hAnsi="Times New Roman" w:eastAsia="宋体"/>
                      <w:color w:val="auto"/>
                      <w:sz w:val="21"/>
                      <w:szCs w:val="21"/>
                      <w:highlight w:val="none"/>
                    </w:rPr>
                    <w:t>研发和包装等工序。</w:t>
                  </w:r>
                </w:p>
              </w:tc>
            </w:tr>
            <w:tr w14:paraId="4D01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jc w:val="center"/>
              </w:trPr>
              <w:tc>
                <w:tcPr>
                  <w:tcW w:w="909" w:type="dxa"/>
                  <w:vMerge w:val="restart"/>
                  <w:tcBorders>
                    <w:tl2br w:val="nil"/>
                    <w:tr2bl w:val="nil"/>
                  </w:tcBorders>
                  <w:noWrap w:val="0"/>
                  <w:vAlign w:val="center"/>
                </w:tcPr>
                <w:p w14:paraId="34005E8A">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6"/>
                      <w:sz w:val="21"/>
                      <w:szCs w:val="21"/>
                      <w:highlight w:val="none"/>
                    </w:rPr>
                    <w:t>辅助</w:t>
                  </w:r>
                  <w:r>
                    <w:rPr>
                      <w:rFonts w:ascii="Times New Roman" w:hAnsi="Times New Roman" w:eastAsia="宋体"/>
                      <w:color w:val="auto"/>
                      <w:spacing w:val="-3"/>
                      <w:sz w:val="21"/>
                      <w:szCs w:val="21"/>
                      <w:highlight w:val="none"/>
                    </w:rPr>
                    <w:t>工程</w:t>
                  </w:r>
                </w:p>
              </w:tc>
              <w:tc>
                <w:tcPr>
                  <w:tcW w:w="951" w:type="dxa"/>
                  <w:tcBorders>
                    <w:tl2br w:val="nil"/>
                    <w:tr2bl w:val="nil"/>
                  </w:tcBorders>
                  <w:noWrap w:val="0"/>
                  <w:vAlign w:val="center"/>
                </w:tcPr>
                <w:p w14:paraId="7EC086AC">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2"/>
                      <w:sz w:val="21"/>
                      <w:szCs w:val="21"/>
                      <w:highlight w:val="none"/>
                    </w:rPr>
                    <w:t>原料及成品仓库</w:t>
                  </w:r>
                </w:p>
              </w:tc>
              <w:tc>
                <w:tcPr>
                  <w:tcW w:w="1667" w:type="dxa"/>
                  <w:tcBorders>
                    <w:tl2br w:val="nil"/>
                    <w:tr2bl w:val="nil"/>
                  </w:tcBorders>
                  <w:noWrap w:val="0"/>
                  <w:vAlign w:val="center"/>
                </w:tcPr>
                <w:p w14:paraId="5BA6C9AC">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3"/>
                      <w:sz w:val="21"/>
                      <w:szCs w:val="21"/>
                      <w:highlight w:val="none"/>
                    </w:rPr>
                    <w:t>500m²</w:t>
                  </w:r>
                </w:p>
              </w:tc>
              <w:tc>
                <w:tcPr>
                  <w:tcW w:w="4827" w:type="dxa"/>
                  <w:tcBorders>
                    <w:tl2br w:val="nil"/>
                    <w:tr2bl w:val="nil"/>
                  </w:tcBorders>
                  <w:noWrap w:val="0"/>
                  <w:vAlign w:val="center"/>
                </w:tcPr>
                <w:p w14:paraId="7DD774AC">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主要用于存放原材料及成品。</w:t>
                  </w:r>
                </w:p>
              </w:tc>
            </w:tr>
            <w:tr w14:paraId="16500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909" w:type="dxa"/>
                  <w:vMerge w:val="continue"/>
                  <w:tcBorders>
                    <w:tl2br w:val="nil"/>
                    <w:tr2bl w:val="nil"/>
                  </w:tcBorders>
                  <w:noWrap w:val="0"/>
                  <w:vAlign w:val="center"/>
                </w:tcPr>
                <w:p w14:paraId="5778959A">
                  <w:pPr>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p>
              </w:tc>
              <w:tc>
                <w:tcPr>
                  <w:tcW w:w="951" w:type="dxa"/>
                  <w:tcBorders>
                    <w:tl2br w:val="nil"/>
                    <w:tr2bl w:val="nil"/>
                  </w:tcBorders>
                  <w:noWrap w:val="0"/>
                  <w:vAlign w:val="center"/>
                </w:tcPr>
                <w:p w14:paraId="4A7535F0">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2"/>
                      <w:sz w:val="21"/>
                      <w:szCs w:val="21"/>
                      <w:highlight w:val="none"/>
                    </w:rPr>
                    <w:t>危险化学品仓库</w:t>
                  </w:r>
                </w:p>
              </w:tc>
              <w:tc>
                <w:tcPr>
                  <w:tcW w:w="1667" w:type="dxa"/>
                  <w:tcBorders>
                    <w:tl2br w:val="nil"/>
                    <w:tr2bl w:val="nil"/>
                  </w:tcBorders>
                  <w:noWrap w:val="0"/>
                  <w:vAlign w:val="center"/>
                </w:tcPr>
                <w:p w14:paraId="5C8970BF">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2"/>
                      <w:sz w:val="21"/>
                      <w:szCs w:val="21"/>
                      <w:highlight w:val="none"/>
                    </w:rPr>
                    <w:t>230m²</w:t>
                  </w:r>
                </w:p>
              </w:tc>
              <w:tc>
                <w:tcPr>
                  <w:tcW w:w="4827" w:type="dxa"/>
                  <w:tcBorders>
                    <w:tl2br w:val="nil"/>
                    <w:tr2bl w:val="nil"/>
                  </w:tcBorders>
                  <w:noWrap w:val="0"/>
                  <w:vAlign w:val="center"/>
                </w:tcPr>
                <w:p w14:paraId="3DC4D82A">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主要用于存放危险化学品。</w:t>
                  </w:r>
                </w:p>
              </w:tc>
            </w:tr>
            <w:tr w14:paraId="13063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09" w:type="dxa"/>
                  <w:tcBorders>
                    <w:tl2br w:val="nil"/>
                    <w:tr2bl w:val="nil"/>
                  </w:tcBorders>
                  <w:noWrap w:val="0"/>
                  <w:vAlign w:val="center"/>
                </w:tcPr>
                <w:p w14:paraId="5C841931">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3"/>
                      <w:sz w:val="21"/>
                      <w:szCs w:val="21"/>
                      <w:highlight w:val="none"/>
                    </w:rPr>
                    <w:t>办公</w:t>
                  </w:r>
                </w:p>
              </w:tc>
              <w:tc>
                <w:tcPr>
                  <w:tcW w:w="951" w:type="dxa"/>
                  <w:tcBorders>
                    <w:tl2br w:val="nil"/>
                    <w:tr2bl w:val="nil"/>
                  </w:tcBorders>
                  <w:noWrap w:val="0"/>
                  <w:vAlign w:val="center"/>
                </w:tcPr>
                <w:p w14:paraId="0BADE2A1">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pacing w:val="1"/>
                      <w:sz w:val="21"/>
                      <w:szCs w:val="21"/>
                      <w:highlight w:val="none"/>
                    </w:rPr>
                  </w:pPr>
                  <w:r>
                    <w:rPr>
                      <w:rFonts w:ascii="Times New Roman" w:hAnsi="Times New Roman" w:eastAsia="宋体"/>
                      <w:color w:val="auto"/>
                      <w:spacing w:val="1"/>
                      <w:sz w:val="21"/>
                      <w:szCs w:val="21"/>
                      <w:highlight w:val="none"/>
                    </w:rPr>
                    <w:t>办公室</w:t>
                  </w:r>
                </w:p>
              </w:tc>
              <w:tc>
                <w:tcPr>
                  <w:tcW w:w="1667" w:type="dxa"/>
                  <w:tcBorders>
                    <w:tl2br w:val="nil"/>
                    <w:tr2bl w:val="nil"/>
                  </w:tcBorders>
                  <w:noWrap w:val="0"/>
                  <w:vAlign w:val="center"/>
                </w:tcPr>
                <w:p w14:paraId="56AB6C35">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2"/>
                      <w:sz w:val="21"/>
                      <w:szCs w:val="21"/>
                      <w:highlight w:val="none"/>
                    </w:rPr>
                    <w:t>860m²</w:t>
                  </w:r>
                </w:p>
              </w:tc>
              <w:tc>
                <w:tcPr>
                  <w:tcW w:w="4827" w:type="dxa"/>
                  <w:tcBorders>
                    <w:tl2br w:val="nil"/>
                    <w:tr2bl w:val="nil"/>
                  </w:tcBorders>
                  <w:noWrap w:val="0"/>
                  <w:vAlign w:val="center"/>
                </w:tcPr>
                <w:p w14:paraId="7CBBD8B1">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1"/>
                      <w:sz w:val="21"/>
                      <w:szCs w:val="21"/>
                      <w:highlight w:val="none"/>
                    </w:rPr>
                    <w:t>主要用于厂区经营管理和职工休息、就餐。</w:t>
                  </w:r>
                </w:p>
              </w:tc>
            </w:tr>
            <w:tr w14:paraId="5EE0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09" w:type="dxa"/>
                  <w:vMerge w:val="restart"/>
                  <w:tcBorders>
                    <w:tl2br w:val="nil"/>
                    <w:tr2bl w:val="nil"/>
                  </w:tcBorders>
                  <w:noWrap w:val="0"/>
                  <w:vAlign w:val="center"/>
                </w:tcPr>
                <w:p w14:paraId="0E925921">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3"/>
                      <w:sz w:val="21"/>
                      <w:szCs w:val="21"/>
                      <w:highlight w:val="none"/>
                    </w:rPr>
                    <w:t>环保</w:t>
                  </w:r>
                </w:p>
                <w:p w14:paraId="0DD6EB41">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3"/>
                      <w:sz w:val="21"/>
                      <w:szCs w:val="21"/>
                      <w:highlight w:val="none"/>
                    </w:rPr>
                    <w:t>工程</w:t>
                  </w:r>
                </w:p>
              </w:tc>
              <w:tc>
                <w:tcPr>
                  <w:tcW w:w="951" w:type="dxa"/>
                  <w:tcBorders>
                    <w:tl2br w:val="nil"/>
                    <w:tr2bl w:val="nil"/>
                  </w:tcBorders>
                  <w:noWrap w:val="0"/>
                  <w:vAlign w:val="center"/>
                </w:tcPr>
                <w:p w14:paraId="2D1D77F5">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3"/>
                      <w:sz w:val="21"/>
                      <w:szCs w:val="21"/>
                      <w:highlight w:val="none"/>
                    </w:rPr>
                    <w:t>污染物</w:t>
                  </w:r>
                </w:p>
              </w:tc>
              <w:tc>
                <w:tcPr>
                  <w:tcW w:w="6494" w:type="dxa"/>
                  <w:gridSpan w:val="2"/>
                  <w:tcBorders>
                    <w:tl2br w:val="nil"/>
                    <w:tr2bl w:val="nil"/>
                  </w:tcBorders>
                  <w:noWrap w:val="0"/>
                  <w:vAlign w:val="center"/>
                </w:tcPr>
                <w:p w14:paraId="0FB12B46">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b/>
                      <w:bCs/>
                      <w:color w:val="auto"/>
                      <w:spacing w:val="-5"/>
                      <w:sz w:val="21"/>
                      <w:szCs w:val="21"/>
                      <w:highlight w:val="none"/>
                    </w:rPr>
                    <w:t>处理措施</w:t>
                  </w:r>
                </w:p>
              </w:tc>
            </w:tr>
            <w:tr w14:paraId="4559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909" w:type="dxa"/>
                  <w:vMerge w:val="continue"/>
                  <w:tcBorders>
                    <w:tl2br w:val="nil"/>
                    <w:tr2bl w:val="nil"/>
                  </w:tcBorders>
                  <w:noWrap w:val="0"/>
                  <w:vAlign w:val="center"/>
                </w:tcPr>
                <w:p w14:paraId="178FB741">
                  <w:pPr>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p>
              </w:tc>
              <w:tc>
                <w:tcPr>
                  <w:tcW w:w="951" w:type="dxa"/>
                  <w:tcBorders>
                    <w:tl2br w:val="nil"/>
                    <w:tr2bl w:val="nil"/>
                  </w:tcBorders>
                  <w:noWrap w:val="0"/>
                  <w:vAlign w:val="center"/>
                </w:tcPr>
                <w:p w14:paraId="6C3FAB56">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7"/>
                      <w:sz w:val="21"/>
                      <w:szCs w:val="21"/>
                      <w:highlight w:val="none"/>
                    </w:rPr>
                    <w:t>噪声</w:t>
                  </w:r>
                </w:p>
              </w:tc>
              <w:tc>
                <w:tcPr>
                  <w:tcW w:w="6494" w:type="dxa"/>
                  <w:gridSpan w:val="2"/>
                  <w:tcBorders>
                    <w:tl2br w:val="nil"/>
                    <w:tr2bl w:val="nil"/>
                  </w:tcBorders>
                  <w:noWrap w:val="0"/>
                  <w:vAlign w:val="center"/>
                </w:tcPr>
                <w:p w14:paraId="4A1C71B5">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高噪声设备置于生产车间内，对其采用消声、隔振和减振措施。</w:t>
                  </w:r>
                </w:p>
              </w:tc>
            </w:tr>
            <w:tr w14:paraId="53545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909" w:type="dxa"/>
                  <w:vMerge w:val="continue"/>
                  <w:tcBorders>
                    <w:tl2br w:val="nil"/>
                    <w:tr2bl w:val="nil"/>
                  </w:tcBorders>
                  <w:noWrap w:val="0"/>
                  <w:vAlign w:val="center"/>
                </w:tcPr>
                <w:p w14:paraId="1D78EBC4">
                  <w:pPr>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p>
              </w:tc>
              <w:tc>
                <w:tcPr>
                  <w:tcW w:w="951" w:type="dxa"/>
                  <w:tcBorders>
                    <w:tl2br w:val="nil"/>
                    <w:tr2bl w:val="nil"/>
                  </w:tcBorders>
                  <w:noWrap w:val="0"/>
                  <w:vAlign w:val="center"/>
                </w:tcPr>
                <w:p w14:paraId="359CD17F">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7"/>
                      <w:sz w:val="21"/>
                      <w:szCs w:val="21"/>
                      <w:highlight w:val="none"/>
                    </w:rPr>
                    <w:t>废气</w:t>
                  </w:r>
                </w:p>
              </w:tc>
              <w:tc>
                <w:tcPr>
                  <w:tcW w:w="6494" w:type="dxa"/>
                  <w:gridSpan w:val="2"/>
                  <w:tcBorders>
                    <w:tl2br w:val="nil"/>
                    <w:tr2bl w:val="nil"/>
                  </w:tcBorders>
                  <w:noWrap w:val="0"/>
                  <w:vAlign w:val="center"/>
                </w:tcPr>
                <w:p w14:paraId="2BCCDFA0">
                  <w:pPr>
                    <w:pStyle w:val="100"/>
                    <w:keepNext w:val="0"/>
                    <w:keepLines w:val="0"/>
                    <w:pageBreakBefore w:val="0"/>
                    <w:widowControl/>
                    <w:tabs>
                      <w:tab w:val="left" w:pos="939"/>
                    </w:tabs>
                    <w:kinsoku w:val="0"/>
                    <w:wordWrap/>
                    <w:overflowPunct/>
                    <w:topLinePunct w:val="0"/>
                    <w:autoSpaceDE w:val="0"/>
                    <w:autoSpaceDN w:val="0"/>
                    <w:bidi w:val="0"/>
                    <w:adjustRightInd w:val="0"/>
                    <w:snapToGrid w:val="0"/>
                    <w:spacing w:line="20" w:lineRule="atLeast"/>
                    <w:ind w:left="0" w:right="0" w:firstLine="0"/>
                    <w:jc w:val="left"/>
                    <w:textAlignment w:val="baseline"/>
                    <w:rPr>
                      <w:rFonts w:hint="eastAsia" w:ascii="Times New Roman" w:hAnsi="Times New Roman" w:eastAsia="宋体"/>
                      <w:color w:val="auto"/>
                      <w:sz w:val="21"/>
                      <w:szCs w:val="21"/>
                      <w:highlight w:val="none"/>
                      <w:lang w:eastAsia="zh-CN"/>
                    </w:rPr>
                  </w:pPr>
                  <w:r>
                    <w:rPr>
                      <w:rFonts w:hint="eastAsia" w:ascii="Times New Roman" w:hAnsi="Times New Roman" w:eastAsia="宋体"/>
                      <w:color w:val="FF0000"/>
                      <w:sz w:val="21"/>
                      <w:szCs w:val="21"/>
                      <w:highlight w:val="none"/>
                      <w:lang w:eastAsia="zh-CN"/>
                    </w:rPr>
                    <w:t>打磨</w:t>
                  </w:r>
                  <w:r>
                    <w:rPr>
                      <w:rFonts w:hint="eastAsia" w:ascii="Times New Roman" w:hAnsi="Times New Roman" w:eastAsia="宋体"/>
                      <w:color w:val="FF0000"/>
                      <w:sz w:val="21"/>
                      <w:szCs w:val="21"/>
                      <w:highlight w:val="none"/>
                      <w:lang w:val="en-US" w:eastAsia="zh-CN"/>
                    </w:rPr>
                    <w:t>产生的</w:t>
                  </w:r>
                  <w:r>
                    <w:rPr>
                      <w:rFonts w:hint="eastAsia" w:ascii="Times New Roman" w:hAnsi="Times New Roman" w:eastAsia="宋体"/>
                      <w:color w:val="FF0000"/>
                      <w:sz w:val="21"/>
                      <w:szCs w:val="21"/>
                      <w:highlight w:val="none"/>
                      <w:lang w:eastAsia="zh-CN"/>
                    </w:rPr>
                    <w:t>粉尘布袋除尘器处理后由引风机引至1根15m高排气筒排放</w:t>
                  </w:r>
                  <w:r>
                    <w:rPr>
                      <w:rFonts w:hint="eastAsia" w:ascii="Times New Roman" w:hAnsi="Times New Roman"/>
                      <w:color w:val="FF0000"/>
                      <w:sz w:val="21"/>
                      <w:szCs w:val="21"/>
                      <w:highlight w:val="none"/>
                      <w:lang w:eastAsia="zh-CN"/>
                    </w:rPr>
                    <w:t>（</w:t>
                  </w:r>
                  <w:r>
                    <w:rPr>
                      <w:rFonts w:hint="eastAsia" w:ascii="Times New Roman" w:hAnsi="Times New Roman"/>
                      <w:color w:val="FF0000"/>
                      <w:sz w:val="21"/>
                      <w:szCs w:val="21"/>
                      <w:highlight w:val="none"/>
                      <w:lang w:val="en-US" w:eastAsia="zh-CN"/>
                    </w:rPr>
                    <w:t>DA001</w:t>
                  </w:r>
                  <w:r>
                    <w:rPr>
                      <w:rFonts w:hint="eastAsia" w:ascii="Times New Roman" w:hAnsi="Times New Roman"/>
                      <w:color w:val="FF0000"/>
                      <w:sz w:val="21"/>
                      <w:szCs w:val="21"/>
                      <w:highlight w:val="none"/>
                      <w:lang w:eastAsia="zh-CN"/>
                    </w:rPr>
                    <w:t>）</w:t>
                  </w:r>
                  <w:r>
                    <w:rPr>
                      <w:rFonts w:hint="eastAsia" w:ascii="Times New Roman" w:hAnsi="Times New Roman" w:eastAsia="宋体"/>
                      <w:color w:val="FF0000"/>
                      <w:sz w:val="21"/>
                      <w:szCs w:val="21"/>
                      <w:highlight w:val="none"/>
                      <w:lang w:eastAsia="zh-CN"/>
                    </w:rPr>
                    <w:t>。；漂洗</w:t>
                  </w:r>
                  <w:r>
                    <w:rPr>
                      <w:rFonts w:hint="eastAsia" w:ascii="Times New Roman" w:hAnsi="Times New Roman" w:eastAsia="宋体"/>
                      <w:color w:val="FF0000"/>
                      <w:sz w:val="21"/>
                      <w:szCs w:val="21"/>
                      <w:highlight w:val="none"/>
                      <w:lang w:val="en-US" w:eastAsia="zh-CN"/>
                    </w:rPr>
                    <w:t>工序产生的</w:t>
                  </w:r>
                  <w:r>
                    <w:rPr>
                      <w:rFonts w:hint="eastAsia" w:ascii="Times New Roman" w:hAnsi="Times New Roman" w:eastAsia="宋体"/>
                      <w:color w:val="FF0000"/>
                      <w:sz w:val="21"/>
                      <w:szCs w:val="21"/>
                      <w:highlight w:val="none"/>
                      <w:lang w:eastAsia="zh-CN"/>
                    </w:rPr>
                    <w:t>氟化物、氮氧化物、氯化氢、硫酸经二级废气洗涤处理装置处理后由引风机引入1根20m高排气筒</w:t>
                  </w:r>
                  <w:r>
                    <w:rPr>
                      <w:rFonts w:hint="eastAsia" w:ascii="Times New Roman" w:hAnsi="Times New Roman"/>
                      <w:color w:val="FF0000"/>
                      <w:sz w:val="21"/>
                      <w:szCs w:val="21"/>
                      <w:highlight w:val="none"/>
                      <w:lang w:eastAsia="zh-CN"/>
                    </w:rPr>
                    <w:t>（</w:t>
                  </w:r>
                  <w:r>
                    <w:rPr>
                      <w:rFonts w:hint="eastAsia" w:ascii="Times New Roman" w:hAnsi="Times New Roman"/>
                      <w:color w:val="FF0000"/>
                      <w:sz w:val="21"/>
                      <w:szCs w:val="21"/>
                      <w:highlight w:val="none"/>
                      <w:lang w:val="en-US" w:eastAsia="zh-CN"/>
                    </w:rPr>
                    <w:t>DA003</w:t>
                  </w:r>
                  <w:r>
                    <w:rPr>
                      <w:rFonts w:hint="eastAsia" w:ascii="Times New Roman" w:hAnsi="Times New Roman"/>
                      <w:color w:val="FF0000"/>
                      <w:sz w:val="21"/>
                      <w:szCs w:val="21"/>
                      <w:highlight w:val="none"/>
                      <w:lang w:eastAsia="zh-CN"/>
                    </w:rPr>
                    <w:t>）</w:t>
                  </w:r>
                  <w:r>
                    <w:rPr>
                      <w:rFonts w:hint="eastAsia" w:ascii="Times New Roman" w:hAnsi="Times New Roman" w:eastAsia="宋体"/>
                      <w:color w:val="FF0000"/>
                      <w:sz w:val="21"/>
                      <w:szCs w:val="21"/>
                      <w:highlight w:val="none"/>
                      <w:lang w:eastAsia="zh-CN"/>
                    </w:rPr>
                    <w:t>。</w:t>
                  </w:r>
                </w:p>
              </w:tc>
            </w:tr>
            <w:tr w14:paraId="1CE1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909" w:type="dxa"/>
                  <w:vMerge w:val="continue"/>
                  <w:tcBorders>
                    <w:tl2br w:val="nil"/>
                    <w:tr2bl w:val="nil"/>
                  </w:tcBorders>
                  <w:noWrap w:val="0"/>
                  <w:vAlign w:val="center"/>
                </w:tcPr>
                <w:p w14:paraId="2AE41782">
                  <w:pPr>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p>
              </w:tc>
              <w:tc>
                <w:tcPr>
                  <w:tcW w:w="951" w:type="dxa"/>
                  <w:tcBorders>
                    <w:tl2br w:val="nil"/>
                    <w:tr2bl w:val="nil"/>
                  </w:tcBorders>
                  <w:noWrap w:val="0"/>
                  <w:vAlign w:val="center"/>
                </w:tcPr>
                <w:p w14:paraId="42685685">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2"/>
                      <w:sz w:val="21"/>
                      <w:szCs w:val="21"/>
                      <w:highlight w:val="none"/>
                    </w:rPr>
                    <w:t>废水</w:t>
                  </w:r>
                </w:p>
              </w:tc>
              <w:tc>
                <w:tcPr>
                  <w:tcW w:w="6494" w:type="dxa"/>
                  <w:gridSpan w:val="2"/>
                  <w:tcBorders>
                    <w:tl2br w:val="nil"/>
                    <w:tr2bl w:val="nil"/>
                  </w:tcBorders>
                  <w:noWrap w:val="0"/>
                  <w:vAlign w:val="center"/>
                </w:tcPr>
                <w:p w14:paraId="6BC4ADF3">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1"/>
                      <w:sz w:val="21"/>
                      <w:szCs w:val="21"/>
                      <w:highlight w:val="none"/>
                    </w:rPr>
                    <w:t>漂洗废水</w:t>
                  </w:r>
                  <w:r>
                    <w:rPr>
                      <w:rFonts w:hint="eastAsia" w:ascii="Times New Roman" w:hAnsi="Times New Roman" w:eastAsia="宋体"/>
                      <w:color w:val="auto"/>
                      <w:spacing w:val="-1"/>
                      <w:sz w:val="21"/>
                      <w:szCs w:val="21"/>
                      <w:highlight w:val="none"/>
                      <w:lang w:eastAsia="zh-CN"/>
                    </w:rPr>
                    <w:t>、</w:t>
                  </w:r>
                  <w:r>
                    <w:rPr>
                      <w:rFonts w:hint="eastAsia" w:ascii="Times New Roman" w:hAnsi="Times New Roman" w:eastAsia="宋体"/>
                      <w:color w:val="auto"/>
                      <w:spacing w:val="-1"/>
                      <w:sz w:val="21"/>
                      <w:szCs w:val="21"/>
                      <w:highlight w:val="none"/>
                      <w:lang w:val="en-US" w:eastAsia="zh-CN"/>
                    </w:rPr>
                    <w:t>初期雨水</w:t>
                  </w:r>
                  <w:r>
                    <w:rPr>
                      <w:rFonts w:ascii="Times New Roman" w:hAnsi="Times New Roman" w:eastAsia="宋体"/>
                      <w:color w:val="auto"/>
                      <w:spacing w:val="-1"/>
                      <w:sz w:val="21"/>
                      <w:szCs w:val="21"/>
                      <w:highlight w:val="none"/>
                    </w:rPr>
                    <w:t>进入厂区污水处理厂处理后</w:t>
                  </w:r>
                  <w:r>
                    <w:rPr>
                      <w:rFonts w:hint="eastAsia" w:ascii="Times New Roman" w:hAnsi="Times New Roman" w:eastAsia="宋体"/>
                      <w:color w:val="auto"/>
                      <w:spacing w:val="-1"/>
                      <w:sz w:val="21"/>
                      <w:szCs w:val="21"/>
                      <w:highlight w:val="none"/>
                      <w:lang w:val="en-US" w:eastAsia="zh-CN"/>
                    </w:rPr>
                    <w:t>回用于厂区绿化及洒水</w:t>
                  </w:r>
                  <w:r>
                    <w:rPr>
                      <w:rFonts w:hint="eastAsia" w:ascii="Times New Roman" w:hAnsi="Times New Roman" w:eastAsia="宋体"/>
                      <w:color w:val="auto"/>
                      <w:spacing w:val="-1"/>
                      <w:sz w:val="21"/>
                      <w:szCs w:val="21"/>
                      <w:highlight w:val="none"/>
                      <w:lang w:eastAsia="zh-CN"/>
                    </w:rPr>
                    <w:t>；</w:t>
                  </w:r>
                  <w:r>
                    <w:rPr>
                      <w:rFonts w:ascii="Times New Roman" w:hAnsi="Times New Roman" w:eastAsia="宋体"/>
                      <w:color w:val="auto"/>
                      <w:spacing w:val="-1"/>
                      <w:sz w:val="21"/>
                      <w:szCs w:val="21"/>
                      <w:highlight w:val="none"/>
                    </w:rPr>
                    <w:t>生活污水进入化粪池</w:t>
                  </w:r>
                  <w:r>
                    <w:rPr>
                      <w:rFonts w:ascii="Times New Roman" w:hAnsi="Times New Roman" w:eastAsia="宋体"/>
                      <w:color w:val="auto"/>
                      <w:spacing w:val="7"/>
                      <w:sz w:val="21"/>
                      <w:szCs w:val="21"/>
                      <w:highlight w:val="none"/>
                    </w:rPr>
                    <w:t>沉淀处理后定期清掏做农肥。</w:t>
                  </w:r>
                </w:p>
              </w:tc>
            </w:tr>
            <w:tr w14:paraId="7128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09" w:type="dxa"/>
                  <w:vMerge w:val="continue"/>
                  <w:tcBorders>
                    <w:tl2br w:val="nil"/>
                    <w:tr2bl w:val="nil"/>
                  </w:tcBorders>
                  <w:noWrap w:val="0"/>
                  <w:vAlign w:val="center"/>
                </w:tcPr>
                <w:p w14:paraId="08AB3363">
                  <w:pPr>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p>
              </w:tc>
              <w:tc>
                <w:tcPr>
                  <w:tcW w:w="951" w:type="dxa"/>
                  <w:tcBorders>
                    <w:tl2br w:val="nil"/>
                    <w:tr2bl w:val="nil"/>
                  </w:tcBorders>
                  <w:noWrap w:val="0"/>
                  <w:vAlign w:val="center"/>
                </w:tcPr>
                <w:p w14:paraId="7D57F01B">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2"/>
                      <w:sz w:val="21"/>
                      <w:szCs w:val="21"/>
                      <w:highlight w:val="none"/>
                    </w:rPr>
                    <w:t>固体废弃物</w:t>
                  </w:r>
                </w:p>
              </w:tc>
              <w:tc>
                <w:tcPr>
                  <w:tcW w:w="6494" w:type="dxa"/>
                  <w:gridSpan w:val="2"/>
                  <w:tcBorders>
                    <w:tl2br w:val="nil"/>
                    <w:tr2bl w:val="nil"/>
                  </w:tcBorders>
                  <w:noWrap w:val="0"/>
                  <w:vAlign w:val="center"/>
                </w:tcPr>
                <w:p w14:paraId="2C8115EF">
                  <w:pPr>
                    <w:pStyle w:val="100"/>
                    <w:keepNext w:val="0"/>
                    <w:keepLines w:val="0"/>
                    <w:pageBreakBefore w:val="0"/>
                    <w:widowControl/>
                    <w:kinsoku w:val="0"/>
                    <w:wordWrap/>
                    <w:overflowPunct/>
                    <w:topLinePunct w:val="0"/>
                    <w:autoSpaceDE w:val="0"/>
                    <w:autoSpaceDN w:val="0"/>
                    <w:bidi w:val="0"/>
                    <w:adjustRightInd w:val="0"/>
                    <w:snapToGrid w:val="0"/>
                    <w:spacing w:line="20" w:lineRule="atLeast"/>
                    <w:ind w:left="0" w:right="0" w:firstLine="0"/>
                    <w:jc w:val="center"/>
                    <w:textAlignment w:val="baseline"/>
                    <w:rPr>
                      <w:rFonts w:ascii="Times New Roman" w:hAnsi="Times New Roman" w:eastAsia="宋体"/>
                      <w:color w:val="auto"/>
                      <w:sz w:val="21"/>
                      <w:szCs w:val="21"/>
                      <w:highlight w:val="none"/>
                    </w:rPr>
                  </w:pPr>
                  <w:r>
                    <w:rPr>
                      <w:rFonts w:ascii="Times New Roman" w:hAnsi="Times New Roman" w:eastAsia="宋体"/>
                      <w:color w:val="auto"/>
                      <w:spacing w:val="-1"/>
                      <w:sz w:val="21"/>
                      <w:szCs w:val="21"/>
                      <w:highlight w:val="none"/>
                    </w:rPr>
                    <w:t>危险化学品包装物</w:t>
                  </w:r>
                  <w:r>
                    <w:rPr>
                      <w:rFonts w:hint="eastAsia" w:ascii="Times New Roman" w:hAnsi="Times New Roman"/>
                      <w:color w:val="auto"/>
                      <w:spacing w:val="-1"/>
                      <w:sz w:val="21"/>
                      <w:szCs w:val="21"/>
                      <w:highlight w:val="none"/>
                      <w:lang w:eastAsia="zh-CN"/>
                    </w:rPr>
                    <w:t>、</w:t>
                  </w:r>
                  <w:r>
                    <w:rPr>
                      <w:rFonts w:hint="eastAsia" w:ascii="Times New Roman" w:hAnsi="Times New Roman"/>
                      <w:color w:val="auto"/>
                      <w:spacing w:val="-1"/>
                      <w:sz w:val="21"/>
                      <w:szCs w:val="21"/>
                      <w:highlight w:val="none"/>
                      <w:lang w:val="en-US" w:eastAsia="zh-CN"/>
                    </w:rPr>
                    <w:t>废树脂</w:t>
                  </w:r>
                  <w:r>
                    <w:rPr>
                      <w:rFonts w:ascii="Times New Roman" w:hAnsi="Times New Roman" w:eastAsia="宋体"/>
                      <w:color w:val="auto"/>
                      <w:spacing w:val="-1"/>
                      <w:sz w:val="21"/>
                      <w:szCs w:val="21"/>
                      <w:highlight w:val="none"/>
                    </w:rPr>
                    <w:t>委托有资质的单位处理；</w:t>
                  </w:r>
                  <w:r>
                    <w:rPr>
                      <w:rFonts w:hint="eastAsia" w:ascii="Times New Roman" w:hAnsi="Times New Roman" w:eastAsia="宋体"/>
                      <w:color w:val="auto"/>
                      <w:spacing w:val="-1"/>
                      <w:sz w:val="21"/>
                      <w:szCs w:val="21"/>
                      <w:highlight w:val="none"/>
                      <w:lang w:val="en-US" w:eastAsia="zh-CN"/>
                    </w:rPr>
                    <w:t>废水处理站污泥</w:t>
                  </w:r>
                  <w:r>
                    <w:rPr>
                      <w:rFonts w:hint="eastAsia" w:ascii="Times New Roman" w:hAnsi="Times New Roman"/>
                      <w:color w:val="auto"/>
                      <w:spacing w:val="-1"/>
                      <w:sz w:val="21"/>
                      <w:szCs w:val="21"/>
                      <w:highlight w:val="none"/>
                      <w:lang w:val="en-US" w:eastAsia="zh-CN"/>
                    </w:rPr>
                    <w:t>、布袋除尘收集的尘</w:t>
                  </w:r>
                  <w:r>
                    <w:rPr>
                      <w:rFonts w:hint="eastAsia" w:ascii="Times New Roman" w:hAnsi="Times New Roman" w:eastAsia="宋体"/>
                      <w:color w:val="auto"/>
                      <w:spacing w:val="-1"/>
                      <w:sz w:val="21"/>
                      <w:szCs w:val="21"/>
                      <w:highlight w:val="none"/>
                      <w:lang w:val="en-US" w:eastAsia="zh-CN"/>
                    </w:rPr>
                    <w:t>为一般固废</w:t>
                  </w:r>
                  <w:r>
                    <w:rPr>
                      <w:rFonts w:hint="eastAsia" w:ascii="Times New Roman" w:hAnsi="Times New Roman"/>
                      <w:color w:val="auto"/>
                      <w:sz w:val="21"/>
                      <w:szCs w:val="21"/>
                      <w:highlight w:val="none"/>
                      <w:lang w:val="en-US" w:eastAsia="zh-CN"/>
                    </w:rPr>
                    <w:t>收集后外售</w:t>
                  </w:r>
                  <w:r>
                    <w:rPr>
                      <w:rFonts w:hint="eastAsia" w:ascii="Times New Roman" w:hAnsi="Times New Roman" w:eastAsia="宋体"/>
                      <w:color w:val="auto"/>
                      <w:spacing w:val="-2"/>
                      <w:sz w:val="21"/>
                      <w:szCs w:val="21"/>
                      <w:highlight w:val="none"/>
                      <w:lang w:eastAsia="zh-CN"/>
                    </w:rPr>
                    <w:t>；</w:t>
                  </w:r>
                  <w:r>
                    <w:rPr>
                      <w:rFonts w:ascii="Times New Roman" w:hAnsi="Times New Roman" w:eastAsia="宋体"/>
                      <w:color w:val="auto"/>
                      <w:spacing w:val="-1"/>
                      <w:sz w:val="21"/>
                      <w:szCs w:val="21"/>
                      <w:highlight w:val="none"/>
                    </w:rPr>
                    <w:t>职工生活垃圾，</w:t>
                  </w:r>
                  <w:r>
                    <w:rPr>
                      <w:rFonts w:hint="eastAsia" w:ascii="Times New Roman" w:hAnsi="Times New Roman"/>
                      <w:color w:val="auto"/>
                      <w:spacing w:val="-1"/>
                      <w:sz w:val="21"/>
                      <w:szCs w:val="21"/>
                      <w:highlight w:val="none"/>
                      <w:lang w:val="en-US" w:eastAsia="zh-CN"/>
                    </w:rPr>
                    <w:t>由环卫部门定期外运</w:t>
                  </w:r>
                  <w:r>
                    <w:rPr>
                      <w:rFonts w:ascii="Times New Roman" w:hAnsi="Times New Roman" w:eastAsia="宋体"/>
                      <w:color w:val="auto"/>
                      <w:spacing w:val="17"/>
                      <w:sz w:val="21"/>
                      <w:szCs w:val="21"/>
                      <w:highlight w:val="none"/>
                    </w:rPr>
                    <w:t>。</w:t>
                  </w:r>
                </w:p>
              </w:tc>
            </w:tr>
          </w:tbl>
          <w:p w14:paraId="3F7DE06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现有项目工艺流程</w:t>
            </w:r>
          </w:p>
          <w:p w14:paraId="5DAF05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4"/>
                <w:szCs w:val="24"/>
                <w:highlight w:val="none"/>
                <w:vertAlign w:val="baseline"/>
                <w:lang w:val="en-US" w:eastAsia="zh-CN"/>
              </w:rPr>
            </w:pPr>
            <w:r>
              <w:rPr>
                <w:color w:val="auto"/>
                <w:highlight w:val="none"/>
              </w:rPr>
              <w:drawing>
                <wp:inline distT="0" distB="0" distL="114300" distR="114300">
                  <wp:extent cx="5304790" cy="1852930"/>
                  <wp:effectExtent l="0" t="0" r="0" b="0"/>
                  <wp:docPr id="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2"/>
                          <pic:cNvPicPr>
                            <a:picLocks noChangeAspect="1"/>
                          </pic:cNvPicPr>
                        </pic:nvPicPr>
                        <pic:blipFill>
                          <a:blip r:embed="rId10">
                            <a:clrChange>
                              <a:clrFrom>
                                <a:srgbClr val="CCDDC1"/>
                              </a:clrFrom>
                              <a:clrTo>
                                <a:srgbClr val="CCDDC1">
                                  <a:alpha val="0"/>
                                </a:srgbClr>
                              </a:clrTo>
                            </a:clrChange>
                          </a:blip>
                          <a:stretch>
                            <a:fillRect/>
                          </a:stretch>
                        </pic:blipFill>
                        <pic:spPr>
                          <a:xfrm>
                            <a:off x="0" y="0"/>
                            <a:ext cx="5304790" cy="1852930"/>
                          </a:xfrm>
                          <a:prstGeom prst="rect">
                            <a:avLst/>
                          </a:prstGeom>
                          <a:noFill/>
                          <a:ln>
                            <a:noFill/>
                          </a:ln>
                        </pic:spPr>
                      </pic:pic>
                    </a:graphicData>
                  </a:graphic>
                </wp:inline>
              </w:drawing>
            </w:r>
          </w:p>
          <w:p w14:paraId="2F9D0DF8">
            <w:pPr>
              <w:pStyle w:val="28"/>
              <w:jc w:val="center"/>
              <w:rPr>
                <w:b/>
                <w:color w:val="auto"/>
                <w:sz w:val="24"/>
                <w:highlight w:val="none"/>
              </w:rPr>
            </w:pPr>
            <w:r>
              <w:rPr>
                <w:b/>
                <w:color w:val="auto"/>
                <w:sz w:val="24"/>
                <w:highlight w:val="none"/>
              </w:rPr>
              <w:t>图</w:t>
            </w:r>
            <w:r>
              <w:rPr>
                <w:rFonts w:hint="eastAsia"/>
                <w:b/>
                <w:color w:val="auto"/>
                <w:sz w:val="24"/>
                <w:highlight w:val="none"/>
                <w:lang w:val="en-US" w:eastAsia="zh-CN"/>
              </w:rPr>
              <w:t>2</w:t>
            </w:r>
            <w:r>
              <w:rPr>
                <w:b/>
                <w:color w:val="auto"/>
                <w:sz w:val="24"/>
                <w:highlight w:val="none"/>
              </w:rPr>
              <w:t>-</w:t>
            </w:r>
            <w:r>
              <w:rPr>
                <w:rFonts w:hint="eastAsia"/>
                <w:b/>
                <w:color w:val="auto"/>
                <w:sz w:val="24"/>
                <w:highlight w:val="none"/>
                <w:lang w:val="en-US" w:eastAsia="zh-CN"/>
              </w:rPr>
              <w:t>3原有项目生产</w:t>
            </w:r>
            <w:r>
              <w:rPr>
                <w:b/>
                <w:color w:val="auto"/>
                <w:sz w:val="24"/>
                <w:highlight w:val="none"/>
              </w:rPr>
              <w:t>工流程艺及产污环节图</w:t>
            </w:r>
          </w:p>
          <w:p w14:paraId="0F78246F">
            <w:pPr>
              <w:pStyle w:val="100"/>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工艺流程简述：</w:t>
            </w:r>
          </w:p>
          <w:p w14:paraId="791E0E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本项目为外购废硅料，根据客户对产品的要求进行不同级别的分拣处理后，进行喷砂打磨。之后用马沸炉进行高温烧结，采用电加热，烧结温度约为700℃左右，烧结10分钟后自然冷却后进入下一步表面漂洗。表面漂洗工序首先根据客户对产品精度要求配置漂洗液，由纯水和氢氧化钠(或者无污染硅料清洗剂)按照一定的比例（水：氢氧化钠（无污染硅料清洗剂）=1-40:1）进行配置，然后将自然冷却后的半成品放入溶液中进行漂洗，过程中根据需要加入一定量的硫酸、盐酸、硝酸或者是氢氟酸进行漂洗，每次溶液漂洗进行纯水漂洗，数次后，采用人工清 捞废水中的杂质（主要含有玻璃渣、铁屑、金属颗粒等）等，漂洗和废液采用PP材质的箱子盛放，每天更换漂洗废水。漂洗完成自然晾干后进行检验，主要包括产品的掺杂剂类型检验、杂质检验、使用寿命检验等。检验合格后包装入库。</w:t>
            </w:r>
            <w:r>
              <w:rPr>
                <w:rFonts w:hint="eastAsia" w:ascii="Times New Roman" w:hAnsi="Times New Roman" w:eastAsia="宋体" w:cs="Times New Roman"/>
                <w:b w:val="0"/>
                <w:bCs w:val="0"/>
                <w:color w:val="auto"/>
                <w:kern w:val="0"/>
                <w:sz w:val="24"/>
                <w:szCs w:val="24"/>
                <w:highlight w:val="none"/>
                <w:lang w:val="en-US" w:eastAsia="zh-CN"/>
              </w:rPr>
              <w:t>现有工程产品方案为年产600t硅材料，</w:t>
            </w:r>
            <w:r>
              <w:rPr>
                <w:rFonts w:hint="eastAsia" w:cs="Times New Roman"/>
                <w:b w:val="0"/>
                <w:bCs w:val="0"/>
                <w:color w:val="auto"/>
                <w:kern w:val="0"/>
                <w:sz w:val="24"/>
                <w:szCs w:val="24"/>
                <w:highlight w:val="none"/>
                <w:lang w:val="en-US" w:eastAsia="zh-CN"/>
              </w:rPr>
              <w:t>分拣、烧结设施已拆除，</w:t>
            </w:r>
            <w:r>
              <w:rPr>
                <w:rFonts w:hint="eastAsia" w:ascii="Times New Roman" w:hAnsi="Times New Roman" w:eastAsia="宋体" w:cs="Times New Roman"/>
                <w:b w:val="0"/>
                <w:bCs w:val="0"/>
                <w:color w:val="auto"/>
                <w:kern w:val="0"/>
                <w:sz w:val="24"/>
                <w:szCs w:val="24"/>
                <w:highlight w:val="none"/>
                <w:lang w:val="en-US" w:eastAsia="zh-CN"/>
              </w:rPr>
              <w:t>生产工艺为喷砂打磨、漂洗、烘干、包装，其中漂洗工段于2021年起至今停用，其余工段自2025年1月起至今处于停产状态。</w:t>
            </w:r>
          </w:p>
          <w:p w14:paraId="233E7AE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现有项目产污及达标情况分析</w:t>
            </w:r>
          </w:p>
          <w:p w14:paraId="41738E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现有项目产污情况见表2-12所示。</w:t>
            </w:r>
          </w:p>
          <w:p w14:paraId="36C5C437">
            <w:pPr>
              <w:pStyle w:val="101"/>
              <w:bidi w:val="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表2-12现有项目产污情况一览表</w:t>
            </w:r>
          </w:p>
          <w:tbl>
            <w:tblPr>
              <w:tblStyle w:val="10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342"/>
              <w:gridCol w:w="1927"/>
              <w:gridCol w:w="4217"/>
            </w:tblGrid>
            <w:tr w14:paraId="67CF0D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48" w:type="dxa"/>
                  <w:vMerge w:val="restart"/>
                  <w:tcBorders>
                    <w:tl2br w:val="nil"/>
                    <w:tr2bl w:val="nil"/>
                  </w:tcBorders>
                  <w:noWrap w:val="0"/>
                  <w:vAlign w:val="center"/>
                </w:tcPr>
                <w:p w14:paraId="71DFCDCC">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类别</w:t>
                  </w:r>
                </w:p>
              </w:tc>
              <w:tc>
                <w:tcPr>
                  <w:tcW w:w="1342" w:type="dxa"/>
                  <w:vMerge w:val="restart"/>
                  <w:tcBorders>
                    <w:tl2br w:val="nil"/>
                    <w:tr2bl w:val="nil"/>
                  </w:tcBorders>
                  <w:noWrap w:val="0"/>
                  <w:vAlign w:val="center"/>
                </w:tcPr>
                <w:p w14:paraId="5B5F5E64">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产生工序</w:t>
                  </w:r>
                </w:p>
              </w:tc>
              <w:tc>
                <w:tcPr>
                  <w:tcW w:w="1927" w:type="dxa"/>
                  <w:vMerge w:val="restart"/>
                  <w:tcBorders>
                    <w:tl2br w:val="nil"/>
                    <w:tr2bl w:val="nil"/>
                  </w:tcBorders>
                  <w:noWrap w:val="0"/>
                  <w:vAlign w:val="center"/>
                </w:tcPr>
                <w:p w14:paraId="3D5FE1FB">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2"/>
                      <w:sz w:val="21"/>
                      <w:szCs w:val="21"/>
                      <w:highlight w:val="none"/>
                    </w:rPr>
                    <w:t>污染物</w:t>
                  </w:r>
                </w:p>
              </w:tc>
              <w:tc>
                <w:tcPr>
                  <w:tcW w:w="4217" w:type="dxa"/>
                  <w:vMerge w:val="restart"/>
                  <w:tcBorders>
                    <w:tl2br w:val="nil"/>
                    <w:tr2bl w:val="nil"/>
                  </w:tcBorders>
                  <w:noWrap w:val="0"/>
                  <w:vAlign w:val="center"/>
                </w:tcPr>
                <w:p w14:paraId="184A5560">
                  <w:pPr>
                    <w:pStyle w:val="100"/>
                    <w:keepNext w:val="0"/>
                    <w:keepLines w:val="0"/>
                    <w:pageBreakBefore w:val="0"/>
                    <w:widowControl/>
                    <w:tabs>
                      <w:tab w:val="left" w:pos="2148"/>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lang w:eastAsia="zh-CN"/>
                    </w:rPr>
                  </w:pPr>
                  <w:r>
                    <w:rPr>
                      <w:rFonts w:hint="default" w:ascii="Times New Roman" w:hAnsi="Times New Roman" w:cs="Times New Roman" w:eastAsiaTheme="minorEastAsia"/>
                      <w:color w:val="auto"/>
                      <w:spacing w:val="-3"/>
                      <w:sz w:val="21"/>
                      <w:szCs w:val="21"/>
                      <w:highlight w:val="none"/>
                    </w:rPr>
                    <w:t>治理措施</w:t>
                  </w:r>
                </w:p>
              </w:tc>
            </w:tr>
            <w:tr w14:paraId="48A8EB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48" w:type="dxa"/>
                  <w:vMerge w:val="continue"/>
                  <w:tcBorders>
                    <w:tl2br w:val="nil"/>
                    <w:tr2bl w:val="nil"/>
                  </w:tcBorders>
                  <w:noWrap w:val="0"/>
                  <w:vAlign w:val="center"/>
                </w:tcPr>
                <w:p w14:paraId="7818A0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342" w:type="dxa"/>
                  <w:vMerge w:val="continue"/>
                  <w:tcBorders>
                    <w:tl2br w:val="nil"/>
                    <w:tr2bl w:val="nil"/>
                  </w:tcBorders>
                  <w:noWrap w:val="0"/>
                  <w:vAlign w:val="center"/>
                </w:tcPr>
                <w:p w14:paraId="324B8F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927" w:type="dxa"/>
                  <w:vMerge w:val="continue"/>
                  <w:tcBorders>
                    <w:tl2br w:val="nil"/>
                    <w:tr2bl w:val="nil"/>
                  </w:tcBorders>
                  <w:noWrap w:val="0"/>
                  <w:vAlign w:val="center"/>
                </w:tcPr>
                <w:p w14:paraId="20FA87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4217" w:type="dxa"/>
                  <w:vMerge w:val="continue"/>
                  <w:tcBorders>
                    <w:tl2br w:val="nil"/>
                    <w:tr2bl w:val="nil"/>
                  </w:tcBorders>
                  <w:noWrap w:val="0"/>
                  <w:vAlign w:val="center"/>
                </w:tcPr>
                <w:p w14:paraId="216695C5">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p>
              </w:tc>
            </w:tr>
            <w:tr w14:paraId="3C67C7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848" w:type="dxa"/>
                  <w:vMerge w:val="restart"/>
                  <w:tcBorders>
                    <w:tl2br w:val="nil"/>
                    <w:tr2bl w:val="nil"/>
                  </w:tcBorders>
                  <w:noWrap w:val="0"/>
                  <w:vAlign w:val="center"/>
                </w:tcPr>
                <w:p w14:paraId="20D6F57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废水</w:t>
                  </w:r>
                </w:p>
              </w:tc>
              <w:tc>
                <w:tcPr>
                  <w:tcW w:w="1342" w:type="dxa"/>
                  <w:tcBorders>
                    <w:tl2br w:val="nil"/>
                    <w:tr2bl w:val="nil"/>
                  </w:tcBorders>
                  <w:noWrap w:val="0"/>
                  <w:vAlign w:val="center"/>
                </w:tcPr>
                <w:p w14:paraId="429F92B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喷砂打磨</w:t>
                  </w:r>
                </w:p>
              </w:tc>
              <w:tc>
                <w:tcPr>
                  <w:tcW w:w="1927" w:type="dxa"/>
                  <w:tcBorders>
                    <w:tl2br w:val="nil"/>
                    <w:tr2bl w:val="nil"/>
                  </w:tcBorders>
                  <w:noWrap w:val="0"/>
                  <w:vAlign w:val="center"/>
                </w:tcPr>
                <w:p w14:paraId="7B6F8D08">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2"/>
                      <w:sz w:val="21"/>
                      <w:szCs w:val="21"/>
                      <w:highlight w:val="none"/>
                    </w:rPr>
                    <w:t>粉尘</w:t>
                  </w:r>
                </w:p>
              </w:tc>
              <w:tc>
                <w:tcPr>
                  <w:tcW w:w="4217" w:type="dxa"/>
                  <w:tcBorders>
                    <w:tl2br w:val="nil"/>
                    <w:tr2bl w:val="nil"/>
                  </w:tcBorders>
                  <w:noWrap w:val="0"/>
                  <w:vAlign w:val="center"/>
                </w:tcPr>
                <w:p w14:paraId="49C9CAF6">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1"/>
                      <w:sz w:val="21"/>
                      <w:szCs w:val="21"/>
                      <w:highlight w:val="none"/>
                    </w:rPr>
                    <w:t>布袋除尘器</w:t>
                  </w:r>
                  <w:r>
                    <w:rPr>
                      <w:rFonts w:hint="default" w:ascii="Times New Roman" w:hAnsi="Times New Roman" w:cs="Times New Roman" w:eastAsiaTheme="minorEastAsia"/>
                      <w:color w:val="auto"/>
                      <w:spacing w:val="2"/>
                      <w:sz w:val="21"/>
                      <w:szCs w:val="21"/>
                      <w:highlight w:val="none"/>
                    </w:rPr>
                    <w:t>处理后由引风机引</w:t>
                  </w:r>
                  <w:r>
                    <w:rPr>
                      <w:rFonts w:hint="default" w:ascii="Times New Roman" w:hAnsi="Times New Roman" w:cs="Times New Roman" w:eastAsiaTheme="minorEastAsia"/>
                      <w:color w:val="auto"/>
                      <w:spacing w:val="-1"/>
                      <w:sz w:val="21"/>
                      <w:szCs w:val="21"/>
                      <w:highlight w:val="none"/>
                    </w:rPr>
                    <w:t>至1根1</w:t>
                  </w:r>
                  <w:r>
                    <w:rPr>
                      <w:rFonts w:hint="default" w:ascii="Times New Roman" w:hAnsi="Times New Roman" w:cs="Times New Roman" w:eastAsiaTheme="minorEastAsia"/>
                      <w:color w:val="auto"/>
                      <w:spacing w:val="-1"/>
                      <w:sz w:val="21"/>
                      <w:szCs w:val="21"/>
                      <w:highlight w:val="none"/>
                      <w:lang w:val="en-US" w:eastAsia="zh-CN"/>
                    </w:rPr>
                    <w:t>5</w:t>
                  </w:r>
                  <w:r>
                    <w:rPr>
                      <w:rFonts w:hint="default" w:ascii="Times New Roman" w:hAnsi="Times New Roman" w:cs="Times New Roman" w:eastAsiaTheme="minorEastAsia"/>
                      <w:color w:val="auto"/>
                      <w:spacing w:val="-1"/>
                      <w:sz w:val="21"/>
                      <w:szCs w:val="21"/>
                      <w:highlight w:val="none"/>
                    </w:rPr>
                    <w:t>m高排气筒排</w:t>
                  </w:r>
                  <w:r>
                    <w:rPr>
                      <w:rFonts w:hint="default" w:ascii="Times New Roman" w:hAnsi="Times New Roman" w:cs="Times New Roman" w:eastAsiaTheme="minorEastAsia"/>
                      <w:color w:val="auto"/>
                      <w:sz w:val="21"/>
                      <w:szCs w:val="21"/>
                      <w:highlight w:val="none"/>
                    </w:rPr>
                    <w:t>放。</w:t>
                  </w:r>
                  <w:r>
                    <w:rPr>
                      <w:rFonts w:hint="default" w:ascii="Times New Roman" w:hAnsi="Times New Roman" w:cs="Times New Roman" w:eastAsiaTheme="minorEastAsia"/>
                      <w:color w:val="auto"/>
                      <w:sz w:val="21"/>
                      <w:szCs w:val="21"/>
                      <w:highlight w:val="none"/>
                      <w:lang w:val="en-US" w:eastAsia="zh-CN"/>
                    </w:rPr>
                    <w:t>DA001</w:t>
                  </w:r>
                </w:p>
              </w:tc>
            </w:tr>
            <w:tr w14:paraId="7FFA3A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48" w:type="dxa"/>
                  <w:vMerge w:val="continue"/>
                  <w:tcBorders>
                    <w:tl2br w:val="nil"/>
                    <w:tr2bl w:val="nil"/>
                  </w:tcBorders>
                  <w:noWrap w:val="0"/>
                  <w:vAlign w:val="center"/>
                </w:tcPr>
                <w:p w14:paraId="03360414">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p>
              </w:tc>
              <w:tc>
                <w:tcPr>
                  <w:tcW w:w="1342" w:type="dxa"/>
                  <w:tcBorders>
                    <w:tl2br w:val="nil"/>
                    <w:tr2bl w:val="nil"/>
                  </w:tcBorders>
                  <w:noWrap w:val="0"/>
                  <w:vAlign w:val="center"/>
                </w:tcPr>
                <w:p w14:paraId="2B9D904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漂洗</w:t>
                  </w:r>
                </w:p>
              </w:tc>
              <w:tc>
                <w:tcPr>
                  <w:tcW w:w="1927" w:type="dxa"/>
                  <w:tcBorders>
                    <w:tl2br w:val="nil"/>
                    <w:tr2bl w:val="nil"/>
                  </w:tcBorders>
                  <w:noWrap w:val="0"/>
                  <w:vAlign w:val="center"/>
                </w:tcPr>
                <w:p w14:paraId="133B7BC4">
                  <w:pPr>
                    <w:keepNext w:val="0"/>
                    <w:keepLines w:val="0"/>
                    <w:pageBreakBefore w:val="0"/>
                    <w:widowControl/>
                    <w:suppressLineNumbers w:val="0"/>
                    <w:wordWrap/>
                    <w:overflowPunct/>
                    <w:topLinePunct w:val="0"/>
                    <w:bidi w:val="0"/>
                    <w:jc w:val="center"/>
                    <w:rPr>
                      <w:rFonts w:hint="default" w:ascii="Times New Roman" w:hAnsi="Times New Roman" w:cs="Times New Roman" w:eastAsiaTheme="minorEastAsia"/>
                      <w:color w:val="auto"/>
                      <w:spacing w:val="-2"/>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bidi="ar"/>
                    </w:rPr>
                    <w:t>氟化物、氮氧化物、氯化氢</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kern w:val="0"/>
                      <w:sz w:val="21"/>
                      <w:szCs w:val="21"/>
                      <w:highlight w:val="none"/>
                      <w:lang w:val="en-US" w:eastAsia="zh-CN" w:bidi="ar"/>
                    </w:rPr>
                    <w:t>硫酸</w:t>
                  </w:r>
                </w:p>
              </w:tc>
              <w:tc>
                <w:tcPr>
                  <w:tcW w:w="4217" w:type="dxa"/>
                  <w:tcBorders>
                    <w:tl2br w:val="nil"/>
                    <w:tr2bl w:val="nil"/>
                  </w:tcBorders>
                  <w:noWrap w:val="0"/>
                  <w:vAlign w:val="center"/>
                </w:tcPr>
                <w:p w14:paraId="6FD71A46">
                  <w:pPr>
                    <w:keepNext w:val="0"/>
                    <w:keepLines w:val="0"/>
                    <w:pageBreakBefore w:val="0"/>
                    <w:widowControl/>
                    <w:suppressLineNumbers w:val="0"/>
                    <w:wordWrap/>
                    <w:overflowPunct/>
                    <w:topLinePunct w:val="0"/>
                    <w:bidi w:val="0"/>
                    <w:jc w:val="center"/>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1"/>
                      <w:sz w:val="21"/>
                      <w:szCs w:val="21"/>
                      <w:highlight w:val="none"/>
                    </w:rPr>
                    <w:t>经</w:t>
                  </w:r>
                  <w:r>
                    <w:rPr>
                      <w:rFonts w:hint="default" w:ascii="Times New Roman" w:hAnsi="Times New Roman" w:cs="Times New Roman" w:eastAsiaTheme="minorEastAsia"/>
                      <w:color w:val="auto"/>
                      <w:spacing w:val="-1"/>
                      <w:sz w:val="21"/>
                      <w:szCs w:val="21"/>
                      <w:highlight w:val="none"/>
                      <w:lang w:val="en-US" w:eastAsia="zh-CN"/>
                    </w:rPr>
                    <w:t>二级废气洗涤处理装置</w:t>
                  </w:r>
                  <w:r>
                    <w:rPr>
                      <w:rFonts w:hint="default" w:ascii="Times New Roman" w:hAnsi="Times New Roman" w:cs="Times New Roman" w:eastAsiaTheme="minorEastAsia"/>
                      <w:color w:val="auto"/>
                      <w:spacing w:val="3"/>
                      <w:sz w:val="21"/>
                      <w:szCs w:val="21"/>
                      <w:highlight w:val="none"/>
                    </w:rPr>
                    <w:t>处理后由引风机引</w:t>
                  </w:r>
                  <w:r>
                    <w:rPr>
                      <w:rFonts w:hint="default" w:ascii="Times New Roman" w:hAnsi="Times New Roman" w:cs="Times New Roman" w:eastAsiaTheme="minorEastAsia"/>
                      <w:color w:val="auto"/>
                      <w:spacing w:val="-1"/>
                      <w:sz w:val="21"/>
                      <w:szCs w:val="21"/>
                      <w:highlight w:val="none"/>
                    </w:rPr>
                    <w:t>入1根20m高排气筒</w:t>
                  </w:r>
                  <w:r>
                    <w:rPr>
                      <w:rFonts w:hint="default" w:ascii="Times New Roman" w:hAnsi="Times New Roman" w:cs="Times New Roman" w:eastAsiaTheme="minorEastAsia"/>
                      <w:color w:val="auto"/>
                      <w:spacing w:val="-1"/>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DA003</w:t>
                  </w:r>
                </w:p>
              </w:tc>
            </w:tr>
            <w:tr w14:paraId="7187B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48" w:type="dxa"/>
                  <w:vMerge w:val="restart"/>
                  <w:tcBorders>
                    <w:tl2br w:val="nil"/>
                    <w:tr2bl w:val="nil"/>
                  </w:tcBorders>
                  <w:noWrap w:val="0"/>
                  <w:vAlign w:val="center"/>
                </w:tcPr>
                <w:p w14:paraId="2C5F644D">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w:t>
                  </w:r>
                </w:p>
              </w:tc>
              <w:tc>
                <w:tcPr>
                  <w:tcW w:w="1342" w:type="dxa"/>
                  <w:tcBorders>
                    <w:tl2br w:val="nil"/>
                    <w:tr2bl w:val="nil"/>
                  </w:tcBorders>
                  <w:noWrap w:val="0"/>
                  <w:vAlign w:val="center"/>
                </w:tcPr>
                <w:p w14:paraId="6080BA26">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职工生活</w:t>
                  </w:r>
                </w:p>
              </w:tc>
              <w:tc>
                <w:tcPr>
                  <w:tcW w:w="1927" w:type="dxa"/>
                  <w:tcBorders>
                    <w:tl2br w:val="nil"/>
                    <w:tr2bl w:val="nil"/>
                  </w:tcBorders>
                  <w:noWrap w:val="0"/>
                  <w:vAlign w:val="center"/>
                </w:tcPr>
                <w:p w14:paraId="2D737B32">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2"/>
                      <w:sz w:val="21"/>
                      <w:szCs w:val="21"/>
                      <w:highlight w:val="none"/>
                    </w:rPr>
                    <w:t>COD</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pacing w:val="-2"/>
                      <w:sz w:val="21"/>
                      <w:szCs w:val="21"/>
                      <w:highlight w:val="none"/>
                    </w:rPr>
                    <w:t>氨氮</w:t>
                  </w:r>
                </w:p>
              </w:tc>
              <w:tc>
                <w:tcPr>
                  <w:tcW w:w="4217" w:type="dxa"/>
                  <w:tcBorders>
                    <w:tl2br w:val="nil"/>
                    <w:tr2bl w:val="nil"/>
                  </w:tcBorders>
                  <w:noWrap w:val="0"/>
                  <w:vAlign w:val="center"/>
                </w:tcPr>
                <w:p w14:paraId="12E21283">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1"/>
                      <w:sz w:val="21"/>
                      <w:szCs w:val="21"/>
                      <w:highlight w:val="none"/>
                    </w:rPr>
                    <w:t>生活污水经</w:t>
                  </w:r>
                  <w:r>
                    <w:rPr>
                      <w:rFonts w:hint="default" w:ascii="Times New Roman" w:hAnsi="Times New Roman" w:cs="Times New Roman" w:eastAsiaTheme="minorEastAsia"/>
                      <w:color w:val="auto"/>
                      <w:spacing w:val="-3"/>
                      <w:sz w:val="21"/>
                      <w:szCs w:val="21"/>
                      <w:highlight w:val="none"/>
                    </w:rPr>
                    <w:t>化粪池沉淀后掏做农肥</w:t>
                  </w:r>
                  <w:r>
                    <w:rPr>
                      <w:rFonts w:hint="default" w:ascii="Times New Roman" w:hAnsi="Times New Roman" w:cs="Times New Roman" w:eastAsiaTheme="minorEastAsia"/>
                      <w:color w:val="auto"/>
                      <w:spacing w:val="-1"/>
                      <w:sz w:val="21"/>
                      <w:szCs w:val="21"/>
                      <w:highlight w:val="none"/>
                    </w:rPr>
                    <w:t>。</w:t>
                  </w:r>
                </w:p>
              </w:tc>
            </w:tr>
            <w:tr w14:paraId="47BFA6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848" w:type="dxa"/>
                  <w:vMerge w:val="continue"/>
                  <w:tcBorders>
                    <w:tl2br w:val="nil"/>
                    <w:tr2bl w:val="nil"/>
                  </w:tcBorders>
                  <w:noWrap w:val="0"/>
                  <w:vAlign w:val="center"/>
                </w:tcPr>
                <w:p w14:paraId="7C4B54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342" w:type="dxa"/>
                  <w:tcBorders>
                    <w:tl2br w:val="nil"/>
                    <w:tr2bl w:val="nil"/>
                  </w:tcBorders>
                  <w:noWrap w:val="0"/>
                  <w:vAlign w:val="center"/>
                </w:tcPr>
                <w:p w14:paraId="73FCF8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生产漂洗</w:t>
                  </w:r>
                </w:p>
              </w:tc>
              <w:tc>
                <w:tcPr>
                  <w:tcW w:w="1927" w:type="dxa"/>
                  <w:tcBorders>
                    <w:tl2br w:val="nil"/>
                    <w:tr2bl w:val="nil"/>
                  </w:tcBorders>
                  <w:noWrap w:val="0"/>
                  <w:vAlign w:val="center"/>
                </w:tcPr>
                <w:p w14:paraId="2B873985">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2"/>
                      <w:sz w:val="21"/>
                      <w:szCs w:val="21"/>
                      <w:highlight w:val="none"/>
                    </w:rPr>
                    <w:t>生产废水</w:t>
                  </w:r>
                </w:p>
                <w:p w14:paraId="30D0F7AA">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21"/>
                      <w:w w:val="98"/>
                      <w:sz w:val="21"/>
                      <w:szCs w:val="21"/>
                      <w:highlight w:val="none"/>
                      <w:lang w:val="en-US" w:eastAsia="zh-CN"/>
                    </w:rPr>
                    <w:t>（</w:t>
                  </w:r>
                  <w:r>
                    <w:rPr>
                      <w:rFonts w:hint="default" w:ascii="Times New Roman" w:hAnsi="Times New Roman" w:cs="Times New Roman" w:eastAsiaTheme="minorEastAsia"/>
                      <w:color w:val="auto"/>
                      <w:spacing w:val="-21"/>
                      <w:w w:val="98"/>
                      <w:sz w:val="21"/>
                      <w:szCs w:val="21"/>
                      <w:highlight w:val="none"/>
                    </w:rPr>
                    <w:t>含酸、碱、</w:t>
                  </w:r>
                  <w:r>
                    <w:rPr>
                      <w:rFonts w:hint="default" w:ascii="Times New Roman" w:hAnsi="Times New Roman" w:cs="Times New Roman" w:eastAsiaTheme="minorEastAsia"/>
                      <w:color w:val="auto"/>
                      <w:spacing w:val="13"/>
                      <w:sz w:val="21"/>
                      <w:szCs w:val="21"/>
                      <w:highlight w:val="none"/>
                    </w:rPr>
                    <w:t>含氟</w:t>
                  </w:r>
                  <w:r>
                    <w:rPr>
                      <w:rFonts w:hint="default" w:ascii="Times New Roman" w:hAnsi="Times New Roman" w:cs="Times New Roman" w:eastAsiaTheme="minorEastAsia"/>
                      <w:color w:val="auto"/>
                      <w:spacing w:val="-21"/>
                      <w:w w:val="98"/>
                      <w:sz w:val="21"/>
                      <w:szCs w:val="21"/>
                      <w:highlight w:val="none"/>
                      <w:lang w:val="en-US" w:eastAsia="zh-CN"/>
                    </w:rPr>
                    <w:t>）</w:t>
                  </w:r>
                </w:p>
              </w:tc>
              <w:tc>
                <w:tcPr>
                  <w:tcW w:w="4217" w:type="dxa"/>
                  <w:vMerge w:val="restart"/>
                  <w:tcBorders>
                    <w:tl2br w:val="nil"/>
                    <w:tr2bl w:val="nil"/>
                  </w:tcBorders>
                  <w:noWrap w:val="0"/>
                  <w:vAlign w:val="center"/>
                </w:tcPr>
                <w:p w14:paraId="32E57D78">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1"/>
                      <w:sz w:val="21"/>
                      <w:szCs w:val="21"/>
                      <w:highlight w:val="none"/>
                    </w:rPr>
                    <w:t>漂洗废水</w:t>
                  </w:r>
                  <w:r>
                    <w:rPr>
                      <w:rFonts w:hint="default" w:ascii="Times New Roman" w:hAnsi="Times New Roman" w:cs="Times New Roman" w:eastAsiaTheme="minorEastAsia"/>
                      <w:color w:val="auto"/>
                      <w:spacing w:val="-1"/>
                      <w:sz w:val="21"/>
                      <w:szCs w:val="21"/>
                      <w:highlight w:val="none"/>
                      <w:lang w:eastAsia="zh-CN"/>
                    </w:rPr>
                    <w:t>、</w:t>
                  </w:r>
                  <w:r>
                    <w:rPr>
                      <w:rFonts w:hint="default" w:ascii="Times New Roman" w:hAnsi="Times New Roman" w:cs="Times New Roman" w:eastAsiaTheme="minorEastAsia"/>
                      <w:color w:val="auto"/>
                      <w:spacing w:val="-1"/>
                      <w:sz w:val="21"/>
                      <w:szCs w:val="21"/>
                      <w:highlight w:val="none"/>
                      <w:lang w:val="en-US" w:eastAsia="zh-CN"/>
                    </w:rPr>
                    <w:t>初期雨水</w:t>
                  </w:r>
                  <w:r>
                    <w:rPr>
                      <w:rFonts w:hint="default" w:ascii="Times New Roman" w:hAnsi="Times New Roman" w:cs="Times New Roman" w:eastAsiaTheme="minorEastAsia"/>
                      <w:color w:val="auto"/>
                      <w:spacing w:val="-1"/>
                      <w:sz w:val="21"/>
                      <w:szCs w:val="21"/>
                      <w:highlight w:val="none"/>
                    </w:rPr>
                    <w:t>进入厂区污水处理厂处理后</w:t>
                  </w:r>
                  <w:r>
                    <w:rPr>
                      <w:rFonts w:hint="default" w:ascii="Times New Roman" w:hAnsi="Times New Roman" w:cs="Times New Roman" w:eastAsiaTheme="minorEastAsia"/>
                      <w:color w:val="auto"/>
                      <w:spacing w:val="-1"/>
                      <w:sz w:val="21"/>
                      <w:szCs w:val="21"/>
                      <w:highlight w:val="none"/>
                      <w:lang w:val="en-US" w:eastAsia="zh-CN"/>
                    </w:rPr>
                    <w:t>回用于厂区绿化及洒水</w:t>
                  </w:r>
                </w:p>
              </w:tc>
            </w:tr>
            <w:tr w14:paraId="54D46C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48" w:type="dxa"/>
                  <w:vMerge w:val="continue"/>
                  <w:tcBorders>
                    <w:tl2br w:val="nil"/>
                    <w:tr2bl w:val="nil"/>
                  </w:tcBorders>
                  <w:noWrap w:val="0"/>
                  <w:vAlign w:val="center"/>
                </w:tcPr>
                <w:p w14:paraId="6DA2D3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342" w:type="dxa"/>
                  <w:tcBorders>
                    <w:tl2br w:val="nil"/>
                    <w:tr2bl w:val="nil"/>
                  </w:tcBorders>
                  <w:noWrap w:val="0"/>
                  <w:vAlign w:val="center"/>
                </w:tcPr>
                <w:p w14:paraId="32B038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出水制备</w:t>
                  </w:r>
                </w:p>
              </w:tc>
              <w:tc>
                <w:tcPr>
                  <w:tcW w:w="1927" w:type="dxa"/>
                  <w:tcBorders>
                    <w:tl2br w:val="nil"/>
                    <w:tr2bl w:val="nil"/>
                  </w:tcBorders>
                  <w:noWrap w:val="0"/>
                  <w:vAlign w:val="center"/>
                </w:tcPr>
                <w:p w14:paraId="48E2FAD6">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2"/>
                      <w:sz w:val="21"/>
                      <w:szCs w:val="21"/>
                      <w:highlight w:val="none"/>
                    </w:rPr>
                    <w:t>含盐废水</w:t>
                  </w:r>
                </w:p>
                <w:p w14:paraId="1A391C83">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2"/>
                      <w:sz w:val="21"/>
                      <w:szCs w:val="21"/>
                      <w:highlight w:val="none"/>
                      <w:lang w:eastAsia="zh-CN"/>
                    </w:rPr>
                    <w:t>（</w:t>
                  </w:r>
                  <w:r>
                    <w:rPr>
                      <w:rFonts w:hint="default" w:ascii="Times New Roman" w:hAnsi="Times New Roman" w:cs="Times New Roman" w:eastAsiaTheme="minorEastAsia"/>
                      <w:color w:val="auto"/>
                      <w:spacing w:val="-2"/>
                      <w:sz w:val="21"/>
                      <w:szCs w:val="21"/>
                      <w:highlight w:val="none"/>
                      <w:lang w:val="en-US" w:eastAsia="zh-CN"/>
                    </w:rPr>
                    <w:t>含盐量</w:t>
                  </w:r>
                  <w:r>
                    <w:rPr>
                      <w:rFonts w:hint="default" w:ascii="Times New Roman" w:hAnsi="Times New Roman" w:cs="Times New Roman" w:eastAsiaTheme="minorEastAsia"/>
                      <w:color w:val="auto"/>
                      <w:spacing w:val="-2"/>
                      <w:sz w:val="21"/>
                      <w:szCs w:val="21"/>
                      <w:highlight w:val="none"/>
                      <w:lang w:eastAsia="zh-CN"/>
                    </w:rPr>
                    <w:t>）</w:t>
                  </w:r>
                </w:p>
              </w:tc>
              <w:tc>
                <w:tcPr>
                  <w:tcW w:w="4217" w:type="dxa"/>
                  <w:vMerge w:val="continue"/>
                  <w:tcBorders>
                    <w:tl2br w:val="nil"/>
                    <w:tr2bl w:val="nil"/>
                  </w:tcBorders>
                  <w:noWrap w:val="0"/>
                  <w:vAlign w:val="center"/>
                </w:tcPr>
                <w:p w14:paraId="20589973">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p>
              </w:tc>
            </w:tr>
            <w:tr w14:paraId="4E76D0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848" w:type="dxa"/>
                  <w:vMerge w:val="restart"/>
                  <w:tcBorders>
                    <w:tl2br w:val="nil"/>
                    <w:tr2bl w:val="nil"/>
                  </w:tcBorders>
                  <w:noWrap w:val="0"/>
                  <w:vAlign w:val="center"/>
                </w:tcPr>
                <w:p w14:paraId="3560C7F8">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固体废</w:t>
                  </w:r>
                  <w:r>
                    <w:rPr>
                      <w:rFonts w:hint="default" w:ascii="Times New Roman" w:hAnsi="Times New Roman" w:cs="Times New Roman" w:eastAsiaTheme="minorEastAsia"/>
                      <w:color w:val="auto"/>
                      <w:spacing w:val="28"/>
                      <w:sz w:val="21"/>
                      <w:szCs w:val="21"/>
                      <w:highlight w:val="none"/>
                    </w:rPr>
                    <w:t xml:space="preserve"> </w:t>
                  </w:r>
                  <w:r>
                    <w:rPr>
                      <w:rFonts w:hint="default" w:ascii="Times New Roman" w:hAnsi="Times New Roman" w:cs="Times New Roman" w:eastAsiaTheme="minorEastAsia"/>
                      <w:color w:val="auto"/>
                      <w:sz w:val="21"/>
                      <w:szCs w:val="21"/>
                      <w:highlight w:val="none"/>
                    </w:rPr>
                    <w:t>物</w:t>
                  </w:r>
                </w:p>
              </w:tc>
              <w:tc>
                <w:tcPr>
                  <w:tcW w:w="1342" w:type="dxa"/>
                  <w:tcBorders>
                    <w:bottom w:val="single" w:color="auto" w:sz="4" w:space="0"/>
                    <w:tl2br w:val="nil"/>
                    <w:tr2bl w:val="nil"/>
                  </w:tcBorders>
                  <w:noWrap w:val="0"/>
                  <w:vAlign w:val="center"/>
                </w:tcPr>
                <w:p w14:paraId="51167DA5">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原料包装</w:t>
                  </w:r>
                </w:p>
              </w:tc>
              <w:tc>
                <w:tcPr>
                  <w:tcW w:w="1927" w:type="dxa"/>
                  <w:tcBorders>
                    <w:bottom w:val="single" w:color="auto" w:sz="4" w:space="0"/>
                    <w:tl2br w:val="nil"/>
                    <w:tr2bl w:val="nil"/>
                  </w:tcBorders>
                  <w:noWrap w:val="0"/>
                  <w:vAlign w:val="center"/>
                </w:tcPr>
                <w:p w14:paraId="51AD71AF">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3"/>
                      <w:sz w:val="21"/>
                      <w:szCs w:val="21"/>
                      <w:highlight w:val="none"/>
                    </w:rPr>
                  </w:pPr>
                  <w:r>
                    <w:rPr>
                      <w:rFonts w:hint="default" w:ascii="Times New Roman" w:hAnsi="Times New Roman" w:cs="Times New Roman" w:eastAsiaTheme="minorEastAsia"/>
                      <w:color w:val="auto"/>
                      <w:spacing w:val="3"/>
                      <w:sz w:val="21"/>
                      <w:szCs w:val="21"/>
                      <w:highlight w:val="none"/>
                    </w:rPr>
                    <w:t>危险化学品</w:t>
                  </w:r>
                </w:p>
                <w:p w14:paraId="46859D3E">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2"/>
                      <w:sz w:val="21"/>
                      <w:szCs w:val="21"/>
                      <w:highlight w:val="none"/>
                    </w:rPr>
                    <w:t>废弃包装物</w:t>
                  </w:r>
                </w:p>
              </w:tc>
              <w:tc>
                <w:tcPr>
                  <w:tcW w:w="4217" w:type="dxa"/>
                  <w:vMerge w:val="restart"/>
                  <w:tcBorders>
                    <w:tl2br w:val="nil"/>
                    <w:tr2bl w:val="nil"/>
                  </w:tcBorders>
                  <w:noWrap w:val="0"/>
                  <w:vAlign w:val="center"/>
                </w:tcPr>
                <w:p w14:paraId="6E435AF5">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3"/>
                      <w:sz w:val="21"/>
                      <w:szCs w:val="21"/>
                      <w:highlight w:val="none"/>
                    </w:rPr>
                  </w:pPr>
                  <w:r>
                    <w:rPr>
                      <w:rFonts w:hint="default" w:ascii="Times New Roman" w:hAnsi="Times New Roman" w:cs="Times New Roman" w:eastAsiaTheme="minorEastAsia"/>
                      <w:color w:val="auto"/>
                      <w:spacing w:val="1"/>
                      <w:sz w:val="21"/>
                      <w:szCs w:val="21"/>
                      <w:highlight w:val="none"/>
                    </w:rPr>
                    <w:t>均属危险废物，委托有资</w:t>
                  </w:r>
                  <w:r>
                    <w:rPr>
                      <w:rFonts w:hint="default" w:ascii="Times New Roman" w:hAnsi="Times New Roman" w:cs="Times New Roman" w:eastAsiaTheme="minorEastAsia"/>
                      <w:color w:val="auto"/>
                      <w:spacing w:val="-1"/>
                      <w:sz w:val="21"/>
                      <w:szCs w:val="21"/>
                      <w:highlight w:val="none"/>
                    </w:rPr>
                    <w:t>质的单位进行处理</w:t>
                  </w:r>
                </w:p>
              </w:tc>
            </w:tr>
            <w:tr w14:paraId="3B9CCC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848" w:type="dxa"/>
                  <w:vMerge w:val="continue"/>
                  <w:tcBorders>
                    <w:tl2br w:val="nil"/>
                    <w:tr2bl w:val="nil"/>
                  </w:tcBorders>
                  <w:noWrap w:val="0"/>
                  <w:vAlign w:val="center"/>
                </w:tcPr>
                <w:p w14:paraId="604EE820">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342" w:type="dxa"/>
                  <w:tcBorders>
                    <w:top w:val="single" w:color="auto" w:sz="4" w:space="0"/>
                    <w:tl2br w:val="nil"/>
                    <w:tr2bl w:val="nil"/>
                  </w:tcBorders>
                  <w:noWrap w:val="0"/>
                  <w:vAlign w:val="center"/>
                </w:tcPr>
                <w:p w14:paraId="299748F7">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废水处理</w:t>
                  </w:r>
                </w:p>
              </w:tc>
              <w:tc>
                <w:tcPr>
                  <w:tcW w:w="1927" w:type="dxa"/>
                  <w:tcBorders>
                    <w:top w:val="single" w:color="auto" w:sz="4" w:space="0"/>
                    <w:tl2br w:val="nil"/>
                    <w:tr2bl w:val="nil"/>
                  </w:tcBorders>
                  <w:noWrap w:val="0"/>
                  <w:vAlign w:val="center"/>
                </w:tcPr>
                <w:p w14:paraId="55F310C6">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cs="Times New Roman" w:eastAsiaTheme="minorEastAsia"/>
                      <w:color w:val="auto"/>
                      <w:spacing w:val="-2"/>
                      <w:sz w:val="21"/>
                      <w:szCs w:val="21"/>
                      <w:highlight w:val="none"/>
                      <w:lang w:val="en-US" w:eastAsia="zh-CN"/>
                    </w:rPr>
                  </w:pPr>
                  <w:r>
                    <w:rPr>
                      <w:rFonts w:hint="eastAsia" w:ascii="Times New Roman" w:hAnsi="Times New Roman" w:cs="Times New Roman" w:eastAsiaTheme="minorEastAsia"/>
                      <w:color w:val="auto"/>
                      <w:spacing w:val="-2"/>
                      <w:sz w:val="21"/>
                      <w:szCs w:val="21"/>
                      <w:highlight w:val="none"/>
                      <w:lang w:val="en-US" w:eastAsia="zh-CN"/>
                    </w:rPr>
                    <w:t>废树脂</w:t>
                  </w:r>
                </w:p>
              </w:tc>
              <w:tc>
                <w:tcPr>
                  <w:tcW w:w="4217" w:type="dxa"/>
                  <w:vMerge w:val="continue"/>
                  <w:tcBorders>
                    <w:tl2br w:val="nil"/>
                    <w:tr2bl w:val="nil"/>
                  </w:tcBorders>
                  <w:noWrap w:val="0"/>
                  <w:vAlign w:val="center"/>
                </w:tcPr>
                <w:p w14:paraId="405CE441">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1"/>
                      <w:sz w:val="21"/>
                      <w:szCs w:val="21"/>
                      <w:highlight w:val="none"/>
                    </w:rPr>
                  </w:pPr>
                </w:p>
              </w:tc>
            </w:tr>
            <w:tr w14:paraId="79BA9C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 w:hRule="atLeast"/>
                <w:jc w:val="center"/>
              </w:trPr>
              <w:tc>
                <w:tcPr>
                  <w:tcW w:w="848" w:type="dxa"/>
                  <w:vMerge w:val="continue"/>
                  <w:tcBorders>
                    <w:tl2br w:val="nil"/>
                    <w:tr2bl w:val="nil"/>
                  </w:tcBorders>
                  <w:noWrap w:val="0"/>
                  <w:textDirection w:val="tbRlV"/>
                  <w:vAlign w:val="center"/>
                </w:tcPr>
                <w:p w14:paraId="16AC52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342" w:type="dxa"/>
                  <w:tcBorders>
                    <w:bottom w:val="single" w:color="auto" w:sz="4" w:space="0"/>
                    <w:tl2br w:val="nil"/>
                    <w:tr2bl w:val="nil"/>
                  </w:tcBorders>
                  <w:noWrap w:val="0"/>
                  <w:vAlign w:val="center"/>
                </w:tcPr>
                <w:p w14:paraId="5AEFCC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废水处理</w:t>
                  </w:r>
                </w:p>
              </w:tc>
              <w:tc>
                <w:tcPr>
                  <w:tcW w:w="1927" w:type="dxa"/>
                  <w:tcBorders>
                    <w:bottom w:val="single" w:color="auto" w:sz="4" w:space="0"/>
                    <w:tl2br w:val="nil"/>
                    <w:tr2bl w:val="nil"/>
                  </w:tcBorders>
                  <w:noWrap w:val="0"/>
                  <w:vAlign w:val="center"/>
                </w:tcPr>
                <w:p w14:paraId="5127DCEF">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2"/>
                      <w:sz w:val="21"/>
                      <w:szCs w:val="21"/>
                      <w:highlight w:val="none"/>
                    </w:rPr>
                    <w:t>污水处理站</w:t>
                  </w:r>
                  <w:r>
                    <w:rPr>
                      <w:rFonts w:hint="default" w:ascii="Times New Roman" w:hAnsi="Times New Roman" w:cs="Times New Roman" w:eastAsiaTheme="minorEastAsia"/>
                      <w:color w:val="auto"/>
                      <w:spacing w:val="-3"/>
                      <w:sz w:val="21"/>
                      <w:szCs w:val="21"/>
                      <w:highlight w:val="none"/>
                    </w:rPr>
                    <w:t>污泥</w:t>
                  </w:r>
                </w:p>
              </w:tc>
              <w:tc>
                <w:tcPr>
                  <w:tcW w:w="4217" w:type="dxa"/>
                  <w:tcBorders>
                    <w:bottom w:val="single" w:color="auto" w:sz="4" w:space="0"/>
                    <w:tl2br w:val="nil"/>
                    <w:tr2bl w:val="nil"/>
                  </w:tcBorders>
                  <w:noWrap w:val="0"/>
                  <w:vAlign w:val="center"/>
                </w:tcPr>
                <w:p w14:paraId="0E6E41A9">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eastAsia" w:ascii="Times New Roman" w:hAnsi="Times New Roman" w:cs="Times New Roman" w:eastAsiaTheme="minorEastAsia"/>
                      <w:color w:val="auto"/>
                      <w:sz w:val="21"/>
                      <w:szCs w:val="21"/>
                      <w:highlight w:val="none"/>
                      <w:lang w:val="en-US" w:eastAsia="zh-CN"/>
                    </w:rPr>
                    <w:t>收集后外售</w:t>
                  </w:r>
                </w:p>
              </w:tc>
            </w:tr>
            <w:tr w14:paraId="6A802C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8" w:hRule="atLeast"/>
                <w:jc w:val="center"/>
              </w:trPr>
              <w:tc>
                <w:tcPr>
                  <w:tcW w:w="848" w:type="dxa"/>
                  <w:vMerge w:val="continue"/>
                  <w:tcBorders>
                    <w:tl2br w:val="nil"/>
                    <w:tr2bl w:val="nil"/>
                  </w:tcBorders>
                  <w:noWrap w:val="0"/>
                  <w:textDirection w:val="tbRlV"/>
                  <w:vAlign w:val="center"/>
                </w:tcPr>
                <w:p w14:paraId="42E935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342" w:type="dxa"/>
                  <w:tcBorders>
                    <w:top w:val="single" w:color="auto" w:sz="4" w:space="0"/>
                    <w:tl2br w:val="nil"/>
                    <w:tr2bl w:val="nil"/>
                  </w:tcBorders>
                  <w:noWrap w:val="0"/>
                  <w:vAlign w:val="center"/>
                </w:tcPr>
                <w:p w14:paraId="354536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废气处理</w:t>
                  </w:r>
                </w:p>
              </w:tc>
              <w:tc>
                <w:tcPr>
                  <w:tcW w:w="1927" w:type="dxa"/>
                  <w:tcBorders>
                    <w:top w:val="single" w:color="auto" w:sz="4" w:space="0"/>
                    <w:tl2br w:val="nil"/>
                    <w:tr2bl w:val="nil"/>
                  </w:tcBorders>
                  <w:noWrap w:val="0"/>
                  <w:vAlign w:val="center"/>
                </w:tcPr>
                <w:p w14:paraId="05E0095B">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lang w:val="en-US" w:eastAsia="zh-CN"/>
                    </w:rPr>
                  </w:pPr>
                  <w:r>
                    <w:rPr>
                      <w:rFonts w:hint="eastAsia" w:ascii="Times New Roman" w:hAnsi="Times New Roman" w:cs="Times New Roman" w:eastAsiaTheme="minorEastAsia"/>
                      <w:color w:val="auto"/>
                      <w:spacing w:val="-2"/>
                      <w:sz w:val="21"/>
                      <w:szCs w:val="21"/>
                      <w:highlight w:val="none"/>
                      <w:lang w:val="en-US" w:eastAsia="zh-CN"/>
                    </w:rPr>
                    <w:t>布袋除尘收集的尘</w:t>
                  </w:r>
                </w:p>
              </w:tc>
              <w:tc>
                <w:tcPr>
                  <w:tcW w:w="4217" w:type="dxa"/>
                  <w:tcBorders>
                    <w:top w:val="single" w:color="auto" w:sz="4" w:space="0"/>
                    <w:tl2br w:val="nil"/>
                    <w:tr2bl w:val="nil"/>
                  </w:tcBorders>
                  <w:noWrap w:val="0"/>
                  <w:vAlign w:val="center"/>
                </w:tcPr>
                <w:p w14:paraId="7229D4F4">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收集后外售</w:t>
                  </w:r>
                </w:p>
              </w:tc>
            </w:tr>
            <w:tr w14:paraId="1B63D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 w:hRule="atLeast"/>
                <w:jc w:val="center"/>
              </w:trPr>
              <w:tc>
                <w:tcPr>
                  <w:tcW w:w="848" w:type="dxa"/>
                  <w:vMerge w:val="continue"/>
                  <w:tcBorders>
                    <w:tl2br w:val="nil"/>
                    <w:tr2bl w:val="nil"/>
                  </w:tcBorders>
                  <w:noWrap w:val="0"/>
                  <w:textDirection w:val="tbRlV"/>
                  <w:vAlign w:val="center"/>
                </w:tcPr>
                <w:p w14:paraId="0BF8E4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p>
              </w:tc>
              <w:tc>
                <w:tcPr>
                  <w:tcW w:w="1342" w:type="dxa"/>
                  <w:tcBorders>
                    <w:tl2br w:val="nil"/>
                    <w:tr2bl w:val="nil"/>
                  </w:tcBorders>
                  <w:noWrap w:val="0"/>
                  <w:vAlign w:val="center"/>
                </w:tcPr>
                <w:p w14:paraId="47C099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职工办公</w:t>
                  </w:r>
                </w:p>
              </w:tc>
              <w:tc>
                <w:tcPr>
                  <w:tcW w:w="1927" w:type="dxa"/>
                  <w:tcBorders>
                    <w:tl2br w:val="nil"/>
                    <w:tr2bl w:val="nil"/>
                  </w:tcBorders>
                  <w:noWrap w:val="0"/>
                  <w:vAlign w:val="center"/>
                </w:tcPr>
                <w:p w14:paraId="16730FA2">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2"/>
                      <w:sz w:val="21"/>
                      <w:szCs w:val="21"/>
                      <w:highlight w:val="none"/>
                    </w:rPr>
                    <w:t>生活垃圾</w:t>
                  </w:r>
                </w:p>
              </w:tc>
              <w:tc>
                <w:tcPr>
                  <w:tcW w:w="4217" w:type="dxa"/>
                  <w:tcBorders>
                    <w:tl2br w:val="nil"/>
                    <w:tr2bl w:val="nil"/>
                  </w:tcBorders>
                  <w:noWrap w:val="0"/>
                  <w:vAlign w:val="center"/>
                </w:tcPr>
                <w:p w14:paraId="5844B797">
                  <w:pPr>
                    <w:pStyle w:val="10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pacing w:val="-2"/>
                      <w:sz w:val="21"/>
                      <w:szCs w:val="21"/>
                      <w:highlight w:val="none"/>
                    </w:rPr>
                  </w:pPr>
                  <w:r>
                    <w:rPr>
                      <w:rFonts w:hint="default" w:ascii="Times New Roman" w:hAnsi="Times New Roman" w:cs="Times New Roman" w:eastAsiaTheme="minorEastAsia"/>
                      <w:color w:val="auto"/>
                      <w:spacing w:val="2"/>
                      <w:sz w:val="21"/>
                      <w:szCs w:val="21"/>
                      <w:highlight w:val="none"/>
                    </w:rPr>
                    <w:t>厂区垃圾桶内暂存后由</w:t>
                  </w:r>
                  <w:r>
                    <w:rPr>
                      <w:rFonts w:hint="default" w:ascii="Times New Roman" w:hAnsi="Times New Roman" w:cs="Times New Roman" w:eastAsiaTheme="minorEastAsia"/>
                      <w:color w:val="auto"/>
                      <w:sz w:val="21"/>
                      <w:szCs w:val="21"/>
                      <w:highlight w:val="none"/>
                    </w:rPr>
                    <w:t>当地环卫部门清运。</w:t>
                  </w:r>
                </w:p>
              </w:tc>
            </w:tr>
          </w:tbl>
          <w:p w14:paraId="7D19B0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根据环评、验收及排污许可证</w:t>
            </w:r>
            <w:r>
              <w:rPr>
                <w:rFonts w:hint="eastAsia" w:cs="Times New Roman"/>
                <w:color w:val="auto"/>
                <w:sz w:val="24"/>
                <w:szCs w:val="24"/>
                <w:highlight w:val="none"/>
                <w:vertAlign w:val="baseline"/>
                <w:lang w:val="en-US" w:eastAsia="zh-CN"/>
              </w:rPr>
              <w:t>数据</w:t>
            </w:r>
            <w:r>
              <w:rPr>
                <w:rFonts w:hint="eastAsia" w:ascii="Times New Roman" w:hAnsi="Times New Roman" w:eastAsia="宋体" w:cs="Times New Roman"/>
                <w:color w:val="auto"/>
                <w:sz w:val="24"/>
                <w:szCs w:val="24"/>
                <w:highlight w:val="none"/>
                <w:vertAlign w:val="baseline"/>
                <w:lang w:val="en-US" w:eastAsia="zh-CN"/>
              </w:rPr>
              <w:t>，现有工程废气主要为打磨废气以及漂洗废气，其中打磨废气经布袋除尘器处理后由引风机引至1根15m高排气筒排放。漂洗废气经二级废气洗涤处理装置处理后由引风机引入1根20m高排气筒排放。</w:t>
            </w:r>
          </w:p>
          <w:p w14:paraId="2D4B90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企业</w:t>
            </w:r>
            <w:r>
              <w:rPr>
                <w:rFonts w:hint="eastAsia" w:ascii="Times New Roman" w:hAnsi="Times New Roman" w:eastAsia="宋体" w:cs="Times New Roman"/>
                <w:color w:val="auto"/>
                <w:sz w:val="24"/>
                <w:szCs w:val="24"/>
                <w:highlight w:val="none"/>
                <w:vertAlign w:val="baseline"/>
                <w:lang w:val="en-US" w:eastAsia="zh-CN"/>
              </w:rPr>
              <w:t>该项目已于2025年1月停产并不再生产。引用2024年企业排污许可填报数据，企业2024年除打磨工序正常生产外，其余工序全部</w:t>
            </w:r>
            <w:r>
              <w:rPr>
                <w:rFonts w:hint="eastAsia" w:cs="Times New Roman"/>
                <w:color w:val="auto"/>
                <w:sz w:val="24"/>
                <w:szCs w:val="24"/>
                <w:highlight w:val="none"/>
                <w:vertAlign w:val="baseline"/>
                <w:lang w:val="en-US" w:eastAsia="zh-CN"/>
              </w:rPr>
              <w:t>停用</w:t>
            </w:r>
            <w:r>
              <w:rPr>
                <w:rFonts w:hint="eastAsia" w:ascii="Times New Roman" w:hAnsi="Times New Roman" w:eastAsia="宋体" w:cs="Times New Roman"/>
                <w:color w:val="auto"/>
                <w:sz w:val="24"/>
                <w:szCs w:val="24"/>
                <w:highlight w:val="none"/>
                <w:vertAlign w:val="baseline"/>
                <w:lang w:val="en-US" w:eastAsia="zh-CN"/>
              </w:rPr>
              <w:t>，漂洗工序自2021年</w:t>
            </w:r>
            <w:r>
              <w:rPr>
                <w:rFonts w:hint="eastAsia" w:cs="Times New Roman"/>
                <w:color w:val="auto"/>
                <w:sz w:val="24"/>
                <w:szCs w:val="24"/>
                <w:highlight w:val="none"/>
                <w:vertAlign w:val="baseline"/>
                <w:lang w:val="en-US" w:eastAsia="zh-CN"/>
              </w:rPr>
              <w:t>停用</w:t>
            </w:r>
            <w:r>
              <w:rPr>
                <w:rFonts w:hint="eastAsia" w:ascii="Times New Roman" w:hAnsi="Times New Roman" w:eastAsia="宋体" w:cs="Times New Roman"/>
                <w:color w:val="auto"/>
                <w:sz w:val="24"/>
                <w:szCs w:val="24"/>
                <w:highlight w:val="none"/>
                <w:vertAlign w:val="baseline"/>
                <w:lang w:val="en-US" w:eastAsia="zh-CN"/>
              </w:rPr>
              <w:t>。根据企业2024年9月24日自行监测</w:t>
            </w:r>
            <w:r>
              <w:rPr>
                <w:rFonts w:hint="eastAsia" w:cs="Times New Roman"/>
                <w:color w:val="auto"/>
                <w:sz w:val="24"/>
                <w:szCs w:val="24"/>
                <w:highlight w:val="none"/>
                <w:vertAlign w:val="baseline"/>
                <w:lang w:val="en-US" w:eastAsia="zh-CN"/>
              </w:rPr>
              <w:t>报告及企业提供资料，按照打磨工序</w:t>
            </w:r>
            <w:r>
              <w:rPr>
                <w:rFonts w:hint="eastAsia" w:ascii="Times New Roman" w:hAnsi="Times New Roman" w:eastAsia="宋体" w:cs="Times New Roman"/>
                <w:color w:val="auto"/>
                <w:sz w:val="24"/>
                <w:szCs w:val="24"/>
                <w:highlight w:val="none"/>
                <w:vertAlign w:val="baseline"/>
                <w:lang w:val="en-US" w:eastAsia="zh-CN"/>
              </w:rPr>
              <w:t>当天</w:t>
            </w:r>
            <w:r>
              <w:rPr>
                <w:rFonts w:hint="eastAsia" w:cs="Times New Roman"/>
                <w:color w:val="auto"/>
                <w:sz w:val="24"/>
                <w:szCs w:val="24"/>
                <w:highlight w:val="none"/>
                <w:vertAlign w:val="baseline"/>
                <w:lang w:val="en-US" w:eastAsia="zh-CN"/>
              </w:rPr>
              <w:t>的生产负荷</w:t>
            </w:r>
            <w:r>
              <w:rPr>
                <w:rFonts w:hint="eastAsia" w:ascii="Times New Roman" w:hAnsi="Times New Roman" w:eastAsia="宋体" w:cs="Times New Roman"/>
                <w:color w:val="auto"/>
                <w:sz w:val="24"/>
                <w:szCs w:val="24"/>
                <w:highlight w:val="none"/>
                <w:vertAlign w:val="baseline"/>
                <w:lang w:val="en-US" w:eastAsia="zh-CN"/>
              </w:rPr>
              <w:t>折算，监测工况75%以上</w:t>
            </w:r>
            <w:r>
              <w:rPr>
                <w:rFonts w:hint="eastAsia"/>
                <w:color w:val="auto"/>
                <w:highlight w:val="none"/>
                <w:lang w:val="en-US" w:eastAsia="zh-CN"/>
              </w:rPr>
              <w:t>：</w:t>
            </w:r>
          </w:p>
          <w:p w14:paraId="55E1F0B7">
            <w:pPr>
              <w:pStyle w:val="29"/>
              <w:numPr>
                <w:ilvl w:val="0"/>
                <w:numId w:val="0"/>
              </w:numPr>
              <w:ind w:left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1、废气</w:t>
            </w:r>
          </w:p>
          <w:p w14:paraId="08CEE7EF">
            <w:pPr>
              <w:pStyle w:val="101"/>
              <w:bidi w:val="0"/>
              <w:rPr>
                <w:rFonts w:hint="eastAsia"/>
                <w:color w:val="auto"/>
                <w:highlight w:val="none"/>
                <w:lang w:val="en-US" w:eastAsia="zh-CN"/>
              </w:rPr>
            </w:pPr>
            <w:r>
              <w:rPr>
                <w:rFonts w:hint="eastAsia" w:ascii="Times New Roman" w:hAnsi="Times New Roman" w:cs="Times New Roman"/>
                <w:color w:val="auto"/>
                <w:highlight w:val="none"/>
                <w:lang w:val="en-US" w:eastAsia="zh-CN"/>
              </w:rPr>
              <w:t>表2-13有组织废气排放监测结果</w:t>
            </w:r>
          </w:p>
          <w:tbl>
            <w:tblPr>
              <w:tblStyle w:val="30"/>
              <w:tblW w:w="8374" w:type="dxa"/>
              <w:jc w:val="center"/>
              <w:shd w:val="clear" w:color="auto" w:fill="FFFFFF"/>
              <w:tblLayout w:type="fixed"/>
              <w:tblCellMar>
                <w:top w:w="0" w:type="dxa"/>
                <w:left w:w="108" w:type="dxa"/>
                <w:bottom w:w="0" w:type="dxa"/>
                <w:right w:w="108" w:type="dxa"/>
              </w:tblCellMar>
            </w:tblPr>
            <w:tblGrid>
              <w:gridCol w:w="814"/>
              <w:gridCol w:w="935"/>
              <w:gridCol w:w="927"/>
              <w:gridCol w:w="1076"/>
              <w:gridCol w:w="839"/>
              <w:gridCol w:w="829"/>
              <w:gridCol w:w="821"/>
              <w:gridCol w:w="811"/>
              <w:gridCol w:w="644"/>
              <w:gridCol w:w="678"/>
            </w:tblGrid>
            <w:tr w14:paraId="3EA002D2">
              <w:tblPrEx>
                <w:tblCellMar>
                  <w:top w:w="0" w:type="dxa"/>
                  <w:left w:w="108" w:type="dxa"/>
                  <w:bottom w:w="0" w:type="dxa"/>
                  <w:right w:w="108" w:type="dxa"/>
                </w:tblCellMar>
              </w:tblPrEx>
              <w:trPr>
                <w:trHeight w:val="23" w:hRule="atLeast"/>
                <w:jc w:val="center"/>
              </w:trPr>
              <w:tc>
                <w:tcPr>
                  <w:tcW w:w="486" w:type="pct"/>
                  <w:vMerge w:val="restart"/>
                  <w:tcBorders>
                    <w:top w:val="single" w:color="000000" w:sz="4" w:space="0"/>
                    <w:left w:val="single" w:color="000000" w:sz="6"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00F8727">
                  <w:pPr>
                    <w:jc w:val="center"/>
                    <w:rPr>
                      <w:rFonts w:ascii="Times New Roman" w:hAnsi="Times New Roman" w:eastAsia="宋体"/>
                      <w:b w:val="0"/>
                      <w:bCs/>
                      <w:color w:val="auto"/>
                      <w:sz w:val="21"/>
                      <w:szCs w:val="21"/>
                      <w:highlight w:val="none"/>
                      <w:shd w:val="clear" w:color="auto" w:fill="FFFFFF"/>
                    </w:rPr>
                  </w:pPr>
                  <w:r>
                    <w:rPr>
                      <w:rFonts w:hint="eastAsia" w:ascii="Times New Roman" w:hAnsi="Times New Roman" w:eastAsia="宋体" w:cs="Times New Roman"/>
                      <w:b w:val="0"/>
                      <w:bCs/>
                      <w:color w:val="auto"/>
                      <w:sz w:val="21"/>
                      <w:szCs w:val="21"/>
                      <w:highlight w:val="none"/>
                      <w:lang w:eastAsia="zh-CN"/>
                    </w:rPr>
                    <w:t>排放口编号</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E282B3D">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eastAsia="zh-CN"/>
                    </w:rPr>
                    <w:t>污染物种类</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4A7EF946">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许可排放速率（kg/h</w:t>
                  </w:r>
                  <w:r>
                    <w:rPr>
                      <w:rFonts w:hint="eastAsia" w:ascii="Times New Roman" w:hAnsi="Times New Roman" w:eastAsia="宋体" w:cs="Times New Roman"/>
                      <w:b w:val="0"/>
                      <w:bCs/>
                      <w:color w:val="auto"/>
                      <w:sz w:val="21"/>
                      <w:szCs w:val="21"/>
                      <w:highlight w:val="none"/>
                      <w:lang w:eastAsia="zh-CN"/>
                    </w:rPr>
                    <w:t>）</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8DA4820">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排放速率有效监测数据数量</w:t>
                  </w:r>
                </w:p>
              </w:tc>
              <w:tc>
                <w:tcPr>
                  <w:tcW w:w="1486"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1B9DD1A">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实际排放速率</w:t>
                  </w:r>
                  <w:r>
                    <w:rPr>
                      <w:rFonts w:hint="eastAsia" w:ascii="Times New Roman" w:hAnsi="Times New Roman" w:eastAsia="宋体" w:cs="Times New Roman"/>
                      <w:b w:val="0"/>
                      <w:bCs/>
                      <w:color w:val="auto"/>
                      <w:sz w:val="21"/>
                      <w:szCs w:val="21"/>
                      <w:highlight w:val="none"/>
                      <w:lang w:eastAsia="zh-CN"/>
                    </w:rPr>
                    <w:t>（</w:t>
                  </w:r>
                  <w:r>
                    <w:rPr>
                      <w:rFonts w:hint="eastAsia" w:ascii="Times New Roman" w:hAnsi="Times New Roman" w:eastAsia="宋体" w:cs="Times New Roman"/>
                      <w:b w:val="0"/>
                      <w:bCs/>
                      <w:color w:val="auto"/>
                      <w:sz w:val="21"/>
                      <w:szCs w:val="21"/>
                      <w:highlight w:val="none"/>
                    </w:rPr>
                    <w:t>kg/h</w:t>
                  </w:r>
                  <w:r>
                    <w:rPr>
                      <w:rFonts w:hint="eastAsia" w:ascii="Times New Roman" w:hAnsi="Times New Roman" w:eastAsia="宋体" w:cs="Times New Roman"/>
                      <w:b w:val="0"/>
                      <w:bCs/>
                      <w:color w:val="auto"/>
                      <w:sz w:val="21"/>
                      <w:szCs w:val="21"/>
                      <w:highlight w:val="none"/>
                      <w:lang w:eastAsia="zh-CN"/>
                    </w:rPr>
                    <w:t>）</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2C0D9DF1">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超标数据数量</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FD9C773">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超标率</w:t>
                  </w:r>
                  <w:r>
                    <w:rPr>
                      <w:rFonts w:hint="eastAsia" w:ascii="Times New Roman" w:hAnsi="Times New Roman" w:eastAsia="宋体" w:cs="Times New Roman"/>
                      <w:b w:val="0"/>
                      <w:bCs/>
                      <w:color w:val="auto"/>
                      <w:sz w:val="21"/>
                      <w:szCs w:val="21"/>
                      <w:highlight w:val="none"/>
                      <w:lang w:eastAsia="zh-CN"/>
                    </w:rPr>
                    <w:t>（</w:t>
                  </w:r>
                  <w:r>
                    <w:rPr>
                      <w:rFonts w:hint="eastAsia" w:ascii="Times New Roman" w:hAnsi="Times New Roman" w:eastAsia="宋体" w:cs="Times New Roman"/>
                      <w:b w:val="0"/>
                      <w:bCs/>
                      <w:color w:val="auto"/>
                      <w:sz w:val="21"/>
                      <w:szCs w:val="21"/>
                      <w:highlight w:val="none"/>
                    </w:rPr>
                    <w:t>%</w:t>
                  </w:r>
                  <w:r>
                    <w:rPr>
                      <w:rFonts w:hint="eastAsia" w:ascii="Times New Roman" w:hAnsi="Times New Roman" w:eastAsia="宋体" w:cs="Times New Roman"/>
                      <w:b w:val="0"/>
                      <w:bCs/>
                      <w:color w:val="auto"/>
                      <w:sz w:val="21"/>
                      <w:szCs w:val="21"/>
                      <w:highlight w:val="none"/>
                      <w:lang w:eastAsia="zh-CN"/>
                    </w:rPr>
                    <w:t>）</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EEFAA7C">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超标原因</w:t>
                  </w:r>
                </w:p>
              </w:tc>
            </w:tr>
            <w:tr w14:paraId="0A28087B">
              <w:tblPrEx>
                <w:tblCellMar>
                  <w:top w:w="0" w:type="dxa"/>
                  <w:left w:w="108" w:type="dxa"/>
                  <w:bottom w:w="0" w:type="dxa"/>
                  <w:right w:w="108" w:type="dxa"/>
                </w:tblCellMar>
              </w:tblPrEx>
              <w:trPr>
                <w:trHeight w:val="454" w:hRule="atLeast"/>
                <w:jc w:val="center"/>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8E1918E">
                  <w:pPr>
                    <w:rPr>
                      <w:rFonts w:ascii="Times New Roman" w:hAnsi="Times New Roman" w:eastAsia="宋体"/>
                      <w:b w:val="0"/>
                      <w:bCs/>
                      <w:color w:val="auto"/>
                      <w:sz w:val="21"/>
                      <w:szCs w:val="21"/>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8AD325F">
                  <w:pPr>
                    <w:jc w:val="center"/>
                    <w:rPr>
                      <w:rFonts w:ascii="Times New Roman" w:hAnsi="Times New Roman" w:eastAsia="宋体" w:cs="Times New Roman"/>
                      <w:b w:val="0"/>
                      <w:bCs/>
                      <w:color w:val="auto"/>
                      <w:sz w:val="21"/>
                      <w:szCs w:val="21"/>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0ACF18C">
                  <w:pPr>
                    <w:jc w:val="center"/>
                    <w:rPr>
                      <w:rFonts w:ascii="Times New Roman" w:hAnsi="Times New Roman" w:eastAsia="宋体" w:cs="Times New Roman"/>
                      <w:b w:val="0"/>
                      <w:bCs/>
                      <w:color w:val="auto"/>
                      <w:sz w:val="21"/>
                      <w:szCs w:val="21"/>
                      <w:highlight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88787AC">
                  <w:pPr>
                    <w:jc w:val="center"/>
                    <w:rPr>
                      <w:rFonts w:ascii="Times New Roman" w:hAnsi="Times New Roman" w:eastAsia="宋体" w:cs="Times New Roman"/>
                      <w:b w:val="0"/>
                      <w:bCs/>
                      <w:color w:val="auto"/>
                      <w:sz w:val="21"/>
                      <w:szCs w:val="21"/>
                      <w:highlight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4E3A102">
                  <w:pPr>
                    <w:jc w:val="center"/>
                    <w:rPr>
                      <w:rFonts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rPr>
                    <w:t>最小值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A5F0476">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最大值</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311CC22">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平均值</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A6989B7">
                  <w:pPr>
                    <w:jc w:val="center"/>
                    <w:rPr>
                      <w:rFonts w:ascii="Times New Roman" w:hAnsi="Times New Roman" w:eastAsia="宋体" w:cs="Times New Roman"/>
                      <w:b w:val="0"/>
                      <w:bCs/>
                      <w:color w:val="auto"/>
                      <w:sz w:val="21"/>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52B7E9D">
                  <w:pPr>
                    <w:jc w:val="center"/>
                    <w:rPr>
                      <w:rFonts w:ascii="Times New Roman" w:hAnsi="Times New Roman" w:eastAsia="宋体" w:cs="Times New Roman"/>
                      <w:b w:val="0"/>
                      <w:bCs/>
                      <w:color w:val="auto"/>
                      <w:sz w:val="21"/>
                      <w:szCs w:val="21"/>
                      <w:highlight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BD48910">
                  <w:pPr>
                    <w:jc w:val="center"/>
                    <w:rPr>
                      <w:rFonts w:ascii="Times New Roman" w:hAnsi="Times New Roman" w:eastAsia="宋体" w:cs="Times New Roman"/>
                      <w:b w:val="0"/>
                      <w:bCs/>
                      <w:color w:val="auto"/>
                      <w:sz w:val="21"/>
                      <w:szCs w:val="21"/>
                      <w:highlight w:val="none"/>
                    </w:rPr>
                  </w:pPr>
                </w:p>
              </w:tc>
            </w:tr>
            <w:tr w14:paraId="59565E91">
              <w:tblPrEx>
                <w:tblCellMar>
                  <w:top w:w="0" w:type="dxa"/>
                  <w:left w:w="108" w:type="dxa"/>
                  <w:bottom w:w="0" w:type="dxa"/>
                  <w:right w:w="108" w:type="dxa"/>
                </w:tblCellMar>
              </w:tblPrEx>
              <w:trPr>
                <w:trHeight w:val="23" w:hRule="atLeast"/>
                <w:jc w:val="center"/>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6954B36">
                  <w:pPr>
                    <w:jc w:val="center"/>
                    <w:rPr>
                      <w:rFonts w:hint="eastAsia" w:ascii="Times New Roman" w:hAnsi="Times New Roman" w:eastAsia="宋体"/>
                      <w:b w:val="0"/>
                      <w:bCs/>
                      <w:color w:val="auto"/>
                      <w:sz w:val="21"/>
                      <w:szCs w:val="21"/>
                      <w:highlight w:val="none"/>
                      <w:lang w:val="en-US" w:eastAsia="zh-CN"/>
                    </w:rPr>
                  </w:pPr>
                  <w:r>
                    <w:rPr>
                      <w:rFonts w:hint="eastAsia" w:ascii="Times New Roman" w:hAnsi="Times New Roman"/>
                      <w:color w:val="FF0000"/>
                      <w:sz w:val="21"/>
                      <w:szCs w:val="21"/>
                      <w:highlight w:val="none"/>
                      <w:lang w:val="en-US" w:eastAsia="zh-CN"/>
                    </w:rPr>
                    <w:t>DA001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9DBFD2D">
                  <w:pPr>
                    <w:jc w:val="center"/>
                    <w:rPr>
                      <w:rFonts w:ascii="Times New Roman" w:hAnsi="Times New Roman" w:eastAsia="宋体"/>
                      <w:b w:val="0"/>
                      <w:bCs/>
                      <w:color w:val="auto"/>
                      <w:sz w:val="21"/>
                      <w:szCs w:val="21"/>
                      <w:highlight w:val="none"/>
                      <w:lang w:eastAsia="zh-CN"/>
                    </w:rPr>
                  </w:pPr>
                  <w:r>
                    <w:rPr>
                      <w:rFonts w:ascii="Times New Roman" w:hAnsi="Times New Roman" w:eastAsia="宋体"/>
                      <w:b w:val="0"/>
                      <w:bCs/>
                      <w:color w:val="auto"/>
                      <w:sz w:val="21"/>
                      <w:szCs w:val="21"/>
                      <w:highlight w:val="none"/>
                      <w:lang w:eastAsia="zh-CN"/>
                    </w:rPr>
                    <w:t>颗粒物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D6738F3">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B268794">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6BC7639">
                  <w:pPr>
                    <w:jc w:val="center"/>
                    <w:rPr>
                      <w:rFonts w:hint="eastAsia" w:ascii="Times New Roman" w:hAnsi="Times New Roman" w:eastAsia="宋体"/>
                      <w:b w:val="0"/>
                      <w:bCs/>
                      <w:color w:val="auto"/>
                      <w:sz w:val="21"/>
                      <w:szCs w:val="21"/>
                      <w:highlight w:val="none"/>
                      <w:lang w:val="en-US" w:eastAsia="zh-CN"/>
                    </w:rPr>
                  </w:pPr>
                  <w:r>
                    <w:rPr>
                      <w:rFonts w:ascii="Times New Roman" w:hAnsi="Times New Roman" w:eastAsia="宋体"/>
                      <w:b w:val="0"/>
                      <w:bCs/>
                      <w:color w:val="auto"/>
                      <w:sz w:val="21"/>
                      <w:szCs w:val="21"/>
                      <w:highlight w:val="none"/>
                    </w:rPr>
                    <w:t>0.07</w:t>
                  </w:r>
                  <w:r>
                    <w:rPr>
                      <w:rFonts w:hint="eastAsia" w:ascii="Times New Roman" w:hAnsi="Times New Roman" w:eastAsia="宋体"/>
                      <w:b w:val="0"/>
                      <w:bCs/>
                      <w:color w:val="auto"/>
                      <w:sz w:val="21"/>
                      <w:szCs w:val="21"/>
                      <w:highlight w:val="none"/>
                      <w:lang w:val="en-US" w:eastAsia="zh-CN"/>
                    </w:rPr>
                    <w:t>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88EBE97">
                  <w:pPr>
                    <w:jc w:val="center"/>
                    <w:rPr>
                      <w:rFonts w:hint="eastAsia" w:ascii="Times New Roman" w:hAnsi="Times New Roman" w:eastAsia="宋体"/>
                      <w:b w:val="0"/>
                      <w:bCs/>
                      <w:color w:val="auto"/>
                      <w:sz w:val="21"/>
                      <w:szCs w:val="21"/>
                      <w:highlight w:val="none"/>
                      <w:lang w:val="en-US" w:eastAsia="zh-CN"/>
                    </w:rPr>
                  </w:pPr>
                  <w:r>
                    <w:rPr>
                      <w:rFonts w:ascii="Times New Roman" w:hAnsi="Times New Roman" w:eastAsia="宋体"/>
                      <w:b w:val="0"/>
                      <w:bCs/>
                      <w:color w:val="auto"/>
                      <w:sz w:val="21"/>
                      <w:szCs w:val="21"/>
                      <w:highlight w:val="none"/>
                    </w:rPr>
                    <w:t>0.08</w:t>
                  </w:r>
                  <w:r>
                    <w:rPr>
                      <w:rFonts w:hint="eastAsia" w:ascii="Times New Roman" w:hAnsi="Times New Roman" w:eastAsia="宋体"/>
                      <w:b w:val="0"/>
                      <w:bCs/>
                      <w:color w:val="auto"/>
                      <w:sz w:val="21"/>
                      <w:szCs w:val="21"/>
                      <w:highlight w:val="none"/>
                      <w:lang w:val="en-US" w:eastAsia="zh-CN"/>
                    </w:rPr>
                    <w:t>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54F8943">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0.075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DFB232C">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7585339">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C6A7B8C">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w:t>
                  </w:r>
                </w:p>
              </w:tc>
            </w:tr>
          </w:tbl>
          <w:p w14:paraId="2A45718B">
            <w:pPr>
              <w:pStyle w:val="29"/>
              <w:keepNext w:val="0"/>
              <w:keepLines w:val="0"/>
              <w:pageBreakBefore w:val="0"/>
              <w:widowControl w:val="0"/>
              <w:kinsoku/>
              <w:wordWrap/>
              <w:overflowPunct/>
              <w:topLinePunct w:val="0"/>
              <w:autoSpaceDE/>
              <w:autoSpaceDN/>
              <w:bidi w:val="0"/>
              <w:adjustRightInd/>
              <w:snapToGrid/>
              <w:spacing w:after="0" w:line="360" w:lineRule="auto"/>
              <w:ind w:firstLine="278" w:firstLineChars="116"/>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由于</w:t>
            </w:r>
            <w:r>
              <w:rPr>
                <w:rFonts w:hint="eastAsia" w:ascii="Times New Roman" w:hAnsi="Times New Roman" w:eastAsia="宋体" w:cs="Times New Roman"/>
                <w:color w:val="auto"/>
                <w:sz w:val="24"/>
                <w:szCs w:val="24"/>
                <w:highlight w:val="none"/>
                <w:vertAlign w:val="baseline"/>
                <w:lang w:val="en-US" w:eastAsia="zh-CN"/>
              </w:rPr>
              <w:t>漂洗工序自2021年停产，采用验收报告数据，根据当天产能折算，监测工况75%以上。</w:t>
            </w:r>
          </w:p>
          <w:p w14:paraId="6FAA0898">
            <w:pPr>
              <w:pStyle w:val="101"/>
              <w:bidi w:val="0"/>
              <w:rPr>
                <w:rFonts w:hint="eastAsia"/>
                <w:color w:val="auto"/>
                <w:highlight w:val="none"/>
                <w:lang w:val="en-US" w:eastAsia="zh-CN"/>
              </w:rPr>
            </w:pPr>
            <w:r>
              <w:rPr>
                <w:rFonts w:hint="eastAsia" w:ascii="Times New Roman" w:hAnsi="Times New Roman" w:cs="Times New Roman"/>
                <w:color w:val="auto"/>
                <w:highlight w:val="none"/>
                <w:lang w:val="en-US" w:eastAsia="zh-CN"/>
              </w:rPr>
              <w:t>表2-14有组织废气排放监测结果</w:t>
            </w:r>
          </w:p>
          <w:tbl>
            <w:tblPr>
              <w:tblStyle w:val="30"/>
              <w:tblW w:w="8374" w:type="dxa"/>
              <w:jc w:val="center"/>
              <w:shd w:val="clear" w:color="auto" w:fill="FFFFFF"/>
              <w:tblLayout w:type="fixed"/>
              <w:tblCellMar>
                <w:top w:w="0" w:type="dxa"/>
                <w:left w:w="108" w:type="dxa"/>
                <w:bottom w:w="0" w:type="dxa"/>
                <w:right w:w="108" w:type="dxa"/>
              </w:tblCellMar>
            </w:tblPr>
            <w:tblGrid>
              <w:gridCol w:w="814"/>
              <w:gridCol w:w="992"/>
              <w:gridCol w:w="870"/>
              <w:gridCol w:w="953"/>
              <w:gridCol w:w="865"/>
              <w:gridCol w:w="924"/>
              <w:gridCol w:w="1050"/>
              <w:gridCol w:w="584"/>
              <w:gridCol w:w="644"/>
              <w:gridCol w:w="678"/>
            </w:tblGrid>
            <w:tr w14:paraId="5428681F">
              <w:tblPrEx>
                <w:shd w:val="clear" w:color="auto" w:fill="FFFFFF"/>
                <w:tblCellMar>
                  <w:top w:w="0" w:type="dxa"/>
                  <w:left w:w="108" w:type="dxa"/>
                  <w:bottom w:w="0" w:type="dxa"/>
                  <w:right w:w="108" w:type="dxa"/>
                </w:tblCellMar>
              </w:tblPrEx>
              <w:trPr>
                <w:trHeight w:val="23" w:hRule="atLeast"/>
                <w:jc w:val="center"/>
              </w:trPr>
              <w:tc>
                <w:tcPr>
                  <w:tcW w:w="486" w:type="pct"/>
                  <w:vMerge w:val="restart"/>
                  <w:tcBorders>
                    <w:top w:val="single" w:color="000000" w:sz="4" w:space="0"/>
                    <w:left w:val="single" w:color="000000" w:sz="6"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D66492F">
                  <w:pPr>
                    <w:jc w:val="center"/>
                    <w:rPr>
                      <w:rFonts w:ascii="Times New Roman" w:hAnsi="Times New Roman" w:eastAsia="宋体"/>
                      <w:b w:val="0"/>
                      <w:bCs/>
                      <w:color w:val="auto"/>
                      <w:sz w:val="21"/>
                      <w:szCs w:val="21"/>
                      <w:highlight w:val="none"/>
                      <w:shd w:val="clear" w:color="auto" w:fill="FFFFFF"/>
                    </w:rPr>
                  </w:pPr>
                  <w:r>
                    <w:rPr>
                      <w:rFonts w:hint="eastAsia" w:ascii="Times New Roman" w:hAnsi="Times New Roman" w:eastAsia="宋体" w:cs="Times New Roman"/>
                      <w:b w:val="0"/>
                      <w:bCs/>
                      <w:color w:val="auto"/>
                      <w:sz w:val="21"/>
                      <w:szCs w:val="21"/>
                      <w:highlight w:val="none"/>
                      <w:lang w:eastAsia="zh-CN"/>
                    </w:rPr>
                    <w:t>排放口编号</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1A328D3">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eastAsia="zh-CN"/>
                    </w:rPr>
                    <w:t>污染物种类</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45949802">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许可排放速率（kg/h</w:t>
                  </w:r>
                  <w:r>
                    <w:rPr>
                      <w:rFonts w:hint="eastAsia" w:ascii="Times New Roman" w:hAnsi="Times New Roman" w:eastAsia="宋体" w:cs="Times New Roman"/>
                      <w:b w:val="0"/>
                      <w:bCs/>
                      <w:color w:val="auto"/>
                      <w:sz w:val="21"/>
                      <w:szCs w:val="21"/>
                      <w:highlight w:val="none"/>
                      <w:lang w:eastAsia="zh-CN"/>
                    </w:rPr>
                    <w:t>）</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2955DAA7">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排放速率有效监测数据数量</w:t>
                  </w:r>
                </w:p>
              </w:tc>
              <w:tc>
                <w:tcPr>
                  <w:tcW w:w="1695"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EB52F92">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实际排放速率</w:t>
                  </w:r>
                  <w:r>
                    <w:rPr>
                      <w:rFonts w:hint="eastAsia" w:ascii="Times New Roman" w:hAnsi="Times New Roman" w:eastAsia="宋体" w:cs="Times New Roman"/>
                      <w:b w:val="0"/>
                      <w:bCs/>
                      <w:color w:val="auto"/>
                      <w:sz w:val="21"/>
                      <w:szCs w:val="21"/>
                      <w:highlight w:val="none"/>
                      <w:lang w:eastAsia="zh-CN"/>
                    </w:rPr>
                    <w:t>（</w:t>
                  </w:r>
                  <w:r>
                    <w:rPr>
                      <w:rFonts w:hint="eastAsia" w:ascii="Times New Roman" w:hAnsi="Times New Roman" w:eastAsia="宋体" w:cs="Times New Roman"/>
                      <w:b w:val="0"/>
                      <w:bCs/>
                      <w:color w:val="auto"/>
                      <w:sz w:val="21"/>
                      <w:szCs w:val="21"/>
                      <w:highlight w:val="none"/>
                    </w:rPr>
                    <w:t>kg/h</w:t>
                  </w:r>
                  <w:r>
                    <w:rPr>
                      <w:rFonts w:hint="eastAsia" w:ascii="Times New Roman" w:hAnsi="Times New Roman" w:eastAsia="宋体" w:cs="Times New Roman"/>
                      <w:b w:val="0"/>
                      <w:bCs/>
                      <w:color w:val="auto"/>
                      <w:sz w:val="21"/>
                      <w:szCs w:val="21"/>
                      <w:highlight w:val="none"/>
                      <w:lang w:eastAsia="zh-CN"/>
                    </w:rPr>
                    <w:t>）</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2E8E4E62">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超标数据数量</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C8F6148">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超标率</w:t>
                  </w:r>
                  <w:r>
                    <w:rPr>
                      <w:rFonts w:hint="eastAsia" w:ascii="Times New Roman" w:hAnsi="Times New Roman" w:eastAsia="宋体" w:cs="Times New Roman"/>
                      <w:b w:val="0"/>
                      <w:bCs/>
                      <w:color w:val="auto"/>
                      <w:sz w:val="21"/>
                      <w:szCs w:val="21"/>
                      <w:highlight w:val="none"/>
                      <w:lang w:eastAsia="zh-CN"/>
                    </w:rPr>
                    <w:t>（</w:t>
                  </w:r>
                  <w:r>
                    <w:rPr>
                      <w:rFonts w:hint="eastAsia" w:ascii="Times New Roman" w:hAnsi="Times New Roman" w:eastAsia="宋体" w:cs="Times New Roman"/>
                      <w:b w:val="0"/>
                      <w:bCs/>
                      <w:color w:val="auto"/>
                      <w:sz w:val="21"/>
                      <w:szCs w:val="21"/>
                      <w:highlight w:val="none"/>
                    </w:rPr>
                    <w:t>%</w:t>
                  </w:r>
                  <w:r>
                    <w:rPr>
                      <w:rFonts w:hint="eastAsia" w:ascii="Times New Roman" w:hAnsi="Times New Roman" w:eastAsia="宋体" w:cs="Times New Roman"/>
                      <w:b w:val="0"/>
                      <w:bCs/>
                      <w:color w:val="auto"/>
                      <w:sz w:val="21"/>
                      <w:szCs w:val="21"/>
                      <w:highlight w:val="none"/>
                      <w:lang w:eastAsia="zh-CN"/>
                    </w:rPr>
                    <w:t>）</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65F7361">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超标原因</w:t>
                  </w:r>
                </w:p>
              </w:tc>
            </w:tr>
            <w:tr w14:paraId="6A7951D6">
              <w:tblPrEx>
                <w:tblCellMar>
                  <w:top w:w="0" w:type="dxa"/>
                  <w:left w:w="108" w:type="dxa"/>
                  <w:bottom w:w="0" w:type="dxa"/>
                  <w:right w:w="108" w:type="dxa"/>
                </w:tblCellMar>
              </w:tblPrEx>
              <w:trPr>
                <w:trHeight w:val="454" w:hRule="atLeast"/>
                <w:jc w:val="center"/>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4717B98">
                  <w:pPr>
                    <w:rPr>
                      <w:rFonts w:ascii="Times New Roman" w:hAnsi="Times New Roman" w:eastAsia="宋体"/>
                      <w:b w:val="0"/>
                      <w:bCs/>
                      <w:color w:val="auto"/>
                      <w:sz w:val="21"/>
                      <w:szCs w:val="21"/>
                      <w:highlight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D039778">
                  <w:pPr>
                    <w:jc w:val="center"/>
                    <w:rPr>
                      <w:rFonts w:ascii="Times New Roman" w:hAnsi="Times New Roman" w:eastAsia="宋体" w:cs="Times New Roman"/>
                      <w:b w:val="0"/>
                      <w:bCs/>
                      <w:color w:val="auto"/>
                      <w:sz w:val="21"/>
                      <w:szCs w:val="21"/>
                      <w:highlight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4F395496">
                  <w:pPr>
                    <w:jc w:val="center"/>
                    <w:rPr>
                      <w:rFonts w:ascii="Times New Roman" w:hAnsi="Times New Roman" w:eastAsia="宋体" w:cs="Times New Roman"/>
                      <w:b w:val="0"/>
                      <w:bCs/>
                      <w:color w:val="auto"/>
                      <w:sz w:val="21"/>
                      <w:szCs w:val="21"/>
                      <w:highlight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DEE69BA">
                  <w:pPr>
                    <w:jc w:val="center"/>
                    <w:rPr>
                      <w:rFonts w:ascii="Times New Roman" w:hAnsi="Times New Roman" w:eastAsia="宋体" w:cs="Times New Roman"/>
                      <w:b w:val="0"/>
                      <w:bCs/>
                      <w:color w:val="auto"/>
                      <w:sz w:val="21"/>
                      <w:szCs w:val="21"/>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85260AA">
                  <w:pPr>
                    <w:jc w:val="center"/>
                    <w:rPr>
                      <w:rFonts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rPr>
                    <w:t>最小值</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7F8660C">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最大值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2D22604B">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平均值</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2FF3089D">
                  <w:pPr>
                    <w:jc w:val="center"/>
                    <w:rPr>
                      <w:rFonts w:ascii="Times New Roman" w:hAnsi="Times New Roman" w:eastAsia="宋体" w:cs="Times New Roman"/>
                      <w:b w:val="0"/>
                      <w:bCs/>
                      <w:color w:val="auto"/>
                      <w:sz w:val="21"/>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43B01D6E">
                  <w:pPr>
                    <w:jc w:val="center"/>
                    <w:rPr>
                      <w:rFonts w:ascii="Times New Roman" w:hAnsi="Times New Roman" w:eastAsia="宋体" w:cs="Times New Roman"/>
                      <w:b w:val="0"/>
                      <w:bCs/>
                      <w:color w:val="auto"/>
                      <w:sz w:val="21"/>
                      <w:szCs w:val="21"/>
                      <w:highlight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79AB126">
                  <w:pPr>
                    <w:jc w:val="center"/>
                    <w:rPr>
                      <w:rFonts w:ascii="Times New Roman" w:hAnsi="Times New Roman" w:eastAsia="宋体" w:cs="Times New Roman"/>
                      <w:b w:val="0"/>
                      <w:bCs/>
                      <w:color w:val="auto"/>
                      <w:sz w:val="21"/>
                      <w:szCs w:val="21"/>
                      <w:highlight w:val="none"/>
                    </w:rPr>
                  </w:pPr>
                </w:p>
              </w:tc>
            </w:tr>
            <w:tr w14:paraId="6F19DDE7">
              <w:tblPrEx>
                <w:tblCellMar>
                  <w:top w:w="0" w:type="dxa"/>
                  <w:left w:w="108" w:type="dxa"/>
                  <w:bottom w:w="0" w:type="dxa"/>
                  <w:right w:w="108" w:type="dxa"/>
                </w:tblCellMar>
              </w:tblPrEx>
              <w:trPr>
                <w:trHeight w:val="23" w:hRule="atLeast"/>
                <w:jc w:val="center"/>
              </w:trPr>
              <w:tc>
                <w:tcPr>
                  <w:tcW w:w="486" w:type="pct"/>
                  <w:vMerge w:val="restart"/>
                  <w:tcBorders>
                    <w:top w:val="single" w:color="000000" w:sz="4" w:space="0"/>
                    <w:left w:val="single" w:color="000000" w:sz="4" w:space="0"/>
                    <w:right w:val="single" w:color="000000" w:sz="4" w:space="0"/>
                  </w:tcBorders>
                  <w:shd w:val="clear" w:color="auto" w:fill="auto"/>
                  <w:noWrap w:val="0"/>
                  <w:tcMar>
                    <w:top w:w="60" w:type="dxa"/>
                    <w:left w:w="75" w:type="dxa"/>
                    <w:bottom w:w="60" w:type="dxa"/>
                    <w:right w:w="75" w:type="dxa"/>
                  </w:tcMar>
                  <w:vAlign w:val="center"/>
                </w:tcPr>
                <w:p w14:paraId="5698A800">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color w:val="FF0000"/>
                      <w:sz w:val="21"/>
                      <w:szCs w:val="21"/>
                      <w:highlight w:val="none"/>
                      <w:lang w:val="en-US" w:eastAsia="zh-CN"/>
                    </w:rPr>
                    <w:t>DA003</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1888122">
                  <w:pPr>
                    <w:jc w:val="center"/>
                    <w:rPr>
                      <w:rFonts w:ascii="Times New Roman" w:hAnsi="Times New Roman" w:eastAsia="宋体"/>
                      <w:b w:val="0"/>
                      <w:bCs/>
                      <w:color w:val="auto"/>
                      <w:sz w:val="21"/>
                      <w:szCs w:val="21"/>
                      <w:highlight w:val="none"/>
                      <w:lang w:eastAsia="zh-CN"/>
                    </w:rPr>
                  </w:pPr>
                  <w:r>
                    <w:rPr>
                      <w:rFonts w:hint="eastAsia" w:ascii="Times New Roman" w:hAnsi="Times New Roman" w:eastAsia="宋体"/>
                      <w:b w:val="0"/>
                      <w:bCs/>
                      <w:color w:val="auto"/>
                      <w:sz w:val="21"/>
                      <w:szCs w:val="21"/>
                      <w:highlight w:val="none"/>
                      <w:lang w:val="en-US" w:eastAsia="zh-CN"/>
                    </w:rPr>
                    <w:t>氯化氢</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BBA40C8">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4E7D0131">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00BE8FD">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0.17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1DEBBA2">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04C8120">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0.175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22E5572B">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D99FB4A">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1586E3F">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w:t>
                  </w:r>
                </w:p>
              </w:tc>
            </w:tr>
            <w:tr w14:paraId="27936AE3">
              <w:tblPrEx>
                <w:tblCellMar>
                  <w:top w:w="0" w:type="dxa"/>
                  <w:left w:w="108" w:type="dxa"/>
                  <w:bottom w:w="0" w:type="dxa"/>
                  <w:right w:w="108" w:type="dxa"/>
                </w:tblCellMar>
              </w:tblPrEx>
              <w:trPr>
                <w:trHeight w:val="23" w:hRule="atLeast"/>
                <w:jc w:val="center"/>
              </w:trPr>
              <w:tc>
                <w:tcPr>
                  <w:tcW w:w="486" w:type="pct"/>
                  <w:vMerge w:val="continue"/>
                  <w:tcBorders>
                    <w:left w:val="single" w:color="000000" w:sz="4" w:space="0"/>
                    <w:right w:val="single" w:color="000000" w:sz="4" w:space="0"/>
                  </w:tcBorders>
                  <w:shd w:val="clear" w:color="auto" w:fill="auto"/>
                  <w:noWrap w:val="0"/>
                  <w:tcMar>
                    <w:top w:w="60" w:type="dxa"/>
                    <w:left w:w="75" w:type="dxa"/>
                    <w:bottom w:w="60" w:type="dxa"/>
                    <w:right w:w="75" w:type="dxa"/>
                  </w:tcMar>
                  <w:vAlign w:val="center"/>
                </w:tcPr>
                <w:p w14:paraId="373CD723">
                  <w:pPr>
                    <w:jc w:val="center"/>
                    <w:rPr>
                      <w:rFonts w:ascii="Times New Roman" w:hAnsi="Times New Roman" w:eastAsia="宋体"/>
                      <w:b w:val="0"/>
                      <w:bCs/>
                      <w:color w:val="auto"/>
                      <w:sz w:val="21"/>
                      <w:szCs w:val="21"/>
                      <w:highlight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6E065B6">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氮氧化物</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F2D1F80">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44DCFD64">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E16F3F1">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1F3E37D">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2741B988">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5431941">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9B62D5F">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9899909">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w:t>
                  </w:r>
                </w:p>
              </w:tc>
            </w:tr>
            <w:tr w14:paraId="61BC4C44">
              <w:tblPrEx>
                <w:tblCellMar>
                  <w:top w:w="0" w:type="dxa"/>
                  <w:left w:w="108" w:type="dxa"/>
                  <w:bottom w:w="0" w:type="dxa"/>
                  <w:right w:w="108" w:type="dxa"/>
                </w:tblCellMar>
              </w:tblPrEx>
              <w:trPr>
                <w:trHeight w:val="23" w:hRule="atLeast"/>
                <w:jc w:val="center"/>
              </w:trPr>
              <w:tc>
                <w:tcPr>
                  <w:tcW w:w="486" w:type="pct"/>
                  <w:vMerge w:val="continue"/>
                  <w:tcBorders>
                    <w:left w:val="single" w:color="000000" w:sz="4" w:space="0"/>
                    <w:right w:val="single" w:color="000000" w:sz="4" w:space="0"/>
                  </w:tcBorders>
                  <w:shd w:val="clear" w:color="auto" w:fill="auto"/>
                  <w:noWrap w:val="0"/>
                  <w:tcMar>
                    <w:top w:w="60" w:type="dxa"/>
                    <w:left w:w="75" w:type="dxa"/>
                    <w:bottom w:w="60" w:type="dxa"/>
                    <w:right w:w="75" w:type="dxa"/>
                  </w:tcMar>
                  <w:vAlign w:val="center"/>
                </w:tcPr>
                <w:p w14:paraId="4C2D2F36">
                  <w:pPr>
                    <w:jc w:val="center"/>
                    <w:rPr>
                      <w:rFonts w:ascii="Times New Roman" w:hAnsi="Times New Roman" w:eastAsia="宋体"/>
                      <w:b w:val="0"/>
                      <w:bCs/>
                      <w:color w:val="auto"/>
                      <w:sz w:val="21"/>
                      <w:szCs w:val="21"/>
                      <w:highlight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F4A5B08">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氟化物</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1DA69F2">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168D0351">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BADDCED">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3.5</w:t>
                  </w:r>
                  <w:r>
                    <w:rPr>
                      <w:rFonts w:hint="default" w:ascii="Arial" w:hAnsi="Arial" w:eastAsia="宋体" w:cs="Arial"/>
                      <w:b w:val="0"/>
                      <w:bCs/>
                      <w:color w:val="auto"/>
                      <w:sz w:val="21"/>
                      <w:szCs w:val="21"/>
                      <w:highlight w:val="none"/>
                      <w:lang w:val="en-US" w:eastAsia="zh-CN"/>
                    </w:rPr>
                    <w:t>×</w:t>
                  </w:r>
                  <w:r>
                    <w:rPr>
                      <w:rFonts w:hint="eastAsia" w:ascii="Times New Roman" w:hAnsi="Times New Roman" w:eastAsia="宋体"/>
                      <w:b w:val="0"/>
                      <w:bCs/>
                      <w:color w:val="auto"/>
                      <w:sz w:val="21"/>
                      <w:szCs w:val="21"/>
                      <w:highlight w:val="none"/>
                      <w:lang w:val="en-US" w:eastAsia="zh-CN"/>
                    </w:rPr>
                    <w:t>10</w:t>
                  </w:r>
                  <w:r>
                    <w:rPr>
                      <w:rFonts w:hint="eastAsia" w:ascii="Times New Roman" w:hAnsi="Times New Roman" w:eastAsia="宋体"/>
                      <w:b w:val="0"/>
                      <w:bCs/>
                      <w:color w:val="auto"/>
                      <w:sz w:val="21"/>
                      <w:szCs w:val="21"/>
                      <w:highlight w:val="none"/>
                      <w:vertAlign w:val="superscript"/>
                      <w:lang w:val="en-US" w:eastAsia="zh-CN"/>
                    </w:rPr>
                    <w:t>-4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B6DB61B">
                  <w:pPr>
                    <w:jc w:val="center"/>
                    <w:rPr>
                      <w:rFonts w:ascii="Times New Roman" w:hAnsi="Times New Roman" w:eastAsia="宋体"/>
                      <w:b w:val="0"/>
                      <w:bCs/>
                      <w:color w:val="auto"/>
                      <w:sz w:val="21"/>
                      <w:szCs w:val="21"/>
                      <w:highlight w:val="none"/>
                    </w:rPr>
                  </w:pPr>
                  <w:r>
                    <w:rPr>
                      <w:rFonts w:hint="eastAsia" w:ascii="Times New Roman" w:hAnsi="Times New Roman" w:eastAsia="宋体"/>
                      <w:b w:val="0"/>
                      <w:bCs/>
                      <w:color w:val="auto"/>
                      <w:sz w:val="21"/>
                      <w:szCs w:val="21"/>
                      <w:highlight w:val="none"/>
                      <w:lang w:val="en-US" w:eastAsia="zh-CN"/>
                    </w:rPr>
                    <w:t>2.2</w:t>
                  </w:r>
                  <w:r>
                    <w:rPr>
                      <w:rFonts w:hint="default" w:ascii="Arial" w:hAnsi="Arial" w:eastAsia="宋体" w:cs="Arial"/>
                      <w:b w:val="0"/>
                      <w:bCs/>
                      <w:color w:val="auto"/>
                      <w:sz w:val="21"/>
                      <w:szCs w:val="21"/>
                      <w:highlight w:val="none"/>
                      <w:lang w:val="en-US" w:eastAsia="zh-CN"/>
                    </w:rPr>
                    <w:t>×</w:t>
                  </w:r>
                  <w:r>
                    <w:rPr>
                      <w:rFonts w:hint="eastAsia" w:ascii="Times New Roman" w:hAnsi="Times New Roman" w:eastAsia="宋体"/>
                      <w:b w:val="0"/>
                      <w:bCs/>
                      <w:color w:val="auto"/>
                      <w:sz w:val="21"/>
                      <w:szCs w:val="21"/>
                      <w:highlight w:val="none"/>
                      <w:lang w:val="en-US" w:eastAsia="zh-CN"/>
                    </w:rPr>
                    <w:t>10</w:t>
                  </w:r>
                  <w:r>
                    <w:rPr>
                      <w:rFonts w:hint="eastAsia" w:ascii="Times New Roman" w:hAnsi="Times New Roman" w:eastAsia="宋体"/>
                      <w:b w:val="0"/>
                      <w:bCs/>
                      <w:color w:val="auto"/>
                      <w:sz w:val="21"/>
                      <w:szCs w:val="21"/>
                      <w:highlight w:val="none"/>
                      <w:vertAlign w:val="superscript"/>
                      <w:lang w:val="en-US" w:eastAsia="zh-CN"/>
                    </w:rPr>
                    <w:t>-3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8C2403B">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1.28</w:t>
                  </w:r>
                  <w:r>
                    <w:rPr>
                      <w:rFonts w:hint="default" w:ascii="Arial" w:hAnsi="Arial" w:eastAsia="宋体" w:cs="Arial"/>
                      <w:b w:val="0"/>
                      <w:bCs/>
                      <w:color w:val="auto"/>
                      <w:sz w:val="21"/>
                      <w:szCs w:val="21"/>
                      <w:highlight w:val="none"/>
                      <w:lang w:val="en-US" w:eastAsia="zh-CN"/>
                    </w:rPr>
                    <w:t>×</w:t>
                  </w:r>
                  <w:r>
                    <w:rPr>
                      <w:rFonts w:hint="eastAsia" w:ascii="Times New Roman" w:hAnsi="Times New Roman" w:eastAsia="宋体"/>
                      <w:b w:val="0"/>
                      <w:bCs/>
                      <w:color w:val="auto"/>
                      <w:sz w:val="21"/>
                      <w:szCs w:val="21"/>
                      <w:highlight w:val="none"/>
                      <w:lang w:val="en-US" w:eastAsia="zh-CN"/>
                    </w:rPr>
                    <w:t>10</w:t>
                  </w:r>
                  <w:r>
                    <w:rPr>
                      <w:rFonts w:hint="eastAsia" w:ascii="Times New Roman" w:hAnsi="Times New Roman" w:eastAsia="宋体"/>
                      <w:b w:val="0"/>
                      <w:bCs/>
                      <w:color w:val="auto"/>
                      <w:sz w:val="21"/>
                      <w:szCs w:val="21"/>
                      <w:highlight w:val="none"/>
                      <w:vertAlign w:val="superscript"/>
                      <w:lang w:val="en-US" w:eastAsia="zh-CN"/>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45F30B4">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D45D849">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B7F432F">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w:t>
                  </w:r>
                </w:p>
              </w:tc>
            </w:tr>
            <w:tr w14:paraId="4BFA6815">
              <w:tblPrEx>
                <w:tblCellMar>
                  <w:top w:w="0" w:type="dxa"/>
                  <w:left w:w="108" w:type="dxa"/>
                  <w:bottom w:w="0" w:type="dxa"/>
                  <w:right w:w="108" w:type="dxa"/>
                </w:tblCellMar>
              </w:tblPrEx>
              <w:trPr>
                <w:trHeight w:val="23" w:hRule="atLeast"/>
                <w:jc w:val="center"/>
              </w:trPr>
              <w:tc>
                <w:tcPr>
                  <w:tcW w:w="486" w:type="pct"/>
                  <w:vMerge w:val="continue"/>
                  <w:tcBorders>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4986A831">
                  <w:pPr>
                    <w:jc w:val="center"/>
                    <w:rPr>
                      <w:rFonts w:ascii="Times New Roman" w:hAnsi="Times New Roman" w:eastAsia="宋体"/>
                      <w:b w:val="0"/>
                      <w:bCs/>
                      <w:color w:val="auto"/>
                      <w:sz w:val="21"/>
                      <w:szCs w:val="21"/>
                      <w:highlight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B9EBFE1">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硫酸雾</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6F82455">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6384A819">
                  <w:pPr>
                    <w:jc w:val="center"/>
                    <w:rPr>
                      <w:rFonts w:ascii="Times New Roman" w:hAnsi="Times New Roman" w:eastAsia="宋体"/>
                      <w:b w:val="0"/>
                      <w:bCs/>
                      <w:color w:val="auto"/>
                      <w:sz w:val="21"/>
                      <w:szCs w:val="21"/>
                      <w:highlight w:val="none"/>
                    </w:rPr>
                  </w:pPr>
                  <w:r>
                    <w:rPr>
                      <w:rFonts w:ascii="Times New Roman" w:hAnsi="Times New Roman" w:eastAsia="宋体"/>
                      <w:b w:val="0"/>
                      <w:bCs/>
                      <w:color w:val="auto"/>
                      <w:sz w:val="21"/>
                      <w:szCs w:val="21"/>
                      <w:highlight w:val="none"/>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EE64BCA">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0.18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08571AFC">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0.22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32226BD0">
                  <w:pPr>
                    <w:jc w:val="center"/>
                    <w:rPr>
                      <w:rFonts w:hint="default" w:ascii="Times New Roman" w:hAnsi="Times New Roman" w:eastAsia="宋体"/>
                      <w:b w:val="0"/>
                      <w:bCs/>
                      <w:color w:val="auto"/>
                      <w:sz w:val="21"/>
                      <w:szCs w:val="21"/>
                      <w:highlight w:val="none"/>
                      <w:lang w:val="en-US" w:eastAsia="zh-CN"/>
                    </w:rPr>
                  </w:pPr>
                  <w:r>
                    <w:rPr>
                      <w:rFonts w:hint="eastAsia" w:ascii="Times New Roman" w:hAnsi="Times New Roman" w:eastAsia="宋体"/>
                      <w:b w:val="0"/>
                      <w:bCs/>
                      <w:color w:val="auto"/>
                      <w:sz w:val="21"/>
                      <w:szCs w:val="21"/>
                      <w:highlight w:val="none"/>
                      <w:lang w:val="en-US" w:eastAsia="zh-CN"/>
                    </w:rPr>
                    <w:t>0.20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E2F1C65">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53A47B04">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0"/>
                  <w:tcMar>
                    <w:top w:w="60" w:type="dxa"/>
                    <w:left w:w="75" w:type="dxa"/>
                    <w:bottom w:w="60" w:type="dxa"/>
                    <w:right w:w="75" w:type="dxa"/>
                  </w:tcMar>
                  <w:vAlign w:val="center"/>
                </w:tcPr>
                <w:p w14:paraId="78316005">
                  <w:pPr>
                    <w:jc w:val="center"/>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w:t>
                  </w:r>
                </w:p>
              </w:tc>
            </w:tr>
          </w:tbl>
          <w:p w14:paraId="5A9769D0">
            <w:pPr>
              <w:pStyle w:val="29"/>
              <w:keepNext w:val="0"/>
              <w:keepLines w:val="0"/>
              <w:pageBreakBefore w:val="0"/>
              <w:widowControl w:val="0"/>
              <w:kinsoku/>
              <w:wordWrap/>
              <w:overflowPunct/>
              <w:topLinePunct w:val="0"/>
              <w:autoSpaceDE/>
              <w:autoSpaceDN/>
              <w:bidi w:val="0"/>
              <w:adjustRightInd/>
              <w:snapToGrid/>
              <w:spacing w:after="0" w:line="360" w:lineRule="auto"/>
              <w:ind w:firstLine="278" w:firstLineChars="116"/>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现有项目无组织监测数据来自</w:t>
            </w:r>
            <w:r>
              <w:rPr>
                <w:rFonts w:hint="eastAsia" w:cs="Times New Roman"/>
                <w:color w:val="auto"/>
                <w:sz w:val="24"/>
                <w:szCs w:val="24"/>
                <w:highlight w:val="none"/>
                <w:vertAlign w:val="baseline"/>
                <w:lang w:val="en-US" w:eastAsia="zh-CN"/>
              </w:rPr>
              <w:t>2024年</w:t>
            </w:r>
            <w:r>
              <w:rPr>
                <w:rFonts w:hint="eastAsia" w:ascii="Times New Roman" w:hAnsi="Times New Roman" w:eastAsia="宋体" w:cs="Times New Roman"/>
                <w:color w:val="auto"/>
                <w:sz w:val="24"/>
                <w:szCs w:val="24"/>
                <w:highlight w:val="none"/>
                <w:vertAlign w:val="baseline"/>
                <w:lang w:val="en-US" w:eastAsia="zh-CN"/>
              </w:rPr>
              <w:t>企业排污许可填报数据。</w:t>
            </w:r>
          </w:p>
          <w:p w14:paraId="383750B6">
            <w:pPr>
              <w:pStyle w:val="101"/>
              <w:bidi w:val="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表2-15无组织废气污染物排放浓度监测数据统计表</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193"/>
              <w:gridCol w:w="1148"/>
              <w:gridCol w:w="1358"/>
              <w:gridCol w:w="1262"/>
              <w:gridCol w:w="1782"/>
              <w:gridCol w:w="818"/>
            </w:tblGrid>
            <w:tr w14:paraId="1FDA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tcBorders>
                    <w:tl2br w:val="nil"/>
                    <w:tr2bl w:val="nil"/>
                  </w:tcBorders>
                  <w:noWrap w:val="0"/>
                  <w:tcMar>
                    <w:top w:w="60" w:type="dxa"/>
                    <w:left w:w="75" w:type="dxa"/>
                    <w:bottom w:w="60" w:type="dxa"/>
                    <w:right w:w="75" w:type="dxa"/>
                  </w:tcMar>
                  <w:vAlign w:val="center"/>
                </w:tcPr>
                <w:p w14:paraId="68099501">
                  <w:pPr>
                    <w:jc w:val="center"/>
                    <w:rPr>
                      <w:rFonts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rPr>
                    <w:t>生产设施</w:t>
                  </w:r>
                  <w:r>
                    <w:rPr>
                      <w:rFonts w:hint="eastAsia"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rPr>
                    <w:t>无组织排放编号</w:t>
                  </w:r>
                </w:p>
              </w:tc>
              <w:tc>
                <w:tcPr>
                  <w:tcW w:w="714" w:type="pct"/>
                  <w:tcBorders>
                    <w:tl2br w:val="nil"/>
                    <w:tr2bl w:val="nil"/>
                  </w:tcBorders>
                  <w:noWrap w:val="0"/>
                  <w:tcMar>
                    <w:top w:w="60" w:type="dxa"/>
                    <w:left w:w="75" w:type="dxa"/>
                    <w:bottom w:w="60" w:type="dxa"/>
                    <w:right w:w="75" w:type="dxa"/>
                  </w:tcMar>
                  <w:vAlign w:val="center"/>
                </w:tcPr>
                <w:p w14:paraId="7BF4386C">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污染物种类</w:t>
                  </w:r>
                </w:p>
              </w:tc>
              <w:tc>
                <w:tcPr>
                  <w:tcW w:w="687" w:type="pct"/>
                  <w:tcBorders>
                    <w:tl2br w:val="nil"/>
                    <w:tr2bl w:val="nil"/>
                  </w:tcBorders>
                  <w:noWrap w:val="0"/>
                  <w:tcMar>
                    <w:top w:w="60" w:type="dxa"/>
                    <w:left w:w="75" w:type="dxa"/>
                    <w:bottom w:w="60" w:type="dxa"/>
                    <w:right w:w="75" w:type="dxa"/>
                  </w:tcMar>
                  <w:vAlign w:val="center"/>
                </w:tcPr>
                <w:p w14:paraId="46DC488F">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许可排放浓度限值（mg/m³）</w:t>
                  </w:r>
                </w:p>
              </w:tc>
              <w:tc>
                <w:tcPr>
                  <w:tcW w:w="812" w:type="pct"/>
                  <w:tcBorders>
                    <w:tl2br w:val="nil"/>
                    <w:tr2bl w:val="nil"/>
                  </w:tcBorders>
                  <w:noWrap w:val="0"/>
                  <w:tcMar>
                    <w:top w:w="60" w:type="dxa"/>
                    <w:left w:w="75" w:type="dxa"/>
                    <w:bottom w:w="60" w:type="dxa"/>
                    <w:right w:w="75" w:type="dxa"/>
                  </w:tcMar>
                  <w:vAlign w:val="center"/>
                </w:tcPr>
                <w:p w14:paraId="0BC7E0B2">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监测点位/设施</w:t>
                  </w:r>
                </w:p>
              </w:tc>
              <w:tc>
                <w:tcPr>
                  <w:tcW w:w="755" w:type="pct"/>
                  <w:tcBorders>
                    <w:tl2br w:val="nil"/>
                    <w:tr2bl w:val="nil"/>
                  </w:tcBorders>
                  <w:noWrap w:val="0"/>
                  <w:tcMar>
                    <w:top w:w="60" w:type="dxa"/>
                    <w:left w:w="75" w:type="dxa"/>
                    <w:bottom w:w="60" w:type="dxa"/>
                    <w:right w:w="75" w:type="dxa"/>
                  </w:tcMar>
                  <w:vAlign w:val="center"/>
                </w:tcPr>
                <w:p w14:paraId="1ABABD48">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监测时间</w:t>
                  </w:r>
                </w:p>
              </w:tc>
              <w:tc>
                <w:tcPr>
                  <w:tcW w:w="1066" w:type="pct"/>
                  <w:tcBorders>
                    <w:tl2br w:val="nil"/>
                    <w:tr2bl w:val="nil"/>
                  </w:tcBorders>
                  <w:noWrap w:val="0"/>
                  <w:tcMar>
                    <w:top w:w="60" w:type="dxa"/>
                    <w:left w:w="75" w:type="dxa"/>
                    <w:bottom w:w="60" w:type="dxa"/>
                    <w:right w:w="75" w:type="dxa"/>
                  </w:tcMar>
                  <w:vAlign w:val="center"/>
                </w:tcPr>
                <w:p w14:paraId="27CAC5C2">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浓度监测结果</w:t>
                  </w:r>
                </w:p>
                <w:p w14:paraId="6CA07AE2">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（折标，小时浓度，mg/m³）</w:t>
                  </w:r>
                </w:p>
              </w:tc>
              <w:tc>
                <w:tcPr>
                  <w:tcW w:w="489" w:type="pct"/>
                  <w:tcBorders>
                    <w:tl2br w:val="nil"/>
                    <w:tr2bl w:val="nil"/>
                  </w:tcBorders>
                  <w:noWrap w:val="0"/>
                  <w:tcMar>
                    <w:top w:w="60" w:type="dxa"/>
                    <w:left w:w="75" w:type="dxa"/>
                    <w:bottom w:w="60" w:type="dxa"/>
                    <w:right w:w="75" w:type="dxa"/>
                  </w:tcMar>
                  <w:vAlign w:val="center"/>
                </w:tcPr>
                <w:p w14:paraId="39A2C85D">
                  <w:pPr>
                    <w:jc w:val="center"/>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是否超标及超标原因</w:t>
                  </w:r>
                </w:p>
              </w:tc>
            </w:tr>
            <w:tr w14:paraId="20DF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restart"/>
                  <w:tcBorders>
                    <w:tl2br w:val="nil"/>
                    <w:tr2bl w:val="nil"/>
                  </w:tcBorders>
                  <w:noWrap w:val="0"/>
                  <w:tcMar>
                    <w:top w:w="60" w:type="dxa"/>
                    <w:left w:w="75" w:type="dxa"/>
                    <w:bottom w:w="60" w:type="dxa"/>
                    <w:right w:w="75" w:type="dxa"/>
                  </w:tcMar>
                  <w:vAlign w:val="center"/>
                </w:tcPr>
                <w:p w14:paraId="7EBE9A6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75DB59F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氟化物</w:t>
                  </w:r>
                </w:p>
              </w:tc>
              <w:tc>
                <w:tcPr>
                  <w:tcW w:w="687" w:type="pct"/>
                  <w:tcBorders>
                    <w:tl2br w:val="nil"/>
                    <w:tr2bl w:val="nil"/>
                  </w:tcBorders>
                  <w:noWrap w:val="0"/>
                  <w:tcMar>
                    <w:top w:w="60" w:type="dxa"/>
                    <w:left w:w="75" w:type="dxa"/>
                    <w:bottom w:w="60" w:type="dxa"/>
                    <w:right w:w="75" w:type="dxa"/>
                  </w:tcMar>
                  <w:vAlign w:val="center"/>
                </w:tcPr>
                <w:p w14:paraId="11D58C3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0.02</w:t>
                  </w:r>
                </w:p>
              </w:tc>
              <w:tc>
                <w:tcPr>
                  <w:tcW w:w="812" w:type="pct"/>
                  <w:tcBorders>
                    <w:tl2br w:val="nil"/>
                    <w:tr2bl w:val="nil"/>
                  </w:tcBorders>
                  <w:noWrap w:val="0"/>
                  <w:tcMar>
                    <w:top w:w="60" w:type="dxa"/>
                    <w:left w:w="75" w:type="dxa"/>
                    <w:bottom w:w="60" w:type="dxa"/>
                    <w:right w:w="75" w:type="dxa"/>
                  </w:tcMar>
                  <w:vAlign w:val="center"/>
                </w:tcPr>
                <w:p w14:paraId="74FBBEA3">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上风向1#</w:t>
                  </w:r>
                </w:p>
              </w:tc>
              <w:tc>
                <w:tcPr>
                  <w:tcW w:w="755" w:type="pct"/>
                  <w:tcBorders>
                    <w:tl2br w:val="nil"/>
                    <w:tr2bl w:val="nil"/>
                  </w:tcBorders>
                  <w:noWrap w:val="0"/>
                  <w:tcMar>
                    <w:top w:w="60" w:type="dxa"/>
                    <w:left w:w="75" w:type="dxa"/>
                    <w:bottom w:w="60" w:type="dxa"/>
                    <w:right w:w="75" w:type="dxa"/>
                  </w:tcMar>
                  <w:vAlign w:val="center"/>
                </w:tcPr>
                <w:p w14:paraId="2F25EC23">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3790A574">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0.00305</w:t>
                  </w:r>
                </w:p>
              </w:tc>
              <w:tc>
                <w:tcPr>
                  <w:tcW w:w="489" w:type="pct"/>
                  <w:tcBorders>
                    <w:tl2br w:val="nil"/>
                    <w:tr2bl w:val="nil"/>
                  </w:tcBorders>
                  <w:noWrap w:val="0"/>
                  <w:tcMar>
                    <w:top w:w="60" w:type="dxa"/>
                    <w:left w:w="75" w:type="dxa"/>
                    <w:bottom w:w="60" w:type="dxa"/>
                    <w:right w:w="75" w:type="dxa"/>
                  </w:tcMar>
                  <w:vAlign w:val="center"/>
                </w:tcPr>
                <w:p w14:paraId="55E4E5AB">
                  <w:pPr>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w:t>
                  </w:r>
                </w:p>
              </w:tc>
            </w:tr>
            <w:tr w14:paraId="7C50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263BCBB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1E50ECA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氟化物</w:t>
                  </w:r>
                </w:p>
              </w:tc>
              <w:tc>
                <w:tcPr>
                  <w:tcW w:w="687" w:type="pct"/>
                  <w:tcBorders>
                    <w:tl2br w:val="nil"/>
                    <w:tr2bl w:val="nil"/>
                  </w:tcBorders>
                  <w:noWrap w:val="0"/>
                  <w:tcMar>
                    <w:top w:w="60" w:type="dxa"/>
                    <w:left w:w="75" w:type="dxa"/>
                    <w:bottom w:w="60" w:type="dxa"/>
                    <w:right w:w="75" w:type="dxa"/>
                  </w:tcMar>
                  <w:vAlign w:val="center"/>
                </w:tcPr>
                <w:p w14:paraId="6854CF7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0.02</w:t>
                  </w:r>
                </w:p>
              </w:tc>
              <w:tc>
                <w:tcPr>
                  <w:tcW w:w="812" w:type="pct"/>
                  <w:tcBorders>
                    <w:tl2br w:val="nil"/>
                    <w:tr2bl w:val="nil"/>
                  </w:tcBorders>
                  <w:noWrap w:val="0"/>
                  <w:tcMar>
                    <w:top w:w="60" w:type="dxa"/>
                    <w:left w:w="75" w:type="dxa"/>
                    <w:bottom w:w="60" w:type="dxa"/>
                    <w:right w:w="75" w:type="dxa"/>
                  </w:tcMar>
                  <w:vAlign w:val="center"/>
                </w:tcPr>
                <w:p w14:paraId="7378DFE2">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下风向2#</w:t>
                  </w:r>
                </w:p>
              </w:tc>
              <w:tc>
                <w:tcPr>
                  <w:tcW w:w="755" w:type="pct"/>
                  <w:tcBorders>
                    <w:tl2br w:val="nil"/>
                    <w:tr2bl w:val="nil"/>
                  </w:tcBorders>
                  <w:noWrap w:val="0"/>
                  <w:tcMar>
                    <w:top w:w="60" w:type="dxa"/>
                    <w:left w:w="75" w:type="dxa"/>
                    <w:bottom w:w="60" w:type="dxa"/>
                    <w:right w:w="75" w:type="dxa"/>
                  </w:tcMar>
                  <w:vAlign w:val="center"/>
                </w:tcPr>
                <w:p w14:paraId="2F0079B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5C0BA13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0.00405</w:t>
                  </w:r>
                </w:p>
              </w:tc>
              <w:tc>
                <w:tcPr>
                  <w:tcW w:w="489" w:type="pct"/>
                  <w:tcBorders>
                    <w:tl2br w:val="nil"/>
                    <w:tr2bl w:val="nil"/>
                  </w:tcBorders>
                  <w:noWrap w:val="0"/>
                  <w:tcMar>
                    <w:top w:w="60" w:type="dxa"/>
                    <w:left w:w="75" w:type="dxa"/>
                    <w:bottom w:w="60" w:type="dxa"/>
                    <w:right w:w="75" w:type="dxa"/>
                  </w:tcMar>
                  <w:vAlign w:val="center"/>
                </w:tcPr>
                <w:p w14:paraId="77EDDBFF">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1993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233842A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786EAD09">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氟化物</w:t>
                  </w:r>
                </w:p>
              </w:tc>
              <w:tc>
                <w:tcPr>
                  <w:tcW w:w="687" w:type="pct"/>
                  <w:tcBorders>
                    <w:tl2br w:val="nil"/>
                    <w:tr2bl w:val="nil"/>
                  </w:tcBorders>
                  <w:noWrap w:val="0"/>
                  <w:tcMar>
                    <w:top w:w="60" w:type="dxa"/>
                    <w:left w:w="75" w:type="dxa"/>
                    <w:bottom w:w="60" w:type="dxa"/>
                    <w:right w:w="75" w:type="dxa"/>
                  </w:tcMar>
                  <w:vAlign w:val="center"/>
                </w:tcPr>
                <w:p w14:paraId="531C3FE0">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0.02</w:t>
                  </w:r>
                </w:p>
              </w:tc>
              <w:tc>
                <w:tcPr>
                  <w:tcW w:w="812" w:type="pct"/>
                  <w:tcBorders>
                    <w:tl2br w:val="nil"/>
                    <w:tr2bl w:val="nil"/>
                  </w:tcBorders>
                  <w:noWrap w:val="0"/>
                  <w:tcMar>
                    <w:top w:w="60" w:type="dxa"/>
                    <w:left w:w="75" w:type="dxa"/>
                    <w:bottom w:w="60" w:type="dxa"/>
                    <w:right w:w="75" w:type="dxa"/>
                  </w:tcMar>
                  <w:vAlign w:val="center"/>
                </w:tcPr>
                <w:p w14:paraId="7572A40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下风向3#</w:t>
                  </w:r>
                </w:p>
              </w:tc>
              <w:tc>
                <w:tcPr>
                  <w:tcW w:w="755" w:type="pct"/>
                  <w:tcBorders>
                    <w:tl2br w:val="nil"/>
                    <w:tr2bl w:val="nil"/>
                  </w:tcBorders>
                  <w:noWrap w:val="0"/>
                  <w:tcMar>
                    <w:top w:w="60" w:type="dxa"/>
                    <w:left w:w="75" w:type="dxa"/>
                    <w:bottom w:w="60" w:type="dxa"/>
                    <w:right w:w="75" w:type="dxa"/>
                  </w:tcMar>
                  <w:vAlign w:val="center"/>
                </w:tcPr>
                <w:p w14:paraId="6392E58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54A2E089">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0.00425</w:t>
                  </w:r>
                </w:p>
              </w:tc>
              <w:tc>
                <w:tcPr>
                  <w:tcW w:w="489" w:type="pct"/>
                  <w:tcBorders>
                    <w:tl2br w:val="nil"/>
                    <w:tr2bl w:val="nil"/>
                  </w:tcBorders>
                  <w:noWrap w:val="0"/>
                  <w:tcMar>
                    <w:top w:w="60" w:type="dxa"/>
                    <w:left w:w="75" w:type="dxa"/>
                    <w:bottom w:w="60" w:type="dxa"/>
                    <w:right w:w="75" w:type="dxa"/>
                  </w:tcMar>
                  <w:vAlign w:val="center"/>
                </w:tcPr>
                <w:p w14:paraId="4A5020C2">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6DB9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3EB4D78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01BFD0B9">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氟化物</w:t>
                  </w:r>
                </w:p>
              </w:tc>
              <w:tc>
                <w:tcPr>
                  <w:tcW w:w="687" w:type="pct"/>
                  <w:tcBorders>
                    <w:tl2br w:val="nil"/>
                    <w:tr2bl w:val="nil"/>
                  </w:tcBorders>
                  <w:noWrap w:val="0"/>
                  <w:tcMar>
                    <w:top w:w="60" w:type="dxa"/>
                    <w:left w:w="75" w:type="dxa"/>
                    <w:bottom w:w="60" w:type="dxa"/>
                    <w:right w:w="75" w:type="dxa"/>
                  </w:tcMar>
                  <w:vAlign w:val="center"/>
                </w:tcPr>
                <w:p w14:paraId="3A0877E9">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0.02</w:t>
                  </w:r>
                </w:p>
              </w:tc>
              <w:tc>
                <w:tcPr>
                  <w:tcW w:w="812" w:type="pct"/>
                  <w:tcBorders>
                    <w:tl2br w:val="nil"/>
                    <w:tr2bl w:val="nil"/>
                  </w:tcBorders>
                  <w:noWrap w:val="0"/>
                  <w:tcMar>
                    <w:top w:w="60" w:type="dxa"/>
                    <w:left w:w="75" w:type="dxa"/>
                    <w:bottom w:w="60" w:type="dxa"/>
                    <w:right w:w="75" w:type="dxa"/>
                  </w:tcMar>
                  <w:vAlign w:val="center"/>
                </w:tcPr>
                <w:p w14:paraId="04D12623">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下风向4#</w:t>
                  </w:r>
                </w:p>
              </w:tc>
              <w:tc>
                <w:tcPr>
                  <w:tcW w:w="755" w:type="pct"/>
                  <w:tcBorders>
                    <w:tl2br w:val="nil"/>
                    <w:tr2bl w:val="nil"/>
                  </w:tcBorders>
                  <w:noWrap w:val="0"/>
                  <w:tcMar>
                    <w:top w:w="60" w:type="dxa"/>
                    <w:left w:w="75" w:type="dxa"/>
                    <w:bottom w:w="60" w:type="dxa"/>
                    <w:right w:w="75" w:type="dxa"/>
                  </w:tcMar>
                  <w:vAlign w:val="center"/>
                </w:tcPr>
                <w:p w14:paraId="3D5B89C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09AB5AF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0.0046</w:t>
                  </w:r>
                </w:p>
              </w:tc>
              <w:tc>
                <w:tcPr>
                  <w:tcW w:w="489" w:type="pct"/>
                  <w:tcBorders>
                    <w:tl2br w:val="nil"/>
                    <w:tr2bl w:val="nil"/>
                  </w:tcBorders>
                  <w:noWrap w:val="0"/>
                  <w:tcMar>
                    <w:top w:w="60" w:type="dxa"/>
                    <w:left w:w="75" w:type="dxa"/>
                    <w:bottom w:w="60" w:type="dxa"/>
                    <w:right w:w="75" w:type="dxa"/>
                  </w:tcMar>
                  <w:vAlign w:val="center"/>
                </w:tcPr>
                <w:p w14:paraId="32FAB7FF">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3CC4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7AC6E3EF">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0B47279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氮氧化物</w:t>
                  </w:r>
                </w:p>
              </w:tc>
              <w:tc>
                <w:tcPr>
                  <w:tcW w:w="687" w:type="pct"/>
                  <w:tcBorders>
                    <w:tl2br w:val="nil"/>
                    <w:tr2bl w:val="nil"/>
                  </w:tcBorders>
                  <w:noWrap w:val="0"/>
                  <w:tcMar>
                    <w:top w:w="60" w:type="dxa"/>
                    <w:left w:w="75" w:type="dxa"/>
                    <w:bottom w:w="60" w:type="dxa"/>
                    <w:right w:w="75" w:type="dxa"/>
                  </w:tcMar>
                  <w:vAlign w:val="center"/>
                </w:tcPr>
                <w:p w14:paraId="24856A5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0.12</w:t>
                  </w:r>
                </w:p>
              </w:tc>
              <w:tc>
                <w:tcPr>
                  <w:tcW w:w="812" w:type="pct"/>
                  <w:tcBorders>
                    <w:tl2br w:val="nil"/>
                    <w:tr2bl w:val="nil"/>
                  </w:tcBorders>
                  <w:noWrap w:val="0"/>
                  <w:tcMar>
                    <w:top w:w="60" w:type="dxa"/>
                    <w:left w:w="75" w:type="dxa"/>
                    <w:bottom w:w="60" w:type="dxa"/>
                    <w:right w:w="75" w:type="dxa"/>
                  </w:tcMar>
                  <w:vAlign w:val="center"/>
                </w:tcPr>
                <w:p w14:paraId="208EC38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上风向1#</w:t>
                  </w:r>
                </w:p>
              </w:tc>
              <w:tc>
                <w:tcPr>
                  <w:tcW w:w="755" w:type="pct"/>
                  <w:tcBorders>
                    <w:tl2br w:val="nil"/>
                    <w:tr2bl w:val="nil"/>
                  </w:tcBorders>
                  <w:noWrap w:val="0"/>
                  <w:tcMar>
                    <w:top w:w="60" w:type="dxa"/>
                    <w:left w:w="75" w:type="dxa"/>
                    <w:bottom w:w="60" w:type="dxa"/>
                    <w:right w:w="75" w:type="dxa"/>
                  </w:tcMar>
                  <w:vAlign w:val="center"/>
                </w:tcPr>
                <w:p w14:paraId="601110A9">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431D0F7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0.03425</w:t>
                  </w:r>
                </w:p>
              </w:tc>
              <w:tc>
                <w:tcPr>
                  <w:tcW w:w="489" w:type="pct"/>
                  <w:tcBorders>
                    <w:tl2br w:val="nil"/>
                    <w:tr2bl w:val="nil"/>
                  </w:tcBorders>
                  <w:noWrap w:val="0"/>
                  <w:tcMar>
                    <w:top w:w="60" w:type="dxa"/>
                    <w:left w:w="75" w:type="dxa"/>
                    <w:bottom w:w="60" w:type="dxa"/>
                    <w:right w:w="75" w:type="dxa"/>
                  </w:tcMar>
                  <w:vAlign w:val="center"/>
                </w:tcPr>
                <w:p w14:paraId="56B354E1">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011FB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476F288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7774A41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氮氧化物</w:t>
                  </w:r>
                </w:p>
              </w:tc>
              <w:tc>
                <w:tcPr>
                  <w:tcW w:w="687" w:type="pct"/>
                  <w:tcBorders>
                    <w:tl2br w:val="nil"/>
                    <w:tr2bl w:val="nil"/>
                  </w:tcBorders>
                  <w:noWrap w:val="0"/>
                  <w:tcMar>
                    <w:top w:w="60" w:type="dxa"/>
                    <w:left w:w="75" w:type="dxa"/>
                    <w:bottom w:w="60" w:type="dxa"/>
                    <w:right w:w="75" w:type="dxa"/>
                  </w:tcMar>
                  <w:vAlign w:val="center"/>
                </w:tcPr>
                <w:p w14:paraId="76B28EC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0.12</w:t>
                  </w:r>
                </w:p>
              </w:tc>
              <w:tc>
                <w:tcPr>
                  <w:tcW w:w="812" w:type="pct"/>
                  <w:tcBorders>
                    <w:tl2br w:val="nil"/>
                    <w:tr2bl w:val="nil"/>
                  </w:tcBorders>
                  <w:noWrap w:val="0"/>
                  <w:tcMar>
                    <w:top w:w="60" w:type="dxa"/>
                    <w:left w:w="75" w:type="dxa"/>
                    <w:bottom w:w="60" w:type="dxa"/>
                    <w:right w:w="75" w:type="dxa"/>
                  </w:tcMar>
                  <w:vAlign w:val="center"/>
                </w:tcPr>
                <w:p w14:paraId="6BA7E84D">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下风向2#</w:t>
                  </w:r>
                </w:p>
              </w:tc>
              <w:tc>
                <w:tcPr>
                  <w:tcW w:w="755" w:type="pct"/>
                  <w:tcBorders>
                    <w:tl2br w:val="nil"/>
                    <w:tr2bl w:val="nil"/>
                  </w:tcBorders>
                  <w:noWrap w:val="0"/>
                  <w:tcMar>
                    <w:top w:w="60" w:type="dxa"/>
                    <w:left w:w="75" w:type="dxa"/>
                    <w:bottom w:w="60" w:type="dxa"/>
                    <w:right w:w="75" w:type="dxa"/>
                  </w:tcMar>
                  <w:vAlign w:val="center"/>
                </w:tcPr>
                <w:p w14:paraId="637202F4">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05359AA4">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0.05125</w:t>
                  </w:r>
                </w:p>
              </w:tc>
              <w:tc>
                <w:tcPr>
                  <w:tcW w:w="489" w:type="pct"/>
                  <w:tcBorders>
                    <w:tl2br w:val="nil"/>
                    <w:tr2bl w:val="nil"/>
                  </w:tcBorders>
                  <w:noWrap w:val="0"/>
                  <w:tcMar>
                    <w:top w:w="60" w:type="dxa"/>
                    <w:left w:w="75" w:type="dxa"/>
                    <w:bottom w:w="60" w:type="dxa"/>
                    <w:right w:w="75" w:type="dxa"/>
                  </w:tcMar>
                  <w:vAlign w:val="center"/>
                </w:tcPr>
                <w:p w14:paraId="2FE0D446">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7117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59E67BB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7A96703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氮氧化物</w:t>
                  </w:r>
                </w:p>
              </w:tc>
              <w:tc>
                <w:tcPr>
                  <w:tcW w:w="687" w:type="pct"/>
                  <w:tcBorders>
                    <w:tl2br w:val="nil"/>
                    <w:tr2bl w:val="nil"/>
                  </w:tcBorders>
                  <w:noWrap w:val="0"/>
                  <w:tcMar>
                    <w:top w:w="60" w:type="dxa"/>
                    <w:left w:w="75" w:type="dxa"/>
                    <w:bottom w:w="60" w:type="dxa"/>
                    <w:right w:w="75" w:type="dxa"/>
                  </w:tcMar>
                  <w:vAlign w:val="center"/>
                </w:tcPr>
                <w:p w14:paraId="489D0C4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0.12</w:t>
                  </w:r>
                </w:p>
              </w:tc>
              <w:tc>
                <w:tcPr>
                  <w:tcW w:w="812" w:type="pct"/>
                  <w:tcBorders>
                    <w:tl2br w:val="nil"/>
                    <w:tr2bl w:val="nil"/>
                  </w:tcBorders>
                  <w:noWrap w:val="0"/>
                  <w:tcMar>
                    <w:top w:w="60" w:type="dxa"/>
                    <w:left w:w="75" w:type="dxa"/>
                    <w:bottom w:w="60" w:type="dxa"/>
                    <w:right w:w="75" w:type="dxa"/>
                  </w:tcMar>
                  <w:vAlign w:val="center"/>
                </w:tcPr>
                <w:p w14:paraId="250D7B1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下风向3#</w:t>
                  </w:r>
                </w:p>
              </w:tc>
              <w:tc>
                <w:tcPr>
                  <w:tcW w:w="755" w:type="pct"/>
                  <w:tcBorders>
                    <w:tl2br w:val="nil"/>
                    <w:tr2bl w:val="nil"/>
                  </w:tcBorders>
                  <w:noWrap w:val="0"/>
                  <w:tcMar>
                    <w:top w:w="60" w:type="dxa"/>
                    <w:left w:w="75" w:type="dxa"/>
                    <w:bottom w:w="60" w:type="dxa"/>
                    <w:right w:w="75" w:type="dxa"/>
                  </w:tcMar>
                  <w:vAlign w:val="center"/>
                </w:tcPr>
                <w:p w14:paraId="3C52F842">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2E09C27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0.0485</w:t>
                  </w:r>
                </w:p>
              </w:tc>
              <w:tc>
                <w:tcPr>
                  <w:tcW w:w="489" w:type="pct"/>
                  <w:tcBorders>
                    <w:tl2br w:val="nil"/>
                    <w:tr2bl w:val="nil"/>
                  </w:tcBorders>
                  <w:noWrap w:val="0"/>
                  <w:tcMar>
                    <w:top w:w="60" w:type="dxa"/>
                    <w:left w:w="75" w:type="dxa"/>
                    <w:bottom w:w="60" w:type="dxa"/>
                    <w:right w:w="75" w:type="dxa"/>
                  </w:tcMar>
                  <w:vAlign w:val="center"/>
                </w:tcPr>
                <w:p w14:paraId="00FACADF">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706A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509F50E3">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63922BD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氮氧化物</w:t>
                  </w:r>
                </w:p>
              </w:tc>
              <w:tc>
                <w:tcPr>
                  <w:tcW w:w="687" w:type="pct"/>
                  <w:tcBorders>
                    <w:tl2br w:val="nil"/>
                    <w:tr2bl w:val="nil"/>
                  </w:tcBorders>
                  <w:noWrap w:val="0"/>
                  <w:tcMar>
                    <w:top w:w="60" w:type="dxa"/>
                    <w:left w:w="75" w:type="dxa"/>
                    <w:bottom w:w="60" w:type="dxa"/>
                    <w:right w:w="75" w:type="dxa"/>
                  </w:tcMar>
                  <w:vAlign w:val="center"/>
                </w:tcPr>
                <w:p w14:paraId="70F18A4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0.12</w:t>
                  </w:r>
                </w:p>
              </w:tc>
              <w:tc>
                <w:tcPr>
                  <w:tcW w:w="812" w:type="pct"/>
                  <w:tcBorders>
                    <w:tl2br w:val="nil"/>
                    <w:tr2bl w:val="nil"/>
                  </w:tcBorders>
                  <w:noWrap w:val="0"/>
                  <w:tcMar>
                    <w:top w:w="60" w:type="dxa"/>
                    <w:left w:w="75" w:type="dxa"/>
                    <w:bottom w:w="60" w:type="dxa"/>
                    <w:right w:w="75" w:type="dxa"/>
                  </w:tcMar>
                  <w:vAlign w:val="center"/>
                </w:tcPr>
                <w:p w14:paraId="05CEAABD">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下风向4#</w:t>
                  </w:r>
                </w:p>
              </w:tc>
              <w:tc>
                <w:tcPr>
                  <w:tcW w:w="755" w:type="pct"/>
                  <w:tcBorders>
                    <w:tl2br w:val="nil"/>
                    <w:tr2bl w:val="nil"/>
                  </w:tcBorders>
                  <w:noWrap w:val="0"/>
                  <w:tcMar>
                    <w:top w:w="60" w:type="dxa"/>
                    <w:left w:w="75" w:type="dxa"/>
                    <w:bottom w:w="60" w:type="dxa"/>
                    <w:right w:w="75" w:type="dxa"/>
                  </w:tcMar>
                  <w:vAlign w:val="center"/>
                </w:tcPr>
                <w:p w14:paraId="4F30F0C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2009954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0.0495</w:t>
                  </w:r>
                </w:p>
              </w:tc>
              <w:tc>
                <w:tcPr>
                  <w:tcW w:w="489" w:type="pct"/>
                  <w:tcBorders>
                    <w:tl2br w:val="nil"/>
                    <w:tr2bl w:val="nil"/>
                  </w:tcBorders>
                  <w:noWrap w:val="0"/>
                  <w:tcMar>
                    <w:top w:w="60" w:type="dxa"/>
                    <w:left w:w="75" w:type="dxa"/>
                    <w:bottom w:w="60" w:type="dxa"/>
                    <w:right w:w="75" w:type="dxa"/>
                  </w:tcMar>
                  <w:vAlign w:val="center"/>
                </w:tcPr>
                <w:p w14:paraId="2AB4933F">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4F32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572BDAE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0667A45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氯化氢</w:t>
                  </w:r>
                </w:p>
              </w:tc>
              <w:tc>
                <w:tcPr>
                  <w:tcW w:w="687" w:type="pct"/>
                  <w:tcBorders>
                    <w:tl2br w:val="nil"/>
                    <w:tr2bl w:val="nil"/>
                  </w:tcBorders>
                  <w:noWrap w:val="0"/>
                  <w:tcMar>
                    <w:top w:w="60" w:type="dxa"/>
                    <w:left w:w="75" w:type="dxa"/>
                    <w:bottom w:w="60" w:type="dxa"/>
                    <w:right w:w="75" w:type="dxa"/>
                  </w:tcMar>
                  <w:vAlign w:val="center"/>
                </w:tcPr>
                <w:p w14:paraId="5A8D499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0.2</w:t>
                  </w:r>
                </w:p>
              </w:tc>
              <w:tc>
                <w:tcPr>
                  <w:tcW w:w="812" w:type="pct"/>
                  <w:tcBorders>
                    <w:tl2br w:val="nil"/>
                    <w:tr2bl w:val="nil"/>
                  </w:tcBorders>
                  <w:noWrap w:val="0"/>
                  <w:tcMar>
                    <w:top w:w="60" w:type="dxa"/>
                    <w:left w:w="75" w:type="dxa"/>
                    <w:bottom w:w="60" w:type="dxa"/>
                    <w:right w:w="75" w:type="dxa"/>
                  </w:tcMar>
                  <w:vAlign w:val="center"/>
                </w:tcPr>
                <w:p w14:paraId="3E89585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上风向1#</w:t>
                  </w:r>
                </w:p>
              </w:tc>
              <w:tc>
                <w:tcPr>
                  <w:tcW w:w="755" w:type="pct"/>
                  <w:tcBorders>
                    <w:tl2br w:val="nil"/>
                    <w:tr2bl w:val="nil"/>
                  </w:tcBorders>
                  <w:noWrap w:val="0"/>
                  <w:tcMar>
                    <w:top w:w="60" w:type="dxa"/>
                    <w:left w:w="75" w:type="dxa"/>
                    <w:bottom w:w="60" w:type="dxa"/>
                    <w:right w:w="75" w:type="dxa"/>
                  </w:tcMar>
                  <w:vAlign w:val="center"/>
                </w:tcPr>
                <w:p w14:paraId="4EAC136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5958E404">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0.03</w:t>
                  </w:r>
                </w:p>
              </w:tc>
              <w:tc>
                <w:tcPr>
                  <w:tcW w:w="489" w:type="pct"/>
                  <w:tcBorders>
                    <w:tl2br w:val="nil"/>
                    <w:tr2bl w:val="nil"/>
                  </w:tcBorders>
                  <w:noWrap w:val="0"/>
                  <w:tcMar>
                    <w:top w:w="60" w:type="dxa"/>
                    <w:left w:w="75" w:type="dxa"/>
                    <w:bottom w:w="60" w:type="dxa"/>
                    <w:right w:w="75" w:type="dxa"/>
                  </w:tcMar>
                  <w:vAlign w:val="center"/>
                </w:tcPr>
                <w:p w14:paraId="15FBBD66">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2360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22CDC90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69F7FF9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氯化氢</w:t>
                  </w:r>
                </w:p>
              </w:tc>
              <w:tc>
                <w:tcPr>
                  <w:tcW w:w="687" w:type="pct"/>
                  <w:tcBorders>
                    <w:tl2br w:val="nil"/>
                    <w:tr2bl w:val="nil"/>
                  </w:tcBorders>
                  <w:noWrap w:val="0"/>
                  <w:tcMar>
                    <w:top w:w="60" w:type="dxa"/>
                    <w:left w:w="75" w:type="dxa"/>
                    <w:bottom w:w="60" w:type="dxa"/>
                    <w:right w:w="75" w:type="dxa"/>
                  </w:tcMar>
                  <w:vAlign w:val="center"/>
                </w:tcPr>
                <w:p w14:paraId="767ACD74">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0.2</w:t>
                  </w:r>
                </w:p>
              </w:tc>
              <w:tc>
                <w:tcPr>
                  <w:tcW w:w="812" w:type="pct"/>
                  <w:tcBorders>
                    <w:tl2br w:val="nil"/>
                    <w:tr2bl w:val="nil"/>
                  </w:tcBorders>
                  <w:noWrap w:val="0"/>
                  <w:tcMar>
                    <w:top w:w="60" w:type="dxa"/>
                    <w:left w:w="75" w:type="dxa"/>
                    <w:bottom w:w="60" w:type="dxa"/>
                    <w:right w:w="75" w:type="dxa"/>
                  </w:tcMar>
                  <w:vAlign w:val="center"/>
                </w:tcPr>
                <w:p w14:paraId="504CD38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下风向2#</w:t>
                  </w:r>
                </w:p>
              </w:tc>
              <w:tc>
                <w:tcPr>
                  <w:tcW w:w="755" w:type="pct"/>
                  <w:tcBorders>
                    <w:tl2br w:val="nil"/>
                    <w:tr2bl w:val="nil"/>
                  </w:tcBorders>
                  <w:noWrap w:val="0"/>
                  <w:tcMar>
                    <w:top w:w="60" w:type="dxa"/>
                    <w:left w:w="75" w:type="dxa"/>
                    <w:bottom w:w="60" w:type="dxa"/>
                    <w:right w:w="75" w:type="dxa"/>
                  </w:tcMar>
                  <w:vAlign w:val="center"/>
                </w:tcPr>
                <w:p w14:paraId="32AAF9E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1D4C0B2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0.035</w:t>
                  </w:r>
                </w:p>
              </w:tc>
              <w:tc>
                <w:tcPr>
                  <w:tcW w:w="489" w:type="pct"/>
                  <w:tcBorders>
                    <w:tl2br w:val="nil"/>
                    <w:tr2bl w:val="nil"/>
                  </w:tcBorders>
                  <w:noWrap w:val="0"/>
                  <w:tcMar>
                    <w:top w:w="60" w:type="dxa"/>
                    <w:left w:w="75" w:type="dxa"/>
                    <w:bottom w:w="60" w:type="dxa"/>
                    <w:right w:w="75" w:type="dxa"/>
                  </w:tcMar>
                  <w:vAlign w:val="center"/>
                </w:tcPr>
                <w:p w14:paraId="6010EB30">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6C06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5A42115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28179112">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氯化氢</w:t>
                  </w:r>
                </w:p>
              </w:tc>
              <w:tc>
                <w:tcPr>
                  <w:tcW w:w="687" w:type="pct"/>
                  <w:tcBorders>
                    <w:tl2br w:val="nil"/>
                    <w:tr2bl w:val="nil"/>
                  </w:tcBorders>
                  <w:noWrap w:val="0"/>
                  <w:tcMar>
                    <w:top w:w="60" w:type="dxa"/>
                    <w:left w:w="75" w:type="dxa"/>
                    <w:bottom w:w="60" w:type="dxa"/>
                    <w:right w:w="75" w:type="dxa"/>
                  </w:tcMar>
                  <w:vAlign w:val="center"/>
                </w:tcPr>
                <w:p w14:paraId="73304C3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0.2</w:t>
                  </w:r>
                </w:p>
              </w:tc>
              <w:tc>
                <w:tcPr>
                  <w:tcW w:w="812" w:type="pct"/>
                  <w:tcBorders>
                    <w:tl2br w:val="nil"/>
                    <w:tr2bl w:val="nil"/>
                  </w:tcBorders>
                  <w:noWrap w:val="0"/>
                  <w:tcMar>
                    <w:top w:w="60" w:type="dxa"/>
                    <w:left w:w="75" w:type="dxa"/>
                    <w:bottom w:w="60" w:type="dxa"/>
                    <w:right w:w="75" w:type="dxa"/>
                  </w:tcMar>
                  <w:vAlign w:val="center"/>
                </w:tcPr>
                <w:p w14:paraId="46DDE64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下风向3#</w:t>
                  </w:r>
                </w:p>
              </w:tc>
              <w:tc>
                <w:tcPr>
                  <w:tcW w:w="755" w:type="pct"/>
                  <w:tcBorders>
                    <w:tl2br w:val="nil"/>
                    <w:tr2bl w:val="nil"/>
                  </w:tcBorders>
                  <w:noWrap w:val="0"/>
                  <w:tcMar>
                    <w:top w:w="60" w:type="dxa"/>
                    <w:left w:w="75" w:type="dxa"/>
                    <w:bottom w:w="60" w:type="dxa"/>
                    <w:right w:w="75" w:type="dxa"/>
                  </w:tcMar>
                  <w:vAlign w:val="center"/>
                </w:tcPr>
                <w:p w14:paraId="57FA2F5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10B5253D">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0.047</w:t>
                  </w:r>
                </w:p>
              </w:tc>
              <w:tc>
                <w:tcPr>
                  <w:tcW w:w="489" w:type="pct"/>
                  <w:tcBorders>
                    <w:tl2br w:val="nil"/>
                    <w:tr2bl w:val="nil"/>
                  </w:tcBorders>
                  <w:noWrap w:val="0"/>
                  <w:tcMar>
                    <w:top w:w="60" w:type="dxa"/>
                    <w:left w:w="75" w:type="dxa"/>
                    <w:bottom w:w="60" w:type="dxa"/>
                    <w:right w:w="75" w:type="dxa"/>
                  </w:tcMar>
                  <w:vAlign w:val="center"/>
                </w:tcPr>
                <w:p w14:paraId="0F94729B">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1CA42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3A252524">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179665C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氯化氢</w:t>
                  </w:r>
                </w:p>
              </w:tc>
              <w:tc>
                <w:tcPr>
                  <w:tcW w:w="687" w:type="pct"/>
                  <w:tcBorders>
                    <w:tl2br w:val="nil"/>
                    <w:tr2bl w:val="nil"/>
                  </w:tcBorders>
                  <w:noWrap w:val="0"/>
                  <w:tcMar>
                    <w:top w:w="60" w:type="dxa"/>
                    <w:left w:w="75" w:type="dxa"/>
                    <w:bottom w:w="60" w:type="dxa"/>
                    <w:right w:w="75" w:type="dxa"/>
                  </w:tcMar>
                  <w:vAlign w:val="center"/>
                </w:tcPr>
                <w:p w14:paraId="763608C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0.2</w:t>
                  </w:r>
                </w:p>
              </w:tc>
              <w:tc>
                <w:tcPr>
                  <w:tcW w:w="812" w:type="pct"/>
                  <w:tcBorders>
                    <w:tl2br w:val="nil"/>
                    <w:tr2bl w:val="nil"/>
                  </w:tcBorders>
                  <w:noWrap w:val="0"/>
                  <w:tcMar>
                    <w:top w:w="60" w:type="dxa"/>
                    <w:left w:w="75" w:type="dxa"/>
                    <w:bottom w:w="60" w:type="dxa"/>
                    <w:right w:w="75" w:type="dxa"/>
                  </w:tcMar>
                  <w:vAlign w:val="center"/>
                </w:tcPr>
                <w:p w14:paraId="1B0552F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下风向4#</w:t>
                  </w:r>
                </w:p>
              </w:tc>
              <w:tc>
                <w:tcPr>
                  <w:tcW w:w="755" w:type="pct"/>
                  <w:tcBorders>
                    <w:tl2br w:val="nil"/>
                    <w:tr2bl w:val="nil"/>
                  </w:tcBorders>
                  <w:noWrap w:val="0"/>
                  <w:tcMar>
                    <w:top w:w="60" w:type="dxa"/>
                    <w:left w:w="75" w:type="dxa"/>
                    <w:bottom w:w="60" w:type="dxa"/>
                    <w:right w:w="75" w:type="dxa"/>
                  </w:tcMar>
                  <w:vAlign w:val="center"/>
                </w:tcPr>
                <w:p w14:paraId="43970B60">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28A7A28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0.047</w:t>
                  </w:r>
                </w:p>
              </w:tc>
              <w:tc>
                <w:tcPr>
                  <w:tcW w:w="489" w:type="pct"/>
                  <w:tcBorders>
                    <w:tl2br w:val="nil"/>
                    <w:tr2bl w:val="nil"/>
                  </w:tcBorders>
                  <w:noWrap w:val="0"/>
                  <w:tcMar>
                    <w:top w:w="60" w:type="dxa"/>
                    <w:left w:w="75" w:type="dxa"/>
                    <w:bottom w:w="60" w:type="dxa"/>
                    <w:right w:w="75" w:type="dxa"/>
                  </w:tcMar>
                  <w:vAlign w:val="center"/>
                </w:tcPr>
                <w:p w14:paraId="083FC24A">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03B34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305B47E3">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56866EF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硫酸雾</w:t>
                  </w:r>
                </w:p>
              </w:tc>
              <w:tc>
                <w:tcPr>
                  <w:tcW w:w="687" w:type="pct"/>
                  <w:tcBorders>
                    <w:tl2br w:val="nil"/>
                    <w:tr2bl w:val="nil"/>
                  </w:tcBorders>
                  <w:noWrap w:val="0"/>
                  <w:tcMar>
                    <w:top w:w="60" w:type="dxa"/>
                    <w:left w:w="75" w:type="dxa"/>
                    <w:bottom w:w="60" w:type="dxa"/>
                    <w:right w:w="75" w:type="dxa"/>
                  </w:tcMar>
                  <w:vAlign w:val="center"/>
                </w:tcPr>
                <w:p w14:paraId="115A379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812" w:type="pct"/>
                  <w:tcBorders>
                    <w:tl2br w:val="nil"/>
                    <w:tr2bl w:val="nil"/>
                  </w:tcBorders>
                  <w:noWrap w:val="0"/>
                  <w:tcMar>
                    <w:top w:w="60" w:type="dxa"/>
                    <w:left w:w="75" w:type="dxa"/>
                    <w:bottom w:w="60" w:type="dxa"/>
                    <w:right w:w="75" w:type="dxa"/>
                  </w:tcMar>
                  <w:vAlign w:val="center"/>
                </w:tcPr>
                <w:p w14:paraId="50A60CF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上风向1#</w:t>
                  </w:r>
                </w:p>
              </w:tc>
              <w:tc>
                <w:tcPr>
                  <w:tcW w:w="755" w:type="pct"/>
                  <w:tcBorders>
                    <w:tl2br w:val="nil"/>
                    <w:tr2bl w:val="nil"/>
                  </w:tcBorders>
                  <w:noWrap w:val="0"/>
                  <w:tcMar>
                    <w:top w:w="60" w:type="dxa"/>
                    <w:left w:w="75" w:type="dxa"/>
                    <w:bottom w:w="60" w:type="dxa"/>
                    <w:right w:w="75" w:type="dxa"/>
                  </w:tcMar>
                  <w:vAlign w:val="center"/>
                </w:tcPr>
                <w:p w14:paraId="4993F227">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3A051EB9">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0.04</w:t>
                  </w:r>
                </w:p>
              </w:tc>
              <w:tc>
                <w:tcPr>
                  <w:tcW w:w="489" w:type="pct"/>
                  <w:tcBorders>
                    <w:tl2br w:val="nil"/>
                    <w:tr2bl w:val="nil"/>
                  </w:tcBorders>
                  <w:noWrap w:val="0"/>
                  <w:tcMar>
                    <w:top w:w="60" w:type="dxa"/>
                    <w:left w:w="75" w:type="dxa"/>
                    <w:bottom w:w="60" w:type="dxa"/>
                    <w:right w:w="75" w:type="dxa"/>
                  </w:tcMar>
                  <w:vAlign w:val="center"/>
                </w:tcPr>
                <w:p w14:paraId="1AE5674D">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7BC1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4ED9635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3A3CBD5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硫酸雾</w:t>
                  </w:r>
                </w:p>
              </w:tc>
              <w:tc>
                <w:tcPr>
                  <w:tcW w:w="687" w:type="pct"/>
                  <w:tcBorders>
                    <w:tl2br w:val="nil"/>
                    <w:tr2bl w:val="nil"/>
                  </w:tcBorders>
                  <w:noWrap w:val="0"/>
                  <w:tcMar>
                    <w:top w:w="60" w:type="dxa"/>
                    <w:left w:w="75" w:type="dxa"/>
                    <w:bottom w:w="60" w:type="dxa"/>
                    <w:right w:w="75" w:type="dxa"/>
                  </w:tcMar>
                  <w:vAlign w:val="center"/>
                </w:tcPr>
                <w:p w14:paraId="1ED0503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812" w:type="pct"/>
                  <w:tcBorders>
                    <w:tl2br w:val="nil"/>
                    <w:tr2bl w:val="nil"/>
                  </w:tcBorders>
                  <w:noWrap w:val="0"/>
                  <w:tcMar>
                    <w:top w:w="60" w:type="dxa"/>
                    <w:left w:w="75" w:type="dxa"/>
                    <w:bottom w:w="60" w:type="dxa"/>
                    <w:right w:w="75" w:type="dxa"/>
                  </w:tcMar>
                  <w:vAlign w:val="center"/>
                </w:tcPr>
                <w:p w14:paraId="13A3475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下风向2#</w:t>
                  </w:r>
                </w:p>
              </w:tc>
              <w:tc>
                <w:tcPr>
                  <w:tcW w:w="755" w:type="pct"/>
                  <w:tcBorders>
                    <w:tl2br w:val="nil"/>
                    <w:tr2bl w:val="nil"/>
                  </w:tcBorders>
                  <w:noWrap w:val="0"/>
                  <w:tcMar>
                    <w:top w:w="60" w:type="dxa"/>
                    <w:left w:w="75" w:type="dxa"/>
                    <w:bottom w:w="60" w:type="dxa"/>
                    <w:right w:w="75" w:type="dxa"/>
                  </w:tcMar>
                  <w:vAlign w:val="center"/>
                </w:tcPr>
                <w:p w14:paraId="768357B3">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1E0F200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0.053</w:t>
                  </w:r>
                </w:p>
              </w:tc>
              <w:tc>
                <w:tcPr>
                  <w:tcW w:w="489" w:type="pct"/>
                  <w:tcBorders>
                    <w:tl2br w:val="nil"/>
                    <w:tr2bl w:val="nil"/>
                  </w:tcBorders>
                  <w:noWrap w:val="0"/>
                  <w:tcMar>
                    <w:top w:w="60" w:type="dxa"/>
                    <w:left w:w="75" w:type="dxa"/>
                    <w:bottom w:w="60" w:type="dxa"/>
                    <w:right w:w="75" w:type="dxa"/>
                  </w:tcMar>
                  <w:vAlign w:val="center"/>
                </w:tcPr>
                <w:p w14:paraId="57B97FF1">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4839A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08D2B81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24FED60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硫酸雾</w:t>
                  </w:r>
                </w:p>
              </w:tc>
              <w:tc>
                <w:tcPr>
                  <w:tcW w:w="687" w:type="pct"/>
                  <w:tcBorders>
                    <w:tl2br w:val="nil"/>
                    <w:tr2bl w:val="nil"/>
                  </w:tcBorders>
                  <w:noWrap w:val="0"/>
                  <w:tcMar>
                    <w:top w:w="60" w:type="dxa"/>
                    <w:left w:w="75" w:type="dxa"/>
                    <w:bottom w:w="60" w:type="dxa"/>
                    <w:right w:w="75" w:type="dxa"/>
                  </w:tcMar>
                  <w:vAlign w:val="center"/>
                </w:tcPr>
                <w:p w14:paraId="5C0288F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812" w:type="pct"/>
                  <w:tcBorders>
                    <w:tl2br w:val="nil"/>
                    <w:tr2bl w:val="nil"/>
                  </w:tcBorders>
                  <w:noWrap w:val="0"/>
                  <w:tcMar>
                    <w:top w:w="60" w:type="dxa"/>
                    <w:left w:w="75" w:type="dxa"/>
                    <w:bottom w:w="60" w:type="dxa"/>
                    <w:right w:w="75" w:type="dxa"/>
                  </w:tcMar>
                  <w:vAlign w:val="center"/>
                </w:tcPr>
                <w:p w14:paraId="643C023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下风向3#</w:t>
                  </w:r>
                </w:p>
              </w:tc>
              <w:tc>
                <w:tcPr>
                  <w:tcW w:w="755" w:type="pct"/>
                  <w:tcBorders>
                    <w:tl2br w:val="nil"/>
                    <w:tr2bl w:val="nil"/>
                  </w:tcBorders>
                  <w:noWrap w:val="0"/>
                  <w:tcMar>
                    <w:top w:w="60" w:type="dxa"/>
                    <w:left w:w="75" w:type="dxa"/>
                    <w:bottom w:w="60" w:type="dxa"/>
                    <w:right w:w="75" w:type="dxa"/>
                  </w:tcMar>
                  <w:vAlign w:val="center"/>
                </w:tcPr>
                <w:p w14:paraId="5C4A1E0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373403E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0.05825</w:t>
                  </w:r>
                </w:p>
              </w:tc>
              <w:tc>
                <w:tcPr>
                  <w:tcW w:w="489" w:type="pct"/>
                  <w:tcBorders>
                    <w:tl2br w:val="nil"/>
                    <w:tr2bl w:val="nil"/>
                  </w:tcBorders>
                  <w:noWrap w:val="0"/>
                  <w:tcMar>
                    <w:top w:w="60" w:type="dxa"/>
                    <w:left w:w="75" w:type="dxa"/>
                    <w:bottom w:w="60" w:type="dxa"/>
                    <w:right w:w="75" w:type="dxa"/>
                  </w:tcMar>
                  <w:vAlign w:val="center"/>
                </w:tcPr>
                <w:p w14:paraId="0FEBA5B1">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1F1C5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1353E950">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213380B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硫酸雾</w:t>
                  </w:r>
                </w:p>
              </w:tc>
              <w:tc>
                <w:tcPr>
                  <w:tcW w:w="687" w:type="pct"/>
                  <w:tcBorders>
                    <w:tl2br w:val="nil"/>
                    <w:tr2bl w:val="nil"/>
                  </w:tcBorders>
                  <w:noWrap w:val="0"/>
                  <w:tcMar>
                    <w:top w:w="60" w:type="dxa"/>
                    <w:left w:w="75" w:type="dxa"/>
                    <w:bottom w:w="60" w:type="dxa"/>
                    <w:right w:w="75" w:type="dxa"/>
                  </w:tcMar>
                  <w:vAlign w:val="center"/>
                </w:tcPr>
                <w:p w14:paraId="7B81A74B">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812" w:type="pct"/>
                  <w:tcBorders>
                    <w:tl2br w:val="nil"/>
                    <w:tr2bl w:val="nil"/>
                  </w:tcBorders>
                  <w:noWrap w:val="0"/>
                  <w:tcMar>
                    <w:top w:w="60" w:type="dxa"/>
                    <w:left w:w="75" w:type="dxa"/>
                    <w:bottom w:w="60" w:type="dxa"/>
                    <w:right w:w="75" w:type="dxa"/>
                  </w:tcMar>
                  <w:vAlign w:val="center"/>
                </w:tcPr>
                <w:p w14:paraId="47CFA60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下风向4#</w:t>
                  </w:r>
                </w:p>
              </w:tc>
              <w:tc>
                <w:tcPr>
                  <w:tcW w:w="755" w:type="pct"/>
                  <w:tcBorders>
                    <w:tl2br w:val="nil"/>
                    <w:tr2bl w:val="nil"/>
                  </w:tcBorders>
                  <w:noWrap w:val="0"/>
                  <w:tcMar>
                    <w:top w:w="60" w:type="dxa"/>
                    <w:left w:w="75" w:type="dxa"/>
                    <w:bottom w:w="60" w:type="dxa"/>
                    <w:right w:w="75" w:type="dxa"/>
                  </w:tcMar>
                  <w:vAlign w:val="center"/>
                </w:tcPr>
                <w:p w14:paraId="1EC9E4F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656C198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0.052</w:t>
                  </w:r>
                </w:p>
              </w:tc>
              <w:tc>
                <w:tcPr>
                  <w:tcW w:w="489" w:type="pct"/>
                  <w:tcBorders>
                    <w:tl2br w:val="nil"/>
                    <w:tr2bl w:val="nil"/>
                  </w:tcBorders>
                  <w:noWrap w:val="0"/>
                  <w:tcMar>
                    <w:top w:w="60" w:type="dxa"/>
                    <w:left w:w="75" w:type="dxa"/>
                    <w:bottom w:w="60" w:type="dxa"/>
                    <w:right w:w="75" w:type="dxa"/>
                  </w:tcMar>
                  <w:vAlign w:val="center"/>
                </w:tcPr>
                <w:p w14:paraId="30010165">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5D936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1A2F749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382437AD">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颗粒物</w:t>
                  </w:r>
                </w:p>
              </w:tc>
              <w:tc>
                <w:tcPr>
                  <w:tcW w:w="687" w:type="pct"/>
                  <w:tcBorders>
                    <w:tl2br w:val="nil"/>
                    <w:tr2bl w:val="nil"/>
                  </w:tcBorders>
                  <w:noWrap w:val="0"/>
                  <w:tcMar>
                    <w:top w:w="60" w:type="dxa"/>
                    <w:left w:w="75" w:type="dxa"/>
                    <w:bottom w:w="60" w:type="dxa"/>
                    <w:right w:w="75" w:type="dxa"/>
                  </w:tcMar>
                  <w:vAlign w:val="center"/>
                </w:tcPr>
                <w:p w14:paraId="16468BC2">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812" w:type="pct"/>
                  <w:tcBorders>
                    <w:tl2br w:val="nil"/>
                    <w:tr2bl w:val="nil"/>
                  </w:tcBorders>
                  <w:noWrap w:val="0"/>
                  <w:tcMar>
                    <w:top w:w="60" w:type="dxa"/>
                    <w:left w:w="75" w:type="dxa"/>
                    <w:bottom w:w="60" w:type="dxa"/>
                    <w:right w:w="75" w:type="dxa"/>
                  </w:tcMar>
                  <w:vAlign w:val="center"/>
                </w:tcPr>
                <w:p w14:paraId="19C2535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上风向1#</w:t>
                  </w:r>
                </w:p>
              </w:tc>
              <w:tc>
                <w:tcPr>
                  <w:tcW w:w="755" w:type="pct"/>
                  <w:tcBorders>
                    <w:tl2br w:val="nil"/>
                    <w:tr2bl w:val="nil"/>
                  </w:tcBorders>
                  <w:noWrap w:val="0"/>
                  <w:tcMar>
                    <w:top w:w="60" w:type="dxa"/>
                    <w:left w:w="75" w:type="dxa"/>
                    <w:bottom w:w="60" w:type="dxa"/>
                    <w:right w:w="75" w:type="dxa"/>
                  </w:tcMar>
                  <w:vAlign w:val="center"/>
                </w:tcPr>
                <w:p w14:paraId="24FE0AF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15BD3D9F">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0.33</w:t>
                  </w:r>
                </w:p>
              </w:tc>
              <w:tc>
                <w:tcPr>
                  <w:tcW w:w="489" w:type="pct"/>
                  <w:tcBorders>
                    <w:tl2br w:val="nil"/>
                    <w:tr2bl w:val="nil"/>
                  </w:tcBorders>
                  <w:noWrap w:val="0"/>
                  <w:tcMar>
                    <w:top w:w="60" w:type="dxa"/>
                    <w:left w:w="75" w:type="dxa"/>
                    <w:bottom w:w="60" w:type="dxa"/>
                    <w:right w:w="75" w:type="dxa"/>
                  </w:tcMar>
                  <w:vAlign w:val="center"/>
                </w:tcPr>
                <w:p w14:paraId="21081C2E">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58874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17AC0094">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60C9BBA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颗粒物</w:t>
                  </w:r>
                </w:p>
              </w:tc>
              <w:tc>
                <w:tcPr>
                  <w:tcW w:w="687" w:type="pct"/>
                  <w:tcBorders>
                    <w:tl2br w:val="nil"/>
                    <w:tr2bl w:val="nil"/>
                  </w:tcBorders>
                  <w:noWrap w:val="0"/>
                  <w:tcMar>
                    <w:top w:w="60" w:type="dxa"/>
                    <w:left w:w="75" w:type="dxa"/>
                    <w:bottom w:w="60" w:type="dxa"/>
                    <w:right w:w="75" w:type="dxa"/>
                  </w:tcMar>
                  <w:vAlign w:val="center"/>
                </w:tcPr>
                <w:p w14:paraId="23DE412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812" w:type="pct"/>
                  <w:tcBorders>
                    <w:tl2br w:val="nil"/>
                    <w:tr2bl w:val="nil"/>
                  </w:tcBorders>
                  <w:noWrap w:val="0"/>
                  <w:tcMar>
                    <w:top w:w="60" w:type="dxa"/>
                    <w:left w:w="75" w:type="dxa"/>
                    <w:bottom w:w="60" w:type="dxa"/>
                    <w:right w:w="75" w:type="dxa"/>
                  </w:tcMar>
                  <w:vAlign w:val="center"/>
                </w:tcPr>
                <w:p w14:paraId="255D3A8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下风向2#</w:t>
                  </w:r>
                </w:p>
              </w:tc>
              <w:tc>
                <w:tcPr>
                  <w:tcW w:w="755" w:type="pct"/>
                  <w:tcBorders>
                    <w:tl2br w:val="nil"/>
                    <w:tr2bl w:val="nil"/>
                  </w:tcBorders>
                  <w:noWrap w:val="0"/>
                  <w:tcMar>
                    <w:top w:w="60" w:type="dxa"/>
                    <w:left w:w="75" w:type="dxa"/>
                    <w:bottom w:w="60" w:type="dxa"/>
                    <w:right w:w="75" w:type="dxa"/>
                  </w:tcMar>
                  <w:vAlign w:val="center"/>
                </w:tcPr>
                <w:p w14:paraId="1AB8804D">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531D02D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0.367</w:t>
                  </w:r>
                </w:p>
              </w:tc>
              <w:tc>
                <w:tcPr>
                  <w:tcW w:w="489" w:type="pct"/>
                  <w:tcBorders>
                    <w:tl2br w:val="nil"/>
                    <w:tr2bl w:val="nil"/>
                  </w:tcBorders>
                  <w:noWrap w:val="0"/>
                  <w:tcMar>
                    <w:top w:w="60" w:type="dxa"/>
                    <w:left w:w="75" w:type="dxa"/>
                    <w:bottom w:w="60" w:type="dxa"/>
                    <w:right w:w="75" w:type="dxa"/>
                  </w:tcMar>
                  <w:vAlign w:val="center"/>
                </w:tcPr>
                <w:p w14:paraId="29CE975C">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1ED9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5D142576">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633D293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颗粒物</w:t>
                  </w:r>
                </w:p>
              </w:tc>
              <w:tc>
                <w:tcPr>
                  <w:tcW w:w="687" w:type="pct"/>
                  <w:tcBorders>
                    <w:tl2br w:val="nil"/>
                    <w:tr2bl w:val="nil"/>
                  </w:tcBorders>
                  <w:noWrap w:val="0"/>
                  <w:tcMar>
                    <w:top w:w="60" w:type="dxa"/>
                    <w:left w:w="75" w:type="dxa"/>
                    <w:bottom w:w="60" w:type="dxa"/>
                    <w:right w:w="75" w:type="dxa"/>
                  </w:tcMar>
                  <w:vAlign w:val="center"/>
                </w:tcPr>
                <w:p w14:paraId="03A4EDC5">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812" w:type="pct"/>
                  <w:tcBorders>
                    <w:tl2br w:val="nil"/>
                    <w:tr2bl w:val="nil"/>
                  </w:tcBorders>
                  <w:noWrap w:val="0"/>
                  <w:tcMar>
                    <w:top w:w="60" w:type="dxa"/>
                    <w:left w:w="75" w:type="dxa"/>
                    <w:bottom w:w="60" w:type="dxa"/>
                    <w:right w:w="75" w:type="dxa"/>
                  </w:tcMar>
                  <w:vAlign w:val="center"/>
                </w:tcPr>
                <w:p w14:paraId="7527A9BE">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下风向3#</w:t>
                  </w:r>
                </w:p>
              </w:tc>
              <w:tc>
                <w:tcPr>
                  <w:tcW w:w="755" w:type="pct"/>
                  <w:tcBorders>
                    <w:tl2br w:val="nil"/>
                    <w:tr2bl w:val="nil"/>
                  </w:tcBorders>
                  <w:noWrap w:val="0"/>
                  <w:tcMar>
                    <w:top w:w="60" w:type="dxa"/>
                    <w:left w:w="75" w:type="dxa"/>
                    <w:bottom w:w="60" w:type="dxa"/>
                    <w:right w:w="75" w:type="dxa"/>
                  </w:tcMar>
                  <w:vAlign w:val="center"/>
                </w:tcPr>
                <w:p w14:paraId="00E3EDE0">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07AFCF7D">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0.376</w:t>
                  </w:r>
                </w:p>
              </w:tc>
              <w:tc>
                <w:tcPr>
                  <w:tcW w:w="489" w:type="pct"/>
                  <w:tcBorders>
                    <w:tl2br w:val="nil"/>
                    <w:tr2bl w:val="nil"/>
                  </w:tcBorders>
                  <w:noWrap w:val="0"/>
                  <w:tcMar>
                    <w:top w:w="60" w:type="dxa"/>
                    <w:left w:w="75" w:type="dxa"/>
                    <w:bottom w:w="60" w:type="dxa"/>
                    <w:right w:w="75" w:type="dxa"/>
                  </w:tcMar>
                  <w:vAlign w:val="center"/>
                </w:tcPr>
                <w:p w14:paraId="0D6E969D">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r w14:paraId="2F045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74" w:type="pct"/>
                  <w:vMerge w:val="continue"/>
                  <w:tcBorders>
                    <w:tl2br w:val="nil"/>
                    <w:tr2bl w:val="nil"/>
                  </w:tcBorders>
                  <w:noWrap w:val="0"/>
                  <w:tcMar>
                    <w:top w:w="60" w:type="dxa"/>
                    <w:left w:w="75" w:type="dxa"/>
                    <w:bottom w:w="60" w:type="dxa"/>
                    <w:right w:w="75" w:type="dxa"/>
                  </w:tcMar>
                  <w:vAlign w:val="center"/>
                </w:tcPr>
                <w:p w14:paraId="66A9B4E9">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厂界</w:t>
                  </w:r>
                </w:p>
              </w:tc>
              <w:tc>
                <w:tcPr>
                  <w:tcW w:w="714" w:type="pct"/>
                  <w:tcBorders>
                    <w:tl2br w:val="nil"/>
                    <w:tr2bl w:val="nil"/>
                  </w:tcBorders>
                  <w:noWrap w:val="0"/>
                  <w:tcMar>
                    <w:top w:w="60" w:type="dxa"/>
                    <w:left w:w="75" w:type="dxa"/>
                    <w:bottom w:w="60" w:type="dxa"/>
                    <w:right w:w="75" w:type="dxa"/>
                  </w:tcMar>
                  <w:vAlign w:val="center"/>
                </w:tcPr>
                <w:p w14:paraId="6293A571">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lang w:eastAsia="zh-CN"/>
                    </w:rPr>
                    <w:t>颗粒物</w:t>
                  </w:r>
                </w:p>
              </w:tc>
              <w:tc>
                <w:tcPr>
                  <w:tcW w:w="687" w:type="pct"/>
                  <w:tcBorders>
                    <w:tl2br w:val="nil"/>
                    <w:tr2bl w:val="nil"/>
                  </w:tcBorders>
                  <w:noWrap w:val="0"/>
                  <w:tcMar>
                    <w:top w:w="60" w:type="dxa"/>
                    <w:left w:w="75" w:type="dxa"/>
                    <w:bottom w:w="60" w:type="dxa"/>
                    <w:right w:w="75" w:type="dxa"/>
                  </w:tcMar>
                  <w:vAlign w:val="center"/>
                </w:tcPr>
                <w:p w14:paraId="4ACFE08A">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812" w:type="pct"/>
                  <w:tcBorders>
                    <w:tl2br w:val="nil"/>
                    <w:tr2bl w:val="nil"/>
                  </w:tcBorders>
                  <w:noWrap w:val="0"/>
                  <w:tcMar>
                    <w:top w:w="60" w:type="dxa"/>
                    <w:left w:w="75" w:type="dxa"/>
                    <w:bottom w:w="60" w:type="dxa"/>
                    <w:right w:w="75" w:type="dxa"/>
                  </w:tcMar>
                  <w:vAlign w:val="center"/>
                </w:tcPr>
                <w:p w14:paraId="0628CA43">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下风向4#</w:t>
                  </w:r>
                </w:p>
              </w:tc>
              <w:tc>
                <w:tcPr>
                  <w:tcW w:w="755" w:type="pct"/>
                  <w:tcBorders>
                    <w:tl2br w:val="nil"/>
                    <w:tr2bl w:val="nil"/>
                  </w:tcBorders>
                  <w:noWrap w:val="0"/>
                  <w:tcMar>
                    <w:top w:w="60" w:type="dxa"/>
                    <w:left w:w="75" w:type="dxa"/>
                    <w:bottom w:w="60" w:type="dxa"/>
                    <w:right w:w="75" w:type="dxa"/>
                  </w:tcMar>
                  <w:vAlign w:val="center"/>
                </w:tcPr>
                <w:p w14:paraId="2D62B3B8">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2024-09-24</w:t>
                  </w:r>
                </w:p>
              </w:tc>
              <w:tc>
                <w:tcPr>
                  <w:tcW w:w="1066" w:type="pct"/>
                  <w:tcBorders>
                    <w:tl2br w:val="nil"/>
                    <w:tr2bl w:val="nil"/>
                  </w:tcBorders>
                  <w:noWrap w:val="0"/>
                  <w:tcMar>
                    <w:top w:w="60" w:type="dxa"/>
                    <w:left w:w="75" w:type="dxa"/>
                    <w:bottom w:w="60" w:type="dxa"/>
                    <w:right w:w="75" w:type="dxa"/>
                  </w:tcMar>
                  <w:vAlign w:val="center"/>
                </w:tcPr>
                <w:p w14:paraId="4215523C">
                  <w:pPr>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0.378</w:t>
                  </w:r>
                </w:p>
              </w:tc>
              <w:tc>
                <w:tcPr>
                  <w:tcW w:w="489" w:type="pct"/>
                  <w:tcBorders>
                    <w:tl2br w:val="nil"/>
                    <w:tr2bl w:val="nil"/>
                  </w:tcBorders>
                  <w:noWrap w:val="0"/>
                  <w:tcMar>
                    <w:top w:w="60" w:type="dxa"/>
                    <w:left w:w="75" w:type="dxa"/>
                    <w:bottom w:w="60" w:type="dxa"/>
                    <w:right w:w="75" w:type="dxa"/>
                  </w:tcMar>
                  <w:vAlign w:val="center"/>
                </w:tcPr>
                <w:p w14:paraId="66E02AB1">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w:t>
                  </w:r>
                </w:p>
              </w:tc>
            </w:tr>
          </w:tbl>
          <w:p w14:paraId="29BA78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项目有组织废气DA001排放的颗粒物浓度满足《区域性大气污染物综合排放标准》（DB37/2376-2019），排放速率满足排放速率执行《大气污染物综合排放标准》（16297-1996）表2二级标准。DA003排放的氮氧化物浓度满足《区域性大气污染物综合排放标准》（DB37/2376-2019），氟化物、硫酸雾及氯化氢浓度满足《大气污染物综合排放标准》（16297-1996）表2二级标准。现有项目无组织废气产生的颗粒物、氮氧化物、氟化物、硫酸雾及氯化氢污染物厂界浓度可满足《大气污染物综合排放标准》（GB16297-1996）标准。</w:t>
            </w:r>
          </w:p>
          <w:p w14:paraId="62C735B2">
            <w:pPr>
              <w:pStyle w:val="29"/>
              <w:numPr>
                <w:ilvl w:val="0"/>
                <w:numId w:val="0"/>
              </w:numPr>
              <w:ind w:left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2、噪音</w:t>
            </w:r>
          </w:p>
          <w:p w14:paraId="16A841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Times New Roman" w:hAnsi="Times New Roman" w:eastAsia="宋体" w:cs="Times New Roman"/>
                <w:color w:val="auto"/>
                <w:sz w:val="24"/>
                <w:szCs w:val="24"/>
                <w:highlight w:val="none"/>
                <w:vertAlign w:val="baseline"/>
                <w:lang w:val="en-US" w:eastAsia="zh-CN"/>
              </w:rPr>
              <w:t>现有工程主要噪声源为喷砂打磨设备、风机、烘干机、漂洗设备等，现有项目设备集中布置在厂房内，加强厂房门窗密闭性，各机械安装时采用隔声、减振措施。企业2024年全年例行监测数据见表2-16.</w:t>
            </w:r>
          </w:p>
          <w:p w14:paraId="3DF508A6">
            <w:pPr>
              <w:pStyle w:val="101"/>
              <w:bidi w:val="0"/>
              <w:rPr>
                <w:rFonts w:hint="default"/>
                <w:color w:val="auto"/>
                <w:highlight w:val="none"/>
                <w:lang w:val="en-US" w:eastAsia="zh-CN"/>
              </w:rPr>
            </w:pPr>
            <w:r>
              <w:rPr>
                <w:rFonts w:hint="eastAsia" w:ascii="Times New Roman" w:hAnsi="Times New Roman" w:cs="Times New Roman"/>
                <w:color w:val="auto"/>
                <w:highlight w:val="none"/>
                <w:lang w:val="en-US" w:eastAsia="zh-CN"/>
              </w:rPr>
              <w:t>表2-16噪音监测数据统计表</w:t>
            </w:r>
          </w:p>
          <w:tbl>
            <w:tblPr>
              <w:tblStyle w:val="3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
              <w:gridCol w:w="398"/>
              <w:gridCol w:w="361"/>
              <w:gridCol w:w="630"/>
              <w:gridCol w:w="684"/>
              <w:gridCol w:w="366"/>
              <w:gridCol w:w="468"/>
              <w:gridCol w:w="632"/>
              <w:gridCol w:w="549"/>
              <w:gridCol w:w="722"/>
              <w:gridCol w:w="779"/>
              <w:gridCol w:w="722"/>
              <w:gridCol w:w="785"/>
              <w:gridCol w:w="440"/>
              <w:gridCol w:w="336"/>
            </w:tblGrid>
            <w:tr w14:paraId="526DA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restart"/>
                  <w:tcBorders>
                    <w:tl2br w:val="nil"/>
                    <w:tr2bl w:val="nil"/>
                  </w:tcBorders>
                  <w:noWrap w:val="0"/>
                  <w:tcMar>
                    <w:top w:w="60" w:type="dxa"/>
                    <w:left w:w="75" w:type="dxa"/>
                    <w:bottom w:w="60" w:type="dxa"/>
                    <w:right w:w="75" w:type="dxa"/>
                  </w:tcMar>
                  <w:vAlign w:val="center"/>
                </w:tcPr>
                <w:p w14:paraId="4E3F4DF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监测点名称</w:t>
                  </w:r>
                </w:p>
              </w:tc>
              <w:tc>
                <w:tcPr>
                  <w:tcW w:w="238" w:type="pct"/>
                  <w:vMerge w:val="restart"/>
                  <w:tcBorders>
                    <w:tl2br w:val="nil"/>
                    <w:tr2bl w:val="nil"/>
                  </w:tcBorders>
                  <w:noWrap w:val="0"/>
                  <w:tcMar>
                    <w:top w:w="60" w:type="dxa"/>
                    <w:left w:w="75" w:type="dxa"/>
                    <w:bottom w:w="60" w:type="dxa"/>
                    <w:right w:w="75" w:type="dxa"/>
                  </w:tcMar>
                  <w:vAlign w:val="center"/>
                </w:tcPr>
                <w:p w14:paraId="71C3145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监测点位置</w:t>
                  </w:r>
                </w:p>
              </w:tc>
              <w:tc>
                <w:tcPr>
                  <w:tcW w:w="216" w:type="pct"/>
                  <w:vMerge w:val="restart"/>
                  <w:tcBorders>
                    <w:tl2br w:val="nil"/>
                    <w:tr2bl w:val="nil"/>
                  </w:tcBorders>
                  <w:noWrap w:val="0"/>
                  <w:tcMar>
                    <w:top w:w="60" w:type="dxa"/>
                    <w:left w:w="75" w:type="dxa"/>
                    <w:bottom w:w="60" w:type="dxa"/>
                    <w:right w:w="75" w:type="dxa"/>
                  </w:tcMar>
                  <w:vAlign w:val="center"/>
                </w:tcPr>
                <w:p w14:paraId="3360A65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监测点数量</w:t>
                  </w:r>
                </w:p>
              </w:tc>
              <w:tc>
                <w:tcPr>
                  <w:tcW w:w="377" w:type="pct"/>
                  <w:vMerge w:val="restart"/>
                  <w:tcBorders>
                    <w:tl2br w:val="nil"/>
                    <w:tr2bl w:val="nil"/>
                  </w:tcBorders>
                  <w:noWrap w:val="0"/>
                  <w:tcMar>
                    <w:top w:w="60" w:type="dxa"/>
                    <w:left w:w="75" w:type="dxa"/>
                    <w:bottom w:w="60" w:type="dxa"/>
                    <w:right w:w="75" w:type="dxa"/>
                  </w:tcMar>
                  <w:vAlign w:val="center"/>
                </w:tcPr>
                <w:p w14:paraId="48792E4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厂界外声环境功能区类别</w:t>
                  </w:r>
                </w:p>
              </w:tc>
              <w:tc>
                <w:tcPr>
                  <w:tcW w:w="409" w:type="pct"/>
                  <w:vMerge w:val="restart"/>
                  <w:tcBorders>
                    <w:tl2br w:val="nil"/>
                    <w:tr2bl w:val="nil"/>
                  </w:tcBorders>
                  <w:noWrap w:val="0"/>
                  <w:tcMar>
                    <w:top w:w="60" w:type="dxa"/>
                    <w:left w:w="75" w:type="dxa"/>
                    <w:bottom w:w="60" w:type="dxa"/>
                    <w:right w:w="75" w:type="dxa"/>
                  </w:tcMar>
                  <w:vAlign w:val="center"/>
                </w:tcPr>
                <w:p w14:paraId="5329CB5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监测日期</w:t>
                  </w:r>
                </w:p>
              </w:tc>
              <w:tc>
                <w:tcPr>
                  <w:tcW w:w="3006" w:type="pct"/>
                  <w:gridSpan w:val="8"/>
                  <w:tcBorders>
                    <w:tl2br w:val="nil"/>
                    <w:tr2bl w:val="nil"/>
                  </w:tcBorders>
                  <w:noWrap w:val="0"/>
                  <w:tcMar>
                    <w:top w:w="60" w:type="dxa"/>
                    <w:left w:w="75" w:type="dxa"/>
                    <w:bottom w:w="60" w:type="dxa"/>
                    <w:right w:w="75" w:type="dxa"/>
                  </w:tcMar>
                  <w:vAlign w:val="center"/>
                </w:tcPr>
                <w:p w14:paraId="69B1457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工业企业厂界噪声监测结果/dB(A)</w:t>
                  </w:r>
                </w:p>
              </w:tc>
              <w:tc>
                <w:tcPr>
                  <w:tcW w:w="263" w:type="pct"/>
                  <w:vMerge w:val="restart"/>
                  <w:tcBorders>
                    <w:tl2br w:val="nil"/>
                    <w:tr2bl w:val="nil"/>
                  </w:tcBorders>
                  <w:noWrap w:val="0"/>
                  <w:tcMar>
                    <w:top w:w="60" w:type="dxa"/>
                    <w:left w:w="75" w:type="dxa"/>
                    <w:bottom w:w="60" w:type="dxa"/>
                    <w:right w:w="75" w:type="dxa"/>
                  </w:tcMar>
                  <w:vAlign w:val="center"/>
                </w:tcPr>
                <w:p w14:paraId="6CD85D5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是否达标</w:t>
                  </w:r>
                </w:p>
              </w:tc>
              <w:tc>
                <w:tcPr>
                  <w:tcW w:w="201" w:type="pct"/>
                  <w:vMerge w:val="restart"/>
                  <w:tcBorders>
                    <w:tl2br w:val="nil"/>
                    <w:tr2bl w:val="nil"/>
                  </w:tcBorders>
                  <w:noWrap w:val="0"/>
                  <w:tcMar>
                    <w:top w:w="60" w:type="dxa"/>
                    <w:left w:w="75" w:type="dxa"/>
                    <w:bottom w:w="60" w:type="dxa"/>
                    <w:right w:w="75" w:type="dxa"/>
                  </w:tcMar>
                  <w:vAlign w:val="center"/>
                </w:tcPr>
                <w:p w14:paraId="4EC5B4F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超标原因</w:t>
                  </w:r>
                </w:p>
              </w:tc>
            </w:tr>
            <w:tr w14:paraId="359F3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03A0FC6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p>
              </w:tc>
              <w:tc>
                <w:tcPr>
                  <w:tcW w:w="238" w:type="pct"/>
                  <w:vMerge w:val="continue"/>
                  <w:tcBorders>
                    <w:tl2br w:val="nil"/>
                    <w:tr2bl w:val="nil"/>
                  </w:tcBorders>
                  <w:noWrap w:val="0"/>
                  <w:tcMar>
                    <w:top w:w="60" w:type="dxa"/>
                    <w:left w:w="75" w:type="dxa"/>
                    <w:bottom w:w="60" w:type="dxa"/>
                    <w:right w:w="75" w:type="dxa"/>
                  </w:tcMar>
                  <w:vAlign w:val="center"/>
                </w:tcPr>
                <w:p w14:paraId="468D612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p>
              </w:tc>
              <w:tc>
                <w:tcPr>
                  <w:tcW w:w="216" w:type="pct"/>
                  <w:vMerge w:val="continue"/>
                  <w:tcBorders>
                    <w:tl2br w:val="nil"/>
                    <w:tr2bl w:val="nil"/>
                  </w:tcBorders>
                  <w:noWrap w:val="0"/>
                  <w:tcMar>
                    <w:top w:w="60" w:type="dxa"/>
                    <w:left w:w="75" w:type="dxa"/>
                    <w:bottom w:w="60" w:type="dxa"/>
                    <w:right w:w="75" w:type="dxa"/>
                  </w:tcMar>
                  <w:vAlign w:val="center"/>
                </w:tcPr>
                <w:p w14:paraId="514FB45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p>
              </w:tc>
              <w:tc>
                <w:tcPr>
                  <w:tcW w:w="377" w:type="pct"/>
                  <w:vMerge w:val="continue"/>
                  <w:tcBorders>
                    <w:tl2br w:val="nil"/>
                    <w:tr2bl w:val="nil"/>
                  </w:tcBorders>
                  <w:noWrap w:val="0"/>
                  <w:tcMar>
                    <w:top w:w="60" w:type="dxa"/>
                    <w:left w:w="75" w:type="dxa"/>
                    <w:bottom w:w="60" w:type="dxa"/>
                    <w:right w:w="75" w:type="dxa"/>
                  </w:tcMar>
                  <w:vAlign w:val="center"/>
                </w:tcPr>
                <w:p w14:paraId="7EEB888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p>
              </w:tc>
              <w:tc>
                <w:tcPr>
                  <w:tcW w:w="409" w:type="pct"/>
                  <w:vMerge w:val="continue"/>
                  <w:tcBorders>
                    <w:tl2br w:val="nil"/>
                    <w:tr2bl w:val="nil"/>
                  </w:tcBorders>
                  <w:noWrap w:val="0"/>
                  <w:tcMar>
                    <w:top w:w="60" w:type="dxa"/>
                    <w:left w:w="75" w:type="dxa"/>
                    <w:bottom w:w="60" w:type="dxa"/>
                    <w:right w:w="75" w:type="dxa"/>
                  </w:tcMar>
                  <w:vAlign w:val="center"/>
                </w:tcPr>
                <w:p w14:paraId="074BCF0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p>
              </w:tc>
              <w:tc>
                <w:tcPr>
                  <w:tcW w:w="219" w:type="pct"/>
                  <w:tcBorders>
                    <w:tl2br w:val="nil"/>
                    <w:tr2bl w:val="nil"/>
                  </w:tcBorders>
                  <w:noWrap w:val="0"/>
                  <w:tcMar>
                    <w:top w:w="60" w:type="dxa"/>
                    <w:left w:w="75" w:type="dxa"/>
                    <w:bottom w:w="60" w:type="dxa"/>
                    <w:right w:w="75" w:type="dxa"/>
                  </w:tcMar>
                  <w:vAlign w:val="center"/>
                </w:tcPr>
                <w:p w14:paraId="04F6456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ascii="Times New Roman" w:hAnsi="Times New Roman" w:eastAsia="宋体" w:cs="Times New Roman"/>
                      <w:b w:val="0"/>
                      <w:bCs/>
                      <w:color w:val="auto"/>
                      <w:sz w:val="21"/>
                      <w:szCs w:val="21"/>
                      <w:highlight w:val="none"/>
                    </w:rPr>
                    <w:t>昼间等效声级</w:t>
                  </w:r>
                </w:p>
              </w:tc>
              <w:tc>
                <w:tcPr>
                  <w:tcW w:w="280" w:type="pct"/>
                  <w:tcBorders>
                    <w:tl2br w:val="nil"/>
                    <w:tr2bl w:val="nil"/>
                  </w:tcBorders>
                  <w:noWrap w:val="0"/>
                  <w:tcMar>
                    <w:top w:w="60" w:type="dxa"/>
                    <w:left w:w="75" w:type="dxa"/>
                    <w:bottom w:w="60" w:type="dxa"/>
                    <w:right w:w="75" w:type="dxa"/>
                  </w:tcMar>
                  <w:vAlign w:val="center"/>
                </w:tcPr>
                <w:p w14:paraId="2ED1925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评价标准</w:t>
                  </w:r>
                </w:p>
              </w:tc>
              <w:tc>
                <w:tcPr>
                  <w:tcW w:w="378" w:type="pct"/>
                  <w:tcBorders>
                    <w:tl2br w:val="nil"/>
                    <w:tr2bl w:val="nil"/>
                  </w:tcBorders>
                  <w:noWrap w:val="0"/>
                  <w:tcMar>
                    <w:top w:w="60" w:type="dxa"/>
                    <w:left w:w="75" w:type="dxa"/>
                    <w:bottom w:w="60" w:type="dxa"/>
                    <w:right w:w="75" w:type="dxa"/>
                  </w:tcMar>
                  <w:vAlign w:val="center"/>
                </w:tcPr>
                <w:p w14:paraId="13507DA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夜间等效声级</w:t>
                  </w:r>
                </w:p>
              </w:tc>
              <w:tc>
                <w:tcPr>
                  <w:tcW w:w="328" w:type="pct"/>
                  <w:tcBorders>
                    <w:tl2br w:val="nil"/>
                    <w:tr2bl w:val="nil"/>
                  </w:tcBorders>
                  <w:noWrap w:val="0"/>
                  <w:tcMar>
                    <w:top w:w="60" w:type="dxa"/>
                    <w:left w:w="75" w:type="dxa"/>
                    <w:bottom w:w="60" w:type="dxa"/>
                    <w:right w:w="75" w:type="dxa"/>
                  </w:tcMar>
                  <w:vAlign w:val="center"/>
                </w:tcPr>
                <w:p w14:paraId="4B5EC63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评价标准</w:t>
                  </w:r>
                </w:p>
              </w:tc>
              <w:tc>
                <w:tcPr>
                  <w:tcW w:w="432" w:type="pct"/>
                  <w:tcBorders>
                    <w:tl2br w:val="nil"/>
                    <w:tr2bl w:val="nil"/>
                  </w:tcBorders>
                  <w:noWrap w:val="0"/>
                  <w:tcMar>
                    <w:top w:w="60" w:type="dxa"/>
                    <w:left w:w="75" w:type="dxa"/>
                    <w:bottom w:w="60" w:type="dxa"/>
                    <w:right w:w="75" w:type="dxa"/>
                  </w:tcMar>
                  <w:vAlign w:val="center"/>
                </w:tcPr>
                <w:p w14:paraId="6A13FC5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频发噪声最大声级</w:t>
                  </w:r>
                </w:p>
              </w:tc>
              <w:tc>
                <w:tcPr>
                  <w:tcW w:w="466" w:type="pct"/>
                  <w:tcBorders>
                    <w:tl2br w:val="nil"/>
                    <w:tr2bl w:val="nil"/>
                  </w:tcBorders>
                  <w:noWrap w:val="0"/>
                  <w:tcMar>
                    <w:top w:w="60" w:type="dxa"/>
                    <w:left w:w="75" w:type="dxa"/>
                    <w:bottom w:w="60" w:type="dxa"/>
                    <w:right w:w="75" w:type="dxa"/>
                  </w:tcMar>
                  <w:vAlign w:val="center"/>
                </w:tcPr>
                <w:p w14:paraId="69DB5D7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评价</w:t>
                  </w:r>
                </w:p>
                <w:p w14:paraId="7D0CDD4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标准</w:t>
                  </w:r>
                </w:p>
              </w:tc>
              <w:tc>
                <w:tcPr>
                  <w:tcW w:w="432" w:type="pct"/>
                  <w:tcBorders>
                    <w:tl2br w:val="nil"/>
                    <w:tr2bl w:val="nil"/>
                  </w:tcBorders>
                  <w:noWrap w:val="0"/>
                  <w:tcMar>
                    <w:top w:w="60" w:type="dxa"/>
                    <w:left w:w="75" w:type="dxa"/>
                    <w:bottom w:w="60" w:type="dxa"/>
                    <w:right w:w="75" w:type="dxa"/>
                  </w:tcMar>
                  <w:vAlign w:val="center"/>
                </w:tcPr>
                <w:p w14:paraId="63F8CA5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偶发噪声最大声</w:t>
                  </w:r>
                  <w:r>
                    <w:rPr>
                      <w:rFonts w:ascii="Times New Roman" w:hAnsi="Times New Roman" w:eastAsia="宋体" w:cs="Times New Roman"/>
                      <w:b w:val="0"/>
                      <w:bCs/>
                      <w:color w:val="auto"/>
                      <w:sz w:val="21"/>
                      <w:szCs w:val="21"/>
                      <w:highlight w:val="none"/>
                    </w:rPr>
                    <w:t xml:space="preserve"> </w:t>
                  </w:r>
                  <w:r>
                    <w:rPr>
                      <w:rFonts w:hint="eastAsia" w:ascii="Times New Roman" w:hAnsi="Times New Roman" w:eastAsia="宋体" w:cs="Times New Roman"/>
                      <w:b w:val="0"/>
                      <w:bCs/>
                      <w:color w:val="auto"/>
                      <w:sz w:val="21"/>
                      <w:szCs w:val="21"/>
                      <w:highlight w:val="none"/>
                    </w:rPr>
                    <w:t>级</w:t>
                  </w:r>
                </w:p>
              </w:tc>
              <w:tc>
                <w:tcPr>
                  <w:tcW w:w="469" w:type="pct"/>
                  <w:tcBorders>
                    <w:tl2br w:val="nil"/>
                    <w:tr2bl w:val="nil"/>
                  </w:tcBorders>
                  <w:noWrap w:val="0"/>
                  <w:tcMar>
                    <w:top w:w="60" w:type="dxa"/>
                    <w:left w:w="75" w:type="dxa"/>
                    <w:bottom w:w="60" w:type="dxa"/>
                    <w:right w:w="75" w:type="dxa"/>
                  </w:tcMar>
                  <w:vAlign w:val="center"/>
                </w:tcPr>
                <w:p w14:paraId="4F32A1B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评价</w:t>
                  </w:r>
                </w:p>
                <w:p w14:paraId="5C72AC3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标准</w:t>
                  </w:r>
                </w:p>
              </w:tc>
              <w:tc>
                <w:tcPr>
                  <w:tcW w:w="263" w:type="pct"/>
                  <w:vMerge w:val="continue"/>
                  <w:tcBorders>
                    <w:tl2br w:val="nil"/>
                    <w:tr2bl w:val="nil"/>
                  </w:tcBorders>
                  <w:noWrap w:val="0"/>
                  <w:tcMar>
                    <w:top w:w="60" w:type="dxa"/>
                    <w:left w:w="75" w:type="dxa"/>
                    <w:bottom w:w="60" w:type="dxa"/>
                    <w:right w:w="75" w:type="dxa"/>
                  </w:tcMar>
                  <w:vAlign w:val="center"/>
                </w:tcPr>
                <w:p w14:paraId="44EDD1F9">
                  <w:pPr>
                    <w:pStyle w:val="117"/>
                    <w:keepNext w:val="0"/>
                    <w:keepLines w:val="0"/>
                    <w:pageBreakBefore w:val="0"/>
                    <w:widowControl w:val="0"/>
                    <w:shd w:val="clear" w:color="auto" w:fill="FFFFFF"/>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shd w:val="clear" w:color="auto" w:fill="FFFFFF"/>
                    </w:rPr>
                  </w:pPr>
                </w:p>
              </w:tc>
              <w:tc>
                <w:tcPr>
                  <w:tcW w:w="201" w:type="pct"/>
                  <w:vMerge w:val="continue"/>
                  <w:tcBorders>
                    <w:tl2br w:val="nil"/>
                    <w:tr2bl w:val="nil"/>
                  </w:tcBorders>
                  <w:noWrap w:val="0"/>
                  <w:tcMar>
                    <w:top w:w="60" w:type="dxa"/>
                    <w:left w:w="75" w:type="dxa"/>
                    <w:bottom w:w="60" w:type="dxa"/>
                    <w:right w:w="75" w:type="dxa"/>
                  </w:tcMar>
                  <w:vAlign w:val="center"/>
                </w:tcPr>
                <w:p w14:paraId="7B3E07DD">
                  <w:pPr>
                    <w:pStyle w:val="117"/>
                    <w:keepNext w:val="0"/>
                    <w:keepLines w:val="0"/>
                    <w:pageBreakBefore w:val="0"/>
                    <w:widowControl w:val="0"/>
                    <w:shd w:val="clear" w:color="auto" w:fill="FFFFFF"/>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shd w:val="clear" w:color="auto" w:fill="FFFFFF"/>
                    </w:rPr>
                  </w:pPr>
                </w:p>
              </w:tc>
            </w:tr>
            <w:tr w14:paraId="3C682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287" w:type="pct"/>
                  <w:vMerge w:val="restart"/>
                  <w:tcBorders>
                    <w:tl2br w:val="nil"/>
                    <w:tr2bl w:val="nil"/>
                  </w:tcBorders>
                  <w:noWrap w:val="0"/>
                  <w:tcMar>
                    <w:top w:w="60" w:type="dxa"/>
                    <w:left w:w="75" w:type="dxa"/>
                    <w:bottom w:w="60" w:type="dxa"/>
                    <w:right w:w="75" w:type="dxa"/>
                  </w:tcMar>
                  <w:vAlign w:val="center"/>
                </w:tcPr>
                <w:p w14:paraId="40720D8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东厂界</w:t>
                  </w:r>
                </w:p>
              </w:tc>
              <w:tc>
                <w:tcPr>
                  <w:tcW w:w="238" w:type="pct"/>
                  <w:tcBorders>
                    <w:tl2br w:val="nil"/>
                    <w:tr2bl w:val="nil"/>
                  </w:tcBorders>
                  <w:noWrap w:val="0"/>
                  <w:tcMar>
                    <w:top w:w="60" w:type="dxa"/>
                    <w:left w:w="75" w:type="dxa"/>
                    <w:bottom w:w="60" w:type="dxa"/>
                    <w:right w:w="75" w:type="dxa"/>
                  </w:tcMar>
                  <w:vAlign w:val="center"/>
                </w:tcPr>
                <w:p w14:paraId="0950927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东厂界</w:t>
                  </w:r>
                </w:p>
              </w:tc>
              <w:tc>
                <w:tcPr>
                  <w:tcW w:w="216" w:type="pct"/>
                  <w:tcBorders>
                    <w:tl2br w:val="nil"/>
                    <w:tr2bl w:val="nil"/>
                  </w:tcBorders>
                  <w:noWrap w:val="0"/>
                  <w:tcMar>
                    <w:top w:w="60" w:type="dxa"/>
                    <w:left w:w="75" w:type="dxa"/>
                    <w:bottom w:w="60" w:type="dxa"/>
                    <w:right w:w="75" w:type="dxa"/>
                  </w:tcMar>
                  <w:vAlign w:val="center"/>
                </w:tcPr>
                <w:p w14:paraId="0DFA6EF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7988744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57A481D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2024-04-29</w:t>
                  </w:r>
                </w:p>
              </w:tc>
              <w:tc>
                <w:tcPr>
                  <w:tcW w:w="219" w:type="pct"/>
                  <w:tcBorders>
                    <w:tl2br w:val="nil"/>
                    <w:tr2bl w:val="nil"/>
                  </w:tcBorders>
                  <w:noWrap w:val="0"/>
                  <w:tcMar>
                    <w:top w:w="60" w:type="dxa"/>
                    <w:left w:w="75" w:type="dxa"/>
                    <w:bottom w:w="60" w:type="dxa"/>
                    <w:right w:w="75" w:type="dxa"/>
                  </w:tcMar>
                  <w:vAlign w:val="center"/>
                </w:tcPr>
                <w:p w14:paraId="080BDA0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53</w:t>
                  </w:r>
                </w:p>
              </w:tc>
              <w:tc>
                <w:tcPr>
                  <w:tcW w:w="280" w:type="pct"/>
                  <w:tcBorders>
                    <w:tl2br w:val="nil"/>
                    <w:tr2bl w:val="nil"/>
                  </w:tcBorders>
                  <w:noWrap w:val="0"/>
                  <w:tcMar>
                    <w:top w:w="60" w:type="dxa"/>
                    <w:left w:w="75" w:type="dxa"/>
                    <w:bottom w:w="60" w:type="dxa"/>
                    <w:right w:w="75" w:type="dxa"/>
                  </w:tcMar>
                  <w:vAlign w:val="center"/>
                </w:tcPr>
                <w:p w14:paraId="3DB3D84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180D517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073E6B8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4918978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79B96B8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00A0A84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5B1804C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3B45FB7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703444D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4AC8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0A892E3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东厂界</w:t>
                  </w:r>
                </w:p>
              </w:tc>
              <w:tc>
                <w:tcPr>
                  <w:tcW w:w="238" w:type="pct"/>
                  <w:tcBorders>
                    <w:tl2br w:val="nil"/>
                    <w:tr2bl w:val="nil"/>
                  </w:tcBorders>
                  <w:noWrap w:val="0"/>
                  <w:tcMar>
                    <w:top w:w="60" w:type="dxa"/>
                    <w:left w:w="75" w:type="dxa"/>
                    <w:bottom w:w="60" w:type="dxa"/>
                    <w:right w:w="75" w:type="dxa"/>
                  </w:tcMar>
                  <w:vAlign w:val="center"/>
                </w:tcPr>
                <w:p w14:paraId="4DE76DE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东厂界</w:t>
                  </w:r>
                </w:p>
              </w:tc>
              <w:tc>
                <w:tcPr>
                  <w:tcW w:w="216" w:type="pct"/>
                  <w:tcBorders>
                    <w:tl2br w:val="nil"/>
                    <w:tr2bl w:val="nil"/>
                  </w:tcBorders>
                  <w:noWrap w:val="0"/>
                  <w:tcMar>
                    <w:top w:w="60" w:type="dxa"/>
                    <w:left w:w="75" w:type="dxa"/>
                    <w:bottom w:w="60" w:type="dxa"/>
                    <w:right w:w="75" w:type="dxa"/>
                  </w:tcMar>
                  <w:vAlign w:val="center"/>
                </w:tcPr>
                <w:p w14:paraId="79114EE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0181C93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71FA355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2024-09-30</w:t>
                  </w:r>
                </w:p>
              </w:tc>
              <w:tc>
                <w:tcPr>
                  <w:tcW w:w="219" w:type="pct"/>
                  <w:tcBorders>
                    <w:tl2br w:val="nil"/>
                    <w:tr2bl w:val="nil"/>
                  </w:tcBorders>
                  <w:noWrap w:val="0"/>
                  <w:tcMar>
                    <w:top w:w="60" w:type="dxa"/>
                    <w:left w:w="75" w:type="dxa"/>
                    <w:bottom w:w="60" w:type="dxa"/>
                    <w:right w:w="75" w:type="dxa"/>
                  </w:tcMar>
                  <w:vAlign w:val="center"/>
                </w:tcPr>
                <w:p w14:paraId="7FC3B38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53</w:t>
                  </w:r>
                </w:p>
              </w:tc>
              <w:tc>
                <w:tcPr>
                  <w:tcW w:w="280" w:type="pct"/>
                  <w:tcBorders>
                    <w:tl2br w:val="nil"/>
                    <w:tr2bl w:val="nil"/>
                  </w:tcBorders>
                  <w:noWrap w:val="0"/>
                  <w:tcMar>
                    <w:top w:w="60" w:type="dxa"/>
                    <w:left w:w="75" w:type="dxa"/>
                    <w:bottom w:w="60" w:type="dxa"/>
                    <w:right w:w="75" w:type="dxa"/>
                  </w:tcMar>
                  <w:vAlign w:val="center"/>
                </w:tcPr>
                <w:p w14:paraId="21C2C76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6FF3E99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549CD2D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011E72F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1118FD6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20F33C9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4910FEF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4C91C1C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1F80E27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2E3BB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338E4A4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东厂界</w:t>
                  </w:r>
                </w:p>
              </w:tc>
              <w:tc>
                <w:tcPr>
                  <w:tcW w:w="238" w:type="pct"/>
                  <w:tcBorders>
                    <w:tl2br w:val="nil"/>
                    <w:tr2bl w:val="nil"/>
                  </w:tcBorders>
                  <w:noWrap w:val="0"/>
                  <w:tcMar>
                    <w:top w:w="60" w:type="dxa"/>
                    <w:left w:w="75" w:type="dxa"/>
                    <w:bottom w:w="60" w:type="dxa"/>
                    <w:right w:w="75" w:type="dxa"/>
                  </w:tcMar>
                  <w:vAlign w:val="center"/>
                </w:tcPr>
                <w:p w14:paraId="24857DA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东厂界</w:t>
                  </w:r>
                </w:p>
              </w:tc>
              <w:tc>
                <w:tcPr>
                  <w:tcW w:w="216" w:type="pct"/>
                  <w:tcBorders>
                    <w:tl2br w:val="nil"/>
                    <w:tr2bl w:val="nil"/>
                  </w:tcBorders>
                  <w:noWrap w:val="0"/>
                  <w:tcMar>
                    <w:top w:w="60" w:type="dxa"/>
                    <w:left w:w="75" w:type="dxa"/>
                    <w:bottom w:w="60" w:type="dxa"/>
                    <w:right w:w="75" w:type="dxa"/>
                  </w:tcMar>
                  <w:vAlign w:val="center"/>
                </w:tcPr>
                <w:p w14:paraId="3B66D26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6AEAC4E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16026B2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2024-11-21</w:t>
                  </w:r>
                </w:p>
              </w:tc>
              <w:tc>
                <w:tcPr>
                  <w:tcW w:w="219" w:type="pct"/>
                  <w:tcBorders>
                    <w:tl2br w:val="nil"/>
                    <w:tr2bl w:val="nil"/>
                  </w:tcBorders>
                  <w:noWrap w:val="0"/>
                  <w:tcMar>
                    <w:top w:w="60" w:type="dxa"/>
                    <w:left w:w="75" w:type="dxa"/>
                    <w:bottom w:w="60" w:type="dxa"/>
                    <w:right w:w="75" w:type="dxa"/>
                  </w:tcMar>
                  <w:vAlign w:val="center"/>
                </w:tcPr>
                <w:p w14:paraId="18C45F9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52</w:t>
                  </w:r>
                </w:p>
              </w:tc>
              <w:tc>
                <w:tcPr>
                  <w:tcW w:w="280" w:type="pct"/>
                  <w:tcBorders>
                    <w:tl2br w:val="nil"/>
                    <w:tr2bl w:val="nil"/>
                  </w:tcBorders>
                  <w:noWrap w:val="0"/>
                  <w:tcMar>
                    <w:top w:w="60" w:type="dxa"/>
                    <w:left w:w="75" w:type="dxa"/>
                    <w:bottom w:w="60" w:type="dxa"/>
                    <w:right w:w="75" w:type="dxa"/>
                  </w:tcMar>
                  <w:vAlign w:val="center"/>
                </w:tcPr>
                <w:p w14:paraId="789553C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5D18EE7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14B0E62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7270A2D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0E0E675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73D15C3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18793CC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5D4481D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470C1DB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1FDE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restart"/>
                  <w:tcBorders>
                    <w:tl2br w:val="nil"/>
                    <w:tr2bl w:val="nil"/>
                  </w:tcBorders>
                  <w:noWrap w:val="0"/>
                  <w:tcMar>
                    <w:top w:w="60" w:type="dxa"/>
                    <w:left w:w="75" w:type="dxa"/>
                    <w:bottom w:w="60" w:type="dxa"/>
                    <w:right w:w="75" w:type="dxa"/>
                  </w:tcMar>
                  <w:vAlign w:val="center"/>
                </w:tcPr>
                <w:p w14:paraId="69C3801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北厂界</w:t>
                  </w:r>
                </w:p>
              </w:tc>
              <w:tc>
                <w:tcPr>
                  <w:tcW w:w="238" w:type="pct"/>
                  <w:tcBorders>
                    <w:tl2br w:val="nil"/>
                    <w:tr2bl w:val="nil"/>
                  </w:tcBorders>
                  <w:noWrap w:val="0"/>
                  <w:tcMar>
                    <w:top w:w="60" w:type="dxa"/>
                    <w:left w:w="75" w:type="dxa"/>
                    <w:bottom w:w="60" w:type="dxa"/>
                    <w:right w:w="75" w:type="dxa"/>
                  </w:tcMar>
                  <w:vAlign w:val="center"/>
                </w:tcPr>
                <w:p w14:paraId="5F09695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北厂界</w:t>
                  </w:r>
                </w:p>
              </w:tc>
              <w:tc>
                <w:tcPr>
                  <w:tcW w:w="216" w:type="pct"/>
                  <w:tcBorders>
                    <w:tl2br w:val="nil"/>
                    <w:tr2bl w:val="nil"/>
                  </w:tcBorders>
                  <w:noWrap w:val="0"/>
                  <w:tcMar>
                    <w:top w:w="60" w:type="dxa"/>
                    <w:left w:w="75" w:type="dxa"/>
                    <w:bottom w:w="60" w:type="dxa"/>
                    <w:right w:w="75" w:type="dxa"/>
                  </w:tcMar>
                  <w:vAlign w:val="center"/>
                </w:tcPr>
                <w:p w14:paraId="053A76B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4A335E9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553B2A7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2024-04-29</w:t>
                  </w:r>
                </w:p>
              </w:tc>
              <w:tc>
                <w:tcPr>
                  <w:tcW w:w="219" w:type="pct"/>
                  <w:tcBorders>
                    <w:tl2br w:val="nil"/>
                    <w:tr2bl w:val="nil"/>
                  </w:tcBorders>
                  <w:noWrap w:val="0"/>
                  <w:tcMar>
                    <w:top w:w="60" w:type="dxa"/>
                    <w:left w:w="75" w:type="dxa"/>
                    <w:bottom w:w="60" w:type="dxa"/>
                    <w:right w:w="75" w:type="dxa"/>
                  </w:tcMar>
                  <w:vAlign w:val="center"/>
                </w:tcPr>
                <w:p w14:paraId="610C491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55</w:t>
                  </w:r>
                </w:p>
              </w:tc>
              <w:tc>
                <w:tcPr>
                  <w:tcW w:w="280" w:type="pct"/>
                  <w:tcBorders>
                    <w:tl2br w:val="nil"/>
                    <w:tr2bl w:val="nil"/>
                  </w:tcBorders>
                  <w:noWrap w:val="0"/>
                  <w:tcMar>
                    <w:top w:w="60" w:type="dxa"/>
                    <w:left w:w="75" w:type="dxa"/>
                    <w:bottom w:w="60" w:type="dxa"/>
                    <w:right w:w="75" w:type="dxa"/>
                  </w:tcMar>
                  <w:vAlign w:val="center"/>
                </w:tcPr>
                <w:p w14:paraId="7B6E298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3919AD6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051F96E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40078A3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0FD8C25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33ED4CA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52E9B06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5340ECE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3203DE1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61F68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59F0A81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北厂界</w:t>
                  </w:r>
                </w:p>
              </w:tc>
              <w:tc>
                <w:tcPr>
                  <w:tcW w:w="238" w:type="pct"/>
                  <w:tcBorders>
                    <w:tl2br w:val="nil"/>
                    <w:tr2bl w:val="nil"/>
                  </w:tcBorders>
                  <w:noWrap w:val="0"/>
                  <w:tcMar>
                    <w:top w:w="60" w:type="dxa"/>
                    <w:left w:w="75" w:type="dxa"/>
                    <w:bottom w:w="60" w:type="dxa"/>
                    <w:right w:w="75" w:type="dxa"/>
                  </w:tcMar>
                  <w:vAlign w:val="center"/>
                </w:tcPr>
                <w:p w14:paraId="270C00D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北厂界</w:t>
                  </w:r>
                </w:p>
              </w:tc>
              <w:tc>
                <w:tcPr>
                  <w:tcW w:w="216" w:type="pct"/>
                  <w:tcBorders>
                    <w:tl2br w:val="nil"/>
                    <w:tr2bl w:val="nil"/>
                  </w:tcBorders>
                  <w:noWrap w:val="0"/>
                  <w:tcMar>
                    <w:top w:w="60" w:type="dxa"/>
                    <w:left w:w="75" w:type="dxa"/>
                    <w:bottom w:w="60" w:type="dxa"/>
                    <w:right w:w="75" w:type="dxa"/>
                  </w:tcMar>
                  <w:vAlign w:val="center"/>
                </w:tcPr>
                <w:p w14:paraId="430A2D3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5B736B1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5A8B537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2024-09-30</w:t>
                  </w:r>
                </w:p>
              </w:tc>
              <w:tc>
                <w:tcPr>
                  <w:tcW w:w="219" w:type="pct"/>
                  <w:tcBorders>
                    <w:tl2br w:val="nil"/>
                    <w:tr2bl w:val="nil"/>
                  </w:tcBorders>
                  <w:noWrap w:val="0"/>
                  <w:tcMar>
                    <w:top w:w="60" w:type="dxa"/>
                    <w:left w:w="75" w:type="dxa"/>
                    <w:bottom w:w="60" w:type="dxa"/>
                    <w:right w:w="75" w:type="dxa"/>
                  </w:tcMar>
                  <w:vAlign w:val="center"/>
                </w:tcPr>
                <w:p w14:paraId="0D5896C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54</w:t>
                  </w:r>
                </w:p>
              </w:tc>
              <w:tc>
                <w:tcPr>
                  <w:tcW w:w="280" w:type="pct"/>
                  <w:tcBorders>
                    <w:tl2br w:val="nil"/>
                    <w:tr2bl w:val="nil"/>
                  </w:tcBorders>
                  <w:noWrap w:val="0"/>
                  <w:tcMar>
                    <w:top w:w="60" w:type="dxa"/>
                    <w:left w:w="75" w:type="dxa"/>
                    <w:bottom w:w="60" w:type="dxa"/>
                    <w:right w:w="75" w:type="dxa"/>
                  </w:tcMar>
                  <w:vAlign w:val="center"/>
                </w:tcPr>
                <w:p w14:paraId="78447B3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1F3117F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1A332E8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3F52DC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1742FD8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1ECA279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47872F2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6951361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370C044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3AA6A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740EAA8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北厂界</w:t>
                  </w:r>
                </w:p>
              </w:tc>
              <w:tc>
                <w:tcPr>
                  <w:tcW w:w="238" w:type="pct"/>
                  <w:tcBorders>
                    <w:tl2br w:val="nil"/>
                    <w:tr2bl w:val="nil"/>
                  </w:tcBorders>
                  <w:noWrap w:val="0"/>
                  <w:tcMar>
                    <w:top w:w="60" w:type="dxa"/>
                    <w:left w:w="75" w:type="dxa"/>
                    <w:bottom w:w="60" w:type="dxa"/>
                    <w:right w:w="75" w:type="dxa"/>
                  </w:tcMar>
                  <w:vAlign w:val="center"/>
                </w:tcPr>
                <w:p w14:paraId="700671E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北厂界</w:t>
                  </w:r>
                </w:p>
              </w:tc>
              <w:tc>
                <w:tcPr>
                  <w:tcW w:w="216" w:type="pct"/>
                  <w:tcBorders>
                    <w:tl2br w:val="nil"/>
                    <w:tr2bl w:val="nil"/>
                  </w:tcBorders>
                  <w:noWrap w:val="0"/>
                  <w:tcMar>
                    <w:top w:w="60" w:type="dxa"/>
                    <w:left w:w="75" w:type="dxa"/>
                    <w:bottom w:w="60" w:type="dxa"/>
                    <w:right w:w="75" w:type="dxa"/>
                  </w:tcMar>
                  <w:vAlign w:val="center"/>
                </w:tcPr>
                <w:p w14:paraId="74EDDAF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25A6B39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1A80714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2024-11-21</w:t>
                  </w:r>
                </w:p>
              </w:tc>
              <w:tc>
                <w:tcPr>
                  <w:tcW w:w="219" w:type="pct"/>
                  <w:tcBorders>
                    <w:tl2br w:val="nil"/>
                    <w:tr2bl w:val="nil"/>
                  </w:tcBorders>
                  <w:noWrap w:val="0"/>
                  <w:tcMar>
                    <w:top w:w="60" w:type="dxa"/>
                    <w:left w:w="75" w:type="dxa"/>
                    <w:bottom w:w="60" w:type="dxa"/>
                    <w:right w:w="75" w:type="dxa"/>
                  </w:tcMar>
                  <w:vAlign w:val="center"/>
                </w:tcPr>
                <w:p w14:paraId="5CAEE81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53</w:t>
                  </w:r>
                </w:p>
              </w:tc>
              <w:tc>
                <w:tcPr>
                  <w:tcW w:w="280" w:type="pct"/>
                  <w:tcBorders>
                    <w:tl2br w:val="nil"/>
                    <w:tr2bl w:val="nil"/>
                  </w:tcBorders>
                  <w:noWrap w:val="0"/>
                  <w:tcMar>
                    <w:top w:w="60" w:type="dxa"/>
                    <w:left w:w="75" w:type="dxa"/>
                    <w:bottom w:w="60" w:type="dxa"/>
                    <w:right w:w="75" w:type="dxa"/>
                  </w:tcMar>
                  <w:vAlign w:val="center"/>
                </w:tcPr>
                <w:p w14:paraId="14D8376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43BA6F4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7013667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3E41255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1521D12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4E52B5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085B75F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3B13F05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467253B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29C3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restart"/>
                  <w:tcBorders>
                    <w:tl2br w:val="nil"/>
                    <w:tr2bl w:val="nil"/>
                  </w:tcBorders>
                  <w:noWrap w:val="0"/>
                  <w:tcMar>
                    <w:top w:w="60" w:type="dxa"/>
                    <w:left w:w="75" w:type="dxa"/>
                    <w:bottom w:w="60" w:type="dxa"/>
                    <w:right w:w="75" w:type="dxa"/>
                  </w:tcMar>
                  <w:vAlign w:val="center"/>
                </w:tcPr>
                <w:p w14:paraId="428302B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南厂界</w:t>
                  </w:r>
                </w:p>
              </w:tc>
              <w:tc>
                <w:tcPr>
                  <w:tcW w:w="238" w:type="pct"/>
                  <w:tcBorders>
                    <w:tl2br w:val="nil"/>
                    <w:tr2bl w:val="nil"/>
                  </w:tcBorders>
                  <w:noWrap w:val="0"/>
                  <w:tcMar>
                    <w:top w:w="60" w:type="dxa"/>
                    <w:left w:w="75" w:type="dxa"/>
                    <w:bottom w:w="60" w:type="dxa"/>
                    <w:right w:w="75" w:type="dxa"/>
                  </w:tcMar>
                  <w:vAlign w:val="center"/>
                </w:tcPr>
                <w:p w14:paraId="52D139A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南厂界</w:t>
                  </w:r>
                </w:p>
              </w:tc>
              <w:tc>
                <w:tcPr>
                  <w:tcW w:w="216" w:type="pct"/>
                  <w:tcBorders>
                    <w:tl2br w:val="nil"/>
                    <w:tr2bl w:val="nil"/>
                  </w:tcBorders>
                  <w:noWrap w:val="0"/>
                  <w:tcMar>
                    <w:top w:w="60" w:type="dxa"/>
                    <w:left w:w="75" w:type="dxa"/>
                    <w:bottom w:w="60" w:type="dxa"/>
                    <w:right w:w="75" w:type="dxa"/>
                  </w:tcMar>
                  <w:vAlign w:val="center"/>
                </w:tcPr>
                <w:p w14:paraId="379830D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355FCDC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084F025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2024-04-29</w:t>
                  </w:r>
                </w:p>
              </w:tc>
              <w:tc>
                <w:tcPr>
                  <w:tcW w:w="219" w:type="pct"/>
                  <w:tcBorders>
                    <w:tl2br w:val="nil"/>
                    <w:tr2bl w:val="nil"/>
                  </w:tcBorders>
                  <w:noWrap w:val="0"/>
                  <w:tcMar>
                    <w:top w:w="60" w:type="dxa"/>
                    <w:left w:w="75" w:type="dxa"/>
                    <w:bottom w:w="60" w:type="dxa"/>
                    <w:right w:w="75" w:type="dxa"/>
                  </w:tcMar>
                  <w:vAlign w:val="center"/>
                </w:tcPr>
                <w:p w14:paraId="6CCD244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52</w:t>
                  </w:r>
                </w:p>
              </w:tc>
              <w:tc>
                <w:tcPr>
                  <w:tcW w:w="280" w:type="pct"/>
                  <w:tcBorders>
                    <w:tl2br w:val="nil"/>
                    <w:tr2bl w:val="nil"/>
                  </w:tcBorders>
                  <w:noWrap w:val="0"/>
                  <w:tcMar>
                    <w:top w:w="60" w:type="dxa"/>
                    <w:left w:w="75" w:type="dxa"/>
                    <w:bottom w:w="60" w:type="dxa"/>
                    <w:right w:w="75" w:type="dxa"/>
                  </w:tcMar>
                  <w:vAlign w:val="center"/>
                </w:tcPr>
                <w:p w14:paraId="177731C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7D06D85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03F4593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E14112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560485C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98FC0E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1299095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3353B0F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2142A05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0649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0E27940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南厂界</w:t>
                  </w:r>
                </w:p>
              </w:tc>
              <w:tc>
                <w:tcPr>
                  <w:tcW w:w="238" w:type="pct"/>
                  <w:tcBorders>
                    <w:tl2br w:val="nil"/>
                    <w:tr2bl w:val="nil"/>
                  </w:tcBorders>
                  <w:noWrap w:val="0"/>
                  <w:tcMar>
                    <w:top w:w="60" w:type="dxa"/>
                    <w:left w:w="75" w:type="dxa"/>
                    <w:bottom w:w="60" w:type="dxa"/>
                    <w:right w:w="75" w:type="dxa"/>
                  </w:tcMar>
                  <w:vAlign w:val="center"/>
                </w:tcPr>
                <w:p w14:paraId="6E9C036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南厂界</w:t>
                  </w:r>
                </w:p>
              </w:tc>
              <w:tc>
                <w:tcPr>
                  <w:tcW w:w="216" w:type="pct"/>
                  <w:tcBorders>
                    <w:tl2br w:val="nil"/>
                    <w:tr2bl w:val="nil"/>
                  </w:tcBorders>
                  <w:noWrap w:val="0"/>
                  <w:tcMar>
                    <w:top w:w="60" w:type="dxa"/>
                    <w:left w:w="75" w:type="dxa"/>
                    <w:bottom w:w="60" w:type="dxa"/>
                    <w:right w:w="75" w:type="dxa"/>
                  </w:tcMar>
                  <w:vAlign w:val="center"/>
                </w:tcPr>
                <w:p w14:paraId="7ABCCB5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51FC451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39B99BF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2024-09-30</w:t>
                  </w:r>
                </w:p>
              </w:tc>
              <w:tc>
                <w:tcPr>
                  <w:tcW w:w="219" w:type="pct"/>
                  <w:tcBorders>
                    <w:tl2br w:val="nil"/>
                    <w:tr2bl w:val="nil"/>
                  </w:tcBorders>
                  <w:noWrap w:val="0"/>
                  <w:tcMar>
                    <w:top w:w="60" w:type="dxa"/>
                    <w:left w:w="75" w:type="dxa"/>
                    <w:bottom w:w="60" w:type="dxa"/>
                    <w:right w:w="75" w:type="dxa"/>
                  </w:tcMar>
                  <w:vAlign w:val="center"/>
                </w:tcPr>
                <w:p w14:paraId="5D736B1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51</w:t>
                  </w:r>
                </w:p>
              </w:tc>
              <w:tc>
                <w:tcPr>
                  <w:tcW w:w="280" w:type="pct"/>
                  <w:tcBorders>
                    <w:tl2br w:val="nil"/>
                    <w:tr2bl w:val="nil"/>
                  </w:tcBorders>
                  <w:noWrap w:val="0"/>
                  <w:tcMar>
                    <w:top w:w="60" w:type="dxa"/>
                    <w:left w:w="75" w:type="dxa"/>
                    <w:bottom w:w="60" w:type="dxa"/>
                    <w:right w:w="75" w:type="dxa"/>
                  </w:tcMar>
                  <w:vAlign w:val="center"/>
                </w:tcPr>
                <w:p w14:paraId="45A1049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6A327EF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1753C62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1BB8FDA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0FAA377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4EFE518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5F92B4D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5CB15D5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1A4DF31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7909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63009EF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南厂界</w:t>
                  </w:r>
                </w:p>
              </w:tc>
              <w:tc>
                <w:tcPr>
                  <w:tcW w:w="238" w:type="pct"/>
                  <w:tcBorders>
                    <w:tl2br w:val="nil"/>
                    <w:tr2bl w:val="nil"/>
                  </w:tcBorders>
                  <w:noWrap w:val="0"/>
                  <w:tcMar>
                    <w:top w:w="60" w:type="dxa"/>
                    <w:left w:w="75" w:type="dxa"/>
                    <w:bottom w:w="60" w:type="dxa"/>
                    <w:right w:w="75" w:type="dxa"/>
                  </w:tcMar>
                  <w:vAlign w:val="center"/>
                </w:tcPr>
                <w:p w14:paraId="579D789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南厂界</w:t>
                  </w:r>
                </w:p>
              </w:tc>
              <w:tc>
                <w:tcPr>
                  <w:tcW w:w="216" w:type="pct"/>
                  <w:tcBorders>
                    <w:tl2br w:val="nil"/>
                    <w:tr2bl w:val="nil"/>
                  </w:tcBorders>
                  <w:noWrap w:val="0"/>
                  <w:tcMar>
                    <w:top w:w="60" w:type="dxa"/>
                    <w:left w:w="75" w:type="dxa"/>
                    <w:bottom w:w="60" w:type="dxa"/>
                    <w:right w:w="75" w:type="dxa"/>
                  </w:tcMar>
                  <w:vAlign w:val="center"/>
                </w:tcPr>
                <w:p w14:paraId="4A215BF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746FE4D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1788CC3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2024-11-21</w:t>
                  </w:r>
                </w:p>
              </w:tc>
              <w:tc>
                <w:tcPr>
                  <w:tcW w:w="219" w:type="pct"/>
                  <w:tcBorders>
                    <w:tl2br w:val="nil"/>
                    <w:tr2bl w:val="nil"/>
                  </w:tcBorders>
                  <w:noWrap w:val="0"/>
                  <w:tcMar>
                    <w:top w:w="60" w:type="dxa"/>
                    <w:left w:w="75" w:type="dxa"/>
                    <w:bottom w:w="60" w:type="dxa"/>
                    <w:right w:w="75" w:type="dxa"/>
                  </w:tcMar>
                  <w:vAlign w:val="center"/>
                </w:tcPr>
                <w:p w14:paraId="10C6438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54</w:t>
                  </w:r>
                </w:p>
              </w:tc>
              <w:tc>
                <w:tcPr>
                  <w:tcW w:w="280" w:type="pct"/>
                  <w:tcBorders>
                    <w:tl2br w:val="nil"/>
                    <w:tr2bl w:val="nil"/>
                  </w:tcBorders>
                  <w:noWrap w:val="0"/>
                  <w:tcMar>
                    <w:top w:w="60" w:type="dxa"/>
                    <w:left w:w="75" w:type="dxa"/>
                    <w:bottom w:w="60" w:type="dxa"/>
                    <w:right w:w="75" w:type="dxa"/>
                  </w:tcMar>
                  <w:vAlign w:val="center"/>
                </w:tcPr>
                <w:p w14:paraId="5486D7F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3FB7C6A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5A7160D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4CB20E7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7DA97ED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12B3EF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3F1AD66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2DB03AA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0609175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3BD7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restart"/>
                  <w:tcBorders>
                    <w:tl2br w:val="nil"/>
                    <w:tr2bl w:val="nil"/>
                  </w:tcBorders>
                  <w:noWrap w:val="0"/>
                  <w:tcMar>
                    <w:top w:w="60" w:type="dxa"/>
                    <w:left w:w="75" w:type="dxa"/>
                    <w:bottom w:w="60" w:type="dxa"/>
                    <w:right w:w="75" w:type="dxa"/>
                  </w:tcMar>
                  <w:vAlign w:val="center"/>
                </w:tcPr>
                <w:p w14:paraId="03EB944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西厂界</w:t>
                  </w:r>
                </w:p>
              </w:tc>
              <w:tc>
                <w:tcPr>
                  <w:tcW w:w="238" w:type="pct"/>
                  <w:tcBorders>
                    <w:tl2br w:val="nil"/>
                    <w:tr2bl w:val="nil"/>
                  </w:tcBorders>
                  <w:noWrap w:val="0"/>
                  <w:tcMar>
                    <w:top w:w="60" w:type="dxa"/>
                    <w:left w:w="75" w:type="dxa"/>
                    <w:bottom w:w="60" w:type="dxa"/>
                    <w:right w:w="75" w:type="dxa"/>
                  </w:tcMar>
                  <w:vAlign w:val="center"/>
                </w:tcPr>
                <w:p w14:paraId="20A1972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西厂界</w:t>
                  </w:r>
                </w:p>
              </w:tc>
              <w:tc>
                <w:tcPr>
                  <w:tcW w:w="216" w:type="pct"/>
                  <w:tcBorders>
                    <w:tl2br w:val="nil"/>
                    <w:tr2bl w:val="nil"/>
                  </w:tcBorders>
                  <w:noWrap w:val="0"/>
                  <w:tcMar>
                    <w:top w:w="60" w:type="dxa"/>
                    <w:left w:w="75" w:type="dxa"/>
                    <w:bottom w:w="60" w:type="dxa"/>
                    <w:right w:w="75" w:type="dxa"/>
                  </w:tcMar>
                  <w:vAlign w:val="center"/>
                </w:tcPr>
                <w:p w14:paraId="16A6E00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15C3846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05AB7E2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2024-04-29</w:t>
                  </w:r>
                </w:p>
              </w:tc>
              <w:tc>
                <w:tcPr>
                  <w:tcW w:w="219" w:type="pct"/>
                  <w:tcBorders>
                    <w:tl2br w:val="nil"/>
                    <w:tr2bl w:val="nil"/>
                  </w:tcBorders>
                  <w:noWrap w:val="0"/>
                  <w:tcMar>
                    <w:top w:w="60" w:type="dxa"/>
                    <w:left w:w="75" w:type="dxa"/>
                    <w:bottom w:w="60" w:type="dxa"/>
                    <w:right w:w="75" w:type="dxa"/>
                  </w:tcMar>
                  <w:vAlign w:val="center"/>
                </w:tcPr>
                <w:p w14:paraId="3D0B35F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52</w:t>
                  </w:r>
                </w:p>
              </w:tc>
              <w:tc>
                <w:tcPr>
                  <w:tcW w:w="280" w:type="pct"/>
                  <w:tcBorders>
                    <w:tl2br w:val="nil"/>
                    <w:tr2bl w:val="nil"/>
                  </w:tcBorders>
                  <w:noWrap w:val="0"/>
                  <w:tcMar>
                    <w:top w:w="60" w:type="dxa"/>
                    <w:left w:w="75" w:type="dxa"/>
                    <w:bottom w:w="60" w:type="dxa"/>
                    <w:right w:w="75" w:type="dxa"/>
                  </w:tcMar>
                  <w:vAlign w:val="center"/>
                </w:tcPr>
                <w:p w14:paraId="09E0AE4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3612CA9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3A47A30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33F2040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085BB87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BA8722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2083B86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28AFB43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7F98B7E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437B9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2F01781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西厂界</w:t>
                  </w:r>
                </w:p>
              </w:tc>
              <w:tc>
                <w:tcPr>
                  <w:tcW w:w="238" w:type="pct"/>
                  <w:tcBorders>
                    <w:tl2br w:val="nil"/>
                    <w:tr2bl w:val="nil"/>
                  </w:tcBorders>
                  <w:noWrap w:val="0"/>
                  <w:tcMar>
                    <w:top w:w="60" w:type="dxa"/>
                    <w:left w:w="75" w:type="dxa"/>
                    <w:bottom w:w="60" w:type="dxa"/>
                    <w:right w:w="75" w:type="dxa"/>
                  </w:tcMar>
                  <w:vAlign w:val="center"/>
                </w:tcPr>
                <w:p w14:paraId="623C7D5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西厂界</w:t>
                  </w:r>
                </w:p>
              </w:tc>
              <w:tc>
                <w:tcPr>
                  <w:tcW w:w="216" w:type="pct"/>
                  <w:tcBorders>
                    <w:tl2br w:val="nil"/>
                    <w:tr2bl w:val="nil"/>
                  </w:tcBorders>
                  <w:noWrap w:val="0"/>
                  <w:tcMar>
                    <w:top w:w="60" w:type="dxa"/>
                    <w:left w:w="75" w:type="dxa"/>
                    <w:bottom w:w="60" w:type="dxa"/>
                    <w:right w:w="75" w:type="dxa"/>
                  </w:tcMar>
                  <w:vAlign w:val="center"/>
                </w:tcPr>
                <w:p w14:paraId="39A2E0F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74D2B78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31B34CB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2024-09-30</w:t>
                  </w:r>
                </w:p>
              </w:tc>
              <w:tc>
                <w:tcPr>
                  <w:tcW w:w="219" w:type="pct"/>
                  <w:tcBorders>
                    <w:tl2br w:val="nil"/>
                    <w:tr2bl w:val="nil"/>
                  </w:tcBorders>
                  <w:noWrap w:val="0"/>
                  <w:tcMar>
                    <w:top w:w="60" w:type="dxa"/>
                    <w:left w:w="75" w:type="dxa"/>
                    <w:bottom w:w="60" w:type="dxa"/>
                    <w:right w:w="75" w:type="dxa"/>
                  </w:tcMar>
                  <w:vAlign w:val="center"/>
                </w:tcPr>
                <w:p w14:paraId="27AB83B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52</w:t>
                  </w:r>
                </w:p>
              </w:tc>
              <w:tc>
                <w:tcPr>
                  <w:tcW w:w="280" w:type="pct"/>
                  <w:tcBorders>
                    <w:tl2br w:val="nil"/>
                    <w:tr2bl w:val="nil"/>
                  </w:tcBorders>
                  <w:noWrap w:val="0"/>
                  <w:tcMar>
                    <w:top w:w="60" w:type="dxa"/>
                    <w:left w:w="75" w:type="dxa"/>
                    <w:bottom w:w="60" w:type="dxa"/>
                    <w:right w:w="75" w:type="dxa"/>
                  </w:tcMar>
                  <w:vAlign w:val="center"/>
                </w:tcPr>
                <w:p w14:paraId="4F74362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4240860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1781F60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6229B8E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407F27E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0470B3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6230F86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6DEB778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237502C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r w14:paraId="5EFE4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287" w:type="pct"/>
                  <w:vMerge w:val="continue"/>
                  <w:tcBorders>
                    <w:tl2br w:val="nil"/>
                    <w:tr2bl w:val="nil"/>
                  </w:tcBorders>
                  <w:noWrap w:val="0"/>
                  <w:tcMar>
                    <w:top w:w="60" w:type="dxa"/>
                    <w:left w:w="75" w:type="dxa"/>
                    <w:bottom w:w="60" w:type="dxa"/>
                    <w:right w:w="75" w:type="dxa"/>
                  </w:tcMar>
                  <w:vAlign w:val="center"/>
                </w:tcPr>
                <w:p w14:paraId="72108AF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西厂界</w:t>
                  </w:r>
                </w:p>
              </w:tc>
              <w:tc>
                <w:tcPr>
                  <w:tcW w:w="238" w:type="pct"/>
                  <w:tcBorders>
                    <w:tl2br w:val="nil"/>
                    <w:tr2bl w:val="nil"/>
                  </w:tcBorders>
                  <w:noWrap w:val="0"/>
                  <w:tcMar>
                    <w:top w:w="60" w:type="dxa"/>
                    <w:left w:w="75" w:type="dxa"/>
                    <w:bottom w:w="60" w:type="dxa"/>
                    <w:right w:w="75" w:type="dxa"/>
                  </w:tcMar>
                  <w:vAlign w:val="center"/>
                </w:tcPr>
                <w:p w14:paraId="69DE64D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西厂界</w:t>
                  </w:r>
                </w:p>
              </w:tc>
              <w:tc>
                <w:tcPr>
                  <w:tcW w:w="216" w:type="pct"/>
                  <w:tcBorders>
                    <w:tl2br w:val="nil"/>
                    <w:tr2bl w:val="nil"/>
                  </w:tcBorders>
                  <w:noWrap w:val="0"/>
                  <w:tcMar>
                    <w:top w:w="60" w:type="dxa"/>
                    <w:left w:w="75" w:type="dxa"/>
                    <w:bottom w:w="60" w:type="dxa"/>
                    <w:right w:w="75" w:type="dxa"/>
                  </w:tcMar>
                  <w:vAlign w:val="center"/>
                </w:tcPr>
                <w:p w14:paraId="5CAE92A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77" w:type="pct"/>
                  <w:tcBorders>
                    <w:tl2br w:val="nil"/>
                    <w:tr2bl w:val="nil"/>
                  </w:tcBorders>
                  <w:noWrap w:val="0"/>
                  <w:tcMar>
                    <w:top w:w="60" w:type="dxa"/>
                    <w:left w:w="75" w:type="dxa"/>
                    <w:bottom w:w="60" w:type="dxa"/>
                    <w:right w:w="75" w:type="dxa"/>
                  </w:tcMar>
                  <w:vAlign w:val="center"/>
                </w:tcPr>
                <w:p w14:paraId="52BF45B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409" w:type="pct"/>
                  <w:tcBorders>
                    <w:tl2br w:val="nil"/>
                    <w:tr2bl w:val="nil"/>
                  </w:tcBorders>
                  <w:noWrap w:val="0"/>
                  <w:tcMar>
                    <w:top w:w="60" w:type="dxa"/>
                    <w:left w:w="75" w:type="dxa"/>
                    <w:bottom w:w="60" w:type="dxa"/>
                    <w:right w:w="75" w:type="dxa"/>
                  </w:tcMar>
                  <w:vAlign w:val="center"/>
                </w:tcPr>
                <w:p w14:paraId="192656A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2024-11-21</w:t>
                  </w:r>
                </w:p>
              </w:tc>
              <w:tc>
                <w:tcPr>
                  <w:tcW w:w="219" w:type="pct"/>
                  <w:tcBorders>
                    <w:tl2br w:val="nil"/>
                    <w:tr2bl w:val="nil"/>
                  </w:tcBorders>
                  <w:noWrap w:val="0"/>
                  <w:tcMar>
                    <w:top w:w="60" w:type="dxa"/>
                    <w:left w:w="75" w:type="dxa"/>
                    <w:bottom w:w="60" w:type="dxa"/>
                    <w:right w:w="75" w:type="dxa"/>
                  </w:tcMar>
                  <w:vAlign w:val="center"/>
                </w:tcPr>
                <w:p w14:paraId="7A2C7E3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54</w:t>
                  </w:r>
                </w:p>
              </w:tc>
              <w:tc>
                <w:tcPr>
                  <w:tcW w:w="280" w:type="pct"/>
                  <w:tcBorders>
                    <w:tl2br w:val="nil"/>
                    <w:tr2bl w:val="nil"/>
                  </w:tcBorders>
                  <w:noWrap w:val="0"/>
                  <w:tcMar>
                    <w:top w:w="60" w:type="dxa"/>
                    <w:left w:w="75" w:type="dxa"/>
                    <w:bottom w:w="60" w:type="dxa"/>
                    <w:right w:w="75" w:type="dxa"/>
                  </w:tcMar>
                  <w:vAlign w:val="center"/>
                </w:tcPr>
                <w:p w14:paraId="3B4695A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378" w:type="pct"/>
                  <w:tcBorders>
                    <w:tl2br w:val="nil"/>
                    <w:tr2bl w:val="nil"/>
                  </w:tcBorders>
                  <w:noWrap w:val="0"/>
                  <w:tcMar>
                    <w:top w:w="60" w:type="dxa"/>
                    <w:left w:w="75" w:type="dxa"/>
                    <w:bottom w:w="60" w:type="dxa"/>
                    <w:right w:w="75" w:type="dxa"/>
                  </w:tcMar>
                  <w:vAlign w:val="center"/>
                </w:tcPr>
                <w:p w14:paraId="50A7979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328" w:type="pct"/>
                  <w:tcBorders>
                    <w:tl2br w:val="nil"/>
                    <w:tr2bl w:val="nil"/>
                  </w:tcBorders>
                  <w:noWrap w:val="0"/>
                  <w:tcMar>
                    <w:top w:w="60" w:type="dxa"/>
                    <w:left w:w="75" w:type="dxa"/>
                    <w:bottom w:w="60" w:type="dxa"/>
                    <w:right w:w="75" w:type="dxa"/>
                  </w:tcMar>
                  <w:vAlign w:val="center"/>
                </w:tcPr>
                <w:p w14:paraId="6B593A2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2F482D9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6" w:type="pct"/>
                  <w:tcBorders>
                    <w:tl2br w:val="nil"/>
                    <w:tr2bl w:val="nil"/>
                  </w:tcBorders>
                  <w:noWrap w:val="0"/>
                  <w:tcMar>
                    <w:top w:w="60" w:type="dxa"/>
                    <w:left w:w="75" w:type="dxa"/>
                    <w:bottom w:w="60" w:type="dxa"/>
                    <w:right w:w="75" w:type="dxa"/>
                  </w:tcMar>
                  <w:vAlign w:val="center"/>
                </w:tcPr>
                <w:p w14:paraId="56CDF9F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32" w:type="pct"/>
                  <w:tcBorders>
                    <w:tl2br w:val="nil"/>
                    <w:tr2bl w:val="nil"/>
                  </w:tcBorders>
                  <w:noWrap w:val="0"/>
                  <w:tcMar>
                    <w:top w:w="60" w:type="dxa"/>
                    <w:left w:w="75" w:type="dxa"/>
                    <w:bottom w:w="60" w:type="dxa"/>
                    <w:right w:w="75" w:type="dxa"/>
                  </w:tcMar>
                  <w:vAlign w:val="center"/>
                </w:tcPr>
                <w:p w14:paraId="5F47B8E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469" w:type="pct"/>
                  <w:tcBorders>
                    <w:tl2br w:val="nil"/>
                    <w:tr2bl w:val="nil"/>
                  </w:tcBorders>
                  <w:noWrap w:val="0"/>
                  <w:tcMar>
                    <w:top w:w="60" w:type="dxa"/>
                    <w:left w:w="75" w:type="dxa"/>
                    <w:bottom w:w="60" w:type="dxa"/>
                    <w:right w:w="75" w:type="dxa"/>
                  </w:tcMar>
                  <w:vAlign w:val="center"/>
                </w:tcPr>
                <w:p w14:paraId="6A09835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c>
                <w:tcPr>
                  <w:tcW w:w="263" w:type="pct"/>
                  <w:tcBorders>
                    <w:tl2br w:val="nil"/>
                    <w:tr2bl w:val="nil"/>
                  </w:tcBorders>
                  <w:noWrap w:val="0"/>
                  <w:tcMar>
                    <w:top w:w="60" w:type="dxa"/>
                    <w:left w:w="75" w:type="dxa"/>
                    <w:bottom w:w="60" w:type="dxa"/>
                    <w:right w:w="75" w:type="dxa"/>
                  </w:tcMar>
                  <w:vAlign w:val="center"/>
                </w:tcPr>
                <w:p w14:paraId="7EFCE5E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是</w:t>
                  </w:r>
                </w:p>
              </w:tc>
              <w:tc>
                <w:tcPr>
                  <w:tcW w:w="201" w:type="pct"/>
                  <w:tcBorders>
                    <w:tl2br w:val="nil"/>
                    <w:tr2bl w:val="nil"/>
                  </w:tcBorders>
                  <w:noWrap w:val="0"/>
                  <w:tcMar>
                    <w:top w:w="60" w:type="dxa"/>
                    <w:left w:w="75" w:type="dxa"/>
                    <w:bottom w:w="60" w:type="dxa"/>
                    <w:right w:w="75" w:type="dxa"/>
                  </w:tcMar>
                  <w:vAlign w:val="center"/>
                </w:tcPr>
                <w:p w14:paraId="214F6C2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p>
              </w:tc>
            </w:tr>
          </w:tbl>
          <w:p w14:paraId="03035B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检测结果显示，企业厂界噪声值满足《工业企业厂界环境噪声排放标准》（GB12348-2008）中2类标准限值要求。</w:t>
            </w:r>
          </w:p>
          <w:p w14:paraId="1988706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固废</w:t>
            </w:r>
          </w:p>
          <w:p w14:paraId="1E59CD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default" w:ascii="Times New Roman" w:hAnsi="Times New Roman" w:eastAsia="宋体" w:cs="Times New Roman"/>
                <w:color w:val="auto"/>
                <w:sz w:val="24"/>
                <w:szCs w:val="24"/>
                <w:highlight w:val="none"/>
                <w:vertAlign w:val="baseline"/>
                <w:lang w:val="en-US" w:eastAsia="zh-CN"/>
              </w:rPr>
              <w:t>根据环评、验收及排污许可证</w:t>
            </w:r>
            <w:r>
              <w:rPr>
                <w:rFonts w:hint="eastAsia" w:cs="Times New Roman"/>
                <w:color w:val="auto"/>
                <w:sz w:val="24"/>
                <w:szCs w:val="24"/>
                <w:highlight w:val="none"/>
                <w:vertAlign w:val="baseline"/>
                <w:lang w:val="en-US" w:eastAsia="zh-CN"/>
              </w:rPr>
              <w:t>及企业提供的实际生产数据</w:t>
            </w:r>
            <w:r>
              <w:rPr>
                <w:rFonts w:hint="default" w:ascii="Times New Roman" w:hAnsi="Times New Roman" w:eastAsia="宋体" w:cs="Times New Roman"/>
                <w:color w:val="auto"/>
                <w:sz w:val="24"/>
                <w:szCs w:val="24"/>
                <w:highlight w:val="none"/>
                <w:vertAlign w:val="baseline"/>
                <w:lang w:val="en-US" w:eastAsia="zh-CN"/>
              </w:rPr>
              <w:t>，现有工程固废主要为废化学品包装物、污水处理站污泥、</w:t>
            </w:r>
            <w:r>
              <w:rPr>
                <w:rFonts w:hint="eastAsia" w:ascii="Times New Roman" w:hAnsi="Times New Roman" w:eastAsia="宋体" w:cs="Times New Roman"/>
                <w:color w:val="auto"/>
                <w:sz w:val="24"/>
                <w:szCs w:val="24"/>
                <w:highlight w:val="none"/>
                <w:vertAlign w:val="baseline"/>
                <w:lang w:val="en-US" w:eastAsia="zh-CN"/>
              </w:rPr>
              <w:t>废树脂、</w:t>
            </w:r>
            <w:r>
              <w:rPr>
                <w:rFonts w:hint="default" w:ascii="Times New Roman" w:hAnsi="Times New Roman" w:eastAsia="宋体" w:cs="Times New Roman"/>
                <w:color w:val="auto"/>
                <w:sz w:val="24"/>
                <w:szCs w:val="24"/>
                <w:highlight w:val="none"/>
                <w:vertAlign w:val="baseline"/>
                <w:lang w:val="en-US" w:eastAsia="zh-CN"/>
              </w:rPr>
              <w:t>除尘器收尘以及生活垃圾。其中废化学品包装物属于危险废物，委托资质单位处理，污水处理站污泥、除尘器收尘属于一般固废，外售综合利用。生活垃圾委托环卫部门定期清运。现有工程固废产生及处置情况见下表</w:t>
            </w:r>
            <w:r>
              <w:rPr>
                <w:rFonts w:hint="eastAsia" w:ascii="Times New Roman" w:hAnsi="Times New Roman" w:eastAsia="宋体" w:cs="Times New Roman"/>
                <w:color w:val="auto"/>
                <w:sz w:val="24"/>
                <w:szCs w:val="24"/>
                <w:highlight w:val="none"/>
                <w:vertAlign w:val="baseline"/>
                <w:lang w:val="en-US" w:eastAsia="zh-CN"/>
              </w:rPr>
              <w:t>2-17所示。</w:t>
            </w:r>
          </w:p>
          <w:p w14:paraId="71E1FC53">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 xml:space="preserve">7 </w:t>
            </w:r>
            <w:r>
              <w:rPr>
                <w:rFonts w:hint="default" w:ascii="Times New Roman" w:hAnsi="Times New Roman" w:cs="Times New Roman"/>
                <w:color w:val="auto"/>
                <w:highlight w:val="none"/>
                <w:lang w:val="en-US" w:eastAsia="zh-CN"/>
              </w:rPr>
              <w:t>固体废物产生及处置一览表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44"/>
              <w:gridCol w:w="668"/>
              <w:gridCol w:w="1386"/>
              <w:gridCol w:w="738"/>
              <w:gridCol w:w="2105"/>
              <w:gridCol w:w="2413"/>
            </w:tblGrid>
            <w:tr w14:paraId="6818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40" w:type="dxa"/>
                  <w:tcBorders>
                    <w:tl2br w:val="nil"/>
                    <w:tr2bl w:val="nil"/>
                  </w:tcBorders>
                  <w:noWrap w:val="0"/>
                  <w:vAlign w:val="center"/>
                </w:tcPr>
                <w:p w14:paraId="481C1894">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名称</w:t>
                  </w:r>
                </w:p>
              </w:tc>
              <w:tc>
                <w:tcPr>
                  <w:tcW w:w="537" w:type="dxa"/>
                  <w:tcBorders>
                    <w:tl2br w:val="nil"/>
                    <w:tr2bl w:val="nil"/>
                  </w:tcBorders>
                  <w:noWrap w:val="0"/>
                  <w:vAlign w:val="center"/>
                </w:tcPr>
                <w:p w14:paraId="446BA8D6">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物理性状</w:t>
                  </w:r>
                </w:p>
              </w:tc>
              <w:tc>
                <w:tcPr>
                  <w:tcW w:w="1115" w:type="dxa"/>
                  <w:tcBorders>
                    <w:tl2br w:val="nil"/>
                    <w:tr2bl w:val="nil"/>
                  </w:tcBorders>
                  <w:noWrap w:val="0"/>
                  <w:vAlign w:val="center"/>
                </w:tcPr>
                <w:p w14:paraId="10EA542A">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固废</w:t>
                  </w:r>
                  <w:r>
                    <w:rPr>
                      <w:rFonts w:hint="default" w:ascii="Times New Roman" w:hAnsi="Times New Roman" w:eastAsia="宋体" w:cs="Times New Roman"/>
                      <w:b w:val="0"/>
                      <w:bCs w:val="0"/>
                      <w:color w:val="auto"/>
                      <w:sz w:val="21"/>
                      <w:szCs w:val="21"/>
                      <w:highlight w:val="none"/>
                    </w:rPr>
                    <w:t>类别及编码</w:t>
                  </w:r>
                </w:p>
              </w:tc>
              <w:tc>
                <w:tcPr>
                  <w:tcW w:w="594" w:type="dxa"/>
                  <w:tcBorders>
                    <w:tl2br w:val="nil"/>
                    <w:tr2bl w:val="nil"/>
                  </w:tcBorders>
                  <w:noWrap w:val="0"/>
                  <w:vAlign w:val="center"/>
                </w:tcPr>
                <w:p w14:paraId="3C652908">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环境危险特性</w:t>
                  </w:r>
                </w:p>
              </w:tc>
              <w:tc>
                <w:tcPr>
                  <w:tcW w:w="1693" w:type="dxa"/>
                  <w:tcBorders>
                    <w:tl2br w:val="nil"/>
                    <w:tr2bl w:val="nil"/>
                  </w:tcBorders>
                  <w:noWrap w:val="0"/>
                  <w:vAlign w:val="center"/>
                </w:tcPr>
                <w:p w14:paraId="32707708">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产生量</w:t>
                  </w:r>
                </w:p>
              </w:tc>
              <w:tc>
                <w:tcPr>
                  <w:tcW w:w="1941" w:type="dxa"/>
                  <w:tcBorders>
                    <w:tl2br w:val="nil"/>
                    <w:tr2bl w:val="nil"/>
                  </w:tcBorders>
                  <w:noWrap w:val="0"/>
                  <w:vAlign w:val="center"/>
                </w:tcPr>
                <w:p w14:paraId="63737182">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处置措施及去向</w:t>
                  </w:r>
                </w:p>
              </w:tc>
            </w:tr>
            <w:tr w14:paraId="2642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 w:hRule="atLeast"/>
                <w:jc w:val="center"/>
              </w:trPr>
              <w:tc>
                <w:tcPr>
                  <w:tcW w:w="840" w:type="dxa"/>
                  <w:tcBorders>
                    <w:tl2br w:val="nil"/>
                    <w:tr2bl w:val="nil"/>
                  </w:tcBorders>
                  <w:noWrap w:val="0"/>
                  <w:vAlign w:val="center"/>
                </w:tcPr>
                <w:p w14:paraId="4FB6EE90">
                  <w:pPr>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highlight w:val="none"/>
                      <w:vertAlign w:val="baseline"/>
                      <w:lang w:val="en-US" w:eastAsia="zh-CN"/>
                    </w:rPr>
                    <w:t>废化学品包装物</w:t>
                  </w:r>
                </w:p>
              </w:tc>
              <w:tc>
                <w:tcPr>
                  <w:tcW w:w="537" w:type="dxa"/>
                  <w:tcBorders>
                    <w:tl2br w:val="nil"/>
                    <w:tr2bl w:val="nil"/>
                  </w:tcBorders>
                  <w:noWrap w:val="0"/>
                  <w:vAlign w:val="center"/>
                </w:tcPr>
                <w:p w14:paraId="3CC84999">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固态</w:t>
                  </w:r>
                </w:p>
              </w:tc>
              <w:tc>
                <w:tcPr>
                  <w:tcW w:w="1115" w:type="dxa"/>
                  <w:tcBorders>
                    <w:tl2br w:val="nil"/>
                    <w:tr2bl w:val="nil"/>
                  </w:tcBorders>
                  <w:noWrap w:val="0"/>
                  <w:vAlign w:val="center"/>
                </w:tcPr>
                <w:p w14:paraId="58671306">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HW13 900-015-13</w:t>
                  </w:r>
                </w:p>
              </w:tc>
              <w:tc>
                <w:tcPr>
                  <w:tcW w:w="594" w:type="dxa"/>
                  <w:tcBorders>
                    <w:tl2br w:val="nil"/>
                    <w:tr2bl w:val="nil"/>
                  </w:tcBorders>
                  <w:noWrap w:val="0"/>
                  <w:vAlign w:val="center"/>
                </w:tcPr>
                <w:p w14:paraId="3C07A069">
                  <w:pPr>
                    <w:snapToGrid w:val="0"/>
                    <w:jc w:val="center"/>
                    <w:rPr>
                      <w:rFonts w:hint="default" w:ascii="Times New Roman" w:hAnsi="Times New Roman" w:eastAsia="宋体" w:cs="Times New Roman"/>
                      <w:b w:val="0"/>
                      <w:bCs w:val="0"/>
                      <w:color w:val="auto"/>
                      <w:kern w:val="0"/>
                      <w:sz w:val="21"/>
                      <w:szCs w:val="21"/>
                      <w:highlight w:val="none"/>
                    </w:rPr>
                  </w:pPr>
                  <w:r>
                    <w:rPr>
                      <w:rFonts w:ascii="Times New Roman" w:hAnsi="Times New Roman" w:eastAsia="宋体" w:cs="Arial"/>
                      <w:i w:val="0"/>
                      <w:iCs w:val="0"/>
                      <w:caps w:val="0"/>
                      <w:color w:val="auto"/>
                      <w:spacing w:val="0"/>
                      <w:sz w:val="21"/>
                      <w:szCs w:val="21"/>
                      <w:highlight w:val="none"/>
                      <w:shd w:val="clear" w:color="auto" w:fill="FFFFFF"/>
                    </w:rPr>
                    <w:t>T</w:t>
                  </w:r>
                </w:p>
              </w:tc>
              <w:tc>
                <w:tcPr>
                  <w:tcW w:w="1693" w:type="dxa"/>
                  <w:tcBorders>
                    <w:tl2br w:val="nil"/>
                    <w:tr2bl w:val="nil"/>
                  </w:tcBorders>
                  <w:noWrap w:val="0"/>
                  <w:vAlign w:val="center"/>
                </w:tcPr>
                <w:p w14:paraId="6EEF45AF">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0.5</w:t>
                  </w:r>
                  <w:r>
                    <w:rPr>
                      <w:rFonts w:hint="default" w:ascii="Times New Roman" w:hAnsi="Times New Roman" w:eastAsia="宋体" w:cs="Times New Roman"/>
                      <w:b w:val="0"/>
                      <w:bCs w:val="0"/>
                      <w:color w:val="auto"/>
                      <w:sz w:val="21"/>
                      <w:szCs w:val="21"/>
                      <w:highlight w:val="none"/>
                    </w:rPr>
                    <w:t>t/a</w:t>
                  </w:r>
                </w:p>
              </w:tc>
              <w:tc>
                <w:tcPr>
                  <w:tcW w:w="1941" w:type="dxa"/>
                  <w:tcBorders>
                    <w:tl2br w:val="nil"/>
                    <w:tr2bl w:val="nil"/>
                  </w:tcBorders>
                  <w:noWrap w:val="0"/>
                  <w:vAlign w:val="center"/>
                </w:tcPr>
                <w:p w14:paraId="52AFA289">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委托有资质单位处理</w:t>
                  </w:r>
                </w:p>
              </w:tc>
            </w:tr>
            <w:tr w14:paraId="7DA3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 w:hRule="atLeast"/>
                <w:jc w:val="center"/>
              </w:trPr>
              <w:tc>
                <w:tcPr>
                  <w:tcW w:w="840" w:type="dxa"/>
                  <w:tcBorders>
                    <w:tl2br w:val="nil"/>
                    <w:tr2bl w:val="nil"/>
                  </w:tcBorders>
                  <w:noWrap w:val="0"/>
                  <w:vAlign w:val="center"/>
                </w:tcPr>
                <w:p w14:paraId="27F04D94">
                  <w:pPr>
                    <w:adjustRightInd w:val="0"/>
                    <w:snapToGrid w:val="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废树脂</w:t>
                  </w:r>
                </w:p>
              </w:tc>
              <w:tc>
                <w:tcPr>
                  <w:tcW w:w="537" w:type="dxa"/>
                  <w:tcBorders>
                    <w:tl2br w:val="nil"/>
                    <w:tr2bl w:val="nil"/>
                  </w:tcBorders>
                  <w:noWrap w:val="0"/>
                  <w:vAlign w:val="center"/>
                </w:tcPr>
                <w:p w14:paraId="4BF6A157">
                  <w:pPr>
                    <w:snapToGrid w:val="0"/>
                    <w:spacing w:line="270" w:lineRule="exact"/>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固态</w:t>
                  </w:r>
                </w:p>
              </w:tc>
              <w:tc>
                <w:tcPr>
                  <w:tcW w:w="1115" w:type="dxa"/>
                  <w:tcBorders>
                    <w:tl2br w:val="nil"/>
                    <w:tr2bl w:val="nil"/>
                  </w:tcBorders>
                  <w:noWrap w:val="0"/>
                  <w:vAlign w:val="center"/>
                </w:tcPr>
                <w:p w14:paraId="5A7EC036">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HW49 900-041-49</w:t>
                  </w:r>
                </w:p>
              </w:tc>
              <w:tc>
                <w:tcPr>
                  <w:tcW w:w="594" w:type="dxa"/>
                  <w:tcBorders>
                    <w:tl2br w:val="nil"/>
                    <w:tr2bl w:val="nil"/>
                  </w:tcBorders>
                  <w:noWrap w:val="0"/>
                  <w:vAlign w:val="center"/>
                </w:tcPr>
                <w:p w14:paraId="123D9BB5">
                  <w:pPr>
                    <w:snapToGrid w:val="0"/>
                    <w:jc w:val="center"/>
                    <w:rPr>
                      <w:rFonts w:hint="default" w:ascii="Times New Roman" w:hAnsi="Times New Roman" w:eastAsia="宋体" w:cs="Times New Roman"/>
                      <w:b w:val="0"/>
                      <w:bCs w:val="0"/>
                      <w:color w:val="auto"/>
                      <w:kern w:val="0"/>
                      <w:sz w:val="21"/>
                      <w:szCs w:val="21"/>
                      <w:highlight w:val="none"/>
                    </w:rPr>
                  </w:pPr>
                  <w:r>
                    <w:rPr>
                      <w:rFonts w:ascii="Times New Roman" w:hAnsi="Times New Roman" w:eastAsia="宋体" w:cs="Arial"/>
                      <w:i w:val="0"/>
                      <w:iCs w:val="0"/>
                      <w:caps w:val="0"/>
                      <w:color w:val="auto"/>
                      <w:spacing w:val="0"/>
                      <w:sz w:val="21"/>
                      <w:szCs w:val="21"/>
                      <w:highlight w:val="none"/>
                      <w:shd w:val="clear" w:color="auto" w:fill="FFFFFF"/>
                    </w:rPr>
                    <w:t>T/In</w:t>
                  </w:r>
                </w:p>
              </w:tc>
              <w:tc>
                <w:tcPr>
                  <w:tcW w:w="1693" w:type="dxa"/>
                  <w:tcBorders>
                    <w:tl2br w:val="nil"/>
                    <w:tr2bl w:val="nil"/>
                  </w:tcBorders>
                  <w:noWrap w:val="0"/>
                  <w:vAlign w:val="center"/>
                </w:tcPr>
                <w:p w14:paraId="6C67E6B7">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color w:val="auto"/>
                      <w:sz w:val="21"/>
                      <w:szCs w:val="21"/>
                      <w:highlight w:val="none"/>
                      <w:lang w:val="en-US" w:eastAsia="zh-CN"/>
                    </w:rPr>
                    <w:t>50kg</w:t>
                  </w:r>
                  <w:r>
                    <w:rPr>
                      <w:color w:val="auto"/>
                      <w:sz w:val="21"/>
                      <w:szCs w:val="21"/>
                      <w:highlight w:val="none"/>
                    </w:rPr>
                    <w:t>/a</w:t>
                  </w:r>
                </w:p>
              </w:tc>
              <w:tc>
                <w:tcPr>
                  <w:tcW w:w="1941" w:type="dxa"/>
                  <w:tcBorders>
                    <w:tl2br w:val="nil"/>
                    <w:tr2bl w:val="nil"/>
                  </w:tcBorders>
                  <w:noWrap w:val="0"/>
                  <w:vAlign w:val="center"/>
                </w:tcPr>
                <w:p w14:paraId="1451E1EA">
                  <w:pPr>
                    <w:snapToGrid w:val="0"/>
                    <w:spacing w:line="270" w:lineRule="exact"/>
                    <w:jc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委托有资质单位处理</w:t>
                  </w:r>
                </w:p>
              </w:tc>
            </w:tr>
            <w:tr w14:paraId="2663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2" w:hRule="atLeast"/>
                <w:jc w:val="center"/>
              </w:trPr>
              <w:tc>
                <w:tcPr>
                  <w:tcW w:w="840" w:type="dxa"/>
                  <w:tcBorders>
                    <w:tl2br w:val="nil"/>
                    <w:tr2bl w:val="nil"/>
                  </w:tcBorders>
                  <w:noWrap w:val="0"/>
                  <w:vAlign w:val="center"/>
                </w:tcPr>
                <w:p w14:paraId="5C2777FE">
                  <w:pPr>
                    <w:adjustRightInd w:val="0"/>
                    <w:snapToGrid w:val="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vertAlign w:val="baseline"/>
                      <w:lang w:val="en-US" w:eastAsia="zh-CN"/>
                    </w:rPr>
                    <w:t>污水处理站污泥</w:t>
                  </w:r>
                </w:p>
              </w:tc>
              <w:tc>
                <w:tcPr>
                  <w:tcW w:w="537" w:type="dxa"/>
                  <w:tcBorders>
                    <w:tl2br w:val="nil"/>
                    <w:tr2bl w:val="nil"/>
                  </w:tcBorders>
                  <w:noWrap w:val="0"/>
                  <w:vAlign w:val="center"/>
                </w:tcPr>
                <w:p w14:paraId="5F5D5377">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固态</w:t>
                  </w:r>
                </w:p>
              </w:tc>
              <w:tc>
                <w:tcPr>
                  <w:tcW w:w="1115" w:type="dxa"/>
                  <w:tcBorders>
                    <w:tl2br w:val="nil"/>
                    <w:tr2bl w:val="nil"/>
                  </w:tcBorders>
                  <w:noWrap w:val="0"/>
                  <w:vAlign w:val="center"/>
                </w:tcPr>
                <w:p w14:paraId="4B2E0CFD">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SW59</w:t>
                  </w:r>
                </w:p>
              </w:tc>
              <w:tc>
                <w:tcPr>
                  <w:tcW w:w="594" w:type="dxa"/>
                  <w:tcBorders>
                    <w:tl2br w:val="nil"/>
                    <w:tr2bl w:val="nil"/>
                  </w:tcBorders>
                  <w:noWrap w:val="0"/>
                  <w:vAlign w:val="center"/>
                </w:tcPr>
                <w:p w14:paraId="2A30B75A">
                  <w:pPr>
                    <w:snapToGrid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w:t>
                  </w:r>
                </w:p>
              </w:tc>
              <w:tc>
                <w:tcPr>
                  <w:tcW w:w="1693" w:type="dxa"/>
                  <w:tcBorders>
                    <w:tl2br w:val="nil"/>
                    <w:tr2bl w:val="nil"/>
                  </w:tcBorders>
                  <w:noWrap w:val="0"/>
                  <w:vAlign w:val="center"/>
                </w:tcPr>
                <w:p w14:paraId="5758E4DC">
                  <w:pPr>
                    <w:snapToGrid w:val="0"/>
                    <w:spacing w:line="270" w:lineRule="exact"/>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0.5</w:t>
                  </w:r>
                  <w:r>
                    <w:rPr>
                      <w:rFonts w:hint="default" w:ascii="Times New Roman" w:hAnsi="Times New Roman" w:eastAsia="宋体" w:cs="Times New Roman"/>
                      <w:b w:val="0"/>
                      <w:bCs w:val="0"/>
                      <w:color w:val="auto"/>
                      <w:sz w:val="21"/>
                      <w:szCs w:val="21"/>
                      <w:highlight w:val="none"/>
                    </w:rPr>
                    <w:t>t/a</w:t>
                  </w:r>
                </w:p>
              </w:tc>
              <w:tc>
                <w:tcPr>
                  <w:tcW w:w="1941" w:type="dxa"/>
                  <w:tcBorders>
                    <w:tl2br w:val="nil"/>
                    <w:tr2bl w:val="nil"/>
                  </w:tcBorders>
                  <w:noWrap w:val="0"/>
                  <w:vAlign w:val="center"/>
                </w:tcPr>
                <w:p w14:paraId="35EABABF">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收集后外售</w:t>
                  </w:r>
                </w:p>
              </w:tc>
            </w:tr>
            <w:tr w14:paraId="6F18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840" w:type="dxa"/>
                  <w:tcBorders>
                    <w:tl2br w:val="nil"/>
                    <w:tr2bl w:val="nil"/>
                  </w:tcBorders>
                  <w:noWrap w:val="0"/>
                  <w:vAlign w:val="center"/>
                </w:tcPr>
                <w:p w14:paraId="5F6363E6">
                  <w:pPr>
                    <w:adjustRightInd w:val="0"/>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vertAlign w:val="baseline"/>
                      <w:lang w:val="en-US" w:eastAsia="zh-CN"/>
                    </w:rPr>
                    <w:t>除尘器收尘</w:t>
                  </w:r>
                </w:p>
              </w:tc>
              <w:tc>
                <w:tcPr>
                  <w:tcW w:w="537" w:type="dxa"/>
                  <w:tcBorders>
                    <w:tl2br w:val="nil"/>
                    <w:tr2bl w:val="nil"/>
                  </w:tcBorders>
                  <w:noWrap w:val="0"/>
                  <w:vAlign w:val="center"/>
                </w:tcPr>
                <w:p w14:paraId="43A549AC">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固态</w:t>
                  </w:r>
                </w:p>
              </w:tc>
              <w:tc>
                <w:tcPr>
                  <w:tcW w:w="1115" w:type="dxa"/>
                  <w:tcBorders>
                    <w:tl2br w:val="nil"/>
                    <w:tr2bl w:val="nil"/>
                  </w:tcBorders>
                  <w:noWrap w:val="0"/>
                  <w:vAlign w:val="center"/>
                </w:tcPr>
                <w:p w14:paraId="42012BFE">
                  <w:pPr>
                    <w:snapToGrid w:val="0"/>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b w:val="0"/>
                      <w:bCs/>
                      <w:color w:val="auto"/>
                      <w:sz w:val="21"/>
                      <w:szCs w:val="21"/>
                      <w:highlight w:val="none"/>
                      <w:lang w:val="en-US" w:eastAsia="zh-CN"/>
                    </w:rPr>
                    <w:t>SW59</w:t>
                  </w:r>
                </w:p>
              </w:tc>
              <w:tc>
                <w:tcPr>
                  <w:tcW w:w="594" w:type="dxa"/>
                  <w:tcBorders>
                    <w:tl2br w:val="nil"/>
                    <w:tr2bl w:val="nil"/>
                  </w:tcBorders>
                  <w:noWrap w:val="0"/>
                  <w:vAlign w:val="center"/>
                </w:tcPr>
                <w:p w14:paraId="1F9EBA1D">
                  <w:pPr>
                    <w:snapToGrid w:val="0"/>
                    <w:jc w:val="center"/>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w:t>
                  </w:r>
                </w:p>
              </w:tc>
              <w:tc>
                <w:tcPr>
                  <w:tcW w:w="1693" w:type="dxa"/>
                  <w:tcBorders>
                    <w:tl2br w:val="nil"/>
                    <w:tr2bl w:val="nil"/>
                  </w:tcBorders>
                  <w:noWrap w:val="0"/>
                  <w:vAlign w:val="center"/>
                </w:tcPr>
                <w:p w14:paraId="1E51D192">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11.0</w:t>
                  </w:r>
                  <w:r>
                    <w:rPr>
                      <w:rFonts w:hint="default" w:ascii="Times New Roman" w:hAnsi="Times New Roman" w:eastAsia="宋体" w:cs="Times New Roman"/>
                      <w:b w:val="0"/>
                      <w:bCs w:val="0"/>
                      <w:color w:val="auto"/>
                      <w:sz w:val="21"/>
                      <w:szCs w:val="21"/>
                      <w:highlight w:val="none"/>
                    </w:rPr>
                    <w:t>t/a</w:t>
                  </w:r>
                </w:p>
              </w:tc>
              <w:tc>
                <w:tcPr>
                  <w:tcW w:w="1941" w:type="dxa"/>
                  <w:tcBorders>
                    <w:tl2br w:val="nil"/>
                    <w:tr2bl w:val="nil"/>
                  </w:tcBorders>
                  <w:noWrap w:val="0"/>
                  <w:vAlign w:val="center"/>
                </w:tcPr>
                <w:p w14:paraId="4D18DA3C">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收集后外售</w:t>
                  </w:r>
                </w:p>
              </w:tc>
            </w:tr>
            <w:tr w14:paraId="70F3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840" w:type="dxa"/>
                  <w:tcBorders>
                    <w:tl2br w:val="nil"/>
                    <w:tr2bl w:val="nil"/>
                  </w:tcBorders>
                  <w:noWrap w:val="0"/>
                  <w:vAlign w:val="center"/>
                </w:tcPr>
                <w:p w14:paraId="0850FAD5">
                  <w:pPr>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生活垃圾</w:t>
                  </w:r>
                </w:p>
              </w:tc>
              <w:tc>
                <w:tcPr>
                  <w:tcW w:w="537" w:type="dxa"/>
                  <w:tcBorders>
                    <w:tl2br w:val="nil"/>
                    <w:tr2bl w:val="nil"/>
                  </w:tcBorders>
                  <w:noWrap w:val="0"/>
                  <w:vAlign w:val="center"/>
                </w:tcPr>
                <w:p w14:paraId="4AEA43A9">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固态</w:t>
                  </w:r>
                </w:p>
              </w:tc>
              <w:tc>
                <w:tcPr>
                  <w:tcW w:w="1115" w:type="dxa"/>
                  <w:tcBorders>
                    <w:tl2br w:val="nil"/>
                    <w:tr2bl w:val="nil"/>
                  </w:tcBorders>
                  <w:noWrap w:val="0"/>
                  <w:vAlign w:val="center"/>
                </w:tcPr>
                <w:p w14:paraId="38FAB435">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w:t>
                  </w:r>
                </w:p>
              </w:tc>
              <w:tc>
                <w:tcPr>
                  <w:tcW w:w="594" w:type="dxa"/>
                  <w:tcBorders>
                    <w:tl2br w:val="nil"/>
                    <w:tr2bl w:val="nil"/>
                  </w:tcBorders>
                  <w:noWrap w:val="0"/>
                  <w:vAlign w:val="center"/>
                </w:tcPr>
                <w:p w14:paraId="37209939">
                  <w:pPr>
                    <w:snapToGrid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w:t>
                  </w:r>
                </w:p>
              </w:tc>
              <w:tc>
                <w:tcPr>
                  <w:tcW w:w="1693" w:type="dxa"/>
                  <w:tcBorders>
                    <w:tl2br w:val="nil"/>
                    <w:tr2bl w:val="nil"/>
                  </w:tcBorders>
                  <w:noWrap w:val="0"/>
                  <w:vAlign w:val="center"/>
                </w:tcPr>
                <w:p w14:paraId="2692DC7D">
                  <w:pPr>
                    <w:snapToGrid w:val="0"/>
                    <w:spacing w:line="270" w:lineRule="exact"/>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3.0</w:t>
                  </w:r>
                  <w:r>
                    <w:rPr>
                      <w:rFonts w:hint="default" w:ascii="Times New Roman" w:hAnsi="Times New Roman" w:eastAsia="宋体" w:cs="Times New Roman"/>
                      <w:b w:val="0"/>
                      <w:bCs w:val="0"/>
                      <w:color w:val="auto"/>
                      <w:sz w:val="21"/>
                      <w:szCs w:val="21"/>
                      <w:highlight w:val="none"/>
                    </w:rPr>
                    <w:t>t/a</w:t>
                  </w:r>
                </w:p>
              </w:tc>
              <w:tc>
                <w:tcPr>
                  <w:tcW w:w="1941" w:type="dxa"/>
                  <w:tcBorders>
                    <w:tl2br w:val="nil"/>
                    <w:tr2bl w:val="nil"/>
                  </w:tcBorders>
                  <w:noWrap w:val="0"/>
                  <w:vAlign w:val="center"/>
                </w:tcPr>
                <w:p w14:paraId="22CB1E87">
                  <w:pPr>
                    <w:snapToGrid w:val="0"/>
                    <w:spacing w:line="270" w:lineRule="exact"/>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eastAsiaTheme="minorEastAsia"/>
                      <w:color w:val="auto"/>
                      <w:spacing w:val="2"/>
                      <w:sz w:val="21"/>
                      <w:szCs w:val="21"/>
                      <w:highlight w:val="none"/>
                    </w:rPr>
                    <w:t>由</w:t>
                  </w:r>
                  <w:r>
                    <w:rPr>
                      <w:rFonts w:hint="default" w:ascii="Times New Roman" w:hAnsi="Times New Roman" w:cs="Times New Roman" w:eastAsiaTheme="minorEastAsia"/>
                      <w:color w:val="auto"/>
                      <w:sz w:val="21"/>
                      <w:szCs w:val="21"/>
                      <w:highlight w:val="none"/>
                    </w:rPr>
                    <w:t>当地环卫部门清运</w:t>
                  </w:r>
                </w:p>
              </w:tc>
            </w:tr>
          </w:tbl>
          <w:p w14:paraId="6574552A">
            <w:pPr>
              <w:pStyle w:val="29"/>
              <w:numPr>
                <w:ilvl w:val="0"/>
                <w:numId w:val="9"/>
              </w:numPr>
              <w:ind w:left="0" w:leftChars="0" w:firstLine="480" w:firstLineChars="200"/>
              <w:rPr>
                <w:rFonts w:hint="default"/>
                <w:color w:val="auto"/>
                <w:highlight w:val="none"/>
                <w:lang w:val="en-US" w:eastAsia="zh-CN"/>
              </w:rPr>
            </w:pPr>
            <w:r>
              <w:rPr>
                <w:rFonts w:hint="default"/>
                <w:color w:val="auto"/>
                <w:highlight w:val="none"/>
                <w:lang w:val="en-US" w:eastAsia="zh-CN"/>
              </w:rPr>
              <w:t>废水</w:t>
            </w:r>
          </w:p>
          <w:p w14:paraId="21DFC3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根据环评、验收及排污许可证</w:t>
            </w:r>
            <w:r>
              <w:rPr>
                <w:rFonts w:hint="eastAsia" w:cs="Times New Roman"/>
                <w:color w:val="auto"/>
                <w:sz w:val="24"/>
                <w:szCs w:val="24"/>
                <w:highlight w:val="none"/>
                <w:vertAlign w:val="baseline"/>
                <w:lang w:val="en-US" w:eastAsia="zh-CN"/>
              </w:rPr>
              <w:t>及企业提供的实际生产数据</w:t>
            </w:r>
            <w:r>
              <w:rPr>
                <w:rFonts w:hint="default" w:ascii="Times New Roman" w:hAnsi="Times New Roman" w:eastAsia="宋体" w:cs="Times New Roman"/>
                <w:color w:val="auto"/>
                <w:sz w:val="24"/>
                <w:szCs w:val="24"/>
                <w:highlight w:val="none"/>
                <w:vertAlign w:val="baseline"/>
                <w:lang w:val="en-US" w:eastAsia="zh-CN"/>
              </w:rPr>
              <w:t>，现有工程废水主要为漂洗废水、纯水制备废水以及生活污水，其中生活污水经化粪池处理后定期外运沤制农肥，不外排；厂区设置一座30m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/d污水处理站，处理工艺为调节中和+混凝沉淀+过滤，漂洗废水、纯水制备废水排入厂区污水处理站处理后回用于厂区绿化道路喷洒，不外排。</w:t>
            </w:r>
          </w:p>
          <w:p w14:paraId="7896E1D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现有工程运行期“三废”产排污情况汇总表</w:t>
            </w:r>
          </w:p>
          <w:p w14:paraId="26A89B48">
            <w:pPr>
              <w:pStyle w:val="101"/>
              <w:bidi w:val="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表2-18现有工程运行期“三废”排污情况汇总表（固废为产生量）</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0"/>
              <w:gridCol w:w="3031"/>
              <w:gridCol w:w="2216"/>
              <w:gridCol w:w="2217"/>
            </w:tblGrid>
            <w:tr w14:paraId="24E4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8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5A8013">
                  <w:pPr>
                    <w:jc w:val="center"/>
                    <w:rPr>
                      <w:b/>
                      <w:color w:val="auto"/>
                      <w:sz w:val="21"/>
                      <w:szCs w:val="21"/>
                      <w:highlight w:val="none"/>
                    </w:rPr>
                  </w:pPr>
                  <w:r>
                    <w:rPr>
                      <w:b/>
                      <w:color w:val="auto"/>
                      <w:sz w:val="21"/>
                      <w:szCs w:val="21"/>
                      <w:highlight w:val="none"/>
                    </w:rPr>
                    <w:t>项目</w:t>
                  </w: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EF5191">
                  <w:pPr>
                    <w:jc w:val="center"/>
                    <w:rPr>
                      <w:b/>
                      <w:color w:val="auto"/>
                      <w:sz w:val="21"/>
                      <w:szCs w:val="21"/>
                      <w:highlight w:val="none"/>
                    </w:rPr>
                  </w:pPr>
                  <w:r>
                    <w:rPr>
                      <w:b/>
                      <w:color w:val="auto"/>
                      <w:sz w:val="21"/>
                      <w:szCs w:val="21"/>
                      <w:highlight w:val="none"/>
                    </w:rPr>
                    <w:t>污染物</w:t>
                  </w:r>
                </w:p>
              </w:tc>
              <w:tc>
                <w:tcPr>
                  <w:tcW w:w="2216" w:type="dxa"/>
                  <w:tcBorders>
                    <w:top w:val="single" w:color="000000" w:sz="4" w:space="0"/>
                    <w:left w:val="single" w:color="auto" w:sz="4" w:space="0"/>
                    <w:right w:val="single" w:color="auto" w:sz="4" w:space="0"/>
                  </w:tcBorders>
                  <w:noWrap w:val="0"/>
                  <w:tcMar>
                    <w:left w:w="108" w:type="dxa"/>
                    <w:right w:w="108" w:type="dxa"/>
                  </w:tcMar>
                  <w:vAlign w:val="center"/>
                </w:tcPr>
                <w:p w14:paraId="50C77525">
                  <w:pPr>
                    <w:jc w:val="center"/>
                    <w:rPr>
                      <w:b/>
                      <w:color w:val="auto"/>
                      <w:sz w:val="21"/>
                      <w:szCs w:val="21"/>
                      <w:highlight w:val="none"/>
                    </w:rPr>
                  </w:pPr>
                  <w:r>
                    <w:rPr>
                      <w:b/>
                      <w:color w:val="auto"/>
                      <w:sz w:val="21"/>
                      <w:szCs w:val="21"/>
                      <w:highlight w:val="none"/>
                    </w:rPr>
                    <w:t>排放量</w:t>
                  </w:r>
                </w:p>
              </w:tc>
              <w:tc>
                <w:tcPr>
                  <w:tcW w:w="2217" w:type="dxa"/>
                  <w:tcBorders>
                    <w:top w:val="single" w:color="000000" w:sz="4" w:space="0"/>
                    <w:left w:val="single" w:color="auto" w:sz="4" w:space="0"/>
                    <w:right w:val="single" w:color="auto" w:sz="4" w:space="0"/>
                  </w:tcBorders>
                  <w:noWrap w:val="0"/>
                  <w:tcMar>
                    <w:left w:w="108" w:type="dxa"/>
                    <w:right w:w="108" w:type="dxa"/>
                  </w:tcMar>
                  <w:vAlign w:val="center"/>
                </w:tcPr>
                <w:p w14:paraId="28BB1A53">
                  <w:pPr>
                    <w:jc w:val="center"/>
                    <w:rPr>
                      <w:rFonts w:hint="default" w:eastAsia="宋体"/>
                      <w:b/>
                      <w:color w:val="auto"/>
                      <w:sz w:val="21"/>
                      <w:szCs w:val="21"/>
                      <w:highlight w:val="none"/>
                      <w:lang w:val="en-US" w:eastAsia="zh-CN"/>
                    </w:rPr>
                  </w:pPr>
                  <w:r>
                    <w:rPr>
                      <w:rFonts w:hint="eastAsia"/>
                      <w:b/>
                      <w:color w:val="auto"/>
                      <w:sz w:val="21"/>
                      <w:szCs w:val="21"/>
                      <w:highlight w:val="none"/>
                      <w:lang w:val="en-US" w:eastAsia="zh-CN"/>
                    </w:rPr>
                    <w:t>数据来源</w:t>
                  </w:r>
                </w:p>
              </w:tc>
            </w:tr>
            <w:tr w14:paraId="4CCC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890"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14:paraId="2A506BF4">
                  <w:pPr>
                    <w:jc w:val="center"/>
                    <w:rPr>
                      <w:rFonts w:hint="eastAsia" w:eastAsia="宋体"/>
                      <w:color w:val="auto"/>
                      <w:sz w:val="21"/>
                      <w:szCs w:val="21"/>
                      <w:highlight w:val="none"/>
                      <w:lang w:eastAsia="zh-CN"/>
                    </w:rPr>
                  </w:pPr>
                  <w:r>
                    <w:rPr>
                      <w:rFonts w:hint="eastAsia"/>
                      <w:color w:val="auto"/>
                      <w:sz w:val="21"/>
                      <w:szCs w:val="21"/>
                      <w:highlight w:val="none"/>
                      <w:lang w:val="en-US" w:eastAsia="zh-CN"/>
                    </w:rPr>
                    <w:t>废气</w:t>
                  </w:r>
                </w:p>
              </w:tc>
              <w:tc>
                <w:tcPr>
                  <w:tcW w:w="3031" w:type="dxa"/>
                  <w:tcBorders>
                    <w:top w:val="single" w:color="000000" w:sz="4" w:space="0"/>
                    <w:left w:val="single" w:color="000000" w:sz="4" w:space="0"/>
                    <w:bottom w:val="single" w:color="auto" w:sz="4" w:space="0"/>
                    <w:right w:val="single" w:color="000000" w:sz="4" w:space="0"/>
                  </w:tcBorders>
                  <w:noWrap w:val="0"/>
                  <w:tcMar>
                    <w:left w:w="108" w:type="dxa"/>
                    <w:right w:w="108" w:type="dxa"/>
                  </w:tcMar>
                  <w:vAlign w:val="center"/>
                </w:tcPr>
                <w:p w14:paraId="08B3DFA3">
                  <w:pPr>
                    <w:jc w:val="center"/>
                    <w:rPr>
                      <w:rFonts w:hint="eastAsia" w:eastAsia="宋体"/>
                      <w:color w:val="auto"/>
                      <w:sz w:val="21"/>
                      <w:szCs w:val="21"/>
                      <w:highlight w:val="none"/>
                      <w:lang w:eastAsia="zh-CN"/>
                    </w:rPr>
                  </w:pPr>
                  <w:r>
                    <w:rPr>
                      <w:rFonts w:hint="eastAsia"/>
                      <w:color w:val="auto"/>
                      <w:sz w:val="21"/>
                      <w:szCs w:val="21"/>
                      <w:highlight w:val="none"/>
                      <w:lang w:val="en-US" w:eastAsia="zh-CN"/>
                    </w:rPr>
                    <w:t>颗粒物</w:t>
                  </w:r>
                </w:p>
              </w:tc>
              <w:tc>
                <w:tcPr>
                  <w:tcW w:w="2216" w:type="dxa"/>
                  <w:tcBorders>
                    <w:top w:val="single" w:color="000000" w:sz="4" w:space="0"/>
                    <w:left w:val="single" w:color="000000" w:sz="4" w:space="0"/>
                    <w:bottom w:val="single" w:color="auto" w:sz="4" w:space="0"/>
                    <w:right w:val="single" w:color="000000" w:sz="4" w:space="0"/>
                  </w:tcBorders>
                  <w:noWrap w:val="0"/>
                  <w:tcMar>
                    <w:left w:w="108" w:type="dxa"/>
                    <w:right w:w="108" w:type="dxa"/>
                  </w:tcMar>
                  <w:vAlign w:val="center"/>
                </w:tcPr>
                <w:p w14:paraId="5C0D111F">
                  <w:pPr>
                    <w:jc w:val="center"/>
                    <w:rPr>
                      <w:color w:val="auto"/>
                      <w:sz w:val="21"/>
                      <w:szCs w:val="21"/>
                      <w:highlight w:val="none"/>
                    </w:rPr>
                  </w:pPr>
                  <w:r>
                    <w:rPr>
                      <w:rFonts w:hint="eastAsia"/>
                      <w:color w:val="auto"/>
                      <w:sz w:val="21"/>
                      <w:szCs w:val="21"/>
                      <w:highlight w:val="none"/>
                      <w:lang w:val="en-US" w:eastAsia="zh-CN"/>
                    </w:rPr>
                    <w:t>0.12</w:t>
                  </w:r>
                  <w:r>
                    <w:rPr>
                      <w:color w:val="auto"/>
                      <w:sz w:val="21"/>
                      <w:szCs w:val="21"/>
                      <w:highlight w:val="none"/>
                    </w:rPr>
                    <w:t>t/a</w:t>
                  </w:r>
                </w:p>
              </w:tc>
              <w:tc>
                <w:tcPr>
                  <w:tcW w:w="2217" w:type="dxa"/>
                  <w:tcBorders>
                    <w:top w:val="single" w:color="000000" w:sz="4" w:space="0"/>
                    <w:left w:val="single" w:color="000000" w:sz="4" w:space="0"/>
                    <w:bottom w:val="single" w:color="auto" w:sz="4" w:space="0"/>
                    <w:right w:val="single" w:color="000000" w:sz="4" w:space="0"/>
                  </w:tcBorders>
                  <w:noWrap w:val="0"/>
                  <w:tcMar>
                    <w:left w:w="108" w:type="dxa"/>
                    <w:right w:w="108" w:type="dxa"/>
                  </w:tcMar>
                  <w:vAlign w:val="center"/>
                </w:tcPr>
                <w:p w14:paraId="1DF0F2B5">
                  <w:pPr>
                    <w:jc w:val="center"/>
                    <w:rPr>
                      <w:rFonts w:hint="default" w:eastAsia="宋体"/>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例行</w:t>
                  </w:r>
                  <w:r>
                    <w:rPr>
                      <w:rFonts w:hint="eastAsia" w:ascii="Times New Roman" w:hAnsi="Times New Roman" w:cs="Times New Roman"/>
                      <w:b w:val="0"/>
                      <w:bCs w:val="0"/>
                      <w:color w:val="auto"/>
                      <w:sz w:val="21"/>
                      <w:szCs w:val="21"/>
                      <w:highlight w:val="none"/>
                      <w:vertAlign w:val="baseline"/>
                      <w:lang w:val="en-US" w:eastAsia="zh-CN"/>
                    </w:rPr>
                    <w:t>检测数据计算</w:t>
                  </w:r>
                </w:p>
              </w:tc>
            </w:tr>
            <w:tr w14:paraId="2FF1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890"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36636F90">
                  <w:pPr>
                    <w:jc w:val="center"/>
                    <w:rPr>
                      <w:color w:val="auto"/>
                      <w:sz w:val="21"/>
                      <w:szCs w:val="21"/>
                      <w:highlight w:val="none"/>
                    </w:rPr>
                  </w:pPr>
                </w:p>
              </w:tc>
              <w:tc>
                <w:tcPr>
                  <w:tcW w:w="3031" w:type="dxa"/>
                  <w:tcBorders>
                    <w:top w:val="single" w:color="000000" w:sz="4" w:space="0"/>
                    <w:left w:val="single" w:color="000000" w:sz="4" w:space="0"/>
                    <w:bottom w:val="single" w:color="auto" w:sz="4" w:space="0"/>
                    <w:right w:val="single" w:color="000000" w:sz="4" w:space="0"/>
                  </w:tcBorders>
                  <w:noWrap w:val="0"/>
                  <w:tcMar>
                    <w:left w:w="108" w:type="dxa"/>
                    <w:right w:w="108" w:type="dxa"/>
                  </w:tcMar>
                  <w:vAlign w:val="center"/>
                </w:tcPr>
                <w:p w14:paraId="313E2875">
                  <w:pPr>
                    <w:jc w:val="center"/>
                    <w:rPr>
                      <w:color w:val="auto"/>
                      <w:sz w:val="21"/>
                      <w:szCs w:val="21"/>
                      <w:highlight w:val="none"/>
                    </w:rPr>
                  </w:pPr>
                  <w:r>
                    <w:rPr>
                      <w:rFonts w:hint="eastAsia" w:ascii="Times New Roman" w:hAnsi="Times New Roman" w:eastAsia="宋体"/>
                      <w:b w:val="0"/>
                      <w:bCs/>
                      <w:color w:val="auto"/>
                      <w:sz w:val="21"/>
                      <w:szCs w:val="21"/>
                      <w:highlight w:val="none"/>
                      <w:lang w:val="en-US" w:eastAsia="zh-CN"/>
                    </w:rPr>
                    <w:t>氯化氢</w:t>
                  </w:r>
                </w:p>
              </w:tc>
              <w:tc>
                <w:tcPr>
                  <w:tcW w:w="2216" w:type="dxa"/>
                  <w:tcBorders>
                    <w:top w:val="single" w:color="000000" w:sz="4" w:space="0"/>
                    <w:left w:val="single" w:color="000000" w:sz="4" w:space="0"/>
                    <w:bottom w:val="single" w:color="auto" w:sz="4" w:space="0"/>
                    <w:right w:val="single" w:color="000000" w:sz="4" w:space="0"/>
                  </w:tcBorders>
                  <w:noWrap w:val="0"/>
                  <w:tcMar>
                    <w:left w:w="108" w:type="dxa"/>
                    <w:right w:w="108" w:type="dxa"/>
                  </w:tcMar>
                  <w:vAlign w:val="center"/>
                </w:tcPr>
                <w:p w14:paraId="39823E3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1.728</w:t>
                  </w:r>
                  <w:r>
                    <w:rPr>
                      <w:color w:val="auto"/>
                      <w:sz w:val="21"/>
                      <w:szCs w:val="21"/>
                      <w:highlight w:val="none"/>
                    </w:rPr>
                    <w:t>t/a</w:t>
                  </w:r>
                </w:p>
              </w:tc>
              <w:tc>
                <w:tcPr>
                  <w:tcW w:w="2217" w:type="dxa"/>
                  <w:tcBorders>
                    <w:top w:val="single" w:color="000000" w:sz="4" w:space="0"/>
                    <w:left w:val="single" w:color="000000" w:sz="4" w:space="0"/>
                    <w:right w:val="single" w:color="000000" w:sz="4" w:space="0"/>
                  </w:tcBorders>
                  <w:noWrap w:val="0"/>
                  <w:tcMar>
                    <w:left w:w="108" w:type="dxa"/>
                    <w:right w:w="108" w:type="dxa"/>
                  </w:tcMar>
                  <w:vAlign w:val="center"/>
                </w:tcPr>
                <w:p w14:paraId="538B4651">
                  <w:pPr>
                    <w:jc w:val="center"/>
                    <w:rPr>
                      <w:rFonts w:hint="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验收</w:t>
                  </w:r>
                  <w:r>
                    <w:rPr>
                      <w:rFonts w:hint="eastAsia" w:ascii="Times New Roman" w:hAnsi="Times New Roman" w:cs="Times New Roman"/>
                      <w:b w:val="0"/>
                      <w:bCs w:val="0"/>
                      <w:color w:val="auto"/>
                      <w:sz w:val="21"/>
                      <w:szCs w:val="21"/>
                      <w:highlight w:val="none"/>
                      <w:vertAlign w:val="baseline"/>
                      <w:lang w:val="en-US" w:eastAsia="zh-CN"/>
                    </w:rPr>
                    <w:t>检测数据计算</w:t>
                  </w:r>
                </w:p>
              </w:tc>
            </w:tr>
            <w:tr w14:paraId="2C28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890"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3532F20C">
                  <w:pPr>
                    <w:jc w:val="center"/>
                    <w:rPr>
                      <w:color w:val="auto"/>
                      <w:sz w:val="21"/>
                      <w:szCs w:val="21"/>
                      <w:highlight w:val="none"/>
                    </w:rPr>
                  </w:pPr>
                </w:p>
              </w:tc>
              <w:tc>
                <w:tcPr>
                  <w:tcW w:w="3031" w:type="dxa"/>
                  <w:tcBorders>
                    <w:top w:val="single" w:color="auto" w:sz="4" w:space="0"/>
                    <w:left w:val="single" w:color="000000" w:sz="4" w:space="0"/>
                    <w:bottom w:val="single" w:color="auto" w:sz="4" w:space="0"/>
                    <w:right w:val="single" w:color="000000" w:sz="4" w:space="0"/>
                  </w:tcBorders>
                  <w:noWrap w:val="0"/>
                  <w:tcMar>
                    <w:left w:w="108" w:type="dxa"/>
                    <w:right w:w="108" w:type="dxa"/>
                  </w:tcMar>
                  <w:vAlign w:val="center"/>
                </w:tcPr>
                <w:p w14:paraId="3EEDC05A">
                  <w:pPr>
                    <w:jc w:val="center"/>
                    <w:rPr>
                      <w:color w:val="auto"/>
                      <w:sz w:val="21"/>
                      <w:szCs w:val="21"/>
                      <w:highlight w:val="none"/>
                    </w:rPr>
                  </w:pPr>
                  <w:r>
                    <w:rPr>
                      <w:rFonts w:hint="eastAsia" w:ascii="Times New Roman" w:hAnsi="Times New Roman" w:eastAsia="宋体"/>
                      <w:b w:val="0"/>
                      <w:bCs/>
                      <w:color w:val="auto"/>
                      <w:sz w:val="21"/>
                      <w:szCs w:val="21"/>
                      <w:highlight w:val="none"/>
                      <w:lang w:val="en-US" w:eastAsia="zh-CN"/>
                    </w:rPr>
                    <w:t>氟化物</w:t>
                  </w:r>
                </w:p>
              </w:tc>
              <w:tc>
                <w:tcPr>
                  <w:tcW w:w="2216" w:type="dxa"/>
                  <w:tcBorders>
                    <w:top w:val="single" w:color="auto" w:sz="4" w:space="0"/>
                    <w:left w:val="single" w:color="000000" w:sz="4" w:space="0"/>
                    <w:bottom w:val="single" w:color="auto" w:sz="4" w:space="0"/>
                    <w:right w:val="single" w:color="000000" w:sz="4" w:space="0"/>
                  </w:tcBorders>
                  <w:noWrap w:val="0"/>
                  <w:tcMar>
                    <w:left w:w="108" w:type="dxa"/>
                    <w:right w:w="108" w:type="dxa"/>
                  </w:tcMar>
                  <w:vAlign w:val="center"/>
                </w:tcPr>
                <w:p w14:paraId="06C2103C">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0.021</w:t>
                  </w:r>
                  <w:r>
                    <w:rPr>
                      <w:color w:val="auto"/>
                      <w:sz w:val="21"/>
                      <w:szCs w:val="21"/>
                      <w:highlight w:val="none"/>
                    </w:rPr>
                    <w:t>t/a</w:t>
                  </w:r>
                </w:p>
              </w:tc>
              <w:tc>
                <w:tcPr>
                  <w:tcW w:w="2217" w:type="dxa"/>
                  <w:tcBorders>
                    <w:left w:val="single" w:color="000000" w:sz="4" w:space="0"/>
                    <w:right w:val="single" w:color="000000" w:sz="4" w:space="0"/>
                  </w:tcBorders>
                  <w:noWrap w:val="0"/>
                  <w:tcMar>
                    <w:left w:w="108" w:type="dxa"/>
                    <w:right w:w="108" w:type="dxa"/>
                  </w:tcMar>
                  <w:vAlign w:val="center"/>
                </w:tcPr>
                <w:p w14:paraId="18EA88ED">
                  <w:pPr>
                    <w:jc w:val="center"/>
                    <w:rPr>
                      <w:rFonts w:hint="eastAsia"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验收</w:t>
                  </w:r>
                  <w:r>
                    <w:rPr>
                      <w:rFonts w:hint="eastAsia" w:ascii="Times New Roman" w:hAnsi="Times New Roman" w:cs="Times New Roman"/>
                      <w:b w:val="0"/>
                      <w:bCs w:val="0"/>
                      <w:color w:val="auto"/>
                      <w:sz w:val="21"/>
                      <w:szCs w:val="21"/>
                      <w:highlight w:val="none"/>
                      <w:vertAlign w:val="baseline"/>
                      <w:lang w:val="en-US" w:eastAsia="zh-CN"/>
                    </w:rPr>
                    <w:t>检测数据计算</w:t>
                  </w:r>
                </w:p>
              </w:tc>
            </w:tr>
            <w:tr w14:paraId="2045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890"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14:paraId="0A4853C6">
                  <w:pPr>
                    <w:jc w:val="center"/>
                    <w:rPr>
                      <w:color w:val="auto"/>
                      <w:sz w:val="21"/>
                      <w:szCs w:val="21"/>
                      <w:highlight w:val="none"/>
                    </w:rPr>
                  </w:pPr>
                </w:p>
              </w:tc>
              <w:tc>
                <w:tcPr>
                  <w:tcW w:w="3031" w:type="dxa"/>
                  <w:tcBorders>
                    <w:top w:val="single" w:color="auto" w:sz="4" w:space="0"/>
                    <w:left w:val="single" w:color="000000" w:sz="4" w:space="0"/>
                    <w:bottom w:val="single" w:color="000000" w:sz="4" w:space="0"/>
                    <w:right w:val="single" w:color="000000" w:sz="4" w:space="0"/>
                  </w:tcBorders>
                  <w:noWrap w:val="0"/>
                  <w:tcMar>
                    <w:left w:w="108" w:type="dxa"/>
                    <w:right w:w="108" w:type="dxa"/>
                  </w:tcMar>
                  <w:vAlign w:val="center"/>
                </w:tcPr>
                <w:p w14:paraId="3C1B4DEA">
                  <w:pPr>
                    <w:jc w:val="center"/>
                    <w:rPr>
                      <w:color w:val="auto"/>
                      <w:sz w:val="21"/>
                      <w:szCs w:val="21"/>
                      <w:highlight w:val="none"/>
                    </w:rPr>
                  </w:pPr>
                  <w:r>
                    <w:rPr>
                      <w:rFonts w:hint="eastAsia" w:ascii="Times New Roman" w:hAnsi="Times New Roman" w:eastAsia="宋体"/>
                      <w:b w:val="0"/>
                      <w:bCs/>
                      <w:color w:val="auto"/>
                      <w:sz w:val="21"/>
                      <w:szCs w:val="21"/>
                      <w:highlight w:val="none"/>
                      <w:lang w:val="en-US" w:eastAsia="zh-CN"/>
                    </w:rPr>
                    <w:t>硫酸雾</w:t>
                  </w:r>
                </w:p>
              </w:tc>
              <w:tc>
                <w:tcPr>
                  <w:tcW w:w="2216" w:type="dxa"/>
                  <w:tcBorders>
                    <w:top w:val="single" w:color="auto" w:sz="4" w:space="0"/>
                    <w:left w:val="single" w:color="000000" w:sz="4" w:space="0"/>
                    <w:bottom w:val="single" w:color="000000" w:sz="4" w:space="0"/>
                    <w:right w:val="single" w:color="000000" w:sz="4" w:space="0"/>
                  </w:tcBorders>
                  <w:noWrap w:val="0"/>
                  <w:tcMar>
                    <w:left w:w="108" w:type="dxa"/>
                    <w:right w:w="108" w:type="dxa"/>
                  </w:tcMar>
                  <w:vAlign w:val="center"/>
                </w:tcPr>
                <w:p w14:paraId="5C17C203">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2.112</w:t>
                  </w:r>
                  <w:r>
                    <w:rPr>
                      <w:color w:val="auto"/>
                      <w:sz w:val="21"/>
                      <w:szCs w:val="21"/>
                      <w:highlight w:val="none"/>
                    </w:rPr>
                    <w:t>t/a</w:t>
                  </w:r>
                </w:p>
              </w:tc>
              <w:tc>
                <w:tcPr>
                  <w:tcW w:w="2217" w:type="dxa"/>
                  <w:tcBorders>
                    <w:left w:val="single" w:color="000000" w:sz="4" w:space="0"/>
                    <w:bottom w:val="single" w:color="000000" w:sz="4" w:space="0"/>
                    <w:right w:val="single" w:color="000000" w:sz="4" w:space="0"/>
                  </w:tcBorders>
                  <w:noWrap w:val="0"/>
                  <w:tcMar>
                    <w:left w:w="108" w:type="dxa"/>
                    <w:right w:w="108" w:type="dxa"/>
                  </w:tcMar>
                  <w:vAlign w:val="center"/>
                </w:tcPr>
                <w:p w14:paraId="66404233">
                  <w:pPr>
                    <w:jc w:val="center"/>
                    <w:rPr>
                      <w:rFonts w:hint="eastAsia"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验收</w:t>
                  </w:r>
                  <w:r>
                    <w:rPr>
                      <w:rFonts w:hint="eastAsia" w:ascii="Times New Roman" w:hAnsi="Times New Roman" w:cs="Times New Roman"/>
                      <w:b w:val="0"/>
                      <w:bCs w:val="0"/>
                      <w:color w:val="auto"/>
                      <w:sz w:val="21"/>
                      <w:szCs w:val="21"/>
                      <w:highlight w:val="none"/>
                      <w:vertAlign w:val="baseline"/>
                      <w:lang w:val="en-US" w:eastAsia="zh-CN"/>
                    </w:rPr>
                    <w:t>检测数据计算</w:t>
                  </w:r>
                </w:p>
              </w:tc>
            </w:tr>
            <w:tr w14:paraId="5297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613CF0">
                  <w:pPr>
                    <w:jc w:val="center"/>
                    <w:rPr>
                      <w:color w:val="auto"/>
                      <w:sz w:val="21"/>
                      <w:szCs w:val="21"/>
                      <w:highlight w:val="none"/>
                    </w:rPr>
                  </w:pPr>
                  <w:r>
                    <w:rPr>
                      <w:color w:val="auto"/>
                      <w:sz w:val="21"/>
                      <w:szCs w:val="21"/>
                      <w:highlight w:val="none"/>
                    </w:rPr>
                    <w:t>废水</w:t>
                  </w: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8996E">
                  <w:pPr>
                    <w:jc w:val="center"/>
                    <w:rPr>
                      <w:color w:val="auto"/>
                      <w:sz w:val="21"/>
                      <w:szCs w:val="21"/>
                      <w:highlight w:val="none"/>
                    </w:rPr>
                  </w:pPr>
                  <w:r>
                    <w:rPr>
                      <w:color w:val="auto"/>
                      <w:sz w:val="21"/>
                      <w:szCs w:val="21"/>
                      <w:highlight w:val="none"/>
                    </w:rPr>
                    <w:t>生活污水</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CE3EAB">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E89E0D">
                  <w:pPr>
                    <w:jc w:val="center"/>
                    <w:rPr>
                      <w:rFonts w:hint="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排污许可证</w:t>
                  </w:r>
                </w:p>
              </w:tc>
            </w:tr>
            <w:tr w14:paraId="3CC4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50643E">
                  <w:pPr>
                    <w:jc w:val="center"/>
                    <w:rPr>
                      <w:color w:val="auto"/>
                      <w:sz w:val="21"/>
                      <w:szCs w:val="21"/>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F4E78F">
                  <w:pPr>
                    <w:jc w:val="center"/>
                    <w:rPr>
                      <w:color w:val="auto"/>
                      <w:sz w:val="21"/>
                      <w:szCs w:val="21"/>
                      <w:highlight w:val="none"/>
                    </w:rPr>
                  </w:pPr>
                  <w:r>
                    <w:rPr>
                      <w:color w:val="auto"/>
                      <w:sz w:val="21"/>
                      <w:szCs w:val="21"/>
                      <w:highlight w:val="none"/>
                    </w:rPr>
                    <w:t>生产废水（含酸、碱、含氟）</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D2553">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BF2225">
                  <w:pPr>
                    <w:jc w:val="center"/>
                    <w:rPr>
                      <w:rFonts w:hint="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排污许可证</w:t>
                  </w:r>
                </w:p>
              </w:tc>
            </w:tr>
            <w:tr w14:paraId="3BE7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7E9694">
                  <w:pPr>
                    <w:jc w:val="center"/>
                    <w:rPr>
                      <w:color w:val="auto"/>
                      <w:sz w:val="21"/>
                      <w:szCs w:val="21"/>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0916B0">
                  <w:pPr>
                    <w:jc w:val="center"/>
                    <w:rPr>
                      <w:color w:val="auto"/>
                      <w:sz w:val="21"/>
                      <w:szCs w:val="21"/>
                      <w:highlight w:val="none"/>
                    </w:rPr>
                  </w:pPr>
                  <w:r>
                    <w:rPr>
                      <w:color w:val="auto"/>
                      <w:sz w:val="21"/>
                      <w:szCs w:val="21"/>
                      <w:highlight w:val="none"/>
                    </w:rPr>
                    <w:t>含盐废水</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2A9CB5">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C24CB6">
                  <w:pPr>
                    <w:jc w:val="center"/>
                    <w:rPr>
                      <w:rFonts w:hint="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排污许可证</w:t>
                  </w:r>
                </w:p>
              </w:tc>
            </w:tr>
            <w:tr w14:paraId="483F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67BA0A">
                  <w:pPr>
                    <w:jc w:val="center"/>
                    <w:rPr>
                      <w:color w:val="auto"/>
                      <w:sz w:val="21"/>
                      <w:szCs w:val="21"/>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BD0AC6">
                  <w:pPr>
                    <w:jc w:val="center"/>
                    <w:rPr>
                      <w:color w:val="auto"/>
                      <w:sz w:val="21"/>
                      <w:szCs w:val="21"/>
                      <w:highlight w:val="none"/>
                    </w:rPr>
                  </w:pPr>
                  <w:r>
                    <w:rPr>
                      <w:color w:val="auto"/>
                      <w:sz w:val="21"/>
                      <w:szCs w:val="21"/>
                      <w:highlight w:val="none"/>
                    </w:rPr>
                    <w:t>COD</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D40487">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88D40E">
                  <w:pPr>
                    <w:jc w:val="center"/>
                    <w:rPr>
                      <w:rFonts w:hint="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排污许可证</w:t>
                  </w:r>
                </w:p>
              </w:tc>
            </w:tr>
            <w:tr w14:paraId="561C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097061">
                  <w:pPr>
                    <w:jc w:val="center"/>
                    <w:rPr>
                      <w:color w:val="auto"/>
                      <w:sz w:val="21"/>
                      <w:szCs w:val="21"/>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48BE31">
                  <w:pPr>
                    <w:jc w:val="center"/>
                    <w:rPr>
                      <w:color w:val="auto"/>
                      <w:sz w:val="21"/>
                      <w:szCs w:val="21"/>
                      <w:highlight w:val="none"/>
                    </w:rPr>
                  </w:pPr>
                  <w:r>
                    <w:rPr>
                      <w:color w:val="auto"/>
                      <w:sz w:val="21"/>
                      <w:szCs w:val="21"/>
                      <w:highlight w:val="none"/>
                    </w:rPr>
                    <w:t>氨氮</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FB6AF6">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15B14E">
                  <w:pPr>
                    <w:jc w:val="center"/>
                    <w:rPr>
                      <w:rFonts w:hint="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排污许可证</w:t>
                  </w:r>
                </w:p>
              </w:tc>
            </w:tr>
            <w:tr w14:paraId="6733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0E188D">
                  <w:pPr>
                    <w:jc w:val="center"/>
                    <w:rPr>
                      <w:color w:val="auto"/>
                      <w:sz w:val="21"/>
                      <w:szCs w:val="21"/>
                      <w:highlight w:val="none"/>
                    </w:rPr>
                  </w:pPr>
                  <w:r>
                    <w:rPr>
                      <w:color w:val="auto"/>
                      <w:sz w:val="21"/>
                      <w:szCs w:val="21"/>
                      <w:highlight w:val="none"/>
                    </w:rPr>
                    <w:t>固体废物</w:t>
                  </w: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0CC766">
                  <w:pPr>
                    <w:jc w:val="center"/>
                    <w:rPr>
                      <w:color w:val="auto"/>
                      <w:sz w:val="21"/>
                      <w:szCs w:val="21"/>
                      <w:highlight w:val="none"/>
                    </w:rPr>
                  </w:pPr>
                  <w:r>
                    <w:rPr>
                      <w:color w:val="auto"/>
                      <w:sz w:val="21"/>
                      <w:szCs w:val="21"/>
                      <w:highlight w:val="none"/>
                    </w:rPr>
                    <w:t>危险化学品废弃包装物</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88B0EB">
                  <w:pPr>
                    <w:jc w:val="center"/>
                    <w:rPr>
                      <w:rFonts w:hint="default" w:eastAsia="宋体"/>
                      <w:color w:val="auto"/>
                      <w:sz w:val="21"/>
                      <w:szCs w:val="21"/>
                      <w:highlight w:val="none"/>
                      <w:lang w:val="en-US" w:eastAsia="zh-CN"/>
                    </w:rPr>
                  </w:pPr>
                  <w:r>
                    <w:rPr>
                      <w:color w:val="auto"/>
                      <w:sz w:val="21"/>
                      <w:szCs w:val="21"/>
                      <w:highlight w:val="none"/>
                    </w:rPr>
                    <w:t>0</w:t>
                  </w:r>
                  <w:r>
                    <w:rPr>
                      <w:rFonts w:hint="eastAsia"/>
                      <w:color w:val="auto"/>
                      <w:sz w:val="21"/>
                      <w:szCs w:val="21"/>
                      <w:highlight w:val="none"/>
                      <w:lang w:val="en-US" w:eastAsia="zh-CN"/>
                    </w:rPr>
                    <w:t>.5</w:t>
                  </w:r>
                  <w:r>
                    <w:rPr>
                      <w:color w:val="auto"/>
                      <w:sz w:val="21"/>
                      <w:szCs w:val="21"/>
                      <w:highlight w:val="none"/>
                    </w:rPr>
                    <w:t>t/a</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EEEEB4">
                  <w:pPr>
                    <w:jc w:val="center"/>
                    <w:rPr>
                      <w:rFonts w:hint="default"/>
                      <w:color w:val="auto"/>
                      <w:sz w:val="21"/>
                      <w:szCs w:val="21"/>
                      <w:highlight w:val="none"/>
                      <w:lang w:val="en-US"/>
                    </w:rPr>
                  </w:pPr>
                  <w:r>
                    <w:rPr>
                      <w:rFonts w:hint="eastAsia" w:cs="Times New Roman"/>
                      <w:b w:val="0"/>
                      <w:bCs w:val="0"/>
                      <w:color w:val="auto"/>
                      <w:sz w:val="21"/>
                      <w:szCs w:val="21"/>
                      <w:highlight w:val="none"/>
                      <w:vertAlign w:val="baseline"/>
                      <w:lang w:val="en-US" w:eastAsia="zh-CN"/>
                    </w:rPr>
                    <w:t>来自企业提供资料</w:t>
                  </w:r>
                </w:p>
              </w:tc>
            </w:tr>
            <w:tr w14:paraId="27C6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79A47">
                  <w:pPr>
                    <w:jc w:val="center"/>
                    <w:rPr>
                      <w:color w:val="auto"/>
                      <w:sz w:val="21"/>
                      <w:szCs w:val="21"/>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B53FE2">
                  <w:pPr>
                    <w:jc w:val="center"/>
                    <w:rPr>
                      <w:color w:val="auto"/>
                      <w:sz w:val="21"/>
                      <w:szCs w:val="21"/>
                      <w:highlight w:val="none"/>
                    </w:rPr>
                  </w:pPr>
                  <w:r>
                    <w:rPr>
                      <w:color w:val="auto"/>
                      <w:sz w:val="21"/>
                      <w:szCs w:val="21"/>
                      <w:highlight w:val="none"/>
                    </w:rPr>
                    <w:t>废滤芯</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0D8D3F">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50kg</w:t>
                  </w:r>
                  <w:r>
                    <w:rPr>
                      <w:color w:val="auto"/>
                      <w:sz w:val="21"/>
                      <w:szCs w:val="21"/>
                      <w:highlight w:val="none"/>
                    </w:rPr>
                    <w:t>/a</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55C680">
                  <w:pPr>
                    <w:jc w:val="center"/>
                    <w:rPr>
                      <w:rFonts w:hint="eastAsia"/>
                      <w:color w:val="auto"/>
                      <w:sz w:val="21"/>
                      <w:szCs w:val="21"/>
                      <w:highlight w:val="none"/>
                      <w:lang w:val="en-US" w:eastAsia="zh-CN"/>
                    </w:rPr>
                  </w:pPr>
                  <w:r>
                    <w:rPr>
                      <w:rFonts w:hint="eastAsia" w:cs="Times New Roman"/>
                      <w:b w:val="0"/>
                      <w:bCs w:val="0"/>
                      <w:color w:val="auto"/>
                      <w:sz w:val="21"/>
                      <w:szCs w:val="21"/>
                      <w:highlight w:val="none"/>
                      <w:vertAlign w:val="baseline"/>
                      <w:lang w:val="en-US" w:eastAsia="zh-CN"/>
                    </w:rPr>
                    <w:t>来自企业提供资料</w:t>
                  </w:r>
                </w:p>
              </w:tc>
            </w:tr>
            <w:tr w14:paraId="1103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8FCE29">
                  <w:pPr>
                    <w:jc w:val="center"/>
                    <w:rPr>
                      <w:color w:val="auto"/>
                      <w:sz w:val="21"/>
                      <w:szCs w:val="21"/>
                      <w:highlight w:val="none"/>
                    </w:rPr>
                  </w:pPr>
                </w:p>
              </w:tc>
              <w:tc>
                <w:tcPr>
                  <w:tcW w:w="3031" w:type="dxa"/>
                  <w:tcBorders>
                    <w:top w:val="single" w:color="000000" w:sz="4" w:space="0"/>
                    <w:left w:val="single" w:color="000000" w:sz="4" w:space="0"/>
                    <w:bottom w:val="single" w:color="auto" w:sz="4" w:space="0"/>
                    <w:right w:val="single" w:color="000000" w:sz="4" w:space="0"/>
                  </w:tcBorders>
                  <w:noWrap w:val="0"/>
                  <w:tcMar>
                    <w:left w:w="108" w:type="dxa"/>
                    <w:right w:w="108" w:type="dxa"/>
                  </w:tcMar>
                  <w:vAlign w:val="center"/>
                </w:tcPr>
                <w:p w14:paraId="62080B3F">
                  <w:pPr>
                    <w:jc w:val="center"/>
                    <w:rPr>
                      <w:color w:val="auto"/>
                      <w:sz w:val="21"/>
                      <w:szCs w:val="21"/>
                      <w:highlight w:val="none"/>
                    </w:rPr>
                  </w:pPr>
                  <w:r>
                    <w:rPr>
                      <w:color w:val="auto"/>
                      <w:sz w:val="21"/>
                      <w:szCs w:val="21"/>
                      <w:highlight w:val="none"/>
                    </w:rPr>
                    <w:t>污水处理站污泥</w:t>
                  </w:r>
                </w:p>
              </w:tc>
              <w:tc>
                <w:tcPr>
                  <w:tcW w:w="2216" w:type="dxa"/>
                  <w:tcBorders>
                    <w:top w:val="single" w:color="000000" w:sz="4" w:space="0"/>
                    <w:left w:val="single" w:color="000000" w:sz="4" w:space="0"/>
                    <w:right w:val="single" w:color="000000" w:sz="4" w:space="0"/>
                  </w:tcBorders>
                  <w:noWrap w:val="0"/>
                  <w:tcMar>
                    <w:left w:w="108" w:type="dxa"/>
                    <w:right w:w="108" w:type="dxa"/>
                  </w:tcMar>
                  <w:vAlign w:val="center"/>
                </w:tcPr>
                <w:p w14:paraId="691E1C35">
                  <w:pPr>
                    <w:jc w:val="center"/>
                    <w:rPr>
                      <w:rFonts w:hint="default" w:eastAsia="宋体"/>
                      <w:color w:val="auto"/>
                      <w:sz w:val="21"/>
                      <w:szCs w:val="21"/>
                      <w:highlight w:val="none"/>
                      <w:lang w:val="en-US" w:eastAsia="zh-CN"/>
                    </w:rPr>
                  </w:pPr>
                  <w:r>
                    <w:rPr>
                      <w:color w:val="auto"/>
                      <w:sz w:val="21"/>
                      <w:szCs w:val="21"/>
                      <w:highlight w:val="none"/>
                    </w:rPr>
                    <w:t>0</w:t>
                  </w:r>
                  <w:r>
                    <w:rPr>
                      <w:rFonts w:hint="eastAsia"/>
                      <w:color w:val="auto"/>
                      <w:sz w:val="21"/>
                      <w:szCs w:val="21"/>
                      <w:highlight w:val="none"/>
                      <w:lang w:val="en-US" w:eastAsia="zh-CN"/>
                    </w:rPr>
                    <w:t>.5</w:t>
                  </w:r>
                  <w:r>
                    <w:rPr>
                      <w:color w:val="auto"/>
                      <w:sz w:val="21"/>
                      <w:szCs w:val="21"/>
                      <w:highlight w:val="none"/>
                    </w:rPr>
                    <w:t>t/a</w:t>
                  </w:r>
                </w:p>
              </w:tc>
              <w:tc>
                <w:tcPr>
                  <w:tcW w:w="2217" w:type="dxa"/>
                  <w:tcBorders>
                    <w:top w:val="single" w:color="000000" w:sz="4" w:space="0"/>
                    <w:left w:val="single" w:color="000000" w:sz="4" w:space="0"/>
                    <w:right w:val="single" w:color="000000" w:sz="4" w:space="0"/>
                  </w:tcBorders>
                  <w:noWrap w:val="0"/>
                  <w:tcMar>
                    <w:left w:w="108" w:type="dxa"/>
                    <w:right w:w="108" w:type="dxa"/>
                  </w:tcMar>
                  <w:vAlign w:val="center"/>
                </w:tcPr>
                <w:p w14:paraId="6405FCB4">
                  <w:pPr>
                    <w:jc w:val="center"/>
                    <w:rPr>
                      <w:rFonts w:hint="eastAsia"/>
                      <w:color w:val="auto"/>
                      <w:sz w:val="21"/>
                      <w:szCs w:val="21"/>
                      <w:highlight w:val="none"/>
                      <w:lang w:val="en-US" w:eastAsia="zh-CN"/>
                    </w:rPr>
                  </w:pPr>
                  <w:r>
                    <w:rPr>
                      <w:rFonts w:hint="eastAsia" w:cs="Times New Roman"/>
                      <w:b w:val="0"/>
                      <w:bCs w:val="0"/>
                      <w:color w:val="auto"/>
                      <w:sz w:val="21"/>
                      <w:szCs w:val="21"/>
                      <w:highlight w:val="none"/>
                      <w:vertAlign w:val="baseline"/>
                      <w:lang w:val="en-US" w:eastAsia="zh-CN"/>
                    </w:rPr>
                    <w:t>来自企业提供资料</w:t>
                  </w:r>
                </w:p>
              </w:tc>
            </w:tr>
            <w:tr w14:paraId="74A5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AC9BC7">
                  <w:pPr>
                    <w:jc w:val="center"/>
                    <w:rPr>
                      <w:color w:val="auto"/>
                      <w:sz w:val="21"/>
                      <w:szCs w:val="21"/>
                      <w:highlight w:val="none"/>
                    </w:rPr>
                  </w:pPr>
                </w:p>
              </w:tc>
              <w:tc>
                <w:tcPr>
                  <w:tcW w:w="3031" w:type="dxa"/>
                  <w:tcBorders>
                    <w:top w:val="single" w:color="auto" w:sz="4" w:space="0"/>
                    <w:left w:val="single" w:color="000000" w:sz="4" w:space="0"/>
                    <w:bottom w:val="single" w:color="000000" w:sz="4" w:space="0"/>
                    <w:right w:val="single" w:color="000000" w:sz="4" w:space="0"/>
                  </w:tcBorders>
                  <w:noWrap w:val="0"/>
                  <w:tcMar>
                    <w:left w:w="108" w:type="dxa"/>
                    <w:right w:w="108" w:type="dxa"/>
                  </w:tcMar>
                  <w:vAlign w:val="center"/>
                </w:tcPr>
                <w:p w14:paraId="753854F7">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除尘器收尘</w:t>
                  </w:r>
                </w:p>
              </w:tc>
              <w:tc>
                <w:tcPr>
                  <w:tcW w:w="2216" w:type="dxa"/>
                  <w:tcBorders>
                    <w:left w:val="single" w:color="000000" w:sz="4" w:space="0"/>
                    <w:bottom w:val="single" w:color="000000" w:sz="4" w:space="0"/>
                    <w:right w:val="single" w:color="000000" w:sz="4" w:space="0"/>
                  </w:tcBorders>
                  <w:noWrap w:val="0"/>
                  <w:tcMar>
                    <w:left w:w="108" w:type="dxa"/>
                    <w:right w:w="108" w:type="dxa"/>
                  </w:tcMar>
                  <w:vAlign w:val="center"/>
                </w:tcPr>
                <w:p w14:paraId="415B3A40">
                  <w:pPr>
                    <w:jc w:val="center"/>
                    <w:rPr>
                      <w:rFonts w:hint="eastAsia"/>
                      <w:color w:val="auto"/>
                      <w:sz w:val="21"/>
                      <w:szCs w:val="21"/>
                      <w:highlight w:val="none"/>
                      <w:lang w:val="en-US" w:eastAsia="zh-CN"/>
                    </w:rPr>
                  </w:pPr>
                  <w:r>
                    <w:rPr>
                      <w:rFonts w:hint="eastAsia"/>
                      <w:color w:val="auto"/>
                      <w:sz w:val="21"/>
                      <w:szCs w:val="21"/>
                      <w:highlight w:val="none"/>
                      <w:lang w:val="en-US" w:eastAsia="zh-CN"/>
                    </w:rPr>
                    <w:t>11.0</w:t>
                  </w:r>
                  <w:r>
                    <w:rPr>
                      <w:color w:val="auto"/>
                      <w:sz w:val="21"/>
                      <w:szCs w:val="21"/>
                      <w:highlight w:val="none"/>
                    </w:rPr>
                    <w:t>t/a</w:t>
                  </w:r>
                </w:p>
              </w:tc>
              <w:tc>
                <w:tcPr>
                  <w:tcW w:w="2217" w:type="dxa"/>
                  <w:tcBorders>
                    <w:left w:val="single" w:color="000000" w:sz="4" w:space="0"/>
                    <w:bottom w:val="single" w:color="000000" w:sz="4" w:space="0"/>
                    <w:right w:val="single" w:color="000000" w:sz="4" w:space="0"/>
                  </w:tcBorders>
                  <w:noWrap w:val="0"/>
                  <w:tcMar>
                    <w:left w:w="108" w:type="dxa"/>
                    <w:right w:w="108" w:type="dxa"/>
                  </w:tcMar>
                  <w:vAlign w:val="center"/>
                </w:tcPr>
                <w:p w14:paraId="1E651453">
                  <w:pPr>
                    <w:jc w:val="center"/>
                    <w:rPr>
                      <w:rFonts w:hint="eastAsia"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来自企业提供资料</w:t>
                  </w:r>
                </w:p>
              </w:tc>
            </w:tr>
            <w:tr w14:paraId="6A2C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D265D1">
                  <w:pPr>
                    <w:jc w:val="center"/>
                    <w:rPr>
                      <w:color w:val="auto"/>
                      <w:sz w:val="21"/>
                      <w:szCs w:val="21"/>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05FBEC">
                  <w:pPr>
                    <w:jc w:val="center"/>
                    <w:rPr>
                      <w:color w:val="auto"/>
                      <w:sz w:val="21"/>
                      <w:szCs w:val="21"/>
                      <w:highlight w:val="none"/>
                    </w:rPr>
                  </w:pPr>
                  <w:r>
                    <w:rPr>
                      <w:color w:val="auto"/>
                      <w:sz w:val="21"/>
                      <w:szCs w:val="21"/>
                      <w:highlight w:val="none"/>
                    </w:rPr>
                    <w:t>生活垃圾</w:t>
                  </w:r>
                </w:p>
              </w:tc>
              <w:tc>
                <w:tcPr>
                  <w:tcW w:w="22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4B11FD">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3.0</w:t>
                  </w:r>
                  <w:r>
                    <w:rPr>
                      <w:color w:val="auto"/>
                      <w:sz w:val="21"/>
                      <w:szCs w:val="21"/>
                      <w:highlight w:val="none"/>
                    </w:rPr>
                    <w:t>t/a</w:t>
                  </w:r>
                </w:p>
              </w:tc>
              <w:tc>
                <w:tcPr>
                  <w:tcW w:w="221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B2B8CB">
                  <w:pPr>
                    <w:jc w:val="center"/>
                    <w:rPr>
                      <w:rFonts w:hint="eastAsia"/>
                      <w:color w:val="auto"/>
                      <w:sz w:val="21"/>
                      <w:szCs w:val="21"/>
                      <w:highlight w:val="none"/>
                      <w:lang w:val="en-US" w:eastAsia="zh-CN"/>
                    </w:rPr>
                  </w:pPr>
                  <w:r>
                    <w:rPr>
                      <w:rFonts w:hint="eastAsia" w:cs="Times New Roman"/>
                      <w:b w:val="0"/>
                      <w:bCs w:val="0"/>
                      <w:color w:val="auto"/>
                      <w:sz w:val="21"/>
                      <w:szCs w:val="21"/>
                      <w:highlight w:val="none"/>
                      <w:vertAlign w:val="baseline"/>
                      <w:lang w:val="en-US" w:eastAsia="zh-CN"/>
                    </w:rPr>
                    <w:t>来自企业提供资料</w:t>
                  </w:r>
                </w:p>
              </w:tc>
            </w:tr>
          </w:tbl>
          <w:p w14:paraId="35A8EF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七、现有项目</w:t>
            </w:r>
            <w:r>
              <w:rPr>
                <w:rFonts w:hint="eastAsia"/>
                <w:color w:val="auto"/>
                <w:highlight w:val="none"/>
                <w:lang w:val="en-US" w:eastAsia="zh-CN"/>
              </w:rPr>
              <w:t>存在的主要问题</w:t>
            </w:r>
          </w:p>
          <w:p w14:paraId="1B75E0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rPr>
            </w:pPr>
            <w:r>
              <w:rPr>
                <w:rFonts w:hint="default"/>
                <w:color w:val="auto"/>
                <w:highlight w:val="none"/>
                <w:lang w:val="en-US" w:eastAsia="zh-CN"/>
              </w:rPr>
              <w:t>现有项目主要进行年产600吨高纯再生硅材料项目生产，于2025年全面停产，</w:t>
            </w:r>
            <w:r>
              <w:rPr>
                <w:rFonts w:hint="eastAsia"/>
                <w:color w:val="auto"/>
                <w:highlight w:val="none"/>
                <w:lang w:val="en-US" w:eastAsia="zh-CN"/>
              </w:rPr>
              <w:t>部分</w:t>
            </w:r>
            <w:r>
              <w:rPr>
                <w:rFonts w:hint="default"/>
                <w:color w:val="auto"/>
                <w:highlight w:val="none"/>
                <w:lang w:val="en-US" w:eastAsia="zh-CN"/>
              </w:rPr>
              <w:t>设备已停用且拟拆除进行改扩建，厂房已闲置，因此无与拟建项目有关的污染情况及环境问题。</w:t>
            </w:r>
          </w:p>
        </w:tc>
      </w:tr>
    </w:tbl>
    <w:p w14:paraId="1D4E9CA8">
      <w:pPr>
        <w:pStyle w:val="26"/>
        <w:jc w:val="center"/>
        <w:rPr>
          <w:rFonts w:ascii="黑体" w:hAnsi="黑体" w:eastAsia="黑体"/>
          <w:snapToGrid w:val="0"/>
          <w:color w:val="auto"/>
          <w:sz w:val="36"/>
          <w:szCs w:val="36"/>
          <w:highlight w:val="none"/>
        </w:rPr>
      </w:pPr>
    </w:p>
    <w:p w14:paraId="39847364">
      <w:pPr>
        <w:pStyle w:val="26"/>
        <w:jc w:val="center"/>
        <w:rPr>
          <w:rFonts w:ascii="黑体" w:hAnsi="黑体" w:eastAsia="黑体"/>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B777D6D">
      <w:pPr>
        <w:pStyle w:val="26"/>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三、区域环境质量现状、环境保护目标及评价标准</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12F12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14:paraId="69991837">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区域</w:t>
            </w:r>
          </w:p>
          <w:p w14:paraId="13BAA621">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w:t>
            </w:r>
          </w:p>
          <w:p w14:paraId="039BF47E">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w:t>
            </w:r>
          </w:p>
          <w:p w14:paraId="4B89ED60">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现状</w:t>
            </w:r>
          </w:p>
        </w:tc>
        <w:tc>
          <w:tcPr>
            <w:tcW w:w="8190" w:type="dxa"/>
            <w:noWrap w:val="0"/>
            <w:vAlign w:val="center"/>
          </w:tcPr>
          <w:p w14:paraId="62C371E1">
            <w:pPr>
              <w:snapToGrid w:val="0"/>
              <w:spacing w:line="360" w:lineRule="auto"/>
              <w:ind w:firstLine="482" w:firstLineChars="200"/>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环境空气</w:t>
            </w:r>
          </w:p>
          <w:p w14:paraId="6B8116AF">
            <w:pPr>
              <w:spacing w:line="360" w:lineRule="auto"/>
              <w:ind w:firstLine="488" w:firstLineChars="200"/>
              <w:rPr>
                <w:rFonts w:hint="eastAsia"/>
                <w:color w:val="auto"/>
                <w:spacing w:val="2"/>
                <w:sz w:val="24"/>
                <w:highlight w:val="none"/>
              </w:rPr>
            </w:pPr>
            <w:r>
              <w:rPr>
                <w:rFonts w:hint="eastAsia"/>
                <w:color w:val="auto"/>
                <w:spacing w:val="2"/>
                <w:sz w:val="24"/>
                <w:highlight w:val="none"/>
              </w:rPr>
              <w:t>项目所在区大气环境质量标准执行</w:t>
            </w:r>
            <w:r>
              <w:rPr>
                <w:color w:val="auto"/>
                <w:spacing w:val="2"/>
                <w:sz w:val="24"/>
                <w:highlight w:val="none"/>
              </w:rPr>
              <w:t>《环境空气质量标准》（GB3095—2012）二级标准</w:t>
            </w:r>
            <w:r>
              <w:rPr>
                <w:rFonts w:hint="eastAsia"/>
                <w:color w:val="auto"/>
                <w:spacing w:val="2"/>
                <w:sz w:val="24"/>
                <w:highlight w:val="none"/>
              </w:rPr>
              <w:t>。</w:t>
            </w:r>
          </w:p>
          <w:p w14:paraId="10411F28">
            <w:pPr>
              <w:numPr>
                <w:ilvl w:val="0"/>
                <w:numId w:val="12"/>
              </w:numPr>
              <w:spacing w:line="360" w:lineRule="auto"/>
              <w:ind w:firstLine="456" w:firstLineChars="200"/>
              <w:rPr>
                <w:rFonts w:hint="eastAsia"/>
                <w:color w:val="auto"/>
                <w:spacing w:val="-6"/>
                <w:sz w:val="24"/>
                <w:highlight w:val="none"/>
                <w:lang w:val="en-US" w:eastAsia="zh-CN"/>
              </w:rPr>
            </w:pPr>
            <w:r>
              <w:rPr>
                <w:rFonts w:hint="eastAsia"/>
                <w:color w:val="auto"/>
                <w:spacing w:val="-6"/>
                <w:sz w:val="24"/>
                <w:highlight w:val="none"/>
                <w:lang w:val="en-US" w:eastAsia="zh-CN"/>
              </w:rPr>
              <w:t>基本污染物</w:t>
            </w:r>
          </w:p>
          <w:p w14:paraId="3891BC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zh-CN"/>
              </w:rPr>
            </w:pPr>
            <w:r>
              <w:rPr>
                <w:rFonts w:hint="eastAsia" w:ascii="Times New Roman" w:hAnsi="Times New Roman" w:eastAsia="宋体" w:cs="Times New Roman"/>
                <w:color w:val="auto"/>
                <w:sz w:val="24"/>
                <w:highlight w:val="none"/>
              </w:rPr>
              <w:t>根据济宁市生态环境局</w:t>
            </w:r>
            <w:r>
              <w:rPr>
                <w:rFonts w:hint="eastAsia" w:ascii="Times New Roman" w:hAnsi="Times New Roman" w:eastAsia="宋体" w:cs="Times New Roman"/>
                <w:color w:val="auto"/>
                <w:sz w:val="24"/>
                <w:highlight w:val="none"/>
                <w:lang w:val="en-US" w:eastAsia="zh-CN"/>
              </w:rPr>
              <w:t>官方网站</w:t>
            </w:r>
            <w:r>
              <w:rPr>
                <w:rFonts w:hint="eastAsia" w:ascii="Times New Roman" w:hAnsi="Times New Roman" w:eastAsia="宋体" w:cs="Times New Roman"/>
                <w:color w:val="auto"/>
                <w:sz w:val="24"/>
                <w:highlight w:val="none"/>
              </w:rPr>
              <w:t>公示的大气环境质量状况，</w:t>
            </w:r>
            <w:r>
              <w:rPr>
                <w:rFonts w:hint="eastAsia" w:ascii="Times New Roman" w:hAnsi="Times New Roman" w:eastAsia="宋体" w:cs="Times New Roman"/>
                <w:color w:val="auto"/>
                <w:sz w:val="24"/>
                <w:highlight w:val="none"/>
                <w:lang w:val="en-US" w:eastAsia="zh-CN"/>
              </w:rPr>
              <w:t>泗水</w:t>
            </w:r>
            <w:r>
              <w:rPr>
                <w:rFonts w:hint="eastAsia" w:ascii="Times New Roman" w:hAnsi="Times New Roman" w:eastAsia="宋体" w:cs="Times New Roman"/>
                <w:color w:val="auto"/>
                <w:sz w:val="24"/>
                <w:highlight w:val="none"/>
              </w:rPr>
              <w:t>县202</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rPr>
              <w:t>年1月~202</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rPr>
              <w:t>年12月连续1年的大气环境质量状况监测结果统计见下表。</w:t>
            </w:r>
          </w:p>
          <w:p w14:paraId="1EF93B9C">
            <w:pPr>
              <w:pStyle w:val="101"/>
              <w:bidi w:val="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表3-1 济宁市大气环境质量现状评价表</w:t>
            </w:r>
          </w:p>
          <w:tbl>
            <w:tblPr>
              <w:tblStyle w:val="10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3"/>
              <w:gridCol w:w="896"/>
              <w:gridCol w:w="1080"/>
              <w:gridCol w:w="904"/>
              <w:gridCol w:w="1330"/>
              <w:gridCol w:w="1258"/>
              <w:gridCol w:w="1202"/>
            </w:tblGrid>
            <w:tr w14:paraId="2D13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43016A55">
                  <w:pPr>
                    <w:pStyle w:val="100"/>
                    <w:keepNext w:val="0"/>
                    <w:keepLines w:val="0"/>
                    <w:pageBreakBefore w:val="0"/>
                    <w:widowControl/>
                    <w:wordWrap/>
                    <w:overflowPunct/>
                    <w:topLinePunct w:val="0"/>
                    <w:bidi w:val="0"/>
                    <w:snapToGrid w:val="0"/>
                    <w:spacing w:line="240" w:lineRule="auto"/>
                    <w:ind w:left="0"/>
                    <w:jc w:val="center"/>
                    <w:rPr>
                      <w:b w:val="0"/>
                      <w:bCs w:val="0"/>
                      <w:color w:val="auto"/>
                      <w:sz w:val="21"/>
                      <w:szCs w:val="21"/>
                      <w:highlight w:val="none"/>
                    </w:rPr>
                  </w:pPr>
                  <w:r>
                    <w:rPr>
                      <w:b w:val="0"/>
                      <w:bCs w:val="0"/>
                      <w:color w:val="auto"/>
                      <w:spacing w:val="6"/>
                      <w:sz w:val="21"/>
                      <w:szCs w:val="21"/>
                      <w:highlight w:val="none"/>
                    </w:rPr>
                    <w:t>类别</w:t>
                  </w:r>
                </w:p>
              </w:tc>
              <w:tc>
                <w:tcPr>
                  <w:tcW w:w="562" w:type="pct"/>
                  <w:tcBorders>
                    <w:tl2br w:val="nil"/>
                    <w:tr2bl w:val="nil"/>
                  </w:tcBorders>
                  <w:noWrap w:val="0"/>
                  <w:vAlign w:val="center"/>
                </w:tcPr>
                <w:p w14:paraId="0107E789">
                  <w:pPr>
                    <w:pStyle w:val="100"/>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val="0"/>
                      <w:bCs w:val="0"/>
                      <w:color w:val="auto"/>
                      <w:spacing w:val="6"/>
                      <w:position w:val="-1"/>
                      <w:sz w:val="21"/>
                      <w:szCs w:val="21"/>
                      <w:highlight w:val="none"/>
                      <w:vertAlign w:val="subscript"/>
                    </w:rPr>
                  </w:pPr>
                  <w:r>
                    <w:rPr>
                      <w:rFonts w:ascii="Times New Roman" w:hAnsi="Times New Roman" w:eastAsia="Times New Roman" w:cs="Times New Roman"/>
                      <w:b w:val="0"/>
                      <w:bCs w:val="0"/>
                      <w:color w:val="auto"/>
                      <w:sz w:val="21"/>
                      <w:szCs w:val="21"/>
                      <w:highlight w:val="none"/>
                    </w:rPr>
                    <w:t>SO</w:t>
                  </w:r>
                  <w:r>
                    <w:rPr>
                      <w:rFonts w:ascii="Times New Roman" w:hAnsi="Times New Roman" w:eastAsia="Times New Roman" w:cs="Times New Roman"/>
                      <w:b w:val="0"/>
                      <w:bCs w:val="0"/>
                      <w:color w:val="auto"/>
                      <w:spacing w:val="6"/>
                      <w:position w:val="-1"/>
                      <w:sz w:val="21"/>
                      <w:szCs w:val="21"/>
                      <w:highlight w:val="none"/>
                      <w:vertAlign w:val="subscript"/>
                    </w:rPr>
                    <w:t>2</w:t>
                  </w:r>
                </w:p>
                <w:p w14:paraId="3EF4E72C">
                  <w:pPr>
                    <w:pStyle w:val="100"/>
                    <w:keepNext w:val="0"/>
                    <w:keepLines w:val="0"/>
                    <w:pageBreakBefore w:val="0"/>
                    <w:widowControl/>
                    <w:wordWrap/>
                    <w:overflowPunct/>
                    <w:topLinePunct w:val="0"/>
                    <w:bidi w:val="0"/>
                    <w:snapToGrid w:val="0"/>
                    <w:spacing w:line="240" w:lineRule="auto"/>
                    <w:ind w:left="0"/>
                    <w:jc w:val="center"/>
                    <w:rPr>
                      <w:b w:val="0"/>
                      <w:bCs w:val="0"/>
                      <w:color w:val="auto"/>
                      <w:sz w:val="21"/>
                      <w:szCs w:val="21"/>
                      <w:highlight w:val="none"/>
                    </w:rPr>
                  </w:pPr>
                  <w:r>
                    <w:rPr>
                      <w:b w:val="0"/>
                      <w:bCs w:val="0"/>
                      <w:color w:val="auto"/>
                      <w:spacing w:val="2"/>
                      <w:sz w:val="21"/>
                      <w:szCs w:val="21"/>
                      <w:highlight w:val="none"/>
                    </w:rPr>
                    <w:t>(</w:t>
                  </w:r>
                  <w:r>
                    <w:rPr>
                      <w:rFonts w:ascii="Times New Roman" w:hAnsi="Times New Roman" w:eastAsia="Times New Roman" w:cs="Times New Roman"/>
                      <w:b w:val="0"/>
                      <w:bCs w:val="0"/>
                      <w:color w:val="auto"/>
                      <w:spacing w:val="2"/>
                      <w:sz w:val="21"/>
                      <w:szCs w:val="21"/>
                      <w:highlight w:val="none"/>
                    </w:rPr>
                    <w:t>μg/m</w:t>
                  </w:r>
                  <w:r>
                    <w:rPr>
                      <w:rFonts w:hint="eastAsia" w:ascii="Times New Roman" w:hAnsi="Times New Roman" w:eastAsia="宋体" w:cs="Times New Roman"/>
                      <w:b w:val="0"/>
                      <w:bCs w:val="0"/>
                      <w:color w:val="auto"/>
                      <w:spacing w:val="2"/>
                      <w:sz w:val="21"/>
                      <w:szCs w:val="21"/>
                      <w:highlight w:val="none"/>
                      <w:vertAlign w:val="superscript"/>
                      <w:lang w:val="en-US" w:eastAsia="zh-CN"/>
                    </w:rPr>
                    <w:t>3</w:t>
                  </w:r>
                  <w:r>
                    <w:rPr>
                      <w:b w:val="0"/>
                      <w:bCs w:val="0"/>
                      <w:color w:val="auto"/>
                      <w:spacing w:val="2"/>
                      <w:sz w:val="21"/>
                      <w:szCs w:val="21"/>
                      <w:highlight w:val="none"/>
                    </w:rPr>
                    <w:t>）</w:t>
                  </w:r>
                </w:p>
              </w:tc>
              <w:tc>
                <w:tcPr>
                  <w:tcW w:w="678" w:type="pct"/>
                  <w:tcBorders>
                    <w:tl2br w:val="nil"/>
                    <w:tr2bl w:val="nil"/>
                  </w:tcBorders>
                  <w:noWrap w:val="0"/>
                  <w:vAlign w:val="center"/>
                </w:tcPr>
                <w:p w14:paraId="06E8FD34">
                  <w:pPr>
                    <w:pStyle w:val="100"/>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val="0"/>
                      <w:bCs w:val="0"/>
                      <w:color w:val="auto"/>
                      <w:spacing w:val="14"/>
                      <w:position w:val="-1"/>
                      <w:sz w:val="21"/>
                      <w:szCs w:val="21"/>
                      <w:highlight w:val="none"/>
                      <w:vertAlign w:val="subscript"/>
                    </w:rPr>
                  </w:pPr>
                  <w:r>
                    <w:rPr>
                      <w:rFonts w:ascii="Times New Roman" w:hAnsi="Times New Roman" w:eastAsia="Times New Roman" w:cs="Times New Roman"/>
                      <w:b w:val="0"/>
                      <w:bCs w:val="0"/>
                      <w:color w:val="auto"/>
                      <w:sz w:val="21"/>
                      <w:szCs w:val="21"/>
                      <w:highlight w:val="none"/>
                    </w:rPr>
                    <w:t>NO</w:t>
                  </w:r>
                  <w:r>
                    <w:rPr>
                      <w:rFonts w:ascii="Times New Roman" w:hAnsi="Times New Roman" w:eastAsia="Times New Roman" w:cs="Times New Roman"/>
                      <w:b w:val="0"/>
                      <w:bCs w:val="0"/>
                      <w:color w:val="auto"/>
                      <w:spacing w:val="14"/>
                      <w:position w:val="-1"/>
                      <w:sz w:val="21"/>
                      <w:szCs w:val="21"/>
                      <w:highlight w:val="none"/>
                      <w:vertAlign w:val="subscript"/>
                    </w:rPr>
                    <w:t>2</w:t>
                  </w:r>
                </w:p>
                <w:p w14:paraId="6A22E94A">
                  <w:pPr>
                    <w:pStyle w:val="100"/>
                    <w:keepNext w:val="0"/>
                    <w:keepLines w:val="0"/>
                    <w:pageBreakBefore w:val="0"/>
                    <w:widowControl/>
                    <w:wordWrap/>
                    <w:overflowPunct/>
                    <w:topLinePunct w:val="0"/>
                    <w:bidi w:val="0"/>
                    <w:snapToGrid w:val="0"/>
                    <w:spacing w:line="240" w:lineRule="auto"/>
                    <w:ind w:left="0"/>
                    <w:jc w:val="center"/>
                    <w:rPr>
                      <w:b w:val="0"/>
                      <w:bCs w:val="0"/>
                      <w:color w:val="auto"/>
                      <w:sz w:val="21"/>
                      <w:szCs w:val="21"/>
                      <w:highlight w:val="none"/>
                    </w:rPr>
                  </w:pPr>
                  <w:r>
                    <w:rPr>
                      <w:b w:val="0"/>
                      <w:bCs w:val="0"/>
                      <w:color w:val="auto"/>
                      <w:spacing w:val="2"/>
                      <w:sz w:val="21"/>
                      <w:szCs w:val="21"/>
                      <w:highlight w:val="none"/>
                    </w:rPr>
                    <w:t>(</w:t>
                  </w:r>
                  <w:r>
                    <w:rPr>
                      <w:rFonts w:ascii="Times New Roman" w:hAnsi="Times New Roman" w:eastAsia="Times New Roman" w:cs="Times New Roman"/>
                      <w:b w:val="0"/>
                      <w:bCs w:val="0"/>
                      <w:color w:val="auto"/>
                      <w:spacing w:val="2"/>
                      <w:sz w:val="21"/>
                      <w:szCs w:val="21"/>
                      <w:highlight w:val="none"/>
                    </w:rPr>
                    <w:t>μg/m</w:t>
                  </w:r>
                  <w:r>
                    <w:rPr>
                      <w:rFonts w:hint="eastAsia" w:ascii="Times New Roman" w:hAnsi="Times New Roman" w:eastAsia="宋体" w:cs="Times New Roman"/>
                      <w:b w:val="0"/>
                      <w:bCs w:val="0"/>
                      <w:color w:val="auto"/>
                      <w:spacing w:val="2"/>
                      <w:sz w:val="21"/>
                      <w:szCs w:val="21"/>
                      <w:highlight w:val="none"/>
                      <w:vertAlign w:val="superscript"/>
                      <w:lang w:val="en-US" w:eastAsia="zh-CN"/>
                    </w:rPr>
                    <w:t>3</w:t>
                  </w:r>
                  <w:r>
                    <w:rPr>
                      <w:b w:val="0"/>
                      <w:bCs w:val="0"/>
                      <w:color w:val="auto"/>
                      <w:spacing w:val="2"/>
                      <w:sz w:val="21"/>
                      <w:szCs w:val="21"/>
                      <w:highlight w:val="none"/>
                    </w:rPr>
                    <w:t>）</w:t>
                  </w:r>
                </w:p>
              </w:tc>
              <w:tc>
                <w:tcPr>
                  <w:tcW w:w="567" w:type="pct"/>
                  <w:tcBorders>
                    <w:tl2br w:val="nil"/>
                    <w:tr2bl w:val="nil"/>
                  </w:tcBorders>
                  <w:noWrap w:val="0"/>
                  <w:vAlign w:val="center"/>
                </w:tcPr>
                <w:p w14:paraId="630E68E7">
                  <w:pPr>
                    <w:pStyle w:val="100"/>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val="0"/>
                      <w:bCs w:val="0"/>
                      <w:color w:val="auto"/>
                      <w:spacing w:val="4"/>
                      <w:position w:val="-1"/>
                      <w:sz w:val="21"/>
                      <w:szCs w:val="21"/>
                      <w:highlight w:val="none"/>
                    </w:rPr>
                  </w:pPr>
                  <w:r>
                    <w:rPr>
                      <w:rFonts w:ascii="Times New Roman" w:hAnsi="Times New Roman" w:eastAsia="Times New Roman" w:cs="Times New Roman"/>
                      <w:b w:val="0"/>
                      <w:bCs w:val="0"/>
                      <w:color w:val="auto"/>
                      <w:sz w:val="21"/>
                      <w:szCs w:val="21"/>
                      <w:highlight w:val="none"/>
                    </w:rPr>
                    <w:t>PM</w:t>
                  </w:r>
                  <w:r>
                    <w:rPr>
                      <w:rFonts w:ascii="Times New Roman" w:hAnsi="Times New Roman" w:eastAsia="Times New Roman" w:cs="Times New Roman"/>
                      <w:b w:val="0"/>
                      <w:bCs w:val="0"/>
                      <w:color w:val="auto"/>
                      <w:spacing w:val="4"/>
                      <w:position w:val="-1"/>
                      <w:sz w:val="21"/>
                      <w:szCs w:val="21"/>
                      <w:highlight w:val="none"/>
                      <w:vertAlign w:val="subscript"/>
                    </w:rPr>
                    <w:t>10</w:t>
                  </w:r>
                </w:p>
                <w:p w14:paraId="17E03C9B">
                  <w:pPr>
                    <w:pStyle w:val="100"/>
                    <w:keepNext w:val="0"/>
                    <w:keepLines w:val="0"/>
                    <w:pageBreakBefore w:val="0"/>
                    <w:widowControl/>
                    <w:wordWrap/>
                    <w:overflowPunct/>
                    <w:topLinePunct w:val="0"/>
                    <w:bidi w:val="0"/>
                    <w:snapToGrid w:val="0"/>
                    <w:spacing w:line="240" w:lineRule="auto"/>
                    <w:ind w:left="0"/>
                    <w:jc w:val="center"/>
                    <w:rPr>
                      <w:b w:val="0"/>
                      <w:bCs w:val="0"/>
                      <w:color w:val="auto"/>
                      <w:sz w:val="21"/>
                      <w:szCs w:val="21"/>
                      <w:highlight w:val="none"/>
                    </w:rPr>
                  </w:pPr>
                  <w:r>
                    <w:rPr>
                      <w:b w:val="0"/>
                      <w:bCs w:val="0"/>
                      <w:color w:val="auto"/>
                      <w:spacing w:val="4"/>
                      <w:sz w:val="21"/>
                      <w:szCs w:val="21"/>
                      <w:highlight w:val="none"/>
                    </w:rPr>
                    <w:t>(</w:t>
                  </w:r>
                  <w:r>
                    <w:rPr>
                      <w:rFonts w:ascii="Times New Roman" w:hAnsi="Times New Roman" w:eastAsia="Times New Roman" w:cs="Times New Roman"/>
                      <w:b w:val="0"/>
                      <w:bCs w:val="0"/>
                      <w:color w:val="auto"/>
                      <w:spacing w:val="4"/>
                      <w:sz w:val="21"/>
                      <w:szCs w:val="21"/>
                      <w:highlight w:val="none"/>
                    </w:rPr>
                    <w:t>μg/m</w:t>
                  </w:r>
                  <w:r>
                    <w:rPr>
                      <w:rFonts w:hint="eastAsia" w:ascii="Times New Roman" w:hAnsi="Times New Roman" w:eastAsia="宋体" w:cs="Times New Roman"/>
                      <w:b w:val="0"/>
                      <w:bCs w:val="0"/>
                      <w:color w:val="auto"/>
                      <w:spacing w:val="4"/>
                      <w:sz w:val="21"/>
                      <w:szCs w:val="21"/>
                      <w:highlight w:val="none"/>
                      <w:vertAlign w:val="superscript"/>
                      <w:lang w:val="en-US" w:eastAsia="zh-CN"/>
                    </w:rPr>
                    <w:t>3</w:t>
                  </w:r>
                  <w:r>
                    <w:rPr>
                      <w:b w:val="0"/>
                      <w:bCs w:val="0"/>
                      <w:color w:val="auto"/>
                      <w:spacing w:val="4"/>
                      <w:sz w:val="21"/>
                      <w:szCs w:val="21"/>
                      <w:highlight w:val="none"/>
                    </w:rPr>
                    <w:t>）</w:t>
                  </w:r>
                </w:p>
              </w:tc>
              <w:tc>
                <w:tcPr>
                  <w:tcW w:w="835" w:type="pct"/>
                  <w:tcBorders>
                    <w:tl2br w:val="nil"/>
                    <w:tr2bl w:val="nil"/>
                  </w:tcBorders>
                  <w:noWrap w:val="0"/>
                  <w:vAlign w:val="center"/>
                </w:tcPr>
                <w:p w14:paraId="70402A3E">
                  <w:pPr>
                    <w:pStyle w:val="100"/>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val="0"/>
                      <w:bCs w:val="0"/>
                      <w:color w:val="auto"/>
                      <w:spacing w:val="3"/>
                      <w:position w:val="-1"/>
                      <w:sz w:val="21"/>
                      <w:szCs w:val="21"/>
                      <w:highlight w:val="none"/>
                    </w:rPr>
                  </w:pPr>
                  <w:r>
                    <w:rPr>
                      <w:rFonts w:ascii="Times New Roman" w:hAnsi="Times New Roman" w:eastAsia="Times New Roman" w:cs="Times New Roman"/>
                      <w:b w:val="0"/>
                      <w:bCs w:val="0"/>
                      <w:color w:val="auto"/>
                      <w:sz w:val="21"/>
                      <w:szCs w:val="21"/>
                      <w:highlight w:val="none"/>
                    </w:rPr>
                    <w:t>PM</w:t>
                  </w:r>
                  <w:r>
                    <w:rPr>
                      <w:rFonts w:ascii="Times New Roman" w:hAnsi="Times New Roman" w:eastAsia="Times New Roman" w:cs="Times New Roman"/>
                      <w:b w:val="0"/>
                      <w:bCs w:val="0"/>
                      <w:color w:val="auto"/>
                      <w:spacing w:val="3"/>
                      <w:position w:val="-1"/>
                      <w:sz w:val="21"/>
                      <w:szCs w:val="21"/>
                      <w:highlight w:val="none"/>
                      <w:vertAlign w:val="subscript"/>
                    </w:rPr>
                    <w:t>2.5</w:t>
                  </w:r>
                </w:p>
                <w:p w14:paraId="2E89231E">
                  <w:pPr>
                    <w:pStyle w:val="100"/>
                    <w:keepNext w:val="0"/>
                    <w:keepLines w:val="0"/>
                    <w:pageBreakBefore w:val="0"/>
                    <w:widowControl/>
                    <w:wordWrap/>
                    <w:overflowPunct/>
                    <w:topLinePunct w:val="0"/>
                    <w:bidi w:val="0"/>
                    <w:snapToGrid w:val="0"/>
                    <w:spacing w:line="240" w:lineRule="auto"/>
                    <w:ind w:left="0"/>
                    <w:jc w:val="center"/>
                    <w:rPr>
                      <w:b w:val="0"/>
                      <w:bCs w:val="0"/>
                      <w:color w:val="auto"/>
                      <w:sz w:val="21"/>
                      <w:szCs w:val="21"/>
                      <w:highlight w:val="none"/>
                    </w:rPr>
                  </w:pPr>
                  <w:r>
                    <w:rPr>
                      <w:b w:val="0"/>
                      <w:bCs w:val="0"/>
                      <w:color w:val="auto"/>
                      <w:spacing w:val="3"/>
                      <w:sz w:val="21"/>
                      <w:szCs w:val="21"/>
                      <w:highlight w:val="none"/>
                    </w:rPr>
                    <w:t>(</w:t>
                  </w:r>
                  <w:r>
                    <w:rPr>
                      <w:rFonts w:ascii="Times New Roman" w:hAnsi="Times New Roman" w:eastAsia="Times New Roman" w:cs="Times New Roman"/>
                      <w:b w:val="0"/>
                      <w:bCs w:val="0"/>
                      <w:color w:val="auto"/>
                      <w:spacing w:val="3"/>
                      <w:sz w:val="21"/>
                      <w:szCs w:val="21"/>
                      <w:highlight w:val="none"/>
                    </w:rPr>
                    <w:t>μg/m</w:t>
                  </w:r>
                  <w:r>
                    <w:rPr>
                      <w:rFonts w:hint="eastAsia" w:ascii="Times New Roman" w:hAnsi="Times New Roman" w:eastAsia="宋体" w:cs="Times New Roman"/>
                      <w:b w:val="0"/>
                      <w:bCs w:val="0"/>
                      <w:color w:val="auto"/>
                      <w:spacing w:val="3"/>
                      <w:sz w:val="21"/>
                      <w:szCs w:val="21"/>
                      <w:highlight w:val="none"/>
                      <w:vertAlign w:val="superscript"/>
                      <w:lang w:val="en-US" w:eastAsia="zh-CN"/>
                    </w:rPr>
                    <w:t>3</w:t>
                  </w:r>
                  <w:r>
                    <w:rPr>
                      <w:b w:val="0"/>
                      <w:bCs w:val="0"/>
                      <w:color w:val="auto"/>
                      <w:spacing w:val="3"/>
                      <w:sz w:val="21"/>
                      <w:szCs w:val="21"/>
                      <w:highlight w:val="none"/>
                    </w:rPr>
                    <w:t>）</w:t>
                  </w:r>
                </w:p>
              </w:tc>
              <w:tc>
                <w:tcPr>
                  <w:tcW w:w="789" w:type="pct"/>
                  <w:tcBorders>
                    <w:tl2br w:val="nil"/>
                    <w:tr2bl w:val="nil"/>
                  </w:tcBorders>
                  <w:noWrap w:val="0"/>
                  <w:vAlign w:val="center"/>
                </w:tcPr>
                <w:p w14:paraId="6A0082D7">
                  <w:pPr>
                    <w:keepNext w:val="0"/>
                    <w:keepLines w:val="0"/>
                    <w:pageBreakBefore w:val="0"/>
                    <w:widowControl/>
                    <w:suppressLineNumbers w:val="0"/>
                    <w:wordWrap/>
                    <w:overflowPunct/>
                    <w:topLinePunct w:val="0"/>
                    <w:bidi w:val="0"/>
                    <w:snapToGrid w:val="0"/>
                    <w:spacing w:line="240" w:lineRule="auto"/>
                    <w:ind w:left="0"/>
                    <w:jc w:val="center"/>
                    <w:rPr>
                      <w:rFonts w:ascii="Times New Roman" w:hAnsi="Times New Roman" w:eastAsia="Times New Roman" w:cs="Times New Roman"/>
                      <w:b w:val="0"/>
                      <w:bCs w:val="0"/>
                      <w:snapToGrid w:val="0"/>
                      <w:color w:val="auto"/>
                      <w:kern w:val="0"/>
                      <w:sz w:val="21"/>
                      <w:szCs w:val="21"/>
                      <w:highlight w:val="none"/>
                      <w:lang w:val="en-US" w:eastAsia="en-US" w:bidi="ar-SA"/>
                    </w:rPr>
                  </w:pPr>
                  <w:r>
                    <w:rPr>
                      <w:rFonts w:hint="default" w:ascii="Times New Roman" w:hAnsi="Times New Roman" w:eastAsia="Times New Roman" w:cs="Times New Roman"/>
                      <w:b w:val="0"/>
                      <w:bCs w:val="0"/>
                      <w:snapToGrid w:val="0"/>
                      <w:color w:val="auto"/>
                      <w:kern w:val="0"/>
                      <w:sz w:val="21"/>
                      <w:szCs w:val="21"/>
                      <w:highlight w:val="none"/>
                      <w:lang w:val="en-US" w:eastAsia="zh-CN" w:bidi="ar-SA"/>
                    </w:rPr>
                    <w:t>CO95</w:t>
                  </w:r>
                  <w:r>
                    <w:rPr>
                      <w:rFonts w:hint="eastAsia" w:ascii="Times New Roman" w:hAnsi="Times New Roman" w:eastAsia="Times New Roman" w:cs="Times New Roman"/>
                      <w:b w:val="0"/>
                      <w:bCs w:val="0"/>
                      <w:snapToGrid w:val="0"/>
                      <w:color w:val="auto"/>
                      <w:kern w:val="0"/>
                      <w:sz w:val="21"/>
                      <w:szCs w:val="21"/>
                      <w:highlight w:val="none"/>
                      <w:lang w:val="en-US" w:eastAsia="zh-CN" w:bidi="ar-SA"/>
                    </w:rPr>
                    <w:t>百分数浓度值</w:t>
                  </w:r>
                  <w:r>
                    <w:rPr>
                      <w:rFonts w:hint="default" w:ascii="Times New Roman" w:hAnsi="Times New Roman" w:eastAsia="Times New Roman" w:cs="Times New Roman"/>
                      <w:b w:val="0"/>
                      <w:bCs w:val="0"/>
                      <w:snapToGrid w:val="0"/>
                      <w:color w:val="auto"/>
                      <w:kern w:val="0"/>
                      <w:sz w:val="21"/>
                      <w:szCs w:val="21"/>
                      <w:highlight w:val="none"/>
                      <w:lang w:val="en-US" w:eastAsia="zh-CN" w:bidi="ar-SA"/>
                    </w:rPr>
                    <w:t>(mg/m</w:t>
                  </w:r>
                  <w:r>
                    <w:rPr>
                      <w:rFonts w:hint="default" w:ascii="Times New Roman" w:hAnsi="Times New Roman" w:eastAsia="Times New Roman" w:cs="Times New Roman"/>
                      <w:b w:val="0"/>
                      <w:bCs w:val="0"/>
                      <w:snapToGrid w:val="0"/>
                      <w:color w:val="auto"/>
                      <w:kern w:val="0"/>
                      <w:sz w:val="21"/>
                      <w:szCs w:val="21"/>
                      <w:highlight w:val="none"/>
                      <w:vertAlign w:val="superscript"/>
                      <w:lang w:val="en-US" w:eastAsia="zh-CN" w:bidi="ar-SA"/>
                    </w:rPr>
                    <w:t>3</w:t>
                  </w:r>
                  <w:r>
                    <w:rPr>
                      <w:rFonts w:hint="default" w:ascii="Times New Roman" w:hAnsi="Times New Roman" w:eastAsia="Times New Roman" w:cs="Times New Roman"/>
                      <w:b w:val="0"/>
                      <w:bCs w:val="0"/>
                      <w:snapToGrid w:val="0"/>
                      <w:color w:val="auto"/>
                      <w:kern w:val="0"/>
                      <w:sz w:val="21"/>
                      <w:szCs w:val="21"/>
                      <w:highlight w:val="none"/>
                      <w:lang w:val="en-US" w:eastAsia="zh-CN" w:bidi="ar-SA"/>
                    </w:rPr>
                    <w:t>)</w:t>
                  </w:r>
                </w:p>
              </w:tc>
              <w:tc>
                <w:tcPr>
                  <w:tcW w:w="754" w:type="pct"/>
                  <w:tcBorders>
                    <w:tl2br w:val="nil"/>
                    <w:tr2bl w:val="nil"/>
                  </w:tcBorders>
                  <w:noWrap w:val="0"/>
                  <w:vAlign w:val="center"/>
                </w:tcPr>
                <w:p w14:paraId="5A4E9E97">
                  <w:pPr>
                    <w:keepNext w:val="0"/>
                    <w:keepLines w:val="0"/>
                    <w:pageBreakBefore w:val="0"/>
                    <w:widowControl/>
                    <w:suppressLineNumbers w:val="0"/>
                    <w:wordWrap/>
                    <w:overflowPunct/>
                    <w:topLinePunct w:val="0"/>
                    <w:bidi w:val="0"/>
                    <w:snapToGrid w:val="0"/>
                    <w:spacing w:line="240" w:lineRule="auto"/>
                    <w:ind w:left="0"/>
                    <w:jc w:val="center"/>
                    <w:rPr>
                      <w:rFonts w:ascii="Times New Roman" w:hAnsi="Times New Roman" w:eastAsia="Times New Roman" w:cs="Times New Roman"/>
                      <w:b w:val="0"/>
                      <w:bCs w:val="0"/>
                      <w:snapToGrid w:val="0"/>
                      <w:color w:val="auto"/>
                      <w:kern w:val="0"/>
                      <w:sz w:val="21"/>
                      <w:szCs w:val="21"/>
                      <w:highlight w:val="none"/>
                      <w:lang w:val="en-US" w:eastAsia="en-US" w:bidi="ar-SA"/>
                    </w:rPr>
                  </w:pPr>
                  <w:r>
                    <w:rPr>
                      <w:rFonts w:hint="default" w:ascii="Times New Roman" w:hAnsi="Times New Roman" w:eastAsia="Times New Roman" w:cs="Times New Roman"/>
                      <w:b w:val="0"/>
                      <w:bCs w:val="0"/>
                      <w:snapToGrid w:val="0"/>
                      <w:color w:val="auto"/>
                      <w:kern w:val="0"/>
                      <w:sz w:val="21"/>
                      <w:szCs w:val="21"/>
                      <w:highlight w:val="none"/>
                      <w:lang w:val="en-US" w:eastAsia="zh-CN" w:bidi="ar-SA"/>
                    </w:rPr>
                    <w:t>O</w:t>
                  </w:r>
                  <w:r>
                    <w:rPr>
                      <w:rFonts w:hint="default" w:ascii="Times New Roman" w:hAnsi="Times New Roman" w:eastAsia="Times New Roman" w:cs="Times New Roman"/>
                      <w:b w:val="0"/>
                      <w:bCs w:val="0"/>
                      <w:snapToGrid w:val="0"/>
                      <w:color w:val="auto"/>
                      <w:kern w:val="0"/>
                      <w:sz w:val="21"/>
                      <w:szCs w:val="21"/>
                      <w:highlight w:val="none"/>
                      <w:vertAlign w:val="subscript"/>
                      <w:lang w:val="en-US" w:eastAsia="zh-CN" w:bidi="ar-SA"/>
                    </w:rPr>
                    <w:t>3</w:t>
                  </w:r>
                  <w:r>
                    <w:rPr>
                      <w:rFonts w:hint="default" w:ascii="Times New Roman" w:hAnsi="Times New Roman" w:eastAsia="Times New Roman" w:cs="Times New Roman"/>
                      <w:b w:val="0"/>
                      <w:bCs w:val="0"/>
                      <w:snapToGrid w:val="0"/>
                      <w:color w:val="auto"/>
                      <w:kern w:val="0"/>
                      <w:sz w:val="21"/>
                      <w:szCs w:val="21"/>
                      <w:highlight w:val="none"/>
                      <w:lang w:val="en-US" w:eastAsia="zh-CN" w:bidi="ar-SA"/>
                    </w:rPr>
                    <w:t>90</w:t>
                  </w:r>
                  <w:r>
                    <w:rPr>
                      <w:rFonts w:hint="eastAsia" w:ascii="Times New Roman" w:hAnsi="Times New Roman" w:eastAsia="Times New Roman" w:cs="Times New Roman"/>
                      <w:b w:val="0"/>
                      <w:bCs w:val="0"/>
                      <w:snapToGrid w:val="0"/>
                      <w:color w:val="auto"/>
                      <w:kern w:val="0"/>
                      <w:sz w:val="21"/>
                      <w:szCs w:val="21"/>
                      <w:highlight w:val="none"/>
                      <w:lang w:val="en-US" w:eastAsia="zh-CN" w:bidi="ar-SA"/>
                    </w:rPr>
                    <w:t>百分数浓度值(</w:t>
                  </w:r>
                  <w:r>
                    <w:rPr>
                      <w:rFonts w:hint="default" w:ascii="Times New Roman" w:hAnsi="Times New Roman" w:eastAsia="Times New Roman" w:cs="Times New Roman"/>
                      <w:b w:val="0"/>
                      <w:bCs w:val="0"/>
                      <w:snapToGrid w:val="0"/>
                      <w:color w:val="auto"/>
                      <w:kern w:val="0"/>
                      <w:sz w:val="21"/>
                      <w:szCs w:val="21"/>
                      <w:highlight w:val="none"/>
                      <w:lang w:val="en-US" w:eastAsia="zh-CN" w:bidi="ar-SA"/>
                    </w:rPr>
                    <w:t>μg/m</w:t>
                  </w:r>
                  <w:r>
                    <w:rPr>
                      <w:rFonts w:hint="eastAsia" w:ascii="Times New Roman" w:hAnsi="Times New Roman" w:eastAsia="Times New Roman" w:cs="Times New Roman"/>
                      <w:b w:val="0"/>
                      <w:bCs w:val="0"/>
                      <w:snapToGrid w:val="0"/>
                      <w:color w:val="auto"/>
                      <w:kern w:val="0"/>
                      <w:sz w:val="21"/>
                      <w:szCs w:val="21"/>
                      <w:highlight w:val="none"/>
                      <w:vertAlign w:val="superscript"/>
                      <w:lang w:val="en-US" w:eastAsia="zh-CN" w:bidi="ar-SA"/>
                    </w:rPr>
                    <w:t>3</w:t>
                  </w:r>
                  <w:r>
                    <w:rPr>
                      <w:rFonts w:hint="eastAsia" w:ascii="Times New Roman" w:hAnsi="Times New Roman" w:eastAsia="Times New Roman" w:cs="Times New Roman"/>
                      <w:b w:val="0"/>
                      <w:bCs w:val="0"/>
                      <w:snapToGrid w:val="0"/>
                      <w:color w:val="auto"/>
                      <w:kern w:val="0"/>
                      <w:sz w:val="21"/>
                      <w:szCs w:val="21"/>
                      <w:highlight w:val="none"/>
                      <w:lang w:val="en-US" w:eastAsia="zh-CN" w:bidi="ar-SA"/>
                    </w:rPr>
                    <w:t>)</w:t>
                  </w:r>
                </w:p>
              </w:tc>
            </w:tr>
            <w:tr w14:paraId="7687D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653449A8">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月</w:t>
                  </w:r>
                </w:p>
              </w:tc>
              <w:tc>
                <w:tcPr>
                  <w:tcW w:w="562" w:type="pct"/>
                  <w:tcBorders>
                    <w:tl2br w:val="nil"/>
                    <w:tr2bl w:val="nil"/>
                  </w:tcBorders>
                  <w:noWrap w:val="0"/>
                  <w:vAlign w:val="center"/>
                </w:tcPr>
                <w:p w14:paraId="765462E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13</w:t>
                  </w:r>
                </w:p>
              </w:tc>
              <w:tc>
                <w:tcPr>
                  <w:tcW w:w="678" w:type="pct"/>
                  <w:tcBorders>
                    <w:tl2br w:val="nil"/>
                    <w:tr2bl w:val="nil"/>
                  </w:tcBorders>
                  <w:noWrap w:val="0"/>
                  <w:vAlign w:val="center"/>
                </w:tcPr>
                <w:p w14:paraId="725A85F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567" w:type="pct"/>
                  <w:tcBorders>
                    <w:tl2br w:val="nil"/>
                    <w:tr2bl w:val="nil"/>
                  </w:tcBorders>
                  <w:noWrap w:val="0"/>
                  <w:vAlign w:val="center"/>
                </w:tcPr>
                <w:p w14:paraId="7B32854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126</w:t>
                  </w:r>
                </w:p>
              </w:tc>
              <w:tc>
                <w:tcPr>
                  <w:tcW w:w="835" w:type="pct"/>
                  <w:tcBorders>
                    <w:tl2br w:val="nil"/>
                    <w:tr2bl w:val="nil"/>
                  </w:tcBorders>
                  <w:noWrap w:val="0"/>
                  <w:vAlign w:val="center"/>
                </w:tcPr>
                <w:p w14:paraId="0244B00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91</w:t>
                  </w:r>
                </w:p>
              </w:tc>
              <w:tc>
                <w:tcPr>
                  <w:tcW w:w="789" w:type="pct"/>
                  <w:tcBorders>
                    <w:tl2br w:val="nil"/>
                    <w:tr2bl w:val="nil"/>
                  </w:tcBorders>
                  <w:noWrap w:val="0"/>
                  <w:vAlign w:val="center"/>
                </w:tcPr>
                <w:p w14:paraId="12BA3EA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w:t>
                  </w:r>
                </w:p>
              </w:tc>
              <w:tc>
                <w:tcPr>
                  <w:tcW w:w="754" w:type="pct"/>
                  <w:tcBorders>
                    <w:tl2br w:val="nil"/>
                    <w:tr2bl w:val="nil"/>
                  </w:tcBorders>
                  <w:noWrap w:val="0"/>
                  <w:vAlign w:val="center"/>
                </w:tcPr>
                <w:p w14:paraId="0313E6F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78</w:t>
                  </w:r>
                </w:p>
              </w:tc>
            </w:tr>
            <w:tr w14:paraId="334B0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0004D5CC">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2"/>
                      <w:sz w:val="21"/>
                      <w:szCs w:val="21"/>
                      <w:highlight w:val="none"/>
                    </w:rPr>
                    <w:t>2</w:t>
                  </w:r>
                  <w:r>
                    <w:rPr>
                      <w:color w:val="auto"/>
                      <w:spacing w:val="2"/>
                      <w:sz w:val="21"/>
                      <w:szCs w:val="21"/>
                      <w:highlight w:val="none"/>
                    </w:rPr>
                    <w:t>月</w:t>
                  </w:r>
                </w:p>
              </w:tc>
              <w:tc>
                <w:tcPr>
                  <w:tcW w:w="562" w:type="pct"/>
                  <w:tcBorders>
                    <w:tl2br w:val="nil"/>
                    <w:tr2bl w:val="nil"/>
                  </w:tcBorders>
                  <w:noWrap w:val="0"/>
                  <w:vAlign w:val="center"/>
                </w:tcPr>
                <w:p w14:paraId="3989B89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12</w:t>
                  </w:r>
                </w:p>
              </w:tc>
              <w:tc>
                <w:tcPr>
                  <w:tcW w:w="678" w:type="pct"/>
                  <w:tcBorders>
                    <w:tl2br w:val="nil"/>
                    <w:tr2bl w:val="nil"/>
                  </w:tcBorders>
                  <w:noWrap w:val="0"/>
                  <w:vAlign w:val="center"/>
                </w:tcPr>
                <w:p w14:paraId="2F10E89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567" w:type="pct"/>
                  <w:tcBorders>
                    <w:tl2br w:val="nil"/>
                    <w:tr2bl w:val="nil"/>
                  </w:tcBorders>
                  <w:noWrap w:val="0"/>
                  <w:vAlign w:val="center"/>
                </w:tcPr>
                <w:p w14:paraId="6A4F751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101</w:t>
                  </w:r>
                </w:p>
              </w:tc>
              <w:tc>
                <w:tcPr>
                  <w:tcW w:w="835" w:type="pct"/>
                  <w:tcBorders>
                    <w:tl2br w:val="nil"/>
                    <w:tr2bl w:val="nil"/>
                  </w:tcBorders>
                  <w:noWrap w:val="0"/>
                  <w:vAlign w:val="center"/>
                </w:tcPr>
                <w:p w14:paraId="1D0905B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74</w:t>
                  </w:r>
                </w:p>
              </w:tc>
              <w:tc>
                <w:tcPr>
                  <w:tcW w:w="789" w:type="pct"/>
                  <w:tcBorders>
                    <w:tl2br w:val="nil"/>
                    <w:tr2bl w:val="nil"/>
                  </w:tcBorders>
                  <w:noWrap w:val="0"/>
                  <w:vAlign w:val="center"/>
                </w:tcPr>
                <w:p w14:paraId="5E59625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1.6</w:t>
                  </w:r>
                </w:p>
              </w:tc>
              <w:tc>
                <w:tcPr>
                  <w:tcW w:w="754" w:type="pct"/>
                  <w:tcBorders>
                    <w:tl2br w:val="nil"/>
                    <w:tr2bl w:val="nil"/>
                  </w:tcBorders>
                  <w:noWrap w:val="0"/>
                  <w:vAlign w:val="center"/>
                </w:tcPr>
                <w:p w14:paraId="0E29BC1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106</w:t>
                  </w:r>
                </w:p>
              </w:tc>
            </w:tr>
            <w:tr w14:paraId="2849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0194A2AE">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3</w:t>
                  </w:r>
                  <w:r>
                    <w:rPr>
                      <w:color w:val="auto"/>
                      <w:spacing w:val="1"/>
                      <w:sz w:val="21"/>
                      <w:szCs w:val="21"/>
                      <w:highlight w:val="none"/>
                    </w:rPr>
                    <w:t>月</w:t>
                  </w:r>
                </w:p>
              </w:tc>
              <w:tc>
                <w:tcPr>
                  <w:tcW w:w="562" w:type="pct"/>
                  <w:tcBorders>
                    <w:tl2br w:val="nil"/>
                    <w:tr2bl w:val="nil"/>
                  </w:tcBorders>
                  <w:noWrap w:val="0"/>
                  <w:vAlign w:val="center"/>
                </w:tcPr>
                <w:p w14:paraId="34862D2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678" w:type="pct"/>
                  <w:tcBorders>
                    <w:tl2br w:val="nil"/>
                    <w:tr2bl w:val="nil"/>
                  </w:tcBorders>
                  <w:noWrap w:val="0"/>
                  <w:vAlign w:val="center"/>
                </w:tcPr>
                <w:p w14:paraId="6FE8917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567" w:type="pct"/>
                  <w:tcBorders>
                    <w:tl2br w:val="nil"/>
                    <w:tr2bl w:val="nil"/>
                  </w:tcBorders>
                  <w:noWrap w:val="0"/>
                  <w:vAlign w:val="center"/>
                </w:tcPr>
                <w:p w14:paraId="233AA4E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85</w:t>
                  </w:r>
                </w:p>
              </w:tc>
              <w:tc>
                <w:tcPr>
                  <w:tcW w:w="835" w:type="pct"/>
                  <w:tcBorders>
                    <w:tl2br w:val="nil"/>
                    <w:tr2bl w:val="nil"/>
                  </w:tcBorders>
                  <w:noWrap w:val="0"/>
                  <w:vAlign w:val="center"/>
                </w:tcPr>
                <w:p w14:paraId="75A8655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789" w:type="pct"/>
                  <w:tcBorders>
                    <w:tl2br w:val="nil"/>
                    <w:tr2bl w:val="nil"/>
                  </w:tcBorders>
                  <w:noWrap w:val="0"/>
                  <w:vAlign w:val="center"/>
                </w:tcPr>
                <w:p w14:paraId="1C90D20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0.9</w:t>
                  </w:r>
                </w:p>
              </w:tc>
              <w:tc>
                <w:tcPr>
                  <w:tcW w:w="754" w:type="pct"/>
                  <w:tcBorders>
                    <w:tl2br w:val="nil"/>
                    <w:tr2bl w:val="nil"/>
                  </w:tcBorders>
                  <w:noWrap w:val="0"/>
                  <w:vAlign w:val="center"/>
                </w:tcPr>
                <w:p w14:paraId="049BF60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142</w:t>
                  </w:r>
                </w:p>
              </w:tc>
            </w:tr>
            <w:tr w14:paraId="603C2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131A0269">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2"/>
                      <w:sz w:val="21"/>
                      <w:szCs w:val="21"/>
                      <w:highlight w:val="none"/>
                    </w:rPr>
                    <w:t>4</w:t>
                  </w:r>
                  <w:r>
                    <w:rPr>
                      <w:color w:val="auto"/>
                      <w:spacing w:val="2"/>
                      <w:sz w:val="21"/>
                      <w:szCs w:val="21"/>
                      <w:highlight w:val="none"/>
                    </w:rPr>
                    <w:t>月</w:t>
                  </w:r>
                </w:p>
              </w:tc>
              <w:tc>
                <w:tcPr>
                  <w:tcW w:w="562" w:type="pct"/>
                  <w:tcBorders>
                    <w:tl2br w:val="nil"/>
                    <w:tr2bl w:val="nil"/>
                  </w:tcBorders>
                  <w:noWrap w:val="0"/>
                  <w:vAlign w:val="center"/>
                </w:tcPr>
                <w:p w14:paraId="15E08F7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678" w:type="pct"/>
                  <w:tcBorders>
                    <w:tl2br w:val="nil"/>
                    <w:tr2bl w:val="nil"/>
                  </w:tcBorders>
                  <w:noWrap w:val="0"/>
                  <w:vAlign w:val="center"/>
                </w:tcPr>
                <w:p w14:paraId="6A9A52F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567" w:type="pct"/>
                  <w:tcBorders>
                    <w:tl2br w:val="nil"/>
                    <w:tr2bl w:val="nil"/>
                  </w:tcBorders>
                  <w:noWrap w:val="0"/>
                  <w:vAlign w:val="center"/>
                </w:tcPr>
                <w:p w14:paraId="24BD322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73</w:t>
                  </w:r>
                </w:p>
              </w:tc>
              <w:tc>
                <w:tcPr>
                  <w:tcW w:w="835" w:type="pct"/>
                  <w:tcBorders>
                    <w:tl2br w:val="nil"/>
                    <w:tr2bl w:val="nil"/>
                  </w:tcBorders>
                  <w:noWrap w:val="0"/>
                  <w:vAlign w:val="center"/>
                </w:tcPr>
                <w:p w14:paraId="682E92F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34</w:t>
                  </w:r>
                </w:p>
              </w:tc>
              <w:tc>
                <w:tcPr>
                  <w:tcW w:w="789" w:type="pct"/>
                  <w:tcBorders>
                    <w:tl2br w:val="nil"/>
                    <w:tr2bl w:val="nil"/>
                  </w:tcBorders>
                  <w:noWrap w:val="0"/>
                  <w:vAlign w:val="center"/>
                </w:tcPr>
                <w:p w14:paraId="01686DF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0.8</w:t>
                  </w:r>
                </w:p>
              </w:tc>
              <w:tc>
                <w:tcPr>
                  <w:tcW w:w="754" w:type="pct"/>
                  <w:tcBorders>
                    <w:tl2br w:val="nil"/>
                    <w:tr2bl w:val="nil"/>
                  </w:tcBorders>
                  <w:noWrap w:val="0"/>
                  <w:vAlign w:val="center"/>
                </w:tcPr>
                <w:p w14:paraId="7A1574B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164</w:t>
                  </w:r>
                </w:p>
              </w:tc>
            </w:tr>
            <w:tr w14:paraId="4BE9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276F27CB">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5</w:t>
                  </w:r>
                  <w:r>
                    <w:rPr>
                      <w:color w:val="auto"/>
                      <w:spacing w:val="1"/>
                      <w:sz w:val="21"/>
                      <w:szCs w:val="21"/>
                      <w:highlight w:val="none"/>
                    </w:rPr>
                    <w:t>月</w:t>
                  </w:r>
                </w:p>
              </w:tc>
              <w:tc>
                <w:tcPr>
                  <w:tcW w:w="562" w:type="pct"/>
                  <w:tcBorders>
                    <w:tl2br w:val="nil"/>
                    <w:tr2bl w:val="nil"/>
                  </w:tcBorders>
                  <w:noWrap w:val="0"/>
                  <w:vAlign w:val="center"/>
                </w:tcPr>
                <w:p w14:paraId="5A0DCEF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678" w:type="pct"/>
                  <w:tcBorders>
                    <w:tl2br w:val="nil"/>
                    <w:tr2bl w:val="nil"/>
                  </w:tcBorders>
                  <w:noWrap w:val="0"/>
                  <w:vAlign w:val="center"/>
                </w:tcPr>
                <w:p w14:paraId="79D646F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567" w:type="pct"/>
                  <w:tcBorders>
                    <w:tl2br w:val="nil"/>
                    <w:tr2bl w:val="nil"/>
                  </w:tcBorders>
                  <w:noWrap w:val="0"/>
                  <w:vAlign w:val="center"/>
                </w:tcPr>
                <w:p w14:paraId="6B4F3C3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52</w:t>
                  </w:r>
                </w:p>
              </w:tc>
              <w:tc>
                <w:tcPr>
                  <w:tcW w:w="835" w:type="pct"/>
                  <w:tcBorders>
                    <w:tl2br w:val="nil"/>
                    <w:tr2bl w:val="nil"/>
                  </w:tcBorders>
                  <w:noWrap w:val="0"/>
                  <w:vAlign w:val="center"/>
                </w:tcPr>
                <w:p w14:paraId="1D615BE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789" w:type="pct"/>
                  <w:tcBorders>
                    <w:tl2br w:val="nil"/>
                    <w:tr2bl w:val="nil"/>
                  </w:tcBorders>
                  <w:noWrap w:val="0"/>
                  <w:vAlign w:val="center"/>
                </w:tcPr>
                <w:p w14:paraId="102D087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0.8</w:t>
                  </w:r>
                </w:p>
              </w:tc>
              <w:tc>
                <w:tcPr>
                  <w:tcW w:w="754" w:type="pct"/>
                  <w:tcBorders>
                    <w:tl2br w:val="nil"/>
                    <w:tr2bl w:val="nil"/>
                  </w:tcBorders>
                  <w:noWrap w:val="0"/>
                  <w:vAlign w:val="center"/>
                </w:tcPr>
                <w:p w14:paraId="5BEDDB6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169</w:t>
                  </w:r>
                </w:p>
              </w:tc>
            </w:tr>
            <w:tr w14:paraId="466B7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4702A0C3">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6</w:t>
                  </w:r>
                  <w:r>
                    <w:rPr>
                      <w:color w:val="auto"/>
                      <w:spacing w:val="1"/>
                      <w:sz w:val="21"/>
                      <w:szCs w:val="21"/>
                      <w:highlight w:val="none"/>
                    </w:rPr>
                    <w:t>月</w:t>
                  </w:r>
                </w:p>
              </w:tc>
              <w:tc>
                <w:tcPr>
                  <w:tcW w:w="562" w:type="pct"/>
                  <w:tcBorders>
                    <w:tl2br w:val="nil"/>
                    <w:tr2bl w:val="nil"/>
                  </w:tcBorders>
                  <w:noWrap w:val="0"/>
                  <w:vAlign w:val="center"/>
                </w:tcPr>
                <w:p w14:paraId="2B6E5E6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w:t>
                  </w:r>
                </w:p>
              </w:tc>
              <w:tc>
                <w:tcPr>
                  <w:tcW w:w="678" w:type="pct"/>
                  <w:tcBorders>
                    <w:tl2br w:val="nil"/>
                    <w:tr2bl w:val="nil"/>
                  </w:tcBorders>
                  <w:noWrap w:val="0"/>
                  <w:vAlign w:val="center"/>
                </w:tcPr>
                <w:p w14:paraId="3046369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567" w:type="pct"/>
                  <w:tcBorders>
                    <w:tl2br w:val="nil"/>
                    <w:tr2bl w:val="nil"/>
                  </w:tcBorders>
                  <w:noWrap w:val="0"/>
                  <w:vAlign w:val="center"/>
                </w:tcPr>
                <w:p w14:paraId="1B8C7E9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w:t>
                  </w:r>
                </w:p>
              </w:tc>
              <w:tc>
                <w:tcPr>
                  <w:tcW w:w="835" w:type="pct"/>
                  <w:tcBorders>
                    <w:tl2br w:val="nil"/>
                    <w:tr2bl w:val="nil"/>
                  </w:tcBorders>
                  <w:noWrap w:val="0"/>
                  <w:vAlign w:val="center"/>
                </w:tcPr>
                <w:p w14:paraId="1A9473D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789" w:type="pct"/>
                  <w:tcBorders>
                    <w:tl2br w:val="nil"/>
                    <w:tr2bl w:val="nil"/>
                  </w:tcBorders>
                  <w:noWrap w:val="0"/>
                  <w:vAlign w:val="center"/>
                </w:tcPr>
                <w:p w14:paraId="1DA39B2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0.9</w:t>
                  </w:r>
                </w:p>
              </w:tc>
              <w:tc>
                <w:tcPr>
                  <w:tcW w:w="754" w:type="pct"/>
                  <w:tcBorders>
                    <w:tl2br w:val="nil"/>
                    <w:tr2bl w:val="nil"/>
                  </w:tcBorders>
                  <w:noWrap w:val="0"/>
                  <w:vAlign w:val="center"/>
                </w:tcPr>
                <w:p w14:paraId="443ADC6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216</w:t>
                  </w:r>
                </w:p>
              </w:tc>
            </w:tr>
            <w:tr w14:paraId="61ADD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26CBA537">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7</w:t>
                  </w:r>
                  <w:r>
                    <w:rPr>
                      <w:color w:val="auto"/>
                      <w:spacing w:val="1"/>
                      <w:sz w:val="21"/>
                      <w:szCs w:val="21"/>
                      <w:highlight w:val="none"/>
                    </w:rPr>
                    <w:t>月</w:t>
                  </w:r>
                </w:p>
              </w:tc>
              <w:tc>
                <w:tcPr>
                  <w:tcW w:w="562" w:type="pct"/>
                  <w:tcBorders>
                    <w:tl2br w:val="nil"/>
                    <w:tr2bl w:val="nil"/>
                  </w:tcBorders>
                  <w:noWrap w:val="0"/>
                  <w:vAlign w:val="center"/>
                </w:tcPr>
                <w:p w14:paraId="6E9E3C6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p>
              </w:tc>
              <w:tc>
                <w:tcPr>
                  <w:tcW w:w="678" w:type="pct"/>
                  <w:tcBorders>
                    <w:tl2br w:val="nil"/>
                    <w:tr2bl w:val="nil"/>
                  </w:tcBorders>
                  <w:noWrap w:val="0"/>
                  <w:vAlign w:val="center"/>
                </w:tcPr>
                <w:p w14:paraId="3C0EDF6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13</w:t>
                  </w:r>
                </w:p>
              </w:tc>
              <w:tc>
                <w:tcPr>
                  <w:tcW w:w="567" w:type="pct"/>
                  <w:tcBorders>
                    <w:tl2br w:val="nil"/>
                    <w:tr2bl w:val="nil"/>
                  </w:tcBorders>
                  <w:noWrap w:val="0"/>
                  <w:vAlign w:val="center"/>
                </w:tcPr>
                <w:p w14:paraId="41CD4C3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835" w:type="pct"/>
                  <w:tcBorders>
                    <w:tl2br w:val="nil"/>
                    <w:tr2bl w:val="nil"/>
                  </w:tcBorders>
                  <w:noWrap w:val="0"/>
                  <w:vAlign w:val="center"/>
                </w:tcPr>
                <w:p w14:paraId="0A2F9A8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789" w:type="pct"/>
                  <w:tcBorders>
                    <w:tl2br w:val="nil"/>
                    <w:tr2bl w:val="nil"/>
                  </w:tcBorders>
                  <w:noWrap w:val="0"/>
                  <w:vAlign w:val="center"/>
                </w:tcPr>
                <w:p w14:paraId="5EB4F2E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0.8</w:t>
                  </w:r>
                </w:p>
              </w:tc>
              <w:tc>
                <w:tcPr>
                  <w:tcW w:w="754" w:type="pct"/>
                  <w:tcBorders>
                    <w:tl2br w:val="nil"/>
                    <w:tr2bl w:val="nil"/>
                  </w:tcBorders>
                  <w:noWrap w:val="0"/>
                  <w:vAlign w:val="center"/>
                </w:tcPr>
                <w:p w14:paraId="3843A50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172</w:t>
                  </w:r>
                </w:p>
              </w:tc>
            </w:tr>
            <w:tr w14:paraId="3EBBE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1A0F05C0">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eastAsia="宋体"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8</w:t>
                  </w:r>
                  <w:r>
                    <w:rPr>
                      <w:color w:val="auto"/>
                      <w:spacing w:val="1"/>
                      <w:sz w:val="21"/>
                      <w:szCs w:val="21"/>
                      <w:highlight w:val="none"/>
                    </w:rPr>
                    <w:t>月</w:t>
                  </w:r>
                </w:p>
              </w:tc>
              <w:tc>
                <w:tcPr>
                  <w:tcW w:w="562" w:type="pct"/>
                  <w:tcBorders>
                    <w:tl2br w:val="nil"/>
                    <w:tr2bl w:val="nil"/>
                  </w:tcBorders>
                  <w:noWrap w:val="0"/>
                  <w:vAlign w:val="center"/>
                </w:tcPr>
                <w:p w14:paraId="1149ECC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p>
              </w:tc>
              <w:tc>
                <w:tcPr>
                  <w:tcW w:w="678" w:type="pct"/>
                  <w:tcBorders>
                    <w:tl2br w:val="nil"/>
                    <w:tr2bl w:val="nil"/>
                  </w:tcBorders>
                  <w:noWrap w:val="0"/>
                  <w:vAlign w:val="center"/>
                </w:tcPr>
                <w:p w14:paraId="6CD7EA9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w:t>
                  </w:r>
                </w:p>
              </w:tc>
              <w:tc>
                <w:tcPr>
                  <w:tcW w:w="567" w:type="pct"/>
                  <w:tcBorders>
                    <w:tl2br w:val="nil"/>
                    <w:tr2bl w:val="nil"/>
                  </w:tcBorders>
                  <w:noWrap w:val="0"/>
                  <w:vAlign w:val="center"/>
                </w:tcPr>
                <w:p w14:paraId="5DF0293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w:t>
                  </w:r>
                </w:p>
              </w:tc>
              <w:tc>
                <w:tcPr>
                  <w:tcW w:w="835" w:type="pct"/>
                  <w:tcBorders>
                    <w:tl2br w:val="nil"/>
                    <w:tr2bl w:val="nil"/>
                  </w:tcBorders>
                  <w:noWrap w:val="0"/>
                  <w:vAlign w:val="center"/>
                </w:tcPr>
                <w:p w14:paraId="299FDBF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789" w:type="pct"/>
                  <w:tcBorders>
                    <w:tl2br w:val="nil"/>
                    <w:tr2bl w:val="nil"/>
                  </w:tcBorders>
                  <w:noWrap w:val="0"/>
                  <w:vAlign w:val="center"/>
                </w:tcPr>
                <w:p w14:paraId="7220D70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0.8</w:t>
                  </w:r>
                </w:p>
              </w:tc>
              <w:tc>
                <w:tcPr>
                  <w:tcW w:w="754" w:type="pct"/>
                  <w:tcBorders>
                    <w:tl2br w:val="nil"/>
                    <w:tr2bl w:val="nil"/>
                  </w:tcBorders>
                  <w:noWrap w:val="0"/>
                  <w:vAlign w:val="center"/>
                </w:tcPr>
                <w:p w14:paraId="2835ABB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175</w:t>
                  </w:r>
                </w:p>
              </w:tc>
            </w:tr>
            <w:tr w14:paraId="29F2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6C46E6AA">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9</w:t>
                  </w:r>
                  <w:r>
                    <w:rPr>
                      <w:color w:val="auto"/>
                      <w:spacing w:val="1"/>
                      <w:sz w:val="21"/>
                      <w:szCs w:val="21"/>
                      <w:highlight w:val="none"/>
                    </w:rPr>
                    <w:t>月</w:t>
                  </w:r>
                </w:p>
              </w:tc>
              <w:tc>
                <w:tcPr>
                  <w:tcW w:w="562" w:type="pct"/>
                  <w:tcBorders>
                    <w:tl2br w:val="nil"/>
                    <w:tr2bl w:val="nil"/>
                  </w:tcBorders>
                  <w:noWrap w:val="0"/>
                  <w:vAlign w:val="center"/>
                </w:tcPr>
                <w:p w14:paraId="1E37B2F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w:t>
                  </w:r>
                </w:p>
              </w:tc>
              <w:tc>
                <w:tcPr>
                  <w:tcW w:w="678" w:type="pct"/>
                  <w:tcBorders>
                    <w:tl2br w:val="nil"/>
                    <w:tr2bl w:val="nil"/>
                  </w:tcBorders>
                  <w:noWrap w:val="0"/>
                  <w:vAlign w:val="center"/>
                </w:tcPr>
                <w:p w14:paraId="017497A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567" w:type="pct"/>
                  <w:tcBorders>
                    <w:tl2br w:val="nil"/>
                    <w:tr2bl w:val="nil"/>
                  </w:tcBorders>
                  <w:noWrap w:val="0"/>
                  <w:vAlign w:val="center"/>
                </w:tcPr>
                <w:p w14:paraId="08060CB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835" w:type="pct"/>
                  <w:tcBorders>
                    <w:tl2br w:val="nil"/>
                    <w:tr2bl w:val="nil"/>
                  </w:tcBorders>
                  <w:noWrap w:val="0"/>
                  <w:vAlign w:val="center"/>
                </w:tcPr>
                <w:p w14:paraId="493FD82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789" w:type="pct"/>
                  <w:tcBorders>
                    <w:tl2br w:val="nil"/>
                    <w:tr2bl w:val="nil"/>
                  </w:tcBorders>
                  <w:noWrap w:val="0"/>
                  <w:vAlign w:val="center"/>
                </w:tcPr>
                <w:p w14:paraId="7BA551C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w:t>
                  </w:r>
                </w:p>
              </w:tc>
              <w:tc>
                <w:tcPr>
                  <w:tcW w:w="754" w:type="pct"/>
                  <w:tcBorders>
                    <w:tl2br w:val="nil"/>
                    <w:tr2bl w:val="nil"/>
                  </w:tcBorders>
                  <w:noWrap w:val="0"/>
                  <w:vAlign w:val="center"/>
                </w:tcPr>
                <w:p w14:paraId="3548C8C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176</w:t>
                  </w:r>
                </w:p>
              </w:tc>
            </w:tr>
            <w:tr w14:paraId="057A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0F17AC15">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10</w:t>
                  </w:r>
                  <w:r>
                    <w:rPr>
                      <w:color w:val="auto"/>
                      <w:spacing w:val="1"/>
                      <w:sz w:val="21"/>
                      <w:szCs w:val="21"/>
                      <w:highlight w:val="none"/>
                    </w:rPr>
                    <w:t>月</w:t>
                  </w:r>
                </w:p>
              </w:tc>
              <w:tc>
                <w:tcPr>
                  <w:tcW w:w="562" w:type="pct"/>
                  <w:tcBorders>
                    <w:tl2br w:val="nil"/>
                    <w:tr2bl w:val="nil"/>
                  </w:tcBorders>
                  <w:noWrap w:val="0"/>
                  <w:vAlign w:val="center"/>
                </w:tcPr>
                <w:p w14:paraId="1FE9FBB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w:t>
                  </w:r>
                </w:p>
              </w:tc>
              <w:tc>
                <w:tcPr>
                  <w:tcW w:w="678" w:type="pct"/>
                  <w:tcBorders>
                    <w:tl2br w:val="nil"/>
                    <w:tr2bl w:val="nil"/>
                  </w:tcBorders>
                  <w:noWrap w:val="0"/>
                  <w:vAlign w:val="center"/>
                </w:tcPr>
                <w:p w14:paraId="1EF6E21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567" w:type="pct"/>
                  <w:tcBorders>
                    <w:tl2br w:val="nil"/>
                    <w:tr2bl w:val="nil"/>
                  </w:tcBorders>
                  <w:noWrap w:val="0"/>
                  <w:vAlign w:val="center"/>
                </w:tcPr>
                <w:p w14:paraId="667ADB8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58</w:t>
                  </w:r>
                </w:p>
              </w:tc>
              <w:tc>
                <w:tcPr>
                  <w:tcW w:w="835" w:type="pct"/>
                  <w:tcBorders>
                    <w:tl2br w:val="nil"/>
                    <w:tr2bl w:val="nil"/>
                  </w:tcBorders>
                  <w:noWrap w:val="0"/>
                  <w:vAlign w:val="center"/>
                </w:tcPr>
                <w:p w14:paraId="1543A21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789" w:type="pct"/>
                  <w:tcBorders>
                    <w:tl2br w:val="nil"/>
                    <w:tr2bl w:val="nil"/>
                  </w:tcBorders>
                  <w:noWrap w:val="0"/>
                  <w:vAlign w:val="center"/>
                </w:tcPr>
                <w:p w14:paraId="1971F58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754" w:type="pct"/>
                  <w:tcBorders>
                    <w:tl2br w:val="nil"/>
                    <w:tr2bl w:val="nil"/>
                  </w:tcBorders>
                  <w:noWrap w:val="0"/>
                  <w:vAlign w:val="center"/>
                </w:tcPr>
                <w:p w14:paraId="39BE39E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147</w:t>
                  </w:r>
                </w:p>
              </w:tc>
            </w:tr>
            <w:tr w14:paraId="6EB87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4C0295FB">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11</w:t>
                  </w:r>
                  <w:r>
                    <w:rPr>
                      <w:color w:val="auto"/>
                      <w:spacing w:val="-1"/>
                      <w:sz w:val="21"/>
                      <w:szCs w:val="21"/>
                      <w:highlight w:val="none"/>
                    </w:rPr>
                    <w:t>月</w:t>
                  </w:r>
                </w:p>
              </w:tc>
              <w:tc>
                <w:tcPr>
                  <w:tcW w:w="562" w:type="pct"/>
                  <w:tcBorders>
                    <w:tl2br w:val="nil"/>
                    <w:tr2bl w:val="nil"/>
                  </w:tcBorders>
                  <w:noWrap w:val="0"/>
                  <w:vAlign w:val="center"/>
                </w:tcPr>
                <w:p w14:paraId="7ECCFC6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12</w:t>
                  </w:r>
                </w:p>
              </w:tc>
              <w:tc>
                <w:tcPr>
                  <w:tcW w:w="678" w:type="pct"/>
                  <w:tcBorders>
                    <w:tl2br w:val="nil"/>
                    <w:tr2bl w:val="nil"/>
                  </w:tcBorders>
                  <w:noWrap w:val="0"/>
                  <w:vAlign w:val="center"/>
                </w:tcPr>
                <w:p w14:paraId="5CCE0A0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567" w:type="pct"/>
                  <w:tcBorders>
                    <w:tl2br w:val="nil"/>
                    <w:tr2bl w:val="nil"/>
                  </w:tcBorders>
                  <w:noWrap w:val="0"/>
                  <w:vAlign w:val="center"/>
                </w:tcPr>
                <w:p w14:paraId="32FA0F1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835" w:type="pct"/>
                  <w:tcBorders>
                    <w:tl2br w:val="nil"/>
                    <w:tr2bl w:val="nil"/>
                  </w:tcBorders>
                  <w:noWrap w:val="0"/>
                  <w:vAlign w:val="center"/>
                </w:tcPr>
                <w:p w14:paraId="7F77476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789" w:type="pct"/>
                  <w:tcBorders>
                    <w:tl2br w:val="nil"/>
                    <w:tr2bl w:val="nil"/>
                  </w:tcBorders>
                  <w:noWrap w:val="0"/>
                  <w:vAlign w:val="center"/>
                </w:tcPr>
                <w:p w14:paraId="5BBE5B6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w:t>
                  </w:r>
                </w:p>
              </w:tc>
              <w:tc>
                <w:tcPr>
                  <w:tcW w:w="754" w:type="pct"/>
                  <w:tcBorders>
                    <w:tl2br w:val="nil"/>
                    <w:tr2bl w:val="nil"/>
                  </w:tcBorders>
                  <w:noWrap w:val="0"/>
                  <w:vAlign w:val="center"/>
                </w:tcPr>
                <w:p w14:paraId="63C6173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106</w:t>
                  </w:r>
                </w:p>
              </w:tc>
            </w:tr>
            <w:tr w14:paraId="42EE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061B6843">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4</w:t>
                  </w:r>
                  <w:r>
                    <w:rPr>
                      <w:color w:val="auto"/>
                      <w:spacing w:val="1"/>
                      <w:sz w:val="21"/>
                      <w:szCs w:val="21"/>
                      <w:highlight w:val="none"/>
                    </w:rPr>
                    <w:t>年</w:t>
                  </w:r>
                  <w:r>
                    <w:rPr>
                      <w:rFonts w:ascii="Times New Roman" w:hAnsi="Times New Roman" w:eastAsia="Times New Roman" w:cs="Times New Roman"/>
                      <w:color w:val="auto"/>
                      <w:spacing w:val="1"/>
                      <w:sz w:val="21"/>
                      <w:szCs w:val="21"/>
                      <w:highlight w:val="none"/>
                    </w:rPr>
                    <w:t>12</w:t>
                  </w:r>
                  <w:r>
                    <w:rPr>
                      <w:color w:val="auto"/>
                      <w:spacing w:val="1"/>
                      <w:sz w:val="21"/>
                      <w:szCs w:val="21"/>
                      <w:highlight w:val="none"/>
                    </w:rPr>
                    <w:t>月</w:t>
                  </w:r>
                </w:p>
              </w:tc>
              <w:tc>
                <w:tcPr>
                  <w:tcW w:w="562" w:type="pct"/>
                  <w:tcBorders>
                    <w:tl2br w:val="nil"/>
                    <w:tr2bl w:val="nil"/>
                  </w:tcBorders>
                  <w:noWrap w:val="0"/>
                  <w:vAlign w:val="center"/>
                </w:tcPr>
                <w:p w14:paraId="5ACF92F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18</w:t>
                  </w:r>
                </w:p>
              </w:tc>
              <w:tc>
                <w:tcPr>
                  <w:tcW w:w="678" w:type="pct"/>
                  <w:tcBorders>
                    <w:tl2br w:val="nil"/>
                    <w:tr2bl w:val="nil"/>
                  </w:tcBorders>
                  <w:noWrap w:val="0"/>
                  <w:vAlign w:val="center"/>
                </w:tcPr>
                <w:p w14:paraId="789771D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47</w:t>
                  </w:r>
                </w:p>
              </w:tc>
              <w:tc>
                <w:tcPr>
                  <w:tcW w:w="567" w:type="pct"/>
                  <w:tcBorders>
                    <w:tl2br w:val="nil"/>
                    <w:tr2bl w:val="nil"/>
                  </w:tcBorders>
                  <w:noWrap w:val="0"/>
                  <w:vAlign w:val="center"/>
                </w:tcPr>
                <w:p w14:paraId="39778D2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112</w:t>
                  </w:r>
                </w:p>
              </w:tc>
              <w:tc>
                <w:tcPr>
                  <w:tcW w:w="835" w:type="pct"/>
                  <w:tcBorders>
                    <w:tl2br w:val="nil"/>
                    <w:tr2bl w:val="nil"/>
                  </w:tcBorders>
                  <w:noWrap w:val="0"/>
                  <w:vAlign w:val="center"/>
                </w:tcPr>
                <w:p w14:paraId="454B133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75</w:t>
                  </w:r>
                </w:p>
              </w:tc>
              <w:tc>
                <w:tcPr>
                  <w:tcW w:w="789" w:type="pct"/>
                  <w:tcBorders>
                    <w:tl2br w:val="nil"/>
                    <w:tr2bl w:val="nil"/>
                  </w:tcBorders>
                  <w:noWrap w:val="0"/>
                  <w:vAlign w:val="center"/>
                </w:tcPr>
                <w:p w14:paraId="7C8B3CA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1.2</w:t>
                  </w:r>
                </w:p>
              </w:tc>
              <w:tc>
                <w:tcPr>
                  <w:tcW w:w="754" w:type="pct"/>
                  <w:tcBorders>
                    <w:tl2br w:val="nil"/>
                    <w:tr2bl w:val="nil"/>
                  </w:tcBorders>
                  <w:noWrap w:val="0"/>
                  <w:vAlign w:val="center"/>
                </w:tcPr>
                <w:p w14:paraId="4A6B582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w:t>
                  </w:r>
                </w:p>
              </w:tc>
            </w:tr>
            <w:tr w14:paraId="45C84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005FC45A">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rFonts w:ascii="Times New Roman" w:hAnsi="Times New Roman" w:eastAsia="Times New Roman" w:cs="Times New Roman"/>
                      <w:color w:val="auto"/>
                      <w:spacing w:val="5"/>
                      <w:sz w:val="21"/>
                      <w:szCs w:val="21"/>
                      <w:highlight w:val="none"/>
                    </w:rPr>
                    <w:t>202</w:t>
                  </w:r>
                  <w:r>
                    <w:rPr>
                      <w:rFonts w:hint="eastAsia" w:ascii="Times New Roman" w:hAnsi="Times New Roman" w:cs="Times New Roman"/>
                      <w:color w:val="auto"/>
                      <w:spacing w:val="5"/>
                      <w:sz w:val="21"/>
                      <w:szCs w:val="21"/>
                      <w:highlight w:val="none"/>
                      <w:lang w:val="en-US" w:eastAsia="zh-CN"/>
                    </w:rPr>
                    <w:t>4</w:t>
                  </w:r>
                  <w:r>
                    <w:rPr>
                      <w:color w:val="auto"/>
                      <w:spacing w:val="5"/>
                      <w:sz w:val="21"/>
                      <w:szCs w:val="21"/>
                      <w:highlight w:val="none"/>
                    </w:rPr>
                    <w:t>年年均</w:t>
                  </w:r>
                </w:p>
              </w:tc>
              <w:tc>
                <w:tcPr>
                  <w:tcW w:w="562" w:type="pct"/>
                  <w:tcBorders>
                    <w:tl2br w:val="nil"/>
                    <w:tr2bl w:val="nil"/>
                  </w:tcBorders>
                  <w:noWrap w:val="0"/>
                  <w:vAlign w:val="center"/>
                </w:tcPr>
                <w:p w14:paraId="69586B82">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11 </w:t>
                  </w:r>
                </w:p>
              </w:tc>
              <w:tc>
                <w:tcPr>
                  <w:tcW w:w="678" w:type="pct"/>
                  <w:tcBorders>
                    <w:tl2br w:val="nil"/>
                    <w:tr2bl w:val="nil"/>
                  </w:tcBorders>
                  <w:noWrap w:val="0"/>
                  <w:vAlign w:val="center"/>
                </w:tcPr>
                <w:p w14:paraId="2F35308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29 </w:t>
                  </w:r>
                </w:p>
              </w:tc>
              <w:tc>
                <w:tcPr>
                  <w:tcW w:w="567" w:type="pct"/>
                  <w:tcBorders>
                    <w:tl2br w:val="nil"/>
                    <w:tr2bl w:val="nil"/>
                  </w:tcBorders>
                  <w:noWrap w:val="0"/>
                  <w:vAlign w:val="center"/>
                </w:tcPr>
                <w:p w14:paraId="4F45F52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69 </w:t>
                  </w:r>
                </w:p>
              </w:tc>
              <w:tc>
                <w:tcPr>
                  <w:tcW w:w="835" w:type="pct"/>
                  <w:tcBorders>
                    <w:tl2br w:val="nil"/>
                    <w:tr2bl w:val="nil"/>
                  </w:tcBorders>
                  <w:noWrap w:val="0"/>
                  <w:vAlign w:val="center"/>
                </w:tcPr>
                <w:p w14:paraId="0ADF914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42 </w:t>
                  </w:r>
                </w:p>
              </w:tc>
              <w:tc>
                <w:tcPr>
                  <w:tcW w:w="789" w:type="pct"/>
                  <w:tcBorders>
                    <w:tl2br w:val="nil"/>
                    <w:tr2bl w:val="nil"/>
                  </w:tcBorders>
                  <w:noWrap w:val="0"/>
                  <w:vAlign w:val="center"/>
                </w:tcPr>
                <w:p w14:paraId="74802DB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1.1 </w:t>
                  </w:r>
                </w:p>
              </w:tc>
              <w:tc>
                <w:tcPr>
                  <w:tcW w:w="754" w:type="pct"/>
                  <w:tcBorders>
                    <w:tl2br w:val="nil"/>
                    <w:tr2bl w:val="nil"/>
                  </w:tcBorders>
                  <w:noWrap w:val="0"/>
                  <w:vAlign w:val="center"/>
                </w:tcPr>
                <w:p w14:paraId="553F563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143 </w:t>
                  </w:r>
                </w:p>
              </w:tc>
            </w:tr>
            <w:tr w14:paraId="1C558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571F1D94">
                  <w:pPr>
                    <w:pStyle w:val="100"/>
                    <w:keepNext w:val="0"/>
                    <w:keepLines w:val="0"/>
                    <w:pageBreakBefore w:val="0"/>
                    <w:widowControl/>
                    <w:wordWrap/>
                    <w:overflowPunct/>
                    <w:topLinePunct w:val="0"/>
                    <w:bidi w:val="0"/>
                    <w:snapToGrid w:val="0"/>
                    <w:spacing w:line="240" w:lineRule="auto"/>
                    <w:ind w:left="0"/>
                    <w:jc w:val="center"/>
                    <w:rPr>
                      <w:color w:val="auto"/>
                      <w:sz w:val="21"/>
                      <w:szCs w:val="21"/>
                      <w:highlight w:val="none"/>
                    </w:rPr>
                  </w:pPr>
                  <w:r>
                    <w:rPr>
                      <w:color w:val="auto"/>
                      <w:spacing w:val="6"/>
                      <w:sz w:val="21"/>
                      <w:szCs w:val="21"/>
                      <w:highlight w:val="none"/>
                    </w:rPr>
                    <w:t>二级标准</w:t>
                  </w:r>
                </w:p>
              </w:tc>
              <w:tc>
                <w:tcPr>
                  <w:tcW w:w="562" w:type="pct"/>
                  <w:tcBorders>
                    <w:tl2br w:val="nil"/>
                    <w:tr2bl w:val="nil"/>
                  </w:tcBorders>
                  <w:noWrap w:val="0"/>
                  <w:vAlign w:val="center"/>
                </w:tcPr>
                <w:p w14:paraId="46FA8A1B">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highlight w:val="none"/>
                      <w:lang w:val="en-US" w:eastAsia="en-US" w:bidi="ar-SA"/>
                    </w:rPr>
                  </w:pPr>
                  <w:r>
                    <w:rPr>
                      <w:rFonts w:hint="eastAsia" w:ascii="Times New Roman" w:hAnsi="Times New Roman" w:eastAsia="宋体" w:cs="Times New Roman"/>
                      <w:color w:val="auto"/>
                      <w:kern w:val="2"/>
                      <w:sz w:val="21"/>
                      <w:szCs w:val="21"/>
                      <w:highlight w:val="none"/>
                      <w:lang w:val="en-US" w:eastAsia="en-US" w:bidi="ar-SA"/>
                    </w:rPr>
                    <w:t>60</w:t>
                  </w:r>
                </w:p>
              </w:tc>
              <w:tc>
                <w:tcPr>
                  <w:tcW w:w="678" w:type="pct"/>
                  <w:tcBorders>
                    <w:tl2br w:val="nil"/>
                    <w:tr2bl w:val="nil"/>
                  </w:tcBorders>
                  <w:noWrap w:val="0"/>
                  <w:vAlign w:val="center"/>
                </w:tcPr>
                <w:p w14:paraId="61DCFBBC">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highlight w:val="none"/>
                      <w:lang w:val="en-US" w:eastAsia="en-US" w:bidi="ar-SA"/>
                    </w:rPr>
                  </w:pPr>
                  <w:r>
                    <w:rPr>
                      <w:rFonts w:hint="eastAsia" w:ascii="Times New Roman" w:hAnsi="Times New Roman" w:eastAsia="宋体" w:cs="Times New Roman"/>
                      <w:color w:val="auto"/>
                      <w:kern w:val="2"/>
                      <w:sz w:val="21"/>
                      <w:szCs w:val="21"/>
                      <w:highlight w:val="none"/>
                      <w:lang w:val="en-US" w:eastAsia="en-US" w:bidi="ar-SA"/>
                    </w:rPr>
                    <w:t>40</w:t>
                  </w:r>
                </w:p>
              </w:tc>
              <w:tc>
                <w:tcPr>
                  <w:tcW w:w="567" w:type="pct"/>
                  <w:tcBorders>
                    <w:tl2br w:val="nil"/>
                    <w:tr2bl w:val="nil"/>
                  </w:tcBorders>
                  <w:noWrap w:val="0"/>
                  <w:vAlign w:val="center"/>
                </w:tcPr>
                <w:p w14:paraId="1A47D071">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highlight w:val="none"/>
                      <w:lang w:val="en-US" w:eastAsia="en-US" w:bidi="ar-SA"/>
                    </w:rPr>
                  </w:pPr>
                  <w:r>
                    <w:rPr>
                      <w:rFonts w:hint="eastAsia" w:ascii="Times New Roman" w:hAnsi="Times New Roman" w:eastAsia="宋体" w:cs="Times New Roman"/>
                      <w:color w:val="auto"/>
                      <w:kern w:val="2"/>
                      <w:sz w:val="21"/>
                      <w:szCs w:val="21"/>
                      <w:highlight w:val="none"/>
                      <w:lang w:val="en-US" w:eastAsia="en-US" w:bidi="ar-SA"/>
                    </w:rPr>
                    <w:t>70</w:t>
                  </w:r>
                </w:p>
              </w:tc>
              <w:tc>
                <w:tcPr>
                  <w:tcW w:w="835" w:type="pct"/>
                  <w:tcBorders>
                    <w:tl2br w:val="nil"/>
                    <w:tr2bl w:val="nil"/>
                  </w:tcBorders>
                  <w:noWrap w:val="0"/>
                  <w:vAlign w:val="center"/>
                </w:tcPr>
                <w:p w14:paraId="100221E3">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highlight w:val="none"/>
                      <w:lang w:val="en-US" w:eastAsia="en-US" w:bidi="ar-SA"/>
                    </w:rPr>
                  </w:pPr>
                  <w:r>
                    <w:rPr>
                      <w:rFonts w:hint="eastAsia" w:ascii="Times New Roman" w:hAnsi="Times New Roman" w:eastAsia="宋体" w:cs="Times New Roman"/>
                      <w:color w:val="auto"/>
                      <w:kern w:val="2"/>
                      <w:sz w:val="21"/>
                      <w:szCs w:val="21"/>
                      <w:highlight w:val="none"/>
                      <w:lang w:val="en-US" w:eastAsia="en-US" w:bidi="ar-SA"/>
                    </w:rPr>
                    <w:t>35</w:t>
                  </w:r>
                </w:p>
              </w:tc>
              <w:tc>
                <w:tcPr>
                  <w:tcW w:w="789" w:type="pct"/>
                  <w:tcBorders>
                    <w:tl2br w:val="nil"/>
                    <w:tr2bl w:val="nil"/>
                  </w:tcBorders>
                  <w:noWrap w:val="0"/>
                  <w:vAlign w:val="center"/>
                </w:tcPr>
                <w:p w14:paraId="177DA544">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p>
              </w:tc>
              <w:tc>
                <w:tcPr>
                  <w:tcW w:w="754" w:type="pct"/>
                  <w:tcBorders>
                    <w:tl2br w:val="nil"/>
                    <w:tr2bl w:val="nil"/>
                  </w:tcBorders>
                  <w:noWrap w:val="0"/>
                  <w:vAlign w:val="center"/>
                </w:tcPr>
                <w:p w14:paraId="6A16966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160</w:t>
                  </w:r>
                </w:p>
              </w:tc>
            </w:tr>
            <w:tr w14:paraId="025D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11" w:type="pct"/>
                  <w:tcBorders>
                    <w:tl2br w:val="nil"/>
                    <w:tr2bl w:val="nil"/>
                  </w:tcBorders>
                  <w:noWrap w:val="0"/>
                  <w:vAlign w:val="center"/>
                </w:tcPr>
                <w:p w14:paraId="089F28E0">
                  <w:pPr>
                    <w:pStyle w:val="100"/>
                    <w:keepNext w:val="0"/>
                    <w:keepLines w:val="0"/>
                    <w:pageBreakBefore w:val="0"/>
                    <w:widowControl/>
                    <w:wordWrap/>
                    <w:overflowPunct/>
                    <w:topLinePunct w:val="0"/>
                    <w:bidi w:val="0"/>
                    <w:snapToGrid w:val="0"/>
                    <w:spacing w:line="240" w:lineRule="auto"/>
                    <w:ind w:left="0"/>
                    <w:jc w:val="center"/>
                    <w:rPr>
                      <w:rFonts w:hint="default" w:eastAsia="宋体"/>
                      <w:color w:val="auto"/>
                      <w:spacing w:val="6"/>
                      <w:sz w:val="21"/>
                      <w:szCs w:val="21"/>
                      <w:highlight w:val="none"/>
                      <w:lang w:val="en-US" w:eastAsia="zh-CN"/>
                    </w:rPr>
                  </w:pPr>
                  <w:r>
                    <w:rPr>
                      <w:rFonts w:hint="eastAsia"/>
                      <w:color w:val="auto"/>
                      <w:spacing w:val="6"/>
                      <w:sz w:val="21"/>
                      <w:szCs w:val="21"/>
                      <w:highlight w:val="none"/>
                      <w:lang w:val="en-US" w:eastAsia="zh-CN"/>
                    </w:rPr>
                    <w:t>达标情况</w:t>
                  </w:r>
                </w:p>
              </w:tc>
              <w:tc>
                <w:tcPr>
                  <w:tcW w:w="562" w:type="pct"/>
                  <w:tcBorders>
                    <w:tl2br w:val="nil"/>
                    <w:tr2bl w:val="nil"/>
                  </w:tcBorders>
                  <w:noWrap w:val="0"/>
                  <w:vAlign w:val="center"/>
                </w:tcPr>
                <w:p w14:paraId="0356239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highlight w:val="none"/>
                      <w:lang w:val="en-US" w:eastAsia="zh-CN"/>
                    </w:rPr>
                  </w:pPr>
                  <w:r>
                    <w:rPr>
                      <w:rFonts w:hint="eastAsia" w:eastAsia="宋体" w:cs="Times New Roman"/>
                      <w:snapToGrid w:val="0"/>
                      <w:color w:val="auto"/>
                      <w:kern w:val="0"/>
                      <w:sz w:val="21"/>
                      <w:szCs w:val="21"/>
                      <w:highlight w:val="none"/>
                      <w:lang w:val="en-US" w:eastAsia="zh-CN"/>
                    </w:rPr>
                    <w:t>达标</w:t>
                  </w:r>
                </w:p>
              </w:tc>
              <w:tc>
                <w:tcPr>
                  <w:tcW w:w="678" w:type="pct"/>
                  <w:tcBorders>
                    <w:tl2br w:val="nil"/>
                    <w:tr2bl w:val="nil"/>
                  </w:tcBorders>
                  <w:noWrap w:val="0"/>
                  <w:vAlign w:val="center"/>
                </w:tcPr>
                <w:p w14:paraId="45139C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napToGrid w:val="0"/>
                      <w:color w:val="auto"/>
                      <w:spacing w:val="3"/>
                      <w:kern w:val="0"/>
                      <w:sz w:val="21"/>
                      <w:szCs w:val="21"/>
                      <w:highlight w:val="none"/>
                      <w:lang w:eastAsia="en-US"/>
                    </w:rPr>
                  </w:pPr>
                  <w:r>
                    <w:rPr>
                      <w:rFonts w:hint="eastAsia" w:eastAsia="宋体" w:cs="Times New Roman"/>
                      <w:snapToGrid w:val="0"/>
                      <w:color w:val="auto"/>
                      <w:kern w:val="0"/>
                      <w:sz w:val="21"/>
                      <w:szCs w:val="21"/>
                      <w:highlight w:val="none"/>
                      <w:lang w:val="en-US" w:eastAsia="zh-CN"/>
                    </w:rPr>
                    <w:t>达标</w:t>
                  </w:r>
                </w:p>
              </w:tc>
              <w:tc>
                <w:tcPr>
                  <w:tcW w:w="567" w:type="pct"/>
                  <w:tcBorders>
                    <w:tl2br w:val="nil"/>
                    <w:tr2bl w:val="nil"/>
                  </w:tcBorders>
                  <w:noWrap w:val="0"/>
                  <w:vAlign w:val="center"/>
                </w:tcPr>
                <w:p w14:paraId="59F969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spacing w:val="1"/>
                      <w:kern w:val="0"/>
                      <w:sz w:val="21"/>
                      <w:szCs w:val="21"/>
                      <w:highlight w:val="none"/>
                      <w:lang w:val="en-US" w:eastAsia="zh-CN"/>
                    </w:rPr>
                  </w:pPr>
                  <w:r>
                    <w:rPr>
                      <w:rFonts w:hint="eastAsia" w:eastAsia="宋体" w:cs="Times New Roman"/>
                      <w:snapToGrid w:val="0"/>
                      <w:color w:val="auto"/>
                      <w:kern w:val="0"/>
                      <w:sz w:val="21"/>
                      <w:szCs w:val="21"/>
                      <w:highlight w:val="none"/>
                      <w:lang w:val="en-US" w:eastAsia="zh-CN"/>
                    </w:rPr>
                    <w:t>达标</w:t>
                  </w:r>
                </w:p>
              </w:tc>
              <w:tc>
                <w:tcPr>
                  <w:tcW w:w="835" w:type="pct"/>
                  <w:tcBorders>
                    <w:tl2br w:val="nil"/>
                    <w:tr2bl w:val="nil"/>
                  </w:tcBorders>
                  <w:noWrap w:val="0"/>
                  <w:vAlign w:val="center"/>
                </w:tcPr>
                <w:p w14:paraId="08BFC94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highlight w:val="none"/>
                      <w:lang w:val="en-US" w:eastAsia="zh-CN"/>
                    </w:rPr>
                  </w:pPr>
                  <w:r>
                    <w:rPr>
                      <w:rFonts w:hint="eastAsia" w:eastAsia="宋体" w:cs="Times New Roman"/>
                      <w:b w:val="0"/>
                      <w:bCs w:val="0"/>
                      <w:snapToGrid w:val="0"/>
                      <w:color w:val="auto"/>
                      <w:kern w:val="0"/>
                      <w:sz w:val="21"/>
                      <w:szCs w:val="21"/>
                      <w:highlight w:val="none"/>
                      <w:lang w:val="en-US" w:eastAsia="zh-CN"/>
                    </w:rPr>
                    <w:t>超标</w:t>
                  </w:r>
                </w:p>
              </w:tc>
              <w:tc>
                <w:tcPr>
                  <w:tcW w:w="789" w:type="pct"/>
                  <w:tcBorders>
                    <w:tl2br w:val="nil"/>
                    <w:tr2bl w:val="nil"/>
                  </w:tcBorders>
                  <w:noWrap w:val="0"/>
                  <w:vAlign w:val="center"/>
                </w:tcPr>
                <w:p w14:paraId="1BDC2C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highlight w:val="none"/>
                      <w:lang w:val="en-US" w:eastAsia="zh-CN"/>
                    </w:rPr>
                  </w:pPr>
                  <w:r>
                    <w:rPr>
                      <w:rFonts w:hint="eastAsia" w:eastAsia="宋体" w:cs="Times New Roman"/>
                      <w:snapToGrid w:val="0"/>
                      <w:color w:val="auto"/>
                      <w:kern w:val="0"/>
                      <w:sz w:val="21"/>
                      <w:szCs w:val="21"/>
                      <w:highlight w:val="none"/>
                      <w:lang w:val="en-US" w:eastAsia="zh-CN"/>
                    </w:rPr>
                    <w:t>达标</w:t>
                  </w:r>
                </w:p>
              </w:tc>
              <w:tc>
                <w:tcPr>
                  <w:tcW w:w="754" w:type="pct"/>
                  <w:tcBorders>
                    <w:tl2br w:val="nil"/>
                    <w:tr2bl w:val="nil"/>
                  </w:tcBorders>
                  <w:noWrap w:val="0"/>
                  <w:vAlign w:val="center"/>
                </w:tcPr>
                <w:p w14:paraId="7BF55C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highlight w:val="none"/>
                      <w:lang w:val="en-US" w:eastAsia="zh-CN"/>
                    </w:rPr>
                  </w:pPr>
                  <w:r>
                    <w:rPr>
                      <w:rFonts w:hint="eastAsia" w:eastAsia="宋体" w:cs="Times New Roman"/>
                      <w:snapToGrid w:val="0"/>
                      <w:color w:val="auto"/>
                      <w:kern w:val="0"/>
                      <w:sz w:val="21"/>
                      <w:szCs w:val="21"/>
                      <w:highlight w:val="none"/>
                      <w:lang w:val="en-US" w:eastAsia="zh-CN"/>
                    </w:rPr>
                    <w:t>达标</w:t>
                  </w:r>
                </w:p>
              </w:tc>
            </w:tr>
          </w:tbl>
          <w:p w14:paraId="61A61A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根据《环境空气质量评价技术规范（试行）》（HJ663-2013）规定：“污染物年评价达标是指该污染物年平均浓度（CO和O</w:t>
            </w:r>
            <w:r>
              <w:rPr>
                <w:rFonts w:hint="eastAsia" w:ascii="Times New Roman" w:hAnsi="Times New Roman" w:eastAsia="宋体" w:cs="Times New Roman"/>
                <w:color w:val="auto"/>
                <w:sz w:val="24"/>
                <w:highlight w:val="none"/>
                <w:vertAlign w:val="subscript"/>
                <w:lang w:val="en-US" w:eastAsia="zh-CN"/>
              </w:rPr>
              <w:t>3</w:t>
            </w:r>
            <w:r>
              <w:rPr>
                <w:rFonts w:hint="eastAsia" w:ascii="Times New Roman" w:hAnsi="Times New Roman" w:eastAsia="宋体" w:cs="Times New Roman"/>
                <w:color w:val="auto"/>
                <w:sz w:val="24"/>
                <w:highlight w:val="none"/>
                <w:lang w:val="en-US" w:eastAsia="zh-CN"/>
              </w:rPr>
              <w:t>除外）和特定的百分位数浓度同时达标”。泗水县2024年SO</w:t>
            </w:r>
            <w:r>
              <w:rPr>
                <w:rFonts w:hint="eastAsia" w:ascii="Times New Roman" w:hAnsi="Times New Roman" w:eastAsia="宋体" w:cs="Times New Roman"/>
                <w:color w:val="auto"/>
                <w:sz w:val="24"/>
                <w:highlight w:val="none"/>
                <w:vertAlign w:val="subscript"/>
                <w:lang w:val="en-US" w:eastAsia="zh-CN"/>
              </w:rPr>
              <w:t>2</w:t>
            </w:r>
            <w:r>
              <w:rPr>
                <w:rFonts w:hint="eastAsia" w:ascii="Times New Roman" w:hAnsi="Times New Roman" w:eastAsia="宋体" w:cs="Times New Roman"/>
                <w:color w:val="auto"/>
                <w:sz w:val="24"/>
                <w:highlight w:val="none"/>
                <w:lang w:val="en-US" w:eastAsia="zh-CN"/>
              </w:rPr>
              <w:t>、NO</w:t>
            </w:r>
            <w:r>
              <w:rPr>
                <w:rFonts w:hint="eastAsia" w:ascii="Times New Roman" w:hAnsi="Times New Roman" w:eastAsia="宋体" w:cs="Times New Roman"/>
                <w:color w:val="auto"/>
                <w:sz w:val="24"/>
                <w:highlight w:val="none"/>
                <w:vertAlign w:val="subscript"/>
                <w:lang w:val="en-US" w:eastAsia="zh-CN"/>
              </w:rPr>
              <w:t>2</w:t>
            </w:r>
            <w:r>
              <w:rPr>
                <w:rFonts w:hint="eastAsia" w:ascii="Times New Roman" w:hAnsi="Times New Roman" w:eastAsia="宋体" w:cs="Times New Roman"/>
                <w:color w:val="auto"/>
                <w:sz w:val="24"/>
                <w:highlight w:val="none"/>
                <w:lang w:val="en-US" w:eastAsia="zh-CN"/>
              </w:rPr>
              <w:t>、PM</w:t>
            </w:r>
            <w:r>
              <w:rPr>
                <w:rFonts w:hint="eastAsia" w:ascii="Times New Roman" w:hAnsi="Times New Roman" w:eastAsia="宋体" w:cs="Times New Roman"/>
                <w:color w:val="auto"/>
                <w:sz w:val="24"/>
                <w:highlight w:val="none"/>
                <w:vertAlign w:val="subscript"/>
                <w:lang w:val="en-US" w:eastAsia="zh-CN"/>
              </w:rPr>
              <w:t>10</w:t>
            </w:r>
            <w:r>
              <w:rPr>
                <w:rFonts w:hint="eastAsia" w:ascii="Times New Roman" w:hAnsi="Times New Roman" w:eastAsia="宋体" w:cs="Times New Roman"/>
                <w:color w:val="auto"/>
                <w:sz w:val="24"/>
                <w:highlight w:val="none"/>
                <w:lang w:val="en-US" w:eastAsia="zh-CN"/>
              </w:rPr>
              <w:t>年均浓度、CO日平均第95百分位数、臭氧（O3）8小时平均第90百分位数监测浓度值均满足《环境空气质量标准》（GB3095-2012）及其修改单中二级标准要求；PM2.5年均浓度监测浓度值超标，项目所在区处于不达标区。</w:t>
            </w:r>
          </w:p>
          <w:p w14:paraId="7F6A97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2、区域整改方案</w:t>
            </w:r>
          </w:p>
          <w:p w14:paraId="4943E4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目前泗水县正积极落实《济宁市深入打好蓝天保卫战行动计划（2021-2025）》、《济宁市空气质量持续改善暨第三轮“四减四增”行动实施方案》（济政字〔2024〕47号）、《山东省生态环境厅关于印发山东省建设项目主要大气污染物排放总量替代指标核算及管理办法的通知》等文件要求，通过实行大气污染物排放总量指标2倍削减替代，推进煤炭清洁高效利用，推动产业优化升级，推动交通运输结构优化升级，加强重点示范区联防联控污染管控，全面挖掘大气污染减排空间，提升科学精准治污水平，实施秋冬季重点行业错峰生产等方面的行动，加快以细颗粒物为重点的大气污染治理，项目所在区域环境空气质量将会逐步得到改善。</w:t>
            </w:r>
          </w:p>
          <w:p w14:paraId="14A3617F">
            <w:pPr>
              <w:spacing w:line="360" w:lineRule="auto"/>
              <w:ind w:firstLine="482" w:firstLineChars="200"/>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地表水</w:t>
            </w:r>
            <w:r>
              <w:rPr>
                <w:rFonts w:hint="eastAsia"/>
                <w:b/>
                <w:color w:val="auto"/>
                <w:sz w:val="24"/>
                <w:highlight w:val="none"/>
              </w:rPr>
              <w:t>环境</w:t>
            </w:r>
          </w:p>
          <w:p w14:paraId="23C631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highlight w:val="none"/>
              </w:rPr>
            </w:pPr>
            <w:r>
              <w:rPr>
                <w:rFonts w:hint="eastAsia" w:ascii="Times New Roman" w:hAnsi="Times New Roman" w:eastAsia="宋体" w:cs="Times New Roman"/>
                <w:color w:val="auto"/>
                <w:sz w:val="24"/>
                <w:highlight w:val="none"/>
                <w:lang w:val="en-US" w:eastAsia="zh-CN"/>
              </w:rPr>
              <w:t>本项目所在地区功能地表水体为泗河，根据济宁市生态环境局官方网站公布的2025年12月份济宁市地表水环境质量状况，泗河故县坝断面水质为</w:t>
            </w:r>
            <w:r>
              <w:rPr>
                <w:rFonts w:hint="eastAsia" w:ascii="Times New Roman" w:hAnsi="Times New Roman" w:eastAsia="宋体" w:cs="Times New Roman"/>
                <w:color w:val="auto"/>
                <w:sz w:val="24"/>
                <w:highlight w:val="none"/>
                <w:lang w:val="en-US" w:eastAsia="zh-CN"/>
              </w:rPr>
              <w:fldChar w:fldCharType="begin"/>
            </w:r>
            <w:r>
              <w:rPr>
                <w:rFonts w:hint="eastAsia" w:ascii="Times New Roman" w:hAnsi="Times New Roman" w:eastAsia="宋体" w:cs="Times New Roman"/>
                <w:color w:val="auto"/>
                <w:sz w:val="24"/>
                <w:highlight w:val="none"/>
                <w:lang w:val="en-US" w:eastAsia="zh-CN"/>
              </w:rPr>
              <w:instrText xml:space="preserve"> = 2 \* ROMAN \* MERGEFORMAT </w:instrText>
            </w:r>
            <w:r>
              <w:rPr>
                <w:rFonts w:hint="eastAsia" w:ascii="Times New Roman" w:hAnsi="Times New Roman" w:eastAsia="宋体" w:cs="Times New Roman"/>
                <w:color w:val="auto"/>
                <w:sz w:val="24"/>
                <w:highlight w:val="none"/>
                <w:lang w:val="en-US" w:eastAsia="zh-CN"/>
              </w:rPr>
              <w:fldChar w:fldCharType="separate"/>
            </w:r>
            <w:r>
              <w:rPr>
                <w:color w:val="auto"/>
                <w:highlight w:val="none"/>
              </w:rPr>
              <w:t>II</w:t>
            </w:r>
            <w:r>
              <w:rPr>
                <w:rFonts w:hint="eastAsia" w:ascii="Times New Roman" w:hAnsi="Times New Roman" w:eastAsia="宋体" w:cs="Times New Roman"/>
                <w:color w:val="auto"/>
                <w:sz w:val="24"/>
                <w:highlight w:val="none"/>
                <w:lang w:val="en-US" w:eastAsia="zh-CN"/>
              </w:rPr>
              <w:fldChar w:fldCharType="end"/>
            </w:r>
            <w:r>
              <w:rPr>
                <w:rFonts w:hint="eastAsia" w:ascii="Times New Roman" w:hAnsi="Times New Roman" w:eastAsia="宋体" w:cs="Times New Roman"/>
                <w:color w:val="auto"/>
                <w:sz w:val="24"/>
                <w:highlight w:val="none"/>
                <w:lang w:val="en-US" w:eastAsia="zh-CN"/>
              </w:rPr>
              <w:t>类，满足《地表水环境质量标准》（GB3838-2002）</w:t>
            </w:r>
            <w:r>
              <w:rPr>
                <w:rFonts w:hint="default" w:ascii="Times New Roman" w:hAnsi="Times New Roman" w:eastAsia="宋体" w:cs="Times New Roman"/>
                <w:color w:val="auto"/>
                <w:szCs w:val="24"/>
                <w:highlight w:val="none"/>
              </w:rPr>
              <w:t>Ⅲ</w:t>
            </w:r>
            <w:r>
              <w:rPr>
                <w:rFonts w:hint="eastAsia" w:ascii="Times New Roman" w:hAnsi="Times New Roman" w:eastAsia="宋体" w:cs="Times New Roman"/>
                <w:color w:val="auto"/>
                <w:sz w:val="24"/>
                <w:highlight w:val="none"/>
                <w:lang w:val="en-US" w:eastAsia="zh-CN"/>
              </w:rPr>
              <w:t>类标准要求。</w:t>
            </w:r>
          </w:p>
          <w:p w14:paraId="1DCB50A0">
            <w:pPr>
              <w:spacing w:line="360" w:lineRule="auto"/>
              <w:jc w:val="center"/>
              <w:rPr>
                <w:rFonts w:hint="eastAsia" w:eastAsia="宋体"/>
                <w:bCs/>
                <w:color w:val="auto"/>
                <w:sz w:val="24"/>
                <w:highlight w:val="none"/>
                <w:lang w:eastAsia="zh-CN"/>
              </w:rPr>
            </w:pPr>
            <w:r>
              <w:rPr>
                <w:color w:val="auto"/>
                <w:highlight w:val="none"/>
              </w:rPr>
              <w:drawing>
                <wp:inline distT="0" distB="0" distL="114300" distR="114300">
                  <wp:extent cx="5054600" cy="3608705"/>
                  <wp:effectExtent l="0" t="0" r="12700" b="10795"/>
                  <wp:docPr id="7"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3"/>
                          <pic:cNvPicPr>
                            <a:picLocks noChangeAspect="1"/>
                          </pic:cNvPicPr>
                        </pic:nvPicPr>
                        <pic:blipFill>
                          <a:blip r:embed="rId11"/>
                          <a:srcRect b="16794"/>
                          <a:stretch>
                            <a:fillRect/>
                          </a:stretch>
                        </pic:blipFill>
                        <pic:spPr>
                          <a:xfrm>
                            <a:off x="0" y="0"/>
                            <a:ext cx="5054600" cy="3608705"/>
                          </a:xfrm>
                          <a:prstGeom prst="rect">
                            <a:avLst/>
                          </a:prstGeom>
                          <a:noFill/>
                          <a:ln>
                            <a:noFill/>
                          </a:ln>
                        </pic:spPr>
                      </pic:pic>
                    </a:graphicData>
                  </a:graphic>
                </wp:inline>
              </w:drawing>
            </w:r>
          </w:p>
          <w:p w14:paraId="29C0C3DF">
            <w:pPr>
              <w:spacing w:line="360" w:lineRule="auto"/>
              <w:jc w:val="center"/>
              <w:rPr>
                <w:rFonts w:hint="eastAsia"/>
                <w:bCs/>
                <w:color w:val="auto"/>
                <w:sz w:val="24"/>
                <w:highlight w:val="none"/>
              </w:rPr>
            </w:pPr>
            <w:r>
              <w:rPr>
                <w:b/>
                <w:bCs/>
                <w:snapToGrid w:val="0"/>
                <w:color w:val="auto"/>
                <w:kern w:val="0"/>
                <w:sz w:val="24"/>
                <w:highlight w:val="none"/>
              </w:rPr>
              <w:t>图3-1</w:t>
            </w:r>
            <w:r>
              <w:rPr>
                <w:rFonts w:hint="eastAsia"/>
                <w:b/>
                <w:bCs/>
                <w:snapToGrid w:val="0"/>
                <w:color w:val="auto"/>
                <w:kern w:val="0"/>
                <w:sz w:val="24"/>
                <w:highlight w:val="none"/>
              </w:rPr>
              <w:t xml:space="preserve"> </w:t>
            </w:r>
            <w:r>
              <w:rPr>
                <w:b/>
                <w:bCs/>
                <w:snapToGrid w:val="0"/>
                <w:color w:val="auto"/>
                <w:kern w:val="0"/>
                <w:sz w:val="24"/>
                <w:highlight w:val="none"/>
              </w:rPr>
              <w:t>地表水水质状况</w:t>
            </w:r>
          </w:p>
          <w:p w14:paraId="6A448685">
            <w:pPr>
              <w:spacing w:line="360" w:lineRule="auto"/>
              <w:ind w:firstLine="482" w:firstLineChars="200"/>
              <w:rPr>
                <w:b/>
                <w:color w:val="auto"/>
                <w:sz w:val="24"/>
                <w:highlight w:val="none"/>
              </w:rPr>
            </w:pPr>
            <w:r>
              <w:rPr>
                <w:rFonts w:hint="eastAsia"/>
                <w:b/>
                <w:color w:val="auto"/>
                <w:sz w:val="24"/>
                <w:highlight w:val="none"/>
                <w:lang w:val="en-US" w:eastAsia="zh-CN"/>
              </w:rPr>
              <w:t>3</w:t>
            </w:r>
            <w:r>
              <w:rPr>
                <w:rFonts w:hint="eastAsia"/>
                <w:b/>
                <w:color w:val="auto"/>
                <w:sz w:val="24"/>
                <w:highlight w:val="none"/>
              </w:rPr>
              <w:t>、</w:t>
            </w:r>
            <w:r>
              <w:rPr>
                <w:b/>
                <w:color w:val="auto"/>
                <w:sz w:val="24"/>
                <w:highlight w:val="none"/>
              </w:rPr>
              <w:t>声环境</w:t>
            </w:r>
          </w:p>
          <w:p w14:paraId="6768730F">
            <w:pPr>
              <w:spacing w:line="360" w:lineRule="auto"/>
              <w:ind w:firstLine="480" w:firstLineChars="200"/>
              <w:rPr>
                <w:rFonts w:hint="eastAsia" w:eastAsia="宋体"/>
                <w:b/>
                <w:color w:val="auto"/>
                <w:sz w:val="24"/>
                <w:highlight w:val="none"/>
                <w:lang w:val="en-US" w:eastAsia="zh-CN"/>
              </w:rPr>
            </w:pPr>
            <w:r>
              <w:rPr>
                <w:rFonts w:hint="eastAsia" w:ascii="Times New Roman" w:hAnsi="Times New Roman" w:cs="Times New Roman"/>
                <w:color w:val="auto"/>
                <w:sz w:val="24"/>
                <w:szCs w:val="24"/>
                <w:highlight w:val="none"/>
                <w:lang w:val="en-US" w:eastAsia="zh-CN"/>
              </w:rPr>
              <w:t>根据现场调查，厂界外周边50米范围内不存在声环境保护目标，因此本次评价不需对周边声环境保护目标进行现状监测，</w:t>
            </w:r>
            <w:r>
              <w:rPr>
                <w:rFonts w:hint="default" w:ascii="Times New Roman" w:hAnsi="Times New Roman" w:cs="Times New Roman"/>
                <w:color w:val="auto"/>
                <w:sz w:val="24"/>
                <w:szCs w:val="24"/>
                <w:highlight w:val="none"/>
              </w:rPr>
              <w:t>该项目所在地厂界周围环境噪声</w:t>
            </w:r>
            <w:r>
              <w:rPr>
                <w:rFonts w:hint="eastAsia" w:ascii="Times New Roman" w:hAnsi="Times New Roman" w:cs="Times New Roman"/>
                <w:color w:val="auto"/>
                <w:sz w:val="24"/>
                <w:szCs w:val="24"/>
                <w:highlight w:val="none"/>
                <w:lang w:val="en-US" w:eastAsia="zh-CN"/>
              </w:rPr>
              <w:t>执行</w:t>
            </w:r>
            <w:r>
              <w:rPr>
                <w:rFonts w:hint="default" w:ascii="Times New Roman" w:hAnsi="Times New Roman" w:cs="Times New Roman"/>
                <w:color w:val="auto"/>
                <w:sz w:val="24"/>
                <w:szCs w:val="24"/>
                <w:highlight w:val="none"/>
              </w:rPr>
              <w:t>《声环境质量标准》（GB3096-2008）</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声环境质量较好。</w:t>
            </w:r>
          </w:p>
          <w:p w14:paraId="54750C40">
            <w:pPr>
              <w:spacing w:line="360" w:lineRule="auto"/>
              <w:ind w:firstLine="480"/>
              <w:rPr>
                <w:rFonts w:hint="eastAsia"/>
                <w:b/>
                <w:color w:val="auto"/>
                <w:spacing w:val="2"/>
                <w:kern w:val="0"/>
                <w:position w:val="-2"/>
                <w:sz w:val="24"/>
                <w:highlight w:val="none"/>
              </w:rPr>
            </w:pPr>
            <w:r>
              <w:rPr>
                <w:rFonts w:hint="eastAsia"/>
                <w:b/>
                <w:color w:val="auto"/>
                <w:spacing w:val="2"/>
                <w:kern w:val="0"/>
                <w:position w:val="-2"/>
                <w:sz w:val="24"/>
                <w:highlight w:val="none"/>
              </w:rPr>
              <w:t>4、生态环境</w:t>
            </w:r>
          </w:p>
          <w:p w14:paraId="40F8543A">
            <w:pPr>
              <w:spacing w:line="360" w:lineRule="auto"/>
              <w:ind w:firstLine="482"/>
              <w:jc w:val="left"/>
              <w:rPr>
                <w:rFonts w:hint="eastAsia"/>
                <w:bCs/>
                <w:color w:val="auto"/>
                <w:sz w:val="24"/>
                <w:highlight w:val="none"/>
              </w:rPr>
            </w:pPr>
            <w:r>
              <w:rPr>
                <w:rFonts w:hint="eastAsia"/>
                <w:color w:val="auto"/>
                <w:sz w:val="24"/>
                <w:highlight w:val="none"/>
              </w:rPr>
              <w:t>本项目用地</w:t>
            </w:r>
            <w:r>
              <w:rPr>
                <w:rFonts w:hint="eastAsia"/>
                <w:bCs/>
                <w:color w:val="auto"/>
                <w:sz w:val="24"/>
                <w:highlight w:val="none"/>
              </w:rPr>
              <w:t>范围内无生态环境保护目标，不进行生态现状调查。</w:t>
            </w:r>
          </w:p>
          <w:p w14:paraId="64694C62">
            <w:pPr>
              <w:spacing w:line="360" w:lineRule="auto"/>
              <w:ind w:firstLine="480"/>
              <w:rPr>
                <w:rFonts w:hint="eastAsia"/>
                <w:b/>
                <w:color w:val="auto"/>
                <w:spacing w:val="2"/>
                <w:kern w:val="0"/>
                <w:position w:val="-2"/>
                <w:sz w:val="24"/>
                <w:highlight w:val="none"/>
              </w:rPr>
            </w:pPr>
            <w:r>
              <w:rPr>
                <w:rFonts w:hint="eastAsia"/>
                <w:b/>
                <w:color w:val="auto"/>
                <w:spacing w:val="2"/>
                <w:kern w:val="0"/>
                <w:position w:val="-2"/>
                <w:sz w:val="24"/>
                <w:highlight w:val="none"/>
              </w:rPr>
              <w:t>5、电磁辐射</w:t>
            </w:r>
          </w:p>
          <w:p w14:paraId="54CD9EFA">
            <w:pPr>
              <w:spacing w:line="360" w:lineRule="auto"/>
              <w:ind w:firstLine="482"/>
              <w:jc w:val="left"/>
              <w:rPr>
                <w:rFonts w:hint="eastAsia"/>
                <w:color w:val="auto"/>
                <w:sz w:val="24"/>
                <w:highlight w:val="none"/>
              </w:rPr>
            </w:pPr>
            <w:r>
              <w:rPr>
                <w:rFonts w:hint="eastAsia"/>
                <w:color w:val="auto"/>
                <w:sz w:val="24"/>
                <w:highlight w:val="none"/>
              </w:rPr>
              <w:t>本项目不属于电磁辐射类项目。</w:t>
            </w:r>
          </w:p>
          <w:p w14:paraId="0646CBE9">
            <w:pPr>
              <w:spacing w:line="360" w:lineRule="auto"/>
              <w:ind w:firstLine="480"/>
              <w:rPr>
                <w:rFonts w:hint="eastAsia"/>
                <w:b/>
                <w:color w:val="auto"/>
                <w:spacing w:val="2"/>
                <w:kern w:val="0"/>
                <w:position w:val="-2"/>
                <w:sz w:val="24"/>
                <w:highlight w:val="none"/>
              </w:rPr>
            </w:pPr>
            <w:r>
              <w:rPr>
                <w:rFonts w:hint="eastAsia"/>
                <w:b/>
                <w:color w:val="auto"/>
                <w:spacing w:val="2"/>
                <w:kern w:val="0"/>
                <w:position w:val="-2"/>
                <w:sz w:val="24"/>
                <w:highlight w:val="none"/>
              </w:rPr>
              <w:t>6、地下水、土壤环境</w:t>
            </w:r>
          </w:p>
          <w:p w14:paraId="489FD8BE">
            <w:pPr>
              <w:spacing w:line="360" w:lineRule="auto"/>
              <w:ind w:firstLine="480" w:firstLineChars="200"/>
              <w:rPr>
                <w:rFonts w:hint="eastAsia" w:ascii="宋体" w:hAnsi="宋体" w:eastAsia="宋体" w:cs="宋体"/>
                <w:color w:val="auto"/>
                <w:kern w:val="0"/>
                <w:sz w:val="24"/>
                <w:szCs w:val="24"/>
                <w:highlight w:val="none"/>
              </w:rPr>
            </w:pPr>
            <w:r>
              <w:rPr>
                <w:rStyle w:val="88"/>
                <w:rFonts w:eastAsia="新宋体"/>
                <w:color w:val="auto"/>
                <w:sz w:val="24"/>
                <w:highlight w:val="none"/>
              </w:rPr>
              <w:t>项目区按要求进行分区防渗，无地下水、土壤污染途径，根据编制指南要求，不进行厂区附近地下水和土壤环境质量现状调查。</w:t>
            </w:r>
          </w:p>
        </w:tc>
      </w:tr>
      <w:tr w14:paraId="66CE6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14:paraId="01C2EEA0">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w:t>
            </w:r>
          </w:p>
          <w:p w14:paraId="2D4B3E69">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保护</w:t>
            </w:r>
          </w:p>
          <w:p w14:paraId="71DED402">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目标</w:t>
            </w:r>
          </w:p>
        </w:tc>
        <w:tc>
          <w:tcPr>
            <w:tcW w:w="8190" w:type="dxa"/>
            <w:noWrap w:val="0"/>
            <w:vAlign w:val="center"/>
          </w:tcPr>
          <w:p w14:paraId="130D243E">
            <w:pPr>
              <w:spacing w:line="360" w:lineRule="auto"/>
              <w:ind w:firstLine="48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厂区所在区域</w:t>
            </w:r>
            <w:r>
              <w:rPr>
                <w:rFonts w:hint="eastAsia" w:cs="Times New Roman"/>
                <w:color w:val="auto"/>
                <w:kern w:val="0"/>
                <w:sz w:val="24"/>
                <w:szCs w:val="24"/>
                <w:highlight w:val="none"/>
                <w:lang w:val="en-US" w:eastAsia="zh-CN"/>
              </w:rPr>
              <w:t>500米</w:t>
            </w:r>
            <w:r>
              <w:rPr>
                <w:rFonts w:hint="default" w:ascii="Times New Roman" w:hAnsi="Times New Roman" w:eastAsia="宋体" w:cs="Times New Roman"/>
                <w:color w:val="auto"/>
                <w:kern w:val="0"/>
                <w:sz w:val="24"/>
                <w:szCs w:val="24"/>
                <w:highlight w:val="none"/>
              </w:rPr>
              <w:t>范围内没有自然保护区、风景游览区、名胜古迹</w:t>
            </w:r>
            <w:r>
              <w:rPr>
                <w:rFonts w:hint="eastAsia" w:cs="Times New Roman"/>
                <w:color w:val="auto"/>
                <w:kern w:val="0"/>
                <w:sz w:val="24"/>
                <w:szCs w:val="24"/>
                <w:highlight w:val="none"/>
                <w:lang w:eastAsia="zh-CN"/>
              </w:rPr>
              <w:t>及其他</w:t>
            </w:r>
            <w:r>
              <w:rPr>
                <w:rFonts w:hint="default" w:ascii="Times New Roman" w:hAnsi="Times New Roman" w:eastAsia="宋体" w:cs="Times New Roman"/>
                <w:color w:val="auto"/>
                <w:kern w:val="0"/>
                <w:sz w:val="24"/>
                <w:szCs w:val="24"/>
                <w:highlight w:val="none"/>
              </w:rPr>
              <w:t>需要特别保护的敏感目标。</w:t>
            </w:r>
          </w:p>
          <w:p w14:paraId="337EDE3B">
            <w:pPr>
              <w:spacing w:line="360" w:lineRule="auto"/>
              <w:ind w:firstLine="48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根据项目性质及周围环境特征，确定本项目环境保护目标及保护级别见表3-</w:t>
            </w:r>
            <w:r>
              <w:rPr>
                <w:rFonts w:hint="eastAsia"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w:t>
            </w:r>
          </w:p>
          <w:p w14:paraId="53FBE32C">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表3-</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保护目标</w:t>
            </w:r>
          </w:p>
          <w:tbl>
            <w:tblPr>
              <w:tblStyle w:val="30"/>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6"/>
              <w:gridCol w:w="1769"/>
              <w:gridCol w:w="863"/>
              <w:gridCol w:w="1101"/>
              <w:gridCol w:w="2848"/>
            </w:tblGrid>
            <w:tr w14:paraId="1451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56" w:type="dxa"/>
                  <w:noWrap w:val="0"/>
                  <w:vAlign w:val="center"/>
                </w:tcPr>
                <w:p w14:paraId="44303A82">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环境类别</w:t>
                  </w:r>
                </w:p>
              </w:tc>
              <w:tc>
                <w:tcPr>
                  <w:tcW w:w="1769" w:type="dxa"/>
                  <w:noWrap w:val="0"/>
                  <w:vAlign w:val="center"/>
                </w:tcPr>
                <w:p w14:paraId="5706D0A6">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保护对象</w:t>
                  </w:r>
                </w:p>
              </w:tc>
              <w:tc>
                <w:tcPr>
                  <w:tcW w:w="863" w:type="dxa"/>
                  <w:noWrap w:val="0"/>
                  <w:vAlign w:val="center"/>
                </w:tcPr>
                <w:p w14:paraId="0A2C81CA">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方位</w:t>
                  </w:r>
                </w:p>
              </w:tc>
              <w:tc>
                <w:tcPr>
                  <w:tcW w:w="1101" w:type="dxa"/>
                  <w:noWrap w:val="0"/>
                  <w:vAlign w:val="center"/>
                </w:tcPr>
                <w:p w14:paraId="5EBFCDA7">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距离</w:t>
                  </w:r>
                </w:p>
              </w:tc>
              <w:tc>
                <w:tcPr>
                  <w:tcW w:w="2848" w:type="dxa"/>
                  <w:noWrap w:val="0"/>
                  <w:vAlign w:val="center"/>
                </w:tcPr>
                <w:p w14:paraId="12FD29EA">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保护级别</w:t>
                  </w:r>
                </w:p>
              </w:tc>
            </w:tr>
            <w:tr w14:paraId="0917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1356" w:type="dxa"/>
                  <w:vMerge w:val="restart"/>
                  <w:noWrap w:val="0"/>
                  <w:vAlign w:val="center"/>
                </w:tcPr>
                <w:p w14:paraId="1FDC1259">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w:t>
                  </w:r>
                </w:p>
              </w:tc>
              <w:tc>
                <w:tcPr>
                  <w:tcW w:w="1769" w:type="dxa"/>
                  <w:noWrap w:val="0"/>
                  <w:vAlign w:val="center"/>
                </w:tcPr>
                <w:p w14:paraId="765F277E">
                  <w:pPr>
                    <w:jc w:val="center"/>
                    <w:rPr>
                      <w:rFonts w:hint="eastAsia" w:ascii="Times New Roman" w:hAnsi="Times New Roman" w:eastAsia="宋体" w:cs="Times New Roman"/>
                      <w:color w:val="FF0000"/>
                      <w:sz w:val="21"/>
                      <w:szCs w:val="21"/>
                      <w:highlight w:val="none"/>
                      <w:lang w:val="en-US" w:eastAsia="zh-CN"/>
                    </w:rPr>
                  </w:pPr>
                  <w:r>
                    <w:rPr>
                      <w:rFonts w:hint="eastAsia"/>
                      <w:color w:val="FF0000"/>
                      <w:sz w:val="21"/>
                      <w:szCs w:val="21"/>
                      <w:highlight w:val="none"/>
                      <w:lang w:val="en-US" w:eastAsia="zh-CN"/>
                    </w:rPr>
                    <w:t>李家坡</w:t>
                  </w:r>
                </w:p>
              </w:tc>
              <w:tc>
                <w:tcPr>
                  <w:tcW w:w="863" w:type="dxa"/>
                  <w:noWrap w:val="0"/>
                  <w:vAlign w:val="center"/>
                </w:tcPr>
                <w:p w14:paraId="30D5BA1C">
                  <w:pPr>
                    <w:jc w:val="center"/>
                    <w:rPr>
                      <w:rFonts w:hint="default" w:ascii="Times New Roman" w:hAnsi="Times New Roman" w:eastAsia="宋体" w:cs="Times New Roman"/>
                      <w:color w:val="FF0000"/>
                      <w:sz w:val="21"/>
                      <w:szCs w:val="21"/>
                      <w:highlight w:val="none"/>
                      <w:lang w:val="en-US" w:eastAsia="zh-CN"/>
                    </w:rPr>
                  </w:pPr>
                  <w:r>
                    <w:rPr>
                      <w:rFonts w:hint="eastAsia"/>
                      <w:color w:val="FF0000"/>
                      <w:sz w:val="21"/>
                      <w:szCs w:val="21"/>
                      <w:highlight w:val="none"/>
                      <w:lang w:val="en-US" w:eastAsia="zh-CN"/>
                    </w:rPr>
                    <w:t>NW</w:t>
                  </w:r>
                </w:p>
              </w:tc>
              <w:tc>
                <w:tcPr>
                  <w:tcW w:w="1101" w:type="dxa"/>
                  <w:noWrap w:val="0"/>
                  <w:vAlign w:val="center"/>
                </w:tcPr>
                <w:p w14:paraId="58CE0287">
                  <w:pPr>
                    <w:jc w:val="center"/>
                    <w:rPr>
                      <w:rFonts w:hint="default" w:ascii="Times New Roman" w:hAnsi="Times New Roman" w:eastAsia="宋体" w:cs="Times New Roman"/>
                      <w:color w:val="FF0000"/>
                      <w:sz w:val="21"/>
                      <w:szCs w:val="21"/>
                      <w:highlight w:val="none"/>
                      <w:lang w:val="en-US" w:eastAsia="zh-CN"/>
                    </w:rPr>
                  </w:pPr>
                  <w:r>
                    <w:rPr>
                      <w:rFonts w:hint="eastAsia"/>
                      <w:color w:val="FF0000"/>
                      <w:sz w:val="21"/>
                      <w:szCs w:val="21"/>
                      <w:highlight w:val="none"/>
                      <w:lang w:val="en-US" w:eastAsia="zh-CN"/>
                    </w:rPr>
                    <w:t>220</w:t>
                  </w:r>
                  <w:r>
                    <w:rPr>
                      <w:color w:val="FF0000"/>
                      <w:sz w:val="21"/>
                      <w:szCs w:val="21"/>
                      <w:highlight w:val="none"/>
                    </w:rPr>
                    <w:t>m</w:t>
                  </w:r>
                </w:p>
              </w:tc>
              <w:tc>
                <w:tcPr>
                  <w:tcW w:w="2848" w:type="dxa"/>
                  <w:vMerge w:val="restart"/>
                  <w:noWrap w:val="0"/>
                  <w:vAlign w:val="center"/>
                </w:tcPr>
                <w:p w14:paraId="2A30FCB7">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《环境空气质量标准》（GB3095-2012）</w:t>
                  </w:r>
                  <w:r>
                    <w:rPr>
                      <w:rFonts w:hint="eastAsia" w:ascii="Times New Roman" w:cs="Times New Roman"/>
                      <w:color w:val="auto"/>
                      <w:sz w:val="21"/>
                      <w:szCs w:val="21"/>
                      <w:highlight w:val="none"/>
                      <w:lang w:val="en-US" w:eastAsia="zh-CN"/>
                    </w:rPr>
                    <w:t>二</w:t>
                  </w:r>
                  <w:r>
                    <w:rPr>
                      <w:rFonts w:hint="default" w:ascii="Times New Roman" w:hAnsi="Times New Roman" w:eastAsia="宋体" w:cs="Times New Roman"/>
                      <w:color w:val="auto"/>
                      <w:sz w:val="21"/>
                      <w:szCs w:val="21"/>
                      <w:highlight w:val="none"/>
                    </w:rPr>
                    <w:t>级标准</w:t>
                  </w:r>
                </w:p>
              </w:tc>
            </w:tr>
            <w:tr w14:paraId="4649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1356" w:type="dxa"/>
                  <w:vMerge w:val="continue"/>
                  <w:noWrap w:val="0"/>
                  <w:vAlign w:val="center"/>
                </w:tcPr>
                <w:p w14:paraId="70F2A243">
                  <w:pPr>
                    <w:pStyle w:val="63"/>
                    <w:rPr>
                      <w:rFonts w:hint="default" w:ascii="Times New Roman" w:hAnsi="Times New Roman" w:eastAsia="宋体" w:cs="Times New Roman"/>
                      <w:color w:val="auto"/>
                      <w:sz w:val="21"/>
                      <w:szCs w:val="21"/>
                      <w:highlight w:val="none"/>
                    </w:rPr>
                  </w:pPr>
                </w:p>
              </w:tc>
              <w:tc>
                <w:tcPr>
                  <w:tcW w:w="1769" w:type="dxa"/>
                  <w:noWrap w:val="0"/>
                  <w:vAlign w:val="center"/>
                </w:tcPr>
                <w:p w14:paraId="2C05C957">
                  <w:pPr>
                    <w:jc w:val="center"/>
                    <w:rPr>
                      <w:rFonts w:hint="default"/>
                      <w:color w:val="FF0000"/>
                      <w:sz w:val="21"/>
                      <w:szCs w:val="21"/>
                      <w:highlight w:val="none"/>
                      <w:lang w:val="en-US" w:eastAsia="zh-CN"/>
                    </w:rPr>
                  </w:pPr>
                  <w:r>
                    <w:rPr>
                      <w:rFonts w:hint="eastAsia"/>
                      <w:color w:val="FF0000"/>
                      <w:sz w:val="21"/>
                      <w:szCs w:val="21"/>
                      <w:highlight w:val="none"/>
                      <w:lang w:val="en-US" w:eastAsia="zh-CN"/>
                    </w:rPr>
                    <w:t>李家坡小学</w:t>
                  </w:r>
                </w:p>
              </w:tc>
              <w:tc>
                <w:tcPr>
                  <w:tcW w:w="863" w:type="dxa"/>
                  <w:noWrap w:val="0"/>
                  <w:vAlign w:val="center"/>
                </w:tcPr>
                <w:p w14:paraId="623F171B">
                  <w:pPr>
                    <w:jc w:val="center"/>
                    <w:rPr>
                      <w:rFonts w:hint="eastAsia"/>
                      <w:color w:val="FF0000"/>
                      <w:sz w:val="21"/>
                      <w:szCs w:val="21"/>
                      <w:highlight w:val="none"/>
                    </w:rPr>
                  </w:pPr>
                  <w:r>
                    <w:rPr>
                      <w:rFonts w:hint="eastAsia"/>
                      <w:color w:val="FF0000"/>
                      <w:sz w:val="21"/>
                      <w:szCs w:val="21"/>
                      <w:highlight w:val="none"/>
                      <w:lang w:val="en-US" w:eastAsia="zh-CN"/>
                    </w:rPr>
                    <w:t>NW</w:t>
                  </w:r>
                </w:p>
              </w:tc>
              <w:tc>
                <w:tcPr>
                  <w:tcW w:w="1101" w:type="dxa"/>
                  <w:noWrap w:val="0"/>
                  <w:vAlign w:val="center"/>
                </w:tcPr>
                <w:p w14:paraId="60DB14DB">
                  <w:pPr>
                    <w:jc w:val="center"/>
                    <w:rPr>
                      <w:rFonts w:hint="default"/>
                      <w:color w:val="FF0000"/>
                      <w:sz w:val="21"/>
                      <w:szCs w:val="21"/>
                      <w:highlight w:val="none"/>
                      <w:lang w:val="en-US" w:eastAsia="zh-CN"/>
                    </w:rPr>
                  </w:pPr>
                  <w:r>
                    <w:rPr>
                      <w:rFonts w:hint="eastAsia"/>
                      <w:color w:val="FF0000"/>
                      <w:sz w:val="21"/>
                      <w:szCs w:val="21"/>
                      <w:highlight w:val="none"/>
                      <w:lang w:val="en-US" w:eastAsia="zh-CN"/>
                    </w:rPr>
                    <w:t>370</w:t>
                  </w:r>
                  <w:r>
                    <w:rPr>
                      <w:color w:val="FF0000"/>
                      <w:sz w:val="21"/>
                      <w:szCs w:val="21"/>
                      <w:highlight w:val="none"/>
                    </w:rPr>
                    <w:t>m</w:t>
                  </w:r>
                </w:p>
              </w:tc>
              <w:tc>
                <w:tcPr>
                  <w:tcW w:w="2848" w:type="dxa"/>
                  <w:vMerge w:val="continue"/>
                  <w:noWrap w:val="0"/>
                  <w:vAlign w:val="center"/>
                </w:tcPr>
                <w:p w14:paraId="205CE035">
                  <w:pPr>
                    <w:pStyle w:val="63"/>
                    <w:rPr>
                      <w:rFonts w:hint="default" w:ascii="Times New Roman" w:hAnsi="Times New Roman" w:eastAsia="宋体" w:cs="Times New Roman"/>
                      <w:color w:val="auto"/>
                      <w:sz w:val="21"/>
                      <w:szCs w:val="21"/>
                      <w:highlight w:val="none"/>
                    </w:rPr>
                  </w:pPr>
                </w:p>
              </w:tc>
            </w:tr>
            <w:tr w14:paraId="44B4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356" w:type="dxa"/>
                  <w:vMerge w:val="continue"/>
                  <w:noWrap w:val="0"/>
                  <w:vAlign w:val="center"/>
                </w:tcPr>
                <w:p w14:paraId="237C4C63">
                  <w:pPr>
                    <w:pStyle w:val="63"/>
                    <w:rPr>
                      <w:rFonts w:hint="default" w:ascii="Times New Roman" w:hAnsi="Times New Roman" w:eastAsia="宋体" w:cs="Times New Roman"/>
                      <w:color w:val="auto"/>
                      <w:sz w:val="21"/>
                      <w:szCs w:val="21"/>
                      <w:highlight w:val="none"/>
                    </w:rPr>
                  </w:pPr>
                </w:p>
              </w:tc>
              <w:tc>
                <w:tcPr>
                  <w:tcW w:w="1769" w:type="dxa"/>
                  <w:noWrap w:val="0"/>
                  <w:vAlign w:val="center"/>
                </w:tcPr>
                <w:p w14:paraId="11984B00">
                  <w:pPr>
                    <w:jc w:val="center"/>
                    <w:rPr>
                      <w:rFonts w:hint="default"/>
                      <w:color w:val="FF0000"/>
                      <w:sz w:val="21"/>
                      <w:szCs w:val="21"/>
                      <w:highlight w:val="none"/>
                      <w:lang w:val="en-US" w:eastAsia="zh-CN"/>
                    </w:rPr>
                  </w:pPr>
                  <w:r>
                    <w:rPr>
                      <w:rFonts w:hint="eastAsia"/>
                      <w:color w:val="FF0000"/>
                      <w:sz w:val="21"/>
                      <w:szCs w:val="21"/>
                      <w:highlight w:val="none"/>
                      <w:lang w:val="en-US" w:eastAsia="zh-CN"/>
                    </w:rPr>
                    <w:t>二十里铺村</w:t>
                  </w:r>
                </w:p>
              </w:tc>
              <w:tc>
                <w:tcPr>
                  <w:tcW w:w="863" w:type="dxa"/>
                  <w:noWrap w:val="0"/>
                  <w:vAlign w:val="center"/>
                </w:tcPr>
                <w:p w14:paraId="76C7B312">
                  <w:pPr>
                    <w:jc w:val="center"/>
                    <w:rPr>
                      <w:rFonts w:hint="eastAsia"/>
                      <w:color w:val="FF0000"/>
                      <w:sz w:val="21"/>
                      <w:szCs w:val="21"/>
                      <w:highlight w:val="none"/>
                      <w:lang w:val="en-US" w:eastAsia="zh-CN"/>
                    </w:rPr>
                  </w:pPr>
                  <w:r>
                    <w:rPr>
                      <w:rFonts w:hint="eastAsia"/>
                      <w:color w:val="FF0000"/>
                      <w:sz w:val="21"/>
                      <w:szCs w:val="21"/>
                      <w:highlight w:val="none"/>
                      <w:lang w:val="en-US" w:eastAsia="zh-CN"/>
                    </w:rPr>
                    <w:t>NW</w:t>
                  </w:r>
                </w:p>
              </w:tc>
              <w:tc>
                <w:tcPr>
                  <w:tcW w:w="1101" w:type="dxa"/>
                  <w:noWrap w:val="0"/>
                  <w:vAlign w:val="center"/>
                </w:tcPr>
                <w:p w14:paraId="7278A17A">
                  <w:pPr>
                    <w:jc w:val="center"/>
                    <w:rPr>
                      <w:rFonts w:hint="eastAsia"/>
                      <w:color w:val="FF0000"/>
                      <w:sz w:val="21"/>
                      <w:szCs w:val="21"/>
                      <w:highlight w:val="none"/>
                      <w:lang w:val="en-US" w:eastAsia="zh-CN"/>
                    </w:rPr>
                  </w:pPr>
                  <w:r>
                    <w:rPr>
                      <w:rFonts w:hint="eastAsia"/>
                      <w:color w:val="FF0000"/>
                      <w:sz w:val="21"/>
                      <w:szCs w:val="21"/>
                      <w:highlight w:val="none"/>
                      <w:lang w:val="en-US" w:eastAsia="zh-CN"/>
                    </w:rPr>
                    <w:t>390</w:t>
                  </w:r>
                  <w:r>
                    <w:rPr>
                      <w:color w:val="FF0000"/>
                      <w:sz w:val="21"/>
                      <w:szCs w:val="21"/>
                      <w:highlight w:val="none"/>
                    </w:rPr>
                    <w:t>m</w:t>
                  </w:r>
                </w:p>
              </w:tc>
              <w:tc>
                <w:tcPr>
                  <w:tcW w:w="2848" w:type="dxa"/>
                  <w:vMerge w:val="continue"/>
                  <w:noWrap w:val="0"/>
                  <w:vAlign w:val="center"/>
                </w:tcPr>
                <w:p w14:paraId="4F430863">
                  <w:pPr>
                    <w:pStyle w:val="63"/>
                    <w:rPr>
                      <w:rFonts w:hint="default" w:ascii="Times New Roman" w:hAnsi="Times New Roman" w:eastAsia="宋体" w:cs="Times New Roman"/>
                      <w:color w:val="auto"/>
                      <w:sz w:val="21"/>
                      <w:szCs w:val="21"/>
                      <w:highlight w:val="none"/>
                    </w:rPr>
                  </w:pPr>
                </w:p>
              </w:tc>
            </w:tr>
            <w:tr w14:paraId="5596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356" w:type="dxa"/>
                  <w:vMerge w:val="continue"/>
                  <w:noWrap w:val="0"/>
                  <w:vAlign w:val="center"/>
                </w:tcPr>
                <w:p w14:paraId="2E21BF6C">
                  <w:pPr>
                    <w:pStyle w:val="63"/>
                    <w:rPr>
                      <w:rFonts w:hint="default" w:ascii="Times New Roman" w:hAnsi="Times New Roman" w:eastAsia="宋体" w:cs="Times New Roman"/>
                      <w:color w:val="auto"/>
                      <w:sz w:val="21"/>
                      <w:szCs w:val="21"/>
                      <w:highlight w:val="none"/>
                    </w:rPr>
                  </w:pPr>
                </w:p>
              </w:tc>
              <w:tc>
                <w:tcPr>
                  <w:tcW w:w="1769" w:type="dxa"/>
                  <w:noWrap w:val="0"/>
                  <w:vAlign w:val="center"/>
                </w:tcPr>
                <w:p w14:paraId="0C392D7C">
                  <w:pPr>
                    <w:jc w:val="center"/>
                    <w:rPr>
                      <w:rFonts w:hint="default"/>
                      <w:color w:val="FF0000"/>
                      <w:sz w:val="21"/>
                      <w:szCs w:val="21"/>
                      <w:highlight w:val="none"/>
                      <w:lang w:val="en-US" w:eastAsia="zh-CN"/>
                    </w:rPr>
                  </w:pPr>
                  <w:r>
                    <w:rPr>
                      <w:rFonts w:hint="eastAsia"/>
                      <w:color w:val="FF0000"/>
                      <w:sz w:val="21"/>
                      <w:szCs w:val="21"/>
                      <w:highlight w:val="none"/>
                      <w:lang w:val="en-US" w:eastAsia="zh-CN"/>
                    </w:rPr>
                    <w:t>苗馆镇政府办公楼</w:t>
                  </w:r>
                </w:p>
              </w:tc>
              <w:tc>
                <w:tcPr>
                  <w:tcW w:w="863" w:type="dxa"/>
                  <w:noWrap w:val="0"/>
                  <w:vAlign w:val="center"/>
                </w:tcPr>
                <w:p w14:paraId="46D146A4">
                  <w:pPr>
                    <w:jc w:val="center"/>
                    <w:rPr>
                      <w:rFonts w:hint="default"/>
                      <w:color w:val="FF0000"/>
                      <w:sz w:val="21"/>
                      <w:szCs w:val="21"/>
                      <w:highlight w:val="none"/>
                      <w:lang w:val="en-US" w:eastAsia="zh-CN"/>
                    </w:rPr>
                  </w:pPr>
                  <w:r>
                    <w:rPr>
                      <w:rFonts w:hint="eastAsia"/>
                      <w:color w:val="FF0000"/>
                      <w:sz w:val="21"/>
                      <w:szCs w:val="21"/>
                      <w:highlight w:val="none"/>
                      <w:lang w:val="en-US" w:eastAsia="zh-CN"/>
                    </w:rPr>
                    <w:t>NE</w:t>
                  </w:r>
                </w:p>
              </w:tc>
              <w:tc>
                <w:tcPr>
                  <w:tcW w:w="1101" w:type="dxa"/>
                  <w:noWrap w:val="0"/>
                  <w:vAlign w:val="center"/>
                </w:tcPr>
                <w:p w14:paraId="1C15F170">
                  <w:pPr>
                    <w:jc w:val="center"/>
                    <w:rPr>
                      <w:rFonts w:hint="default"/>
                      <w:color w:val="FF0000"/>
                      <w:sz w:val="21"/>
                      <w:szCs w:val="21"/>
                      <w:highlight w:val="none"/>
                      <w:lang w:val="en-US" w:eastAsia="zh-CN"/>
                    </w:rPr>
                  </w:pPr>
                  <w:r>
                    <w:rPr>
                      <w:rFonts w:hint="eastAsia"/>
                      <w:color w:val="FF0000"/>
                      <w:sz w:val="21"/>
                      <w:szCs w:val="21"/>
                      <w:highlight w:val="none"/>
                      <w:lang w:val="en-US" w:eastAsia="zh-CN"/>
                    </w:rPr>
                    <w:t>380</w:t>
                  </w:r>
                  <w:r>
                    <w:rPr>
                      <w:color w:val="FF0000"/>
                      <w:sz w:val="21"/>
                      <w:szCs w:val="21"/>
                      <w:highlight w:val="none"/>
                    </w:rPr>
                    <w:t>m</w:t>
                  </w:r>
                </w:p>
              </w:tc>
              <w:tc>
                <w:tcPr>
                  <w:tcW w:w="2848" w:type="dxa"/>
                  <w:vMerge w:val="continue"/>
                  <w:noWrap w:val="0"/>
                  <w:vAlign w:val="center"/>
                </w:tcPr>
                <w:p w14:paraId="378CF67E">
                  <w:pPr>
                    <w:pStyle w:val="63"/>
                    <w:rPr>
                      <w:rFonts w:hint="default" w:ascii="Times New Roman" w:hAnsi="Times New Roman" w:eastAsia="宋体" w:cs="Times New Roman"/>
                      <w:color w:val="auto"/>
                      <w:sz w:val="21"/>
                      <w:szCs w:val="21"/>
                      <w:highlight w:val="none"/>
                    </w:rPr>
                  </w:pPr>
                </w:p>
              </w:tc>
            </w:tr>
            <w:tr w14:paraId="0186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356" w:type="dxa"/>
                  <w:vMerge w:val="continue"/>
                  <w:noWrap w:val="0"/>
                  <w:vAlign w:val="center"/>
                </w:tcPr>
                <w:p w14:paraId="4B770DD6">
                  <w:pPr>
                    <w:pStyle w:val="63"/>
                    <w:rPr>
                      <w:rFonts w:hint="default" w:ascii="Times New Roman" w:hAnsi="Times New Roman" w:eastAsia="宋体" w:cs="Times New Roman"/>
                      <w:color w:val="auto"/>
                      <w:sz w:val="21"/>
                      <w:szCs w:val="21"/>
                      <w:highlight w:val="none"/>
                    </w:rPr>
                  </w:pPr>
                </w:p>
              </w:tc>
              <w:tc>
                <w:tcPr>
                  <w:tcW w:w="1769" w:type="dxa"/>
                  <w:noWrap w:val="0"/>
                  <w:vAlign w:val="center"/>
                </w:tcPr>
                <w:p w14:paraId="623C5813">
                  <w:pPr>
                    <w:jc w:val="center"/>
                    <w:rPr>
                      <w:rFonts w:hint="default"/>
                      <w:color w:val="FF0000"/>
                      <w:sz w:val="21"/>
                      <w:szCs w:val="21"/>
                      <w:highlight w:val="none"/>
                      <w:lang w:val="en-US" w:eastAsia="zh-CN"/>
                    </w:rPr>
                  </w:pPr>
                  <w:r>
                    <w:rPr>
                      <w:rFonts w:hint="eastAsia"/>
                      <w:color w:val="FF0000"/>
                      <w:sz w:val="21"/>
                      <w:szCs w:val="21"/>
                      <w:highlight w:val="none"/>
                      <w:lang w:val="en-US" w:eastAsia="zh-CN"/>
                    </w:rPr>
                    <w:t>苗馆镇法庭</w:t>
                  </w:r>
                </w:p>
              </w:tc>
              <w:tc>
                <w:tcPr>
                  <w:tcW w:w="863" w:type="dxa"/>
                  <w:noWrap w:val="0"/>
                  <w:vAlign w:val="center"/>
                </w:tcPr>
                <w:p w14:paraId="4AE18B0D">
                  <w:pPr>
                    <w:jc w:val="center"/>
                    <w:rPr>
                      <w:rFonts w:hint="eastAsia"/>
                      <w:color w:val="FF0000"/>
                      <w:sz w:val="21"/>
                      <w:szCs w:val="21"/>
                      <w:highlight w:val="none"/>
                      <w:lang w:val="en-US" w:eastAsia="zh-CN"/>
                    </w:rPr>
                  </w:pPr>
                  <w:r>
                    <w:rPr>
                      <w:rFonts w:hint="eastAsia"/>
                      <w:color w:val="FF0000"/>
                      <w:sz w:val="21"/>
                      <w:szCs w:val="21"/>
                      <w:highlight w:val="none"/>
                      <w:lang w:val="en-US" w:eastAsia="zh-CN"/>
                    </w:rPr>
                    <w:t>NW</w:t>
                  </w:r>
                </w:p>
              </w:tc>
              <w:tc>
                <w:tcPr>
                  <w:tcW w:w="1101" w:type="dxa"/>
                  <w:noWrap w:val="0"/>
                  <w:vAlign w:val="center"/>
                </w:tcPr>
                <w:p w14:paraId="705732EC">
                  <w:pPr>
                    <w:jc w:val="center"/>
                    <w:rPr>
                      <w:rFonts w:hint="default"/>
                      <w:color w:val="FF0000"/>
                      <w:sz w:val="21"/>
                      <w:szCs w:val="21"/>
                      <w:highlight w:val="none"/>
                      <w:lang w:val="en-US" w:eastAsia="zh-CN"/>
                    </w:rPr>
                  </w:pPr>
                  <w:r>
                    <w:rPr>
                      <w:rFonts w:hint="eastAsia"/>
                      <w:color w:val="FF0000"/>
                      <w:sz w:val="21"/>
                      <w:szCs w:val="21"/>
                      <w:highlight w:val="none"/>
                      <w:lang w:val="en-US" w:eastAsia="zh-CN"/>
                    </w:rPr>
                    <w:t>230</w:t>
                  </w:r>
                  <w:r>
                    <w:rPr>
                      <w:color w:val="FF0000"/>
                      <w:sz w:val="21"/>
                      <w:szCs w:val="21"/>
                      <w:highlight w:val="none"/>
                    </w:rPr>
                    <w:t>m</w:t>
                  </w:r>
                </w:p>
              </w:tc>
              <w:tc>
                <w:tcPr>
                  <w:tcW w:w="2848" w:type="dxa"/>
                  <w:vMerge w:val="continue"/>
                  <w:noWrap w:val="0"/>
                  <w:vAlign w:val="center"/>
                </w:tcPr>
                <w:p w14:paraId="3733824F">
                  <w:pPr>
                    <w:pStyle w:val="63"/>
                    <w:rPr>
                      <w:rFonts w:hint="default" w:ascii="Times New Roman" w:hAnsi="Times New Roman" w:eastAsia="宋体" w:cs="Times New Roman"/>
                      <w:color w:val="auto"/>
                      <w:sz w:val="21"/>
                      <w:szCs w:val="21"/>
                      <w:highlight w:val="none"/>
                    </w:rPr>
                  </w:pPr>
                </w:p>
              </w:tc>
            </w:tr>
            <w:tr w14:paraId="7995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1356" w:type="dxa"/>
                  <w:vMerge w:val="continue"/>
                  <w:noWrap w:val="0"/>
                  <w:vAlign w:val="center"/>
                </w:tcPr>
                <w:p w14:paraId="46F4E387">
                  <w:pPr>
                    <w:pStyle w:val="63"/>
                    <w:rPr>
                      <w:rFonts w:hint="default" w:ascii="Times New Roman" w:hAnsi="Times New Roman" w:eastAsia="宋体" w:cs="Times New Roman"/>
                      <w:color w:val="auto"/>
                      <w:sz w:val="21"/>
                      <w:szCs w:val="21"/>
                      <w:highlight w:val="none"/>
                    </w:rPr>
                  </w:pPr>
                </w:p>
              </w:tc>
              <w:tc>
                <w:tcPr>
                  <w:tcW w:w="1769" w:type="dxa"/>
                  <w:noWrap w:val="0"/>
                  <w:vAlign w:val="center"/>
                </w:tcPr>
                <w:p w14:paraId="788DD370">
                  <w:pPr>
                    <w:jc w:val="center"/>
                    <w:rPr>
                      <w:rFonts w:hint="default"/>
                      <w:color w:val="FF0000"/>
                      <w:sz w:val="21"/>
                      <w:szCs w:val="21"/>
                      <w:highlight w:val="none"/>
                      <w:lang w:val="en-US" w:eastAsia="zh-CN"/>
                    </w:rPr>
                  </w:pPr>
                  <w:r>
                    <w:rPr>
                      <w:rFonts w:hint="eastAsia"/>
                      <w:color w:val="FF0000"/>
                      <w:sz w:val="21"/>
                      <w:szCs w:val="21"/>
                      <w:highlight w:val="none"/>
                      <w:lang w:val="en-US" w:eastAsia="zh-CN"/>
                    </w:rPr>
                    <w:t>苗馆镇税务分局</w:t>
                  </w:r>
                </w:p>
              </w:tc>
              <w:tc>
                <w:tcPr>
                  <w:tcW w:w="863" w:type="dxa"/>
                  <w:noWrap w:val="0"/>
                  <w:vAlign w:val="center"/>
                </w:tcPr>
                <w:p w14:paraId="7E4DE2D3">
                  <w:pPr>
                    <w:jc w:val="center"/>
                    <w:rPr>
                      <w:rFonts w:hint="eastAsia"/>
                      <w:color w:val="FF0000"/>
                      <w:sz w:val="21"/>
                      <w:szCs w:val="21"/>
                      <w:highlight w:val="none"/>
                      <w:lang w:val="en-US" w:eastAsia="zh-CN"/>
                    </w:rPr>
                  </w:pPr>
                  <w:r>
                    <w:rPr>
                      <w:rFonts w:hint="eastAsia"/>
                      <w:color w:val="FF0000"/>
                      <w:sz w:val="21"/>
                      <w:szCs w:val="21"/>
                      <w:highlight w:val="none"/>
                      <w:lang w:val="en-US" w:eastAsia="zh-CN"/>
                    </w:rPr>
                    <w:t>NE</w:t>
                  </w:r>
                </w:p>
              </w:tc>
              <w:tc>
                <w:tcPr>
                  <w:tcW w:w="1101" w:type="dxa"/>
                  <w:noWrap w:val="0"/>
                  <w:vAlign w:val="center"/>
                </w:tcPr>
                <w:p w14:paraId="6336C02D">
                  <w:pPr>
                    <w:jc w:val="center"/>
                    <w:rPr>
                      <w:rFonts w:hint="default"/>
                      <w:color w:val="FF0000"/>
                      <w:sz w:val="21"/>
                      <w:szCs w:val="21"/>
                      <w:highlight w:val="none"/>
                      <w:lang w:val="en-US" w:eastAsia="zh-CN"/>
                    </w:rPr>
                  </w:pPr>
                  <w:r>
                    <w:rPr>
                      <w:rFonts w:hint="eastAsia"/>
                      <w:color w:val="FF0000"/>
                      <w:sz w:val="21"/>
                      <w:szCs w:val="21"/>
                      <w:highlight w:val="none"/>
                      <w:lang w:val="en-US" w:eastAsia="zh-CN"/>
                    </w:rPr>
                    <w:t>260</w:t>
                  </w:r>
                  <w:r>
                    <w:rPr>
                      <w:color w:val="FF0000"/>
                      <w:sz w:val="21"/>
                      <w:szCs w:val="21"/>
                      <w:highlight w:val="none"/>
                    </w:rPr>
                    <w:t>m</w:t>
                  </w:r>
                </w:p>
              </w:tc>
              <w:tc>
                <w:tcPr>
                  <w:tcW w:w="2848" w:type="dxa"/>
                  <w:vMerge w:val="continue"/>
                  <w:noWrap w:val="0"/>
                  <w:vAlign w:val="center"/>
                </w:tcPr>
                <w:p w14:paraId="42D6BD9A">
                  <w:pPr>
                    <w:pStyle w:val="63"/>
                    <w:rPr>
                      <w:rFonts w:hint="default" w:ascii="Times New Roman" w:hAnsi="Times New Roman" w:eastAsia="宋体" w:cs="Times New Roman"/>
                      <w:color w:val="auto"/>
                      <w:sz w:val="21"/>
                      <w:szCs w:val="21"/>
                      <w:highlight w:val="none"/>
                    </w:rPr>
                  </w:pPr>
                </w:p>
              </w:tc>
            </w:tr>
            <w:tr w14:paraId="3F96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1" w:hRule="atLeast"/>
                <w:jc w:val="center"/>
              </w:trPr>
              <w:tc>
                <w:tcPr>
                  <w:tcW w:w="1356" w:type="dxa"/>
                  <w:noWrap w:val="0"/>
                  <w:vAlign w:val="center"/>
                </w:tcPr>
                <w:p w14:paraId="3B62678A">
                  <w:pPr>
                    <w:pStyle w:val="6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w:t>
                  </w:r>
                </w:p>
              </w:tc>
              <w:tc>
                <w:tcPr>
                  <w:tcW w:w="3733" w:type="dxa"/>
                  <w:gridSpan w:val="3"/>
                  <w:noWrap w:val="0"/>
                  <w:vAlign w:val="center"/>
                </w:tcPr>
                <w:p w14:paraId="1BDA4447">
                  <w:pPr>
                    <w:pStyle w:val="6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厂界外</w:t>
                  </w:r>
                  <w:r>
                    <w:rPr>
                      <w:rFonts w:hint="eastAsia" w:asci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0米</w:t>
                  </w:r>
                </w:p>
              </w:tc>
              <w:tc>
                <w:tcPr>
                  <w:tcW w:w="2848" w:type="dxa"/>
                  <w:noWrap w:val="0"/>
                  <w:vAlign w:val="center"/>
                </w:tcPr>
                <w:p w14:paraId="3D8FF7AA">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w:t>
                  </w:r>
                  <w:r>
                    <w:rPr>
                      <w:rFonts w:hint="eastAsia" w:asci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声环境噪声</w:t>
                  </w:r>
                  <w:r>
                    <w:rPr>
                      <w:rFonts w:hint="eastAsia" w:ascii="Times New Roman" w:cs="Times New Roman"/>
                      <w:color w:val="auto"/>
                      <w:sz w:val="21"/>
                      <w:szCs w:val="21"/>
                      <w:highlight w:val="none"/>
                      <w:lang w:eastAsia="zh-CN"/>
                    </w:rPr>
                    <w:t>标准</w:t>
                  </w:r>
                  <w:r>
                    <w:rPr>
                      <w:rFonts w:hint="default" w:ascii="Times New Roman" w:hAnsi="Times New Roman" w:eastAsia="宋体" w:cs="Times New Roman"/>
                      <w:color w:val="auto"/>
                      <w:sz w:val="21"/>
                      <w:szCs w:val="21"/>
                      <w:highlight w:val="none"/>
                    </w:rPr>
                    <w:t>（GB3096--2008）</w:t>
                  </w:r>
                  <w:r>
                    <w:rPr>
                      <w:rFonts w:hint="eastAsia" w:ascii="Times New Roman" w:cs="Times New Roman"/>
                      <w:color w:val="auto"/>
                      <w:sz w:val="21"/>
                      <w:szCs w:val="21"/>
                      <w:highlight w:val="none"/>
                      <w:lang w:eastAsia="zh-CN"/>
                    </w:rPr>
                    <w:t>》</w:t>
                  </w:r>
                  <w:r>
                    <w:rPr>
                      <w:rFonts w:hint="eastAsia" w:asci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w:t>
                  </w:r>
                </w:p>
              </w:tc>
            </w:tr>
            <w:tr w14:paraId="176B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356" w:type="dxa"/>
                  <w:noWrap w:val="0"/>
                  <w:vAlign w:val="center"/>
                </w:tcPr>
                <w:p w14:paraId="45D35A57">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w:t>
                  </w:r>
                </w:p>
              </w:tc>
              <w:tc>
                <w:tcPr>
                  <w:tcW w:w="1769" w:type="dxa"/>
                  <w:noWrap w:val="0"/>
                  <w:vAlign w:val="center"/>
                </w:tcPr>
                <w:p w14:paraId="6527D57E">
                  <w:pPr>
                    <w:jc w:val="center"/>
                    <w:rPr>
                      <w:rFonts w:hint="default" w:ascii="Times New Roman" w:hAnsi="Times New Roman" w:eastAsia="宋体" w:cs="Times New Roman"/>
                      <w:color w:val="auto"/>
                      <w:sz w:val="21"/>
                      <w:szCs w:val="21"/>
                      <w:highlight w:val="none"/>
                      <w:lang w:val="en-US" w:eastAsia="zh-CN"/>
                    </w:rPr>
                  </w:pPr>
                  <w:r>
                    <w:rPr>
                      <w:color w:val="auto"/>
                      <w:sz w:val="21"/>
                      <w:szCs w:val="21"/>
                      <w:highlight w:val="none"/>
                    </w:rPr>
                    <w:t>泗河</w:t>
                  </w:r>
                </w:p>
              </w:tc>
              <w:tc>
                <w:tcPr>
                  <w:tcW w:w="863" w:type="dxa"/>
                  <w:noWrap w:val="0"/>
                  <w:vAlign w:val="center"/>
                </w:tcPr>
                <w:p w14:paraId="3D191B5A">
                  <w:pPr>
                    <w:jc w:val="center"/>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N</w:t>
                  </w:r>
                </w:p>
              </w:tc>
              <w:tc>
                <w:tcPr>
                  <w:tcW w:w="1101" w:type="dxa"/>
                  <w:noWrap w:val="0"/>
                  <w:vAlign w:val="center"/>
                </w:tcPr>
                <w:p w14:paraId="4C8BD633">
                  <w:pPr>
                    <w:jc w:val="center"/>
                    <w:rPr>
                      <w:rFonts w:hint="default" w:ascii="Times New Roman" w:hAnsi="Times New Roman" w:eastAsia="宋体" w:cs="Times New Roman"/>
                      <w:color w:val="auto"/>
                      <w:sz w:val="21"/>
                      <w:szCs w:val="21"/>
                      <w:highlight w:val="none"/>
                    </w:rPr>
                  </w:pPr>
                  <w:r>
                    <w:rPr>
                      <w:rFonts w:hint="eastAsia"/>
                      <w:color w:val="auto"/>
                      <w:sz w:val="21"/>
                      <w:szCs w:val="21"/>
                      <w:highlight w:val="none"/>
                      <w:lang w:val="en-US" w:eastAsia="zh-CN"/>
                    </w:rPr>
                    <w:t>990</w:t>
                  </w:r>
                  <w:r>
                    <w:rPr>
                      <w:color w:val="auto"/>
                      <w:sz w:val="21"/>
                      <w:szCs w:val="21"/>
                      <w:highlight w:val="none"/>
                    </w:rPr>
                    <w:t>m</w:t>
                  </w:r>
                </w:p>
              </w:tc>
              <w:tc>
                <w:tcPr>
                  <w:tcW w:w="2848" w:type="dxa"/>
                  <w:noWrap w:val="0"/>
                  <w:vAlign w:val="center"/>
                </w:tcPr>
                <w:p w14:paraId="10F56BB2">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《地表水环境质量标准》（GB3838-2002）Ⅲ类标准</w:t>
                  </w:r>
                </w:p>
              </w:tc>
            </w:tr>
            <w:tr w14:paraId="081F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356" w:type="dxa"/>
                  <w:noWrap w:val="0"/>
                  <w:vAlign w:val="center"/>
                </w:tcPr>
                <w:p w14:paraId="6B2DDE4B">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地下水</w:t>
                  </w:r>
                </w:p>
              </w:tc>
              <w:tc>
                <w:tcPr>
                  <w:tcW w:w="3733" w:type="dxa"/>
                  <w:gridSpan w:val="3"/>
                  <w:noWrap w:val="0"/>
                  <w:vAlign w:val="center"/>
                </w:tcPr>
                <w:p w14:paraId="6DB59F6A">
                  <w:pPr>
                    <w:pStyle w:val="63"/>
                    <w:rPr>
                      <w:rFonts w:hint="default" w:ascii="Times New Roman" w:hAnsi="Times New Roman" w:eastAsia="宋体" w:cs="Times New Roman"/>
                      <w:color w:val="auto"/>
                      <w:sz w:val="21"/>
                      <w:szCs w:val="21"/>
                      <w:highlight w:val="none"/>
                    </w:rPr>
                  </w:pPr>
                  <w:r>
                    <w:rPr>
                      <w:color w:val="auto"/>
                      <w:sz w:val="21"/>
                      <w:szCs w:val="21"/>
                      <w:highlight w:val="none"/>
                    </w:rPr>
                    <w:t>厂界外</w:t>
                  </w:r>
                  <w:r>
                    <w:rPr>
                      <w:rFonts w:ascii="Times New Roman" w:eastAsia="Times New Roman"/>
                      <w:color w:val="auto"/>
                      <w:sz w:val="21"/>
                      <w:szCs w:val="21"/>
                      <w:highlight w:val="none"/>
                    </w:rPr>
                    <w:t>500m</w:t>
                  </w:r>
                  <w:r>
                    <w:rPr>
                      <w:color w:val="auto"/>
                      <w:sz w:val="21"/>
                      <w:szCs w:val="21"/>
                      <w:highlight w:val="none"/>
                    </w:rPr>
                    <w:t>不存在地下水集中式饮用水源和热水、矿泉水、温泉等特殊地下水资源</w:t>
                  </w:r>
                </w:p>
              </w:tc>
              <w:tc>
                <w:tcPr>
                  <w:tcW w:w="2848" w:type="dxa"/>
                  <w:noWrap w:val="0"/>
                  <w:vAlign w:val="center"/>
                </w:tcPr>
                <w:p w14:paraId="24B8820F">
                  <w:pPr>
                    <w:pStyle w:val="6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《地下水质量标准》（</w:t>
                  </w:r>
                  <w:r>
                    <w:rPr>
                      <w:rFonts w:hint="default" w:ascii="Times New Roman" w:hAnsi="Times New Roman" w:cs="Times New Roman"/>
                      <w:color w:val="auto"/>
                      <w:sz w:val="21"/>
                      <w:szCs w:val="21"/>
                      <w:highlight w:val="none"/>
                    </w:rPr>
                    <w:t>GB14848-2017</w:t>
                  </w:r>
                  <w:r>
                    <w:rPr>
                      <w:rFonts w:hint="default" w:ascii="Times New Roman" w:hAnsi="Times New Roman" w:eastAsia="宋体" w:cs="Times New Roman"/>
                      <w:color w:val="auto"/>
                      <w:sz w:val="21"/>
                      <w:szCs w:val="21"/>
                      <w:highlight w:val="none"/>
                    </w:rPr>
                    <w:t>）Ⅲ类标准</w:t>
                  </w:r>
                </w:p>
              </w:tc>
            </w:tr>
            <w:tr w14:paraId="2F8C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356" w:type="dxa"/>
                  <w:noWrap w:val="0"/>
                  <w:vAlign w:val="center"/>
                </w:tcPr>
                <w:p w14:paraId="7C39C2B1">
                  <w:pPr>
                    <w:pStyle w:val="75"/>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color w:val="auto"/>
                      <w:sz w:val="21"/>
                      <w:szCs w:val="21"/>
                      <w:highlight w:val="none"/>
                    </w:rPr>
                  </w:pPr>
                  <w:r>
                    <w:rPr>
                      <w:color w:val="auto"/>
                      <w:sz w:val="21"/>
                      <w:szCs w:val="21"/>
                      <w:highlight w:val="none"/>
                    </w:rPr>
                    <w:t>生态环</w:t>
                  </w:r>
                  <w:r>
                    <w:rPr>
                      <w:color w:val="auto"/>
                      <w:w w:val="99"/>
                      <w:sz w:val="21"/>
                      <w:szCs w:val="21"/>
                      <w:highlight w:val="none"/>
                    </w:rPr>
                    <w:t>境</w:t>
                  </w:r>
                </w:p>
              </w:tc>
              <w:tc>
                <w:tcPr>
                  <w:tcW w:w="3733" w:type="dxa"/>
                  <w:gridSpan w:val="3"/>
                  <w:noWrap w:val="0"/>
                  <w:vAlign w:val="center"/>
                </w:tcPr>
                <w:p w14:paraId="0CA0B79C">
                  <w:pPr>
                    <w:pStyle w:val="75"/>
                    <w:keepNext w:val="0"/>
                    <w:keepLines w:val="0"/>
                    <w:pageBreakBefore w:val="0"/>
                    <w:widowControl w:val="0"/>
                    <w:kinsoku/>
                    <w:wordWrap/>
                    <w:overflowPunct/>
                    <w:topLinePunct w:val="0"/>
                    <w:autoSpaceDE/>
                    <w:autoSpaceDN/>
                    <w:bidi w:val="0"/>
                    <w:adjustRightInd/>
                    <w:snapToGrid/>
                    <w:ind w:left="0" w:right="0"/>
                    <w:jc w:val="center"/>
                    <w:textAlignment w:val="auto"/>
                    <w:rPr>
                      <w:color w:val="auto"/>
                      <w:sz w:val="21"/>
                      <w:szCs w:val="21"/>
                      <w:highlight w:val="none"/>
                    </w:rPr>
                  </w:pPr>
                  <w:r>
                    <w:rPr>
                      <w:color w:val="auto"/>
                      <w:sz w:val="21"/>
                      <w:szCs w:val="21"/>
                      <w:highlight w:val="none"/>
                    </w:rPr>
                    <w:t>项目不新增占地</w:t>
                  </w:r>
                </w:p>
              </w:tc>
              <w:tc>
                <w:tcPr>
                  <w:tcW w:w="2848" w:type="dxa"/>
                  <w:noWrap w:val="0"/>
                  <w:vAlign w:val="center"/>
                </w:tcPr>
                <w:p w14:paraId="33F2CAEB">
                  <w:pPr>
                    <w:pStyle w:val="75"/>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default" w:ascii="Times New Roman" w:hAnsi="Times New Roman" w:eastAsia="宋体" w:cs="Times New Roman"/>
                      <w:color w:val="auto"/>
                      <w:sz w:val="21"/>
                      <w:szCs w:val="21"/>
                      <w:highlight w:val="none"/>
                    </w:rPr>
                  </w:pPr>
                  <w:r>
                    <w:rPr>
                      <w:rFonts w:ascii="Times New Roman"/>
                      <w:color w:val="auto"/>
                      <w:sz w:val="21"/>
                      <w:szCs w:val="21"/>
                      <w:highlight w:val="none"/>
                    </w:rPr>
                    <w:t>--</w:t>
                  </w:r>
                </w:p>
              </w:tc>
            </w:tr>
          </w:tbl>
          <w:p w14:paraId="45B5CD7F">
            <w:pPr>
              <w:adjustRightInd w:val="0"/>
              <w:snapToGrid w:val="0"/>
              <w:jc w:val="both"/>
              <w:rPr>
                <w:rFonts w:hint="eastAsia" w:ascii="宋体" w:hAnsi="宋体" w:eastAsia="宋体" w:cs="宋体"/>
                <w:color w:val="auto"/>
                <w:kern w:val="0"/>
                <w:sz w:val="24"/>
                <w:szCs w:val="24"/>
                <w:highlight w:val="none"/>
                <w:lang w:eastAsia="zh-CN"/>
              </w:rPr>
            </w:pPr>
          </w:p>
        </w:tc>
      </w:tr>
      <w:tr w14:paraId="475E5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tcMar>
              <w:left w:w="28" w:type="dxa"/>
              <w:right w:w="28" w:type="dxa"/>
            </w:tcMar>
            <w:vAlign w:val="center"/>
          </w:tcPr>
          <w:p w14:paraId="36765E07">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污染</w:t>
            </w:r>
          </w:p>
          <w:p w14:paraId="5136D1A1">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物排</w:t>
            </w:r>
          </w:p>
          <w:p w14:paraId="7200C465">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放控</w:t>
            </w:r>
          </w:p>
          <w:p w14:paraId="7434877E">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制标</w:t>
            </w:r>
          </w:p>
          <w:p w14:paraId="07392ECD">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准</w:t>
            </w:r>
          </w:p>
        </w:tc>
        <w:tc>
          <w:tcPr>
            <w:tcW w:w="8190" w:type="dxa"/>
            <w:noWrap w:val="0"/>
            <w:vAlign w:val="center"/>
          </w:tcPr>
          <w:p w14:paraId="750BF748">
            <w:pPr>
              <w:adjustRightInd w:val="0"/>
              <w:snapToGrid w:val="0"/>
              <w:spacing w:line="360" w:lineRule="auto"/>
              <w:ind w:firstLine="482" w:firstLineChars="200"/>
              <w:rPr>
                <w:b/>
                <w:color w:val="auto"/>
                <w:sz w:val="24"/>
                <w:highlight w:val="none"/>
              </w:rPr>
            </w:pPr>
            <w:r>
              <w:rPr>
                <w:b/>
                <w:color w:val="auto"/>
                <w:sz w:val="24"/>
                <w:highlight w:val="none"/>
              </w:rPr>
              <w:t>1、废气：</w:t>
            </w:r>
          </w:p>
          <w:p w14:paraId="18E168C4">
            <w:pPr>
              <w:snapToGrid w:val="0"/>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颗粒物有组织</w:t>
            </w:r>
            <w:r>
              <w:rPr>
                <w:color w:val="auto"/>
                <w:sz w:val="24"/>
                <w:szCs w:val="24"/>
                <w:highlight w:val="none"/>
              </w:rPr>
              <w:t>排放</w:t>
            </w:r>
            <w:r>
              <w:rPr>
                <w:rFonts w:hint="eastAsia"/>
                <w:color w:val="auto"/>
                <w:sz w:val="24"/>
                <w:szCs w:val="24"/>
                <w:highlight w:val="none"/>
                <w:lang w:val="en-US" w:eastAsia="zh-CN"/>
              </w:rPr>
              <w:t>浓度执行《区域性大气污染物综合排放标准》（DB37/2376-2019）</w:t>
            </w:r>
            <w:r>
              <w:rPr>
                <w:color w:val="auto"/>
                <w:sz w:val="24"/>
                <w:szCs w:val="24"/>
                <w:highlight w:val="none"/>
              </w:rPr>
              <w:t>中表</w:t>
            </w:r>
            <w:r>
              <w:rPr>
                <w:rFonts w:hint="eastAsia"/>
                <w:color w:val="auto"/>
                <w:sz w:val="24"/>
                <w:szCs w:val="24"/>
                <w:highlight w:val="none"/>
                <w:lang w:val="en-US" w:eastAsia="zh-CN"/>
              </w:rPr>
              <w:t>1</w:t>
            </w:r>
            <w:r>
              <w:rPr>
                <w:color w:val="auto"/>
                <w:sz w:val="24"/>
                <w:szCs w:val="24"/>
                <w:highlight w:val="none"/>
              </w:rPr>
              <w:t>中</w:t>
            </w:r>
            <w:r>
              <w:rPr>
                <w:rFonts w:hint="eastAsia"/>
                <w:color w:val="auto"/>
                <w:sz w:val="24"/>
                <w:szCs w:val="24"/>
                <w:highlight w:val="none"/>
                <w:lang w:val="en-US" w:eastAsia="zh-CN"/>
              </w:rPr>
              <w:t>一般控制区标准限值</w:t>
            </w:r>
            <w:r>
              <w:rPr>
                <w:rFonts w:hint="eastAsia"/>
                <w:color w:val="auto"/>
                <w:sz w:val="24"/>
                <w:szCs w:val="24"/>
                <w:highlight w:val="none"/>
                <w:lang w:eastAsia="zh-CN"/>
              </w:rPr>
              <w:t>，</w:t>
            </w:r>
            <w:r>
              <w:rPr>
                <w:rFonts w:hint="eastAsia"/>
                <w:color w:val="auto"/>
                <w:sz w:val="24"/>
                <w:szCs w:val="24"/>
                <w:highlight w:val="none"/>
                <w:lang w:val="en-US" w:eastAsia="zh-CN"/>
              </w:rPr>
              <w:t>排放速率执行</w:t>
            </w:r>
            <w:r>
              <w:rPr>
                <w:color w:val="auto"/>
                <w:sz w:val="24"/>
                <w:szCs w:val="24"/>
                <w:highlight w:val="none"/>
              </w:rPr>
              <w:t>《大气污染物综合排放标准》(GB16297-1996</w:t>
            </w:r>
            <w:r>
              <w:rPr>
                <w:rFonts w:hint="eastAsia"/>
                <w:color w:val="auto"/>
                <w:sz w:val="24"/>
                <w:szCs w:val="24"/>
                <w:highlight w:val="none"/>
                <w:lang w:eastAsia="zh-CN"/>
              </w:rPr>
              <w:t>）</w:t>
            </w:r>
            <w:r>
              <w:rPr>
                <w:rFonts w:hint="eastAsia"/>
                <w:color w:val="auto"/>
                <w:sz w:val="24"/>
                <w:szCs w:val="24"/>
                <w:highlight w:val="none"/>
                <w:lang w:val="en-US" w:eastAsia="zh-CN"/>
              </w:rPr>
              <w:t>表2二级标准；VOCs执行《挥发性有机物排放标准  第7部分其他行业》（DB37/2801.7-2019），表1  非重点行业</w:t>
            </w:r>
            <w:r>
              <w:rPr>
                <w:rFonts w:hint="eastAsia"/>
                <w:color w:val="auto"/>
                <w:sz w:val="24"/>
                <w:szCs w:val="24"/>
                <w:highlight w:val="none"/>
                <w:lang w:eastAsia="zh-CN"/>
              </w:rPr>
              <w:t>；无组织</w:t>
            </w:r>
            <w:r>
              <w:rPr>
                <w:rFonts w:hint="eastAsia" w:ascii="宋体" w:hAnsi="宋体" w:cs="宋体"/>
                <w:color w:val="auto"/>
                <w:sz w:val="24"/>
                <w:szCs w:val="20"/>
                <w:highlight w:val="none"/>
                <w:lang w:bidi="ar"/>
              </w:rPr>
              <w:t>颗粒物</w:t>
            </w:r>
            <w:r>
              <w:rPr>
                <w:color w:val="auto"/>
                <w:sz w:val="24"/>
                <w:szCs w:val="24"/>
                <w:highlight w:val="none"/>
              </w:rPr>
              <w:t>排放执行《大气污染物综合排放标准》(GB16297-1996</w:t>
            </w:r>
            <w:r>
              <w:rPr>
                <w:rFonts w:hint="eastAsia"/>
                <w:color w:val="auto"/>
                <w:sz w:val="24"/>
                <w:szCs w:val="24"/>
                <w:highlight w:val="none"/>
                <w:lang w:eastAsia="zh-CN"/>
              </w:rPr>
              <w:t>）</w:t>
            </w:r>
            <w:r>
              <w:rPr>
                <w:color w:val="auto"/>
                <w:sz w:val="24"/>
                <w:szCs w:val="24"/>
                <w:highlight w:val="none"/>
              </w:rPr>
              <w:t>中表2中无组织排放监控浓度限制要求</w:t>
            </w:r>
            <w:r>
              <w:rPr>
                <w:rFonts w:hint="eastAsia"/>
                <w:color w:val="auto"/>
                <w:sz w:val="24"/>
                <w:szCs w:val="24"/>
                <w:highlight w:val="none"/>
                <w:lang w:eastAsia="zh-CN"/>
              </w:rPr>
              <w:t>。</w:t>
            </w:r>
            <w:r>
              <w:rPr>
                <w:rFonts w:hint="eastAsia"/>
                <w:color w:val="auto"/>
                <w:sz w:val="24"/>
                <w:szCs w:val="24"/>
                <w:highlight w:val="none"/>
                <w:lang w:val="en-US" w:eastAsia="zh-CN"/>
              </w:rPr>
              <w:t>VOCs执行《挥发性有机物排放标准  第7部分其他行业》（DB37/2801.7-2019）表2要求，</w:t>
            </w:r>
            <w:r>
              <w:rPr>
                <w:rFonts w:hint="eastAsia" w:ascii="Times New Roman" w:hAnsi="Times New Roman" w:eastAsia="宋体" w:cs="Times New Roman"/>
                <w:b w:val="0"/>
                <w:bCs/>
                <w:color w:val="auto"/>
                <w:sz w:val="24"/>
                <w:szCs w:val="20"/>
                <w:highlight w:val="none"/>
                <w:lang w:val="en-US" w:eastAsia="zh-CN"/>
              </w:rPr>
              <w:t>其中厂区内</w:t>
            </w:r>
            <w:r>
              <w:rPr>
                <w:rFonts w:hint="default" w:cs="Times New Roman"/>
                <w:b w:val="0"/>
                <w:bCs/>
                <w:color w:val="auto"/>
                <w:sz w:val="24"/>
                <w:szCs w:val="20"/>
                <w:highlight w:val="none"/>
                <w:lang w:val="en-US" w:eastAsia="zh-CN"/>
              </w:rPr>
              <w:t>VOC</w:t>
            </w:r>
            <w:r>
              <w:rPr>
                <w:rFonts w:hint="eastAsia" w:cs="Times New Roman"/>
                <w:b w:val="0"/>
                <w:bCs/>
                <w:color w:val="auto"/>
                <w:sz w:val="24"/>
                <w:szCs w:val="20"/>
                <w:highlight w:val="none"/>
                <w:lang w:val="en-US" w:eastAsia="zh-CN"/>
              </w:rPr>
              <w:t>s</w:t>
            </w:r>
            <w:r>
              <w:rPr>
                <w:rFonts w:hint="eastAsia" w:ascii="Times New Roman" w:hAnsi="Times New Roman" w:eastAsia="宋体" w:cs="Times New Roman"/>
                <w:b w:val="0"/>
                <w:bCs/>
                <w:color w:val="auto"/>
                <w:sz w:val="24"/>
                <w:szCs w:val="20"/>
                <w:highlight w:val="none"/>
                <w:lang w:val="en-US" w:eastAsia="zh-CN"/>
              </w:rPr>
              <w:t>无组织排放标准执行《挥发性有机物无组织排放控制标准》（GB</w:t>
            </w:r>
            <w:r>
              <w:rPr>
                <w:rFonts w:hint="default" w:ascii="Times New Roman" w:hAnsi="Times New Roman" w:eastAsia="宋体" w:cs="Times New Roman"/>
                <w:b w:val="0"/>
                <w:bCs/>
                <w:color w:val="auto"/>
                <w:sz w:val="24"/>
                <w:szCs w:val="20"/>
                <w:highlight w:val="none"/>
                <w:lang w:val="en-US" w:eastAsia="zh-CN"/>
              </w:rPr>
              <w:t>37822-2019</w:t>
            </w:r>
            <w:r>
              <w:rPr>
                <w:rFonts w:hint="eastAsia" w:ascii="Times New Roman" w:hAnsi="Times New Roman" w:eastAsia="宋体" w:cs="Times New Roman"/>
                <w:b w:val="0"/>
                <w:bCs/>
                <w:color w:val="auto"/>
                <w:sz w:val="24"/>
                <w:szCs w:val="20"/>
                <w:highlight w:val="none"/>
                <w:lang w:val="en-US" w:eastAsia="zh-CN"/>
              </w:rPr>
              <w:t>）附录A</w:t>
            </w:r>
            <w:r>
              <w:rPr>
                <w:rFonts w:hint="default" w:ascii="Times New Roman" w:hAnsi="Times New Roman" w:eastAsia="宋体" w:cs="Times New Roman"/>
                <w:b w:val="0"/>
                <w:bCs/>
                <w:color w:val="auto"/>
                <w:sz w:val="24"/>
                <w:szCs w:val="20"/>
                <w:highlight w:val="none"/>
                <w:lang w:val="en-US" w:eastAsia="zh-CN"/>
              </w:rPr>
              <w:t>.1</w:t>
            </w:r>
            <w:r>
              <w:rPr>
                <w:rFonts w:hint="eastAsia" w:ascii="Times New Roman" w:hAnsi="Times New Roman" w:eastAsia="宋体" w:cs="Times New Roman"/>
                <w:b w:val="0"/>
                <w:bCs/>
                <w:color w:val="auto"/>
                <w:sz w:val="24"/>
                <w:szCs w:val="20"/>
                <w:highlight w:val="none"/>
                <w:lang w:val="en-US" w:eastAsia="zh-CN"/>
              </w:rPr>
              <w:t>特别排放限值要求。</w:t>
            </w:r>
          </w:p>
          <w:p w14:paraId="757472EA">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废气排放标准</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53"/>
              <w:gridCol w:w="1085"/>
              <w:gridCol w:w="1108"/>
              <w:gridCol w:w="1246"/>
              <w:gridCol w:w="2857"/>
            </w:tblGrid>
            <w:tr w14:paraId="3EE9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tblHeader/>
                <w:jc w:val="center"/>
              </w:trPr>
              <w:tc>
                <w:tcPr>
                  <w:tcW w:w="815" w:type="dxa"/>
                  <w:vMerge w:val="restart"/>
                  <w:tcBorders>
                    <w:tl2br w:val="nil"/>
                    <w:tr2bl w:val="nil"/>
                  </w:tcBorders>
                  <w:noWrap w:val="0"/>
                  <w:vAlign w:val="center"/>
                </w:tcPr>
                <w:p w14:paraId="14C18917">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r>
                    <w:rPr>
                      <w:color w:val="auto"/>
                      <w:sz w:val="21"/>
                      <w:szCs w:val="21"/>
                      <w:highlight w:val="none"/>
                    </w:rPr>
                    <w:t>污染物</w:t>
                  </w:r>
                  <w:r>
                    <w:rPr>
                      <w:rFonts w:hint="eastAsia"/>
                      <w:color w:val="auto"/>
                      <w:sz w:val="21"/>
                      <w:szCs w:val="21"/>
                      <w:highlight w:val="none"/>
                    </w:rPr>
                    <w:t>名称</w:t>
                  </w:r>
                </w:p>
              </w:tc>
              <w:tc>
                <w:tcPr>
                  <w:tcW w:w="3046" w:type="dxa"/>
                  <w:gridSpan w:val="3"/>
                  <w:tcBorders>
                    <w:tl2br w:val="nil"/>
                    <w:tr2bl w:val="nil"/>
                  </w:tcBorders>
                  <w:noWrap w:val="0"/>
                  <w:vAlign w:val="center"/>
                </w:tcPr>
                <w:p w14:paraId="49C61D91">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r>
                    <w:rPr>
                      <w:rFonts w:hint="eastAsia"/>
                      <w:color w:val="auto"/>
                      <w:sz w:val="21"/>
                      <w:szCs w:val="21"/>
                      <w:highlight w:val="none"/>
                    </w:rPr>
                    <w:t>有组织</w:t>
                  </w:r>
                </w:p>
              </w:tc>
              <w:tc>
                <w:tcPr>
                  <w:tcW w:w="1246" w:type="dxa"/>
                  <w:vMerge w:val="restart"/>
                  <w:tcBorders>
                    <w:tl2br w:val="nil"/>
                    <w:tr2bl w:val="nil"/>
                  </w:tcBorders>
                  <w:noWrap w:val="0"/>
                  <w:vAlign w:val="center"/>
                </w:tcPr>
                <w:p w14:paraId="1A0B23FB">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r>
                    <w:rPr>
                      <w:rFonts w:hint="eastAsia"/>
                      <w:color w:val="auto"/>
                      <w:sz w:val="21"/>
                      <w:szCs w:val="21"/>
                      <w:highlight w:val="none"/>
                    </w:rPr>
                    <w:t>无组织排放监控浓度限值</w:t>
                  </w:r>
                  <w:r>
                    <w:rPr>
                      <w:color w:val="auto"/>
                      <w:sz w:val="21"/>
                      <w:szCs w:val="21"/>
                      <w:highlight w:val="none"/>
                    </w:rPr>
                    <w:t>mg/m</w:t>
                  </w:r>
                  <w:r>
                    <w:rPr>
                      <w:color w:val="auto"/>
                      <w:sz w:val="21"/>
                      <w:szCs w:val="21"/>
                      <w:highlight w:val="none"/>
                      <w:vertAlign w:val="superscript"/>
                    </w:rPr>
                    <w:t>3</w:t>
                  </w:r>
                </w:p>
              </w:tc>
              <w:tc>
                <w:tcPr>
                  <w:tcW w:w="2857" w:type="dxa"/>
                  <w:vMerge w:val="restart"/>
                  <w:tcBorders>
                    <w:tl2br w:val="nil"/>
                    <w:tr2bl w:val="nil"/>
                  </w:tcBorders>
                  <w:noWrap w:val="0"/>
                  <w:vAlign w:val="center"/>
                </w:tcPr>
                <w:p w14:paraId="752E8D81">
                  <w:pPr>
                    <w:keepNext w:val="0"/>
                    <w:keepLines w:val="0"/>
                    <w:pageBreakBefore w:val="0"/>
                    <w:kinsoku/>
                    <w:wordWrap/>
                    <w:overflowPunct/>
                    <w:topLinePunct w:val="0"/>
                    <w:autoSpaceDE/>
                    <w:autoSpaceDN/>
                    <w:bidi w:val="0"/>
                    <w:snapToGrid/>
                    <w:spacing w:beforeAutospacing="0" w:afterAutospacing="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标准名称</w:t>
                  </w:r>
                </w:p>
              </w:tc>
            </w:tr>
            <w:tr w14:paraId="1AAE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blHeader/>
                <w:jc w:val="center"/>
              </w:trPr>
              <w:tc>
                <w:tcPr>
                  <w:tcW w:w="815" w:type="dxa"/>
                  <w:vMerge w:val="continue"/>
                  <w:tcBorders>
                    <w:tl2br w:val="nil"/>
                    <w:tr2bl w:val="nil"/>
                  </w:tcBorders>
                  <w:noWrap w:val="0"/>
                  <w:vAlign w:val="center"/>
                </w:tcPr>
                <w:p w14:paraId="16C42B3F">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p>
              </w:tc>
              <w:tc>
                <w:tcPr>
                  <w:tcW w:w="853" w:type="dxa"/>
                  <w:tcBorders>
                    <w:tl2br w:val="nil"/>
                    <w:tr2bl w:val="nil"/>
                  </w:tcBorders>
                  <w:noWrap w:val="0"/>
                  <w:vAlign w:val="center"/>
                </w:tcPr>
                <w:p w14:paraId="2CCD632F">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r>
                    <w:rPr>
                      <w:color w:val="auto"/>
                      <w:sz w:val="21"/>
                      <w:szCs w:val="21"/>
                      <w:highlight w:val="none"/>
                    </w:rPr>
                    <w:t>排气筒</w:t>
                  </w:r>
                </w:p>
                <w:p w14:paraId="0BEF9B71">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r>
                    <w:rPr>
                      <w:rFonts w:hint="eastAsia"/>
                      <w:color w:val="auto"/>
                      <w:sz w:val="21"/>
                      <w:szCs w:val="21"/>
                      <w:highlight w:val="none"/>
                    </w:rPr>
                    <w:t>高度</w:t>
                  </w:r>
                  <w:r>
                    <w:rPr>
                      <w:bCs/>
                      <w:color w:val="auto"/>
                      <w:sz w:val="21"/>
                      <w:szCs w:val="21"/>
                      <w:highlight w:val="none"/>
                    </w:rPr>
                    <w:t>m</w:t>
                  </w:r>
                </w:p>
              </w:tc>
              <w:tc>
                <w:tcPr>
                  <w:tcW w:w="1085" w:type="dxa"/>
                  <w:tcBorders>
                    <w:tl2br w:val="nil"/>
                    <w:tr2bl w:val="nil"/>
                  </w:tcBorders>
                  <w:noWrap w:val="0"/>
                  <w:vAlign w:val="center"/>
                </w:tcPr>
                <w:p w14:paraId="7DC97EA3">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r>
                    <w:rPr>
                      <w:rFonts w:hint="eastAsia"/>
                      <w:color w:val="auto"/>
                      <w:sz w:val="21"/>
                      <w:szCs w:val="21"/>
                      <w:highlight w:val="none"/>
                    </w:rPr>
                    <w:t>最高允许排放浓度</w:t>
                  </w:r>
                  <w:r>
                    <w:rPr>
                      <w:color w:val="auto"/>
                      <w:sz w:val="21"/>
                      <w:szCs w:val="21"/>
                      <w:highlight w:val="none"/>
                    </w:rPr>
                    <w:t>mg/m</w:t>
                  </w:r>
                  <w:r>
                    <w:rPr>
                      <w:color w:val="auto"/>
                      <w:sz w:val="21"/>
                      <w:szCs w:val="21"/>
                      <w:highlight w:val="none"/>
                      <w:vertAlign w:val="superscript"/>
                    </w:rPr>
                    <w:t>3</w:t>
                  </w:r>
                </w:p>
              </w:tc>
              <w:tc>
                <w:tcPr>
                  <w:tcW w:w="1108" w:type="dxa"/>
                  <w:tcBorders>
                    <w:tl2br w:val="nil"/>
                    <w:tr2bl w:val="nil"/>
                  </w:tcBorders>
                  <w:noWrap w:val="0"/>
                  <w:vAlign w:val="center"/>
                </w:tcPr>
                <w:p w14:paraId="7615C8DA">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r>
                    <w:rPr>
                      <w:rFonts w:hint="eastAsia"/>
                      <w:color w:val="auto"/>
                      <w:sz w:val="21"/>
                      <w:szCs w:val="21"/>
                      <w:highlight w:val="none"/>
                    </w:rPr>
                    <w:t>最高允许排放速率kg/h</w:t>
                  </w:r>
                </w:p>
              </w:tc>
              <w:tc>
                <w:tcPr>
                  <w:tcW w:w="1246" w:type="dxa"/>
                  <w:vMerge w:val="continue"/>
                  <w:tcBorders>
                    <w:tl2br w:val="nil"/>
                    <w:tr2bl w:val="nil"/>
                  </w:tcBorders>
                  <w:noWrap w:val="0"/>
                  <w:vAlign w:val="center"/>
                </w:tcPr>
                <w:p w14:paraId="3C067535">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p>
              </w:tc>
              <w:tc>
                <w:tcPr>
                  <w:tcW w:w="2857" w:type="dxa"/>
                  <w:vMerge w:val="continue"/>
                  <w:tcBorders>
                    <w:tl2br w:val="nil"/>
                    <w:tr2bl w:val="nil"/>
                  </w:tcBorders>
                  <w:noWrap w:val="0"/>
                  <w:vAlign w:val="center"/>
                </w:tcPr>
                <w:p w14:paraId="41F779BB">
                  <w:pPr>
                    <w:keepNext w:val="0"/>
                    <w:keepLines w:val="0"/>
                    <w:pageBreakBefore w:val="0"/>
                    <w:kinsoku/>
                    <w:wordWrap/>
                    <w:overflowPunct/>
                    <w:topLinePunct w:val="0"/>
                    <w:autoSpaceDE/>
                    <w:autoSpaceDN/>
                    <w:bidi w:val="0"/>
                    <w:snapToGrid/>
                    <w:spacing w:beforeAutospacing="0" w:afterAutospacing="0"/>
                    <w:jc w:val="center"/>
                    <w:textAlignment w:val="auto"/>
                    <w:rPr>
                      <w:color w:val="auto"/>
                      <w:sz w:val="21"/>
                      <w:szCs w:val="21"/>
                      <w:highlight w:val="none"/>
                    </w:rPr>
                  </w:pPr>
                </w:p>
              </w:tc>
            </w:tr>
            <w:tr w14:paraId="371F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5" w:type="dxa"/>
                  <w:tcBorders>
                    <w:tl2br w:val="nil"/>
                    <w:tr2bl w:val="nil"/>
                  </w:tcBorders>
                  <w:noWrap w:val="0"/>
                  <w:vAlign w:val="center"/>
                </w:tcPr>
                <w:p w14:paraId="4B5045FD">
                  <w:pPr>
                    <w:keepNext w:val="0"/>
                    <w:keepLines w:val="0"/>
                    <w:pageBreakBefore w:val="0"/>
                    <w:widowControl/>
                    <w:kinsoku/>
                    <w:wordWrap/>
                    <w:overflowPunct/>
                    <w:topLinePunct w:val="0"/>
                    <w:autoSpaceDE/>
                    <w:autoSpaceDN/>
                    <w:bidi w:val="0"/>
                    <w:snapToGrid/>
                    <w:spacing w:beforeAutospacing="0" w:afterAutospacing="0"/>
                    <w:jc w:val="center"/>
                    <w:textAlignment w:val="auto"/>
                    <w:rPr>
                      <w:snapToGrid w:val="0"/>
                      <w:color w:val="auto"/>
                      <w:sz w:val="21"/>
                      <w:szCs w:val="21"/>
                      <w:highlight w:val="none"/>
                    </w:rPr>
                  </w:pPr>
                  <w:r>
                    <w:rPr>
                      <w:snapToGrid w:val="0"/>
                      <w:color w:val="auto"/>
                      <w:sz w:val="21"/>
                      <w:szCs w:val="21"/>
                      <w:highlight w:val="none"/>
                    </w:rPr>
                    <w:t>颗粒物</w:t>
                  </w:r>
                </w:p>
              </w:tc>
              <w:tc>
                <w:tcPr>
                  <w:tcW w:w="853" w:type="dxa"/>
                  <w:tcBorders>
                    <w:tl2br w:val="nil"/>
                    <w:tr2bl w:val="nil"/>
                  </w:tcBorders>
                  <w:noWrap w:val="0"/>
                  <w:vAlign w:val="center"/>
                </w:tcPr>
                <w:p w14:paraId="7DF321AD">
                  <w:pPr>
                    <w:keepNext w:val="0"/>
                    <w:keepLines w:val="0"/>
                    <w:pageBreakBefore w:val="0"/>
                    <w:kinsoku/>
                    <w:wordWrap/>
                    <w:overflowPunct/>
                    <w:topLinePunct w:val="0"/>
                    <w:autoSpaceDE/>
                    <w:autoSpaceDN/>
                    <w:bidi w:val="0"/>
                    <w:snapToGrid/>
                    <w:spacing w:beforeAutospacing="0" w:afterAutospacing="0"/>
                    <w:jc w:val="center"/>
                    <w:textAlignment w:val="auto"/>
                    <w:rPr>
                      <w:bCs/>
                      <w:color w:val="auto"/>
                      <w:sz w:val="21"/>
                      <w:szCs w:val="21"/>
                      <w:highlight w:val="none"/>
                    </w:rPr>
                  </w:pPr>
                  <w:r>
                    <w:rPr>
                      <w:bCs/>
                      <w:color w:val="auto"/>
                      <w:sz w:val="21"/>
                      <w:szCs w:val="21"/>
                      <w:highlight w:val="none"/>
                    </w:rPr>
                    <w:t>15</w:t>
                  </w:r>
                </w:p>
              </w:tc>
              <w:tc>
                <w:tcPr>
                  <w:tcW w:w="1085" w:type="dxa"/>
                  <w:tcBorders>
                    <w:tl2br w:val="nil"/>
                    <w:tr2bl w:val="nil"/>
                  </w:tcBorders>
                  <w:noWrap w:val="0"/>
                  <w:vAlign w:val="center"/>
                </w:tcPr>
                <w:p w14:paraId="1182628A">
                  <w:pPr>
                    <w:keepNext w:val="0"/>
                    <w:keepLines w:val="0"/>
                    <w:pageBreakBefore w:val="0"/>
                    <w:widowControl/>
                    <w:kinsoku/>
                    <w:wordWrap/>
                    <w:overflowPunct/>
                    <w:topLinePunct w:val="0"/>
                    <w:autoSpaceDE/>
                    <w:autoSpaceDN/>
                    <w:bidi w:val="0"/>
                    <w:snapToGrid/>
                    <w:spacing w:beforeAutospacing="0" w:afterAutospacing="0"/>
                    <w:jc w:val="center"/>
                    <w:textAlignment w:val="auto"/>
                    <w:rPr>
                      <w:color w:val="auto"/>
                      <w:sz w:val="21"/>
                      <w:szCs w:val="21"/>
                      <w:highlight w:val="none"/>
                    </w:rPr>
                  </w:pPr>
                  <w:r>
                    <w:rPr>
                      <w:snapToGrid w:val="0"/>
                      <w:color w:val="auto"/>
                      <w:sz w:val="21"/>
                      <w:szCs w:val="21"/>
                      <w:highlight w:val="none"/>
                    </w:rPr>
                    <w:t>20</w:t>
                  </w:r>
                </w:p>
              </w:tc>
              <w:tc>
                <w:tcPr>
                  <w:tcW w:w="1108" w:type="dxa"/>
                  <w:tcBorders>
                    <w:tl2br w:val="nil"/>
                    <w:tr2bl w:val="nil"/>
                  </w:tcBorders>
                  <w:noWrap w:val="0"/>
                  <w:vAlign w:val="center"/>
                </w:tcPr>
                <w:p w14:paraId="1197A8D7">
                  <w:pPr>
                    <w:keepNext w:val="0"/>
                    <w:keepLines w:val="0"/>
                    <w:pageBreakBefore w:val="0"/>
                    <w:kinsoku/>
                    <w:wordWrap/>
                    <w:overflowPunct/>
                    <w:topLinePunct w:val="0"/>
                    <w:autoSpaceDE/>
                    <w:autoSpaceDN/>
                    <w:bidi w:val="0"/>
                    <w:adjustRightInd w:val="0"/>
                    <w:snapToGrid/>
                    <w:spacing w:beforeAutospacing="0" w:afterAutospacing="0"/>
                    <w:jc w:val="center"/>
                    <w:textAlignment w:val="auto"/>
                    <w:rPr>
                      <w:bCs/>
                      <w:color w:val="auto"/>
                      <w:sz w:val="21"/>
                      <w:szCs w:val="21"/>
                      <w:highlight w:val="none"/>
                    </w:rPr>
                  </w:pPr>
                  <w:r>
                    <w:rPr>
                      <w:rFonts w:hint="eastAsia"/>
                      <w:bCs/>
                      <w:color w:val="auto"/>
                      <w:sz w:val="21"/>
                      <w:szCs w:val="21"/>
                      <w:highlight w:val="none"/>
                    </w:rPr>
                    <w:t>3.5</w:t>
                  </w:r>
                </w:p>
              </w:tc>
              <w:tc>
                <w:tcPr>
                  <w:tcW w:w="1246" w:type="dxa"/>
                  <w:tcBorders>
                    <w:tl2br w:val="nil"/>
                    <w:tr2bl w:val="nil"/>
                  </w:tcBorders>
                  <w:noWrap w:val="0"/>
                  <w:vAlign w:val="center"/>
                </w:tcPr>
                <w:p w14:paraId="1078D0EE">
                  <w:pPr>
                    <w:keepNext w:val="0"/>
                    <w:keepLines w:val="0"/>
                    <w:pageBreakBefore w:val="0"/>
                    <w:kinsoku/>
                    <w:wordWrap/>
                    <w:overflowPunct/>
                    <w:topLinePunct w:val="0"/>
                    <w:autoSpaceDE/>
                    <w:autoSpaceDN/>
                    <w:bidi w:val="0"/>
                    <w:adjustRightInd w:val="0"/>
                    <w:snapToGrid/>
                    <w:spacing w:beforeAutospacing="0" w:afterAutospacing="0"/>
                    <w:jc w:val="center"/>
                    <w:textAlignment w:val="auto"/>
                    <w:rPr>
                      <w:bCs/>
                      <w:color w:val="auto"/>
                      <w:sz w:val="21"/>
                      <w:szCs w:val="21"/>
                      <w:highlight w:val="none"/>
                    </w:rPr>
                  </w:pPr>
                  <w:r>
                    <w:rPr>
                      <w:rFonts w:hint="eastAsia"/>
                      <w:bCs/>
                      <w:color w:val="auto"/>
                      <w:sz w:val="21"/>
                      <w:szCs w:val="21"/>
                      <w:highlight w:val="none"/>
                    </w:rPr>
                    <w:t>1.0</w:t>
                  </w:r>
                </w:p>
              </w:tc>
              <w:tc>
                <w:tcPr>
                  <w:tcW w:w="2857" w:type="dxa"/>
                  <w:tcBorders>
                    <w:tl2br w:val="nil"/>
                    <w:tr2bl w:val="nil"/>
                  </w:tcBorders>
                  <w:noWrap w:val="0"/>
                  <w:vAlign w:val="center"/>
                </w:tcPr>
                <w:p w14:paraId="760775CA">
                  <w:pPr>
                    <w:keepNext w:val="0"/>
                    <w:keepLines w:val="0"/>
                    <w:pageBreakBefore w:val="0"/>
                    <w:kinsoku/>
                    <w:wordWrap/>
                    <w:overflowPunct/>
                    <w:topLinePunct w:val="0"/>
                    <w:autoSpaceDE/>
                    <w:autoSpaceDN/>
                    <w:bidi w:val="0"/>
                    <w:adjustRightInd w:val="0"/>
                    <w:snapToGrid/>
                    <w:spacing w:beforeAutospacing="0" w:afterAutospacing="0"/>
                    <w:jc w:val="center"/>
                    <w:textAlignment w:val="auto"/>
                    <w:rPr>
                      <w:rFonts w:hint="eastAsia"/>
                      <w:bCs/>
                      <w:color w:val="auto"/>
                      <w:sz w:val="21"/>
                      <w:szCs w:val="21"/>
                      <w:highlight w:val="none"/>
                    </w:rPr>
                  </w:pPr>
                  <w:r>
                    <w:rPr>
                      <w:rFonts w:hint="eastAsia"/>
                      <w:bCs/>
                      <w:color w:val="auto"/>
                      <w:sz w:val="21"/>
                      <w:szCs w:val="21"/>
                      <w:highlight w:val="none"/>
                      <w:lang w:val="en-US" w:eastAsia="zh-CN"/>
                    </w:rPr>
                    <w:t>《区域性大气污染物综合排放标准》（DB37/2376-2019）</w:t>
                  </w:r>
                  <w:r>
                    <w:rPr>
                      <w:rFonts w:hint="eastAsia"/>
                      <w:bCs/>
                      <w:color w:val="auto"/>
                      <w:sz w:val="21"/>
                      <w:szCs w:val="21"/>
                      <w:highlight w:val="none"/>
                    </w:rPr>
                    <w:t>中表</w:t>
                  </w:r>
                  <w:r>
                    <w:rPr>
                      <w:rFonts w:hint="eastAsia"/>
                      <w:bCs/>
                      <w:color w:val="auto"/>
                      <w:sz w:val="21"/>
                      <w:szCs w:val="21"/>
                      <w:highlight w:val="none"/>
                      <w:lang w:val="en-US" w:eastAsia="zh-CN"/>
                    </w:rPr>
                    <w:t>1</w:t>
                  </w:r>
                  <w:r>
                    <w:rPr>
                      <w:rFonts w:hint="eastAsia"/>
                      <w:bCs/>
                      <w:color w:val="auto"/>
                      <w:sz w:val="21"/>
                      <w:szCs w:val="21"/>
                      <w:highlight w:val="none"/>
                    </w:rPr>
                    <w:t>中</w:t>
                  </w:r>
                  <w:r>
                    <w:rPr>
                      <w:rFonts w:hint="eastAsia"/>
                      <w:bCs/>
                      <w:color w:val="auto"/>
                      <w:sz w:val="21"/>
                      <w:szCs w:val="21"/>
                      <w:highlight w:val="none"/>
                      <w:lang w:val="en-US" w:eastAsia="zh-CN"/>
                    </w:rPr>
                    <w:t>一般控制区标准限值、</w:t>
                  </w:r>
                  <w:r>
                    <w:rPr>
                      <w:rFonts w:hint="eastAsia"/>
                      <w:bCs/>
                      <w:color w:val="auto"/>
                      <w:sz w:val="21"/>
                      <w:szCs w:val="21"/>
                      <w:highlight w:val="none"/>
                    </w:rPr>
                    <w:t>《大气污染物综合排放标准》(GB16297-1996</w:t>
                  </w:r>
                  <w:r>
                    <w:rPr>
                      <w:rFonts w:hint="eastAsia"/>
                      <w:bCs/>
                      <w:color w:val="auto"/>
                      <w:sz w:val="21"/>
                      <w:szCs w:val="21"/>
                      <w:highlight w:val="none"/>
                      <w:lang w:eastAsia="zh-CN"/>
                    </w:rPr>
                    <w:t>）</w:t>
                  </w:r>
                </w:p>
              </w:tc>
            </w:tr>
            <w:tr w14:paraId="1DF6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15" w:type="dxa"/>
                  <w:tcBorders>
                    <w:tl2br w:val="nil"/>
                    <w:tr2bl w:val="nil"/>
                  </w:tcBorders>
                  <w:noWrap w:val="0"/>
                  <w:vAlign w:val="center"/>
                </w:tcPr>
                <w:p w14:paraId="5F65702E">
                  <w:pPr>
                    <w:keepNext w:val="0"/>
                    <w:keepLines w:val="0"/>
                    <w:pageBreakBefore w:val="0"/>
                    <w:widowControl/>
                    <w:kinsoku/>
                    <w:wordWrap/>
                    <w:overflowPunct/>
                    <w:topLinePunct w:val="0"/>
                    <w:autoSpaceDE/>
                    <w:autoSpaceDN/>
                    <w:bidi w:val="0"/>
                    <w:snapToGrid/>
                    <w:spacing w:beforeAutospacing="0" w:afterAutospacing="0"/>
                    <w:jc w:val="center"/>
                    <w:textAlignment w:val="auto"/>
                    <w:rPr>
                      <w:snapToGrid w:val="0"/>
                      <w:color w:val="auto"/>
                      <w:sz w:val="21"/>
                      <w:szCs w:val="21"/>
                      <w:highlight w:val="none"/>
                    </w:rPr>
                  </w:pPr>
                  <w:r>
                    <w:rPr>
                      <w:rFonts w:hint="eastAsia"/>
                      <w:snapToGrid w:val="0"/>
                      <w:color w:val="auto"/>
                      <w:sz w:val="21"/>
                      <w:szCs w:val="21"/>
                      <w:highlight w:val="none"/>
                      <w:lang w:val="en-US" w:eastAsia="zh-CN"/>
                    </w:rPr>
                    <w:t>VOCs</w:t>
                  </w:r>
                </w:p>
              </w:tc>
              <w:tc>
                <w:tcPr>
                  <w:tcW w:w="853" w:type="dxa"/>
                  <w:tcBorders>
                    <w:tl2br w:val="nil"/>
                    <w:tr2bl w:val="nil"/>
                  </w:tcBorders>
                  <w:noWrap w:val="0"/>
                  <w:vAlign w:val="center"/>
                </w:tcPr>
                <w:p w14:paraId="28E64659">
                  <w:pPr>
                    <w:keepNext w:val="0"/>
                    <w:keepLines w:val="0"/>
                    <w:pageBreakBefore w:val="0"/>
                    <w:kinsoku/>
                    <w:wordWrap/>
                    <w:overflowPunct/>
                    <w:topLinePunct w:val="0"/>
                    <w:autoSpaceDE/>
                    <w:autoSpaceDN/>
                    <w:bidi w:val="0"/>
                    <w:snapToGrid/>
                    <w:spacing w:beforeAutospacing="0" w:afterAutospacing="0"/>
                    <w:jc w:val="center"/>
                    <w:textAlignment w:val="auto"/>
                    <w:rPr>
                      <w:bCs/>
                      <w:color w:val="auto"/>
                      <w:sz w:val="21"/>
                      <w:szCs w:val="21"/>
                      <w:highlight w:val="none"/>
                    </w:rPr>
                  </w:pPr>
                  <w:r>
                    <w:rPr>
                      <w:bCs/>
                      <w:color w:val="auto"/>
                      <w:sz w:val="21"/>
                      <w:szCs w:val="21"/>
                      <w:highlight w:val="none"/>
                    </w:rPr>
                    <w:t>15</w:t>
                  </w:r>
                </w:p>
              </w:tc>
              <w:tc>
                <w:tcPr>
                  <w:tcW w:w="1085" w:type="dxa"/>
                  <w:tcBorders>
                    <w:tl2br w:val="nil"/>
                    <w:tr2bl w:val="nil"/>
                  </w:tcBorders>
                  <w:noWrap w:val="0"/>
                  <w:vAlign w:val="center"/>
                </w:tcPr>
                <w:p w14:paraId="52DDAD03">
                  <w:pPr>
                    <w:keepNext w:val="0"/>
                    <w:keepLines w:val="0"/>
                    <w:pageBreakBefore w:val="0"/>
                    <w:widowControl/>
                    <w:kinsoku/>
                    <w:wordWrap/>
                    <w:overflowPunct/>
                    <w:topLinePunct w:val="0"/>
                    <w:autoSpaceDE/>
                    <w:autoSpaceDN/>
                    <w:bidi w:val="0"/>
                    <w:snapToGrid/>
                    <w:spacing w:beforeAutospacing="0" w:afterAutospacing="0"/>
                    <w:jc w:val="center"/>
                    <w:textAlignment w:val="auto"/>
                    <w:rPr>
                      <w:rFonts w:hint="default" w:eastAsia="宋体"/>
                      <w:snapToGrid w:val="0"/>
                      <w:color w:val="auto"/>
                      <w:sz w:val="21"/>
                      <w:szCs w:val="21"/>
                      <w:highlight w:val="none"/>
                      <w:lang w:val="en-US" w:eastAsia="zh-CN"/>
                    </w:rPr>
                  </w:pPr>
                  <w:r>
                    <w:rPr>
                      <w:rFonts w:hint="eastAsia"/>
                      <w:snapToGrid w:val="0"/>
                      <w:color w:val="auto"/>
                      <w:sz w:val="21"/>
                      <w:szCs w:val="21"/>
                      <w:highlight w:val="none"/>
                      <w:lang w:val="en-US" w:eastAsia="zh-CN"/>
                    </w:rPr>
                    <w:t>60</w:t>
                  </w:r>
                </w:p>
              </w:tc>
              <w:tc>
                <w:tcPr>
                  <w:tcW w:w="1108" w:type="dxa"/>
                  <w:tcBorders>
                    <w:tl2br w:val="nil"/>
                    <w:tr2bl w:val="nil"/>
                  </w:tcBorders>
                  <w:noWrap w:val="0"/>
                  <w:vAlign w:val="center"/>
                </w:tcPr>
                <w:p w14:paraId="00F89491">
                  <w:pPr>
                    <w:keepNext w:val="0"/>
                    <w:keepLines w:val="0"/>
                    <w:pageBreakBefore w:val="0"/>
                    <w:kinsoku/>
                    <w:wordWrap/>
                    <w:overflowPunct/>
                    <w:topLinePunct w:val="0"/>
                    <w:autoSpaceDE/>
                    <w:autoSpaceDN/>
                    <w:bidi w:val="0"/>
                    <w:adjustRightInd w:val="0"/>
                    <w:snapToGrid/>
                    <w:spacing w:beforeAutospacing="0" w:afterAutospacing="0"/>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3.0</w:t>
                  </w:r>
                </w:p>
              </w:tc>
              <w:tc>
                <w:tcPr>
                  <w:tcW w:w="1246" w:type="dxa"/>
                  <w:tcBorders>
                    <w:tl2br w:val="nil"/>
                    <w:tr2bl w:val="nil"/>
                  </w:tcBorders>
                  <w:noWrap w:val="0"/>
                  <w:vAlign w:val="center"/>
                </w:tcPr>
                <w:p w14:paraId="3E1C06E5">
                  <w:pPr>
                    <w:keepNext w:val="0"/>
                    <w:keepLines w:val="0"/>
                    <w:pageBreakBefore w:val="0"/>
                    <w:kinsoku/>
                    <w:wordWrap/>
                    <w:overflowPunct/>
                    <w:topLinePunct w:val="0"/>
                    <w:autoSpaceDE/>
                    <w:autoSpaceDN/>
                    <w:bidi w:val="0"/>
                    <w:adjustRightInd w:val="0"/>
                    <w:snapToGrid/>
                    <w:spacing w:beforeAutospacing="0" w:afterAutospacing="0"/>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2.0</w:t>
                  </w:r>
                </w:p>
              </w:tc>
              <w:tc>
                <w:tcPr>
                  <w:tcW w:w="2857" w:type="dxa"/>
                  <w:tcBorders>
                    <w:tl2br w:val="nil"/>
                    <w:tr2bl w:val="nil"/>
                  </w:tcBorders>
                  <w:noWrap w:val="0"/>
                  <w:vAlign w:val="center"/>
                </w:tcPr>
                <w:p w14:paraId="46609843">
                  <w:pPr>
                    <w:keepNext w:val="0"/>
                    <w:keepLines w:val="0"/>
                    <w:pageBreakBefore w:val="0"/>
                    <w:kinsoku/>
                    <w:wordWrap/>
                    <w:overflowPunct/>
                    <w:topLinePunct w:val="0"/>
                    <w:autoSpaceDE/>
                    <w:autoSpaceDN/>
                    <w:bidi w:val="0"/>
                    <w:adjustRightInd w:val="0"/>
                    <w:snapToGrid/>
                    <w:spacing w:beforeAutospacing="0" w:afterAutospacing="0"/>
                    <w:jc w:val="center"/>
                    <w:textAlignment w:val="auto"/>
                    <w:rPr>
                      <w:rFonts w:hint="default"/>
                      <w:bCs/>
                      <w:color w:val="auto"/>
                      <w:sz w:val="21"/>
                      <w:szCs w:val="21"/>
                      <w:highlight w:val="none"/>
                      <w:lang w:val="en-US"/>
                    </w:rPr>
                  </w:pPr>
                  <w:r>
                    <w:rPr>
                      <w:rFonts w:hint="eastAsia"/>
                      <w:bCs/>
                      <w:color w:val="auto"/>
                      <w:sz w:val="21"/>
                      <w:szCs w:val="21"/>
                      <w:highlight w:val="none"/>
                      <w:lang w:val="en-US" w:eastAsia="zh-CN"/>
                    </w:rPr>
                    <w:t>《挥发性有机物排放标准  第7部分其他行业》（DB37/2801.7-2019）表1  非重点行业及表2</w:t>
                  </w:r>
                </w:p>
              </w:tc>
            </w:tr>
          </w:tbl>
          <w:p w14:paraId="4073AF71">
            <w:pPr>
              <w:pStyle w:val="101"/>
              <w:bidi w:val="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表3-4 厂区内VOCs无组织排放限值（单位：mg/m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7"/>
              <w:gridCol w:w="2795"/>
              <w:gridCol w:w="2188"/>
            </w:tblGrid>
            <w:tr w14:paraId="0791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4" w:type="dxa"/>
                  <w:tcBorders>
                    <w:tl2br w:val="nil"/>
                    <w:tr2bl w:val="nil"/>
                  </w:tcBorders>
                  <w:noWrap w:val="0"/>
                  <w:vAlign w:val="center"/>
                </w:tcPr>
                <w:p w14:paraId="3A629BD1">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污染物项目</w:t>
                  </w:r>
                </w:p>
              </w:tc>
              <w:tc>
                <w:tcPr>
                  <w:tcW w:w="1497" w:type="dxa"/>
                  <w:tcBorders>
                    <w:tl2br w:val="nil"/>
                    <w:tr2bl w:val="nil"/>
                  </w:tcBorders>
                  <w:noWrap w:val="0"/>
                  <w:vAlign w:val="center"/>
                </w:tcPr>
                <w:p w14:paraId="54B65572">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特别排放限值</w:t>
                  </w:r>
                </w:p>
              </w:tc>
              <w:tc>
                <w:tcPr>
                  <w:tcW w:w="2795" w:type="dxa"/>
                  <w:tcBorders>
                    <w:tl2br w:val="nil"/>
                    <w:tr2bl w:val="nil"/>
                  </w:tcBorders>
                  <w:noWrap w:val="0"/>
                  <w:vAlign w:val="center"/>
                </w:tcPr>
                <w:p w14:paraId="1EA46FF1">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限值含义</w:t>
                  </w:r>
                </w:p>
              </w:tc>
              <w:tc>
                <w:tcPr>
                  <w:tcW w:w="2188" w:type="dxa"/>
                  <w:tcBorders>
                    <w:tl2br w:val="nil"/>
                    <w:tr2bl w:val="nil"/>
                  </w:tcBorders>
                  <w:noWrap w:val="0"/>
                  <w:vAlign w:val="center"/>
                </w:tcPr>
                <w:p w14:paraId="1D3E114F">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无组织排放监控位置</w:t>
                  </w:r>
                </w:p>
              </w:tc>
            </w:tr>
            <w:tr w14:paraId="062F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484" w:type="dxa"/>
                  <w:vMerge w:val="restart"/>
                  <w:tcBorders>
                    <w:tl2br w:val="nil"/>
                    <w:tr2bl w:val="nil"/>
                  </w:tcBorders>
                  <w:noWrap w:val="0"/>
                  <w:vAlign w:val="center"/>
                </w:tcPr>
                <w:p w14:paraId="7CF72B7A">
                  <w:pPr>
                    <w:jc w:val="center"/>
                    <w:rPr>
                      <w:rFonts w:ascii="Times New Roman" w:hAnsi="Times New Roman" w:eastAsia="宋体"/>
                      <w:b w:val="0"/>
                      <w:bCs w:val="0"/>
                      <w:color w:val="auto"/>
                      <w:sz w:val="21"/>
                      <w:szCs w:val="21"/>
                      <w:highlight w:val="none"/>
                    </w:rPr>
                  </w:pPr>
                  <w:r>
                    <w:rPr>
                      <w:rFonts w:hint="default" w:ascii="Times New Roman" w:hAnsi="Times New Roman" w:eastAsia="宋体"/>
                      <w:b w:val="0"/>
                      <w:bCs w:val="0"/>
                      <w:color w:val="auto"/>
                      <w:sz w:val="21"/>
                      <w:szCs w:val="21"/>
                      <w:highlight w:val="none"/>
                      <w:lang w:val="en-US" w:eastAsia="zh-CN"/>
                    </w:rPr>
                    <w:t>VOC</w:t>
                  </w:r>
                  <w:r>
                    <w:rPr>
                      <w:rFonts w:hint="eastAsia" w:ascii="Times New Roman" w:hAnsi="Times New Roman" w:eastAsia="宋体"/>
                      <w:b w:val="0"/>
                      <w:bCs w:val="0"/>
                      <w:color w:val="auto"/>
                      <w:sz w:val="21"/>
                      <w:szCs w:val="21"/>
                      <w:highlight w:val="none"/>
                      <w:lang w:val="en-US" w:eastAsia="zh-CN"/>
                    </w:rPr>
                    <w:t>s</w:t>
                  </w:r>
                </w:p>
              </w:tc>
              <w:tc>
                <w:tcPr>
                  <w:tcW w:w="1497" w:type="dxa"/>
                  <w:tcBorders>
                    <w:tl2br w:val="nil"/>
                    <w:tr2bl w:val="nil"/>
                  </w:tcBorders>
                  <w:noWrap w:val="0"/>
                  <w:vAlign w:val="center"/>
                </w:tcPr>
                <w:p w14:paraId="76B4B648">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6</w:t>
                  </w:r>
                </w:p>
              </w:tc>
              <w:tc>
                <w:tcPr>
                  <w:tcW w:w="2795" w:type="dxa"/>
                  <w:tcBorders>
                    <w:tl2br w:val="nil"/>
                    <w:tr2bl w:val="nil"/>
                  </w:tcBorders>
                  <w:noWrap w:val="0"/>
                  <w:vAlign w:val="center"/>
                </w:tcPr>
                <w:p w14:paraId="2F9D6DD1">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监控点处1h平均浓度值</w:t>
                  </w:r>
                </w:p>
              </w:tc>
              <w:tc>
                <w:tcPr>
                  <w:tcW w:w="2188" w:type="dxa"/>
                  <w:vMerge w:val="restart"/>
                  <w:tcBorders>
                    <w:tl2br w:val="nil"/>
                    <w:tr2bl w:val="nil"/>
                  </w:tcBorders>
                  <w:noWrap w:val="0"/>
                  <w:vAlign w:val="center"/>
                </w:tcPr>
                <w:p w14:paraId="4631FB88">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在厂房外设置监控点</w:t>
                  </w:r>
                </w:p>
              </w:tc>
            </w:tr>
            <w:tr w14:paraId="2982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484" w:type="dxa"/>
                  <w:vMerge w:val="continue"/>
                  <w:tcBorders>
                    <w:tl2br w:val="nil"/>
                    <w:tr2bl w:val="nil"/>
                  </w:tcBorders>
                  <w:noWrap w:val="0"/>
                  <w:vAlign w:val="center"/>
                </w:tcPr>
                <w:p w14:paraId="57F96217">
                  <w:pPr>
                    <w:jc w:val="center"/>
                    <w:rPr>
                      <w:rFonts w:ascii="Times New Roman" w:hAnsi="Times New Roman" w:eastAsia="宋体"/>
                      <w:b w:val="0"/>
                      <w:bCs w:val="0"/>
                      <w:color w:val="auto"/>
                      <w:sz w:val="21"/>
                      <w:szCs w:val="21"/>
                      <w:highlight w:val="none"/>
                    </w:rPr>
                  </w:pPr>
                </w:p>
              </w:tc>
              <w:tc>
                <w:tcPr>
                  <w:tcW w:w="1497" w:type="dxa"/>
                  <w:tcBorders>
                    <w:tl2br w:val="nil"/>
                    <w:tr2bl w:val="nil"/>
                  </w:tcBorders>
                  <w:noWrap w:val="0"/>
                  <w:vAlign w:val="center"/>
                </w:tcPr>
                <w:p w14:paraId="0B9356B4">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20</w:t>
                  </w:r>
                </w:p>
              </w:tc>
              <w:tc>
                <w:tcPr>
                  <w:tcW w:w="2795" w:type="dxa"/>
                  <w:tcBorders>
                    <w:tl2br w:val="nil"/>
                    <w:tr2bl w:val="nil"/>
                  </w:tcBorders>
                  <w:noWrap w:val="0"/>
                  <w:vAlign w:val="center"/>
                </w:tcPr>
                <w:p w14:paraId="25EA56D5">
                  <w:pPr>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监控点处任意一次浓度值</w:t>
                  </w:r>
                </w:p>
              </w:tc>
              <w:tc>
                <w:tcPr>
                  <w:tcW w:w="2188" w:type="dxa"/>
                  <w:vMerge w:val="continue"/>
                  <w:tcBorders>
                    <w:tl2br w:val="nil"/>
                    <w:tr2bl w:val="nil"/>
                  </w:tcBorders>
                  <w:noWrap w:val="0"/>
                  <w:vAlign w:val="center"/>
                </w:tcPr>
                <w:p w14:paraId="478A08C3">
                  <w:pPr>
                    <w:jc w:val="center"/>
                    <w:rPr>
                      <w:rFonts w:ascii="Times New Roman" w:hAnsi="Times New Roman" w:eastAsia="宋体"/>
                      <w:b w:val="0"/>
                      <w:bCs w:val="0"/>
                      <w:color w:val="auto"/>
                      <w:sz w:val="21"/>
                      <w:szCs w:val="21"/>
                      <w:highlight w:val="none"/>
                    </w:rPr>
                  </w:pPr>
                </w:p>
              </w:tc>
            </w:tr>
          </w:tbl>
          <w:p w14:paraId="5BF7981C">
            <w:pPr>
              <w:widowControl/>
              <w:snapToGrid w:val="0"/>
              <w:spacing w:line="360" w:lineRule="auto"/>
              <w:ind w:firstLine="482" w:firstLineChars="200"/>
              <w:rPr>
                <w:b/>
                <w:color w:val="auto"/>
                <w:sz w:val="24"/>
                <w:highlight w:val="none"/>
              </w:rPr>
            </w:pPr>
            <w:r>
              <w:rPr>
                <w:b/>
                <w:color w:val="auto"/>
                <w:sz w:val="24"/>
                <w:highlight w:val="none"/>
              </w:rPr>
              <w:t>2、噪声：</w:t>
            </w:r>
          </w:p>
          <w:p w14:paraId="1F035802">
            <w:pPr>
              <w:widowControl/>
              <w:snapToGrid w:val="0"/>
              <w:spacing w:line="360" w:lineRule="auto"/>
              <w:ind w:firstLine="480" w:firstLineChars="200"/>
              <w:rPr>
                <w:color w:val="auto"/>
                <w:sz w:val="24"/>
                <w:highlight w:val="none"/>
              </w:rPr>
            </w:pPr>
            <w:r>
              <w:rPr>
                <w:color w:val="auto"/>
                <w:sz w:val="24"/>
                <w:highlight w:val="none"/>
              </w:rPr>
              <w:t>运营期厂界噪声执行《工业企业厂界环境噪声排放标准》（GB12348－2008）</w:t>
            </w:r>
            <w:r>
              <w:rPr>
                <w:rFonts w:hint="eastAsia"/>
                <w:color w:val="auto"/>
                <w:sz w:val="24"/>
                <w:highlight w:val="none"/>
                <w:lang w:val="en-US" w:eastAsia="zh-CN"/>
              </w:rPr>
              <w:t>2</w:t>
            </w:r>
            <w:r>
              <w:rPr>
                <w:color w:val="auto"/>
                <w:sz w:val="24"/>
                <w:highlight w:val="none"/>
              </w:rPr>
              <w:t>类标准（昼间≤6</w:t>
            </w:r>
            <w:r>
              <w:rPr>
                <w:rFonts w:hint="eastAsia"/>
                <w:color w:val="auto"/>
                <w:sz w:val="24"/>
                <w:highlight w:val="none"/>
                <w:lang w:val="en-US" w:eastAsia="zh-CN"/>
              </w:rPr>
              <w:t>0</w:t>
            </w:r>
            <w:r>
              <w:rPr>
                <w:color w:val="auto"/>
                <w:sz w:val="24"/>
                <w:highlight w:val="none"/>
              </w:rPr>
              <w:t>dB(A)，夜间≤5</w:t>
            </w:r>
            <w:r>
              <w:rPr>
                <w:rFonts w:hint="eastAsia"/>
                <w:color w:val="auto"/>
                <w:sz w:val="24"/>
                <w:highlight w:val="none"/>
                <w:lang w:val="en-US" w:eastAsia="zh-CN"/>
              </w:rPr>
              <w:t>0</w:t>
            </w:r>
            <w:r>
              <w:rPr>
                <w:color w:val="auto"/>
                <w:sz w:val="24"/>
                <w:highlight w:val="none"/>
              </w:rPr>
              <w:t>dB(A)）。</w:t>
            </w:r>
          </w:p>
          <w:p w14:paraId="70A48905">
            <w:pPr>
              <w:spacing w:line="360" w:lineRule="auto"/>
              <w:ind w:firstLine="482" w:firstLineChars="200"/>
              <w:rPr>
                <w:b/>
                <w:color w:val="auto"/>
                <w:sz w:val="24"/>
                <w:highlight w:val="none"/>
              </w:rPr>
            </w:pPr>
            <w:r>
              <w:rPr>
                <w:b/>
                <w:color w:val="auto"/>
                <w:sz w:val="24"/>
                <w:highlight w:val="none"/>
              </w:rPr>
              <w:t>3、固废：</w:t>
            </w:r>
          </w:p>
          <w:p w14:paraId="73689F09">
            <w:pPr>
              <w:spacing w:line="360" w:lineRule="auto"/>
              <w:ind w:firstLine="480" w:firstLineChars="200"/>
              <w:rPr>
                <w:rFonts w:hint="eastAsia" w:ascii="宋体" w:hAnsi="宋体" w:eastAsia="宋体" w:cs="宋体"/>
                <w:color w:val="auto"/>
                <w:kern w:val="0"/>
                <w:sz w:val="24"/>
                <w:szCs w:val="24"/>
                <w:highlight w:val="none"/>
              </w:rPr>
            </w:pPr>
            <w:r>
              <w:rPr>
                <w:rFonts w:hint="eastAsia"/>
                <w:color w:val="auto"/>
                <w:sz w:val="24"/>
                <w:szCs w:val="24"/>
                <w:highlight w:val="none"/>
              </w:rPr>
              <w:t>一般固体废物贮存执行《中华人民共和国固体废物污染环境防治法》中关于一般工业固体废物贮存相关要求，并参照执行《一般工业固体废物贮存和填埋污染控制标准》（GB18599-2020）</w:t>
            </w:r>
            <w:r>
              <w:rPr>
                <w:color w:val="auto"/>
                <w:sz w:val="24"/>
                <w:szCs w:val="24"/>
                <w:highlight w:val="none"/>
              </w:rPr>
              <w:t>。</w:t>
            </w:r>
            <w:r>
              <w:rPr>
                <w:rFonts w:hint="eastAsia"/>
                <w:color w:val="auto"/>
                <w:sz w:val="24"/>
                <w:szCs w:val="24"/>
                <w:highlight w:val="none"/>
                <w:lang w:val="en-US" w:eastAsia="zh-CN"/>
              </w:rPr>
              <w:t>危险废物管理执行《危险废物贮存污染控制标准》（</w:t>
            </w:r>
            <w:r>
              <w:rPr>
                <w:rFonts w:hint="default"/>
                <w:color w:val="auto"/>
                <w:sz w:val="24"/>
                <w:szCs w:val="24"/>
                <w:highlight w:val="none"/>
                <w:lang w:val="en-US" w:eastAsia="zh-CN"/>
              </w:rPr>
              <w:t>GB18597-2023</w:t>
            </w:r>
            <w:r>
              <w:rPr>
                <w:rFonts w:hint="eastAsia"/>
                <w:color w:val="auto"/>
                <w:sz w:val="24"/>
                <w:szCs w:val="24"/>
                <w:highlight w:val="none"/>
                <w:lang w:val="en-US" w:eastAsia="zh-CN"/>
              </w:rPr>
              <w:t xml:space="preserve">）、《危险废物转移管理办法》（生态环境部 公安部 交通运输部 部令第 </w:t>
            </w:r>
            <w:r>
              <w:rPr>
                <w:rFonts w:hint="default"/>
                <w:color w:val="auto"/>
                <w:sz w:val="24"/>
                <w:szCs w:val="24"/>
                <w:highlight w:val="none"/>
                <w:lang w:val="en-US" w:eastAsia="zh-CN"/>
              </w:rPr>
              <w:t xml:space="preserve">23 </w:t>
            </w:r>
            <w:r>
              <w:rPr>
                <w:rFonts w:hint="eastAsia"/>
                <w:color w:val="auto"/>
                <w:sz w:val="24"/>
                <w:szCs w:val="24"/>
                <w:highlight w:val="none"/>
                <w:lang w:val="en-US" w:eastAsia="zh-CN"/>
              </w:rPr>
              <w:t>号）中相关要求。</w:t>
            </w:r>
          </w:p>
        </w:tc>
      </w:tr>
      <w:tr w14:paraId="53480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14:paraId="34E3F454">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总量</w:t>
            </w:r>
          </w:p>
          <w:p w14:paraId="4DC81006">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控制</w:t>
            </w:r>
          </w:p>
          <w:p w14:paraId="626E3275">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w:t>
            </w:r>
          </w:p>
        </w:tc>
        <w:tc>
          <w:tcPr>
            <w:tcW w:w="8190" w:type="dxa"/>
            <w:noWrap w:val="0"/>
            <w:vAlign w:val="center"/>
          </w:tcPr>
          <w:p w14:paraId="194957E5">
            <w:pPr>
              <w:adjustRightInd w:val="0"/>
              <w:spacing w:line="360" w:lineRule="auto"/>
              <w:ind w:firstLine="480" w:firstLineChars="200"/>
              <w:rPr>
                <w:rFonts w:hint="eastAsia" w:eastAsia="新宋体"/>
                <w:color w:val="auto"/>
                <w:sz w:val="24"/>
                <w:szCs w:val="22"/>
                <w:highlight w:val="none"/>
              </w:rPr>
            </w:pPr>
            <w:r>
              <w:rPr>
                <w:rFonts w:hint="eastAsia" w:eastAsia="新宋体"/>
                <w:color w:val="auto"/>
                <w:sz w:val="24"/>
                <w:szCs w:val="22"/>
                <w:highlight w:val="none"/>
              </w:rPr>
              <w:t>（1）水污染物</w:t>
            </w:r>
          </w:p>
          <w:p w14:paraId="4F8BB086">
            <w:pPr>
              <w:adjustRightInd w:val="0"/>
              <w:spacing w:line="360" w:lineRule="auto"/>
              <w:ind w:firstLine="480" w:firstLineChars="200"/>
              <w:rPr>
                <w:rFonts w:hint="default" w:ascii="Times New Roman" w:hAnsi="Times New Roman" w:eastAsia="宋体" w:cs="Times New Roman"/>
                <w:color w:val="auto"/>
                <w:sz w:val="24"/>
                <w:szCs w:val="24"/>
                <w:highlight w:val="none"/>
              </w:rPr>
            </w:pPr>
            <w:r>
              <w:rPr>
                <w:color w:val="auto"/>
                <w:sz w:val="24"/>
                <w:highlight w:val="none"/>
              </w:rPr>
              <w:t>本项目</w:t>
            </w:r>
            <w:r>
              <w:rPr>
                <w:rFonts w:hint="eastAsia"/>
                <w:color w:val="auto"/>
                <w:sz w:val="24"/>
                <w:highlight w:val="none"/>
                <w:lang w:val="en-US" w:eastAsia="zh-CN"/>
              </w:rPr>
              <w:t>无废水外排</w:t>
            </w:r>
            <w:r>
              <w:rPr>
                <w:color w:val="auto"/>
                <w:sz w:val="24"/>
                <w:highlight w:val="none"/>
              </w:rPr>
              <w:t>，本项目废水</w:t>
            </w:r>
            <w:r>
              <w:rPr>
                <w:rFonts w:hint="eastAsia"/>
                <w:color w:val="auto"/>
                <w:sz w:val="24"/>
                <w:highlight w:val="none"/>
                <w:lang w:val="en-US" w:eastAsia="zh-CN"/>
              </w:rPr>
              <w:t>不再</w:t>
            </w:r>
            <w:r>
              <w:rPr>
                <w:color w:val="auto"/>
                <w:sz w:val="24"/>
                <w:highlight w:val="none"/>
              </w:rPr>
              <w:t>需要申请</w:t>
            </w:r>
            <w:r>
              <w:rPr>
                <w:rFonts w:hint="eastAsia"/>
                <w:color w:val="auto"/>
                <w:sz w:val="24"/>
                <w:highlight w:val="none"/>
                <w:lang w:val="en-US" w:eastAsia="zh-CN"/>
              </w:rPr>
              <w:t>总量指标</w:t>
            </w:r>
            <w:r>
              <w:rPr>
                <w:rFonts w:hint="default" w:ascii="Times New Roman" w:hAnsi="Times New Roman" w:eastAsia="宋体" w:cs="Times New Roman"/>
                <w:color w:val="auto"/>
                <w:sz w:val="24"/>
                <w:szCs w:val="24"/>
                <w:highlight w:val="none"/>
              </w:rPr>
              <w:t>。</w:t>
            </w:r>
          </w:p>
          <w:p w14:paraId="4A720165">
            <w:pPr>
              <w:adjustRightInd w:val="0"/>
              <w:spacing w:line="360" w:lineRule="auto"/>
              <w:ind w:firstLine="480" w:firstLineChars="200"/>
              <w:rPr>
                <w:rFonts w:hint="eastAsia" w:eastAsia="新宋体"/>
                <w:color w:val="auto"/>
                <w:sz w:val="24"/>
                <w:szCs w:val="22"/>
                <w:highlight w:val="none"/>
              </w:rPr>
            </w:pPr>
            <w:r>
              <w:rPr>
                <w:rFonts w:hint="eastAsia" w:eastAsia="新宋体"/>
                <w:color w:val="auto"/>
                <w:sz w:val="24"/>
                <w:szCs w:val="22"/>
                <w:highlight w:val="none"/>
              </w:rPr>
              <w:t>（2）大气污染物</w:t>
            </w:r>
          </w:p>
          <w:p w14:paraId="1B3C80C2">
            <w:pPr>
              <w:adjustRightInd w:val="0"/>
              <w:spacing w:line="360" w:lineRule="auto"/>
              <w:ind w:firstLine="480" w:firstLineChars="200"/>
              <w:rPr>
                <w:rFonts w:hint="eastAsia" w:eastAsia="新宋体"/>
                <w:color w:val="auto"/>
                <w:sz w:val="24"/>
                <w:szCs w:val="22"/>
                <w:highlight w:val="none"/>
              </w:rPr>
            </w:pPr>
            <w:r>
              <w:rPr>
                <w:rFonts w:hint="eastAsia" w:eastAsia="新宋体"/>
                <w:color w:val="auto"/>
                <w:sz w:val="24"/>
                <w:szCs w:val="22"/>
                <w:highlight w:val="none"/>
              </w:rPr>
              <w:t>根据《山东省生态环境厅关于印发山东省建设项目主要大气污染物排放总量替代指标核算及管理办法的通知》（鲁环发</w:t>
            </w:r>
            <w:r>
              <w:rPr>
                <w:rFonts w:hint="eastAsia" w:eastAsia="新宋体"/>
                <w:color w:val="auto"/>
                <w:sz w:val="24"/>
                <w:szCs w:val="22"/>
                <w:highlight w:val="none"/>
                <w:lang w:eastAsia="zh-CN"/>
              </w:rPr>
              <w:t>〔</w:t>
            </w:r>
            <w:r>
              <w:rPr>
                <w:rFonts w:hint="eastAsia" w:eastAsia="新宋体"/>
                <w:color w:val="auto"/>
                <w:sz w:val="24"/>
                <w:szCs w:val="22"/>
                <w:highlight w:val="none"/>
              </w:rPr>
              <w:t>2019</w:t>
            </w:r>
            <w:r>
              <w:rPr>
                <w:rFonts w:hint="eastAsia" w:eastAsia="新宋体"/>
                <w:color w:val="auto"/>
                <w:sz w:val="24"/>
                <w:szCs w:val="22"/>
                <w:highlight w:val="none"/>
                <w:lang w:eastAsia="zh-CN"/>
              </w:rPr>
              <w:t>〕</w:t>
            </w:r>
            <w:r>
              <w:rPr>
                <w:rFonts w:hint="eastAsia" w:eastAsia="新宋体"/>
                <w:color w:val="auto"/>
                <w:sz w:val="24"/>
                <w:szCs w:val="22"/>
                <w:highlight w:val="none"/>
              </w:rPr>
              <w:t>132号）、《济宁市生态环境局关于转发</w:t>
            </w:r>
            <w:r>
              <w:rPr>
                <w:rFonts w:hint="eastAsia" w:eastAsia="新宋体"/>
                <w:color w:val="auto"/>
                <w:sz w:val="24"/>
                <w:szCs w:val="22"/>
                <w:highlight w:val="none"/>
                <w:lang w:eastAsia="zh-CN"/>
              </w:rPr>
              <w:t>〈</w:t>
            </w:r>
            <w:r>
              <w:rPr>
                <w:rFonts w:hint="eastAsia" w:eastAsia="新宋体"/>
                <w:color w:val="auto"/>
                <w:sz w:val="24"/>
                <w:szCs w:val="22"/>
                <w:highlight w:val="none"/>
              </w:rPr>
              <w:t>山东省生态环境厅关于印发山东省建设项目主要大气污染物排放总量替代指标核算及管理办法的通知</w:t>
            </w:r>
            <w:r>
              <w:rPr>
                <w:rFonts w:hint="eastAsia" w:eastAsia="新宋体"/>
                <w:color w:val="auto"/>
                <w:sz w:val="24"/>
                <w:szCs w:val="22"/>
                <w:highlight w:val="none"/>
                <w:lang w:eastAsia="zh-CN"/>
              </w:rPr>
              <w:t>〉</w:t>
            </w:r>
            <w:r>
              <w:rPr>
                <w:rFonts w:hint="eastAsia" w:eastAsia="新宋体"/>
                <w:color w:val="auto"/>
                <w:sz w:val="24"/>
                <w:szCs w:val="22"/>
                <w:highlight w:val="none"/>
              </w:rPr>
              <w:t>的通知》要求，新增主要大气污染物排放量需进行2倍削减量替代。</w:t>
            </w:r>
          </w:p>
          <w:p w14:paraId="2345D074">
            <w:pPr>
              <w:adjustRightIn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eastAsia" w:ascii="Times New Roman" w:hAnsi="Times New Roman" w:eastAsia="新宋体" w:cs="Times New Roman"/>
                <w:color w:val="auto"/>
                <w:sz w:val="24"/>
                <w:szCs w:val="22"/>
                <w:highlight w:val="none"/>
                <w:lang w:val="en-US" w:eastAsia="zh-CN"/>
              </w:rPr>
              <w:t>本项目为改扩建项目，拆除原</w:t>
            </w:r>
            <w:r>
              <w:rPr>
                <w:rFonts w:hint="default"/>
                <w:color w:val="auto"/>
                <w:highlight w:val="none"/>
                <w:lang w:val="en-US" w:eastAsia="zh-CN"/>
              </w:rPr>
              <w:t>年产600吨高纯再生硅材料项目</w:t>
            </w:r>
            <w:r>
              <w:rPr>
                <w:rFonts w:hint="eastAsia"/>
                <w:color w:val="auto"/>
                <w:highlight w:val="none"/>
                <w:lang w:val="en-US" w:eastAsia="zh-CN"/>
              </w:rPr>
              <w:t>除打磨外的</w:t>
            </w:r>
            <w:r>
              <w:rPr>
                <w:rFonts w:hint="eastAsia" w:ascii="Times New Roman" w:hAnsi="Times New Roman" w:eastAsia="新宋体" w:cs="Times New Roman"/>
                <w:color w:val="auto"/>
                <w:sz w:val="24"/>
                <w:szCs w:val="22"/>
                <w:highlight w:val="none"/>
                <w:lang w:val="en-US" w:eastAsia="zh-CN"/>
              </w:rPr>
              <w:t>生产线，并新建年产6000吨废硅材料回收再利用项目生产线。拟建项目建成后自身产生的颗粒物排放量0.542t/a，VOCs排放量为</w:t>
            </w:r>
            <w:r>
              <w:rPr>
                <w:rFonts w:hint="eastAsia" w:eastAsia="新宋体" w:cs="Times New Roman"/>
                <w:color w:val="auto"/>
                <w:sz w:val="24"/>
                <w:szCs w:val="22"/>
                <w:highlight w:val="none"/>
                <w:lang w:val="en-US" w:eastAsia="zh-CN"/>
              </w:rPr>
              <w:t>0.316</w:t>
            </w:r>
            <w:r>
              <w:rPr>
                <w:rFonts w:hint="eastAsia" w:ascii="Times New Roman" w:hAnsi="Times New Roman" w:eastAsia="新宋体" w:cs="Times New Roman"/>
                <w:color w:val="auto"/>
                <w:sz w:val="24"/>
                <w:szCs w:val="22"/>
                <w:highlight w:val="none"/>
                <w:lang w:val="en-US" w:eastAsia="zh-CN"/>
              </w:rPr>
              <w:t>t/a。</w:t>
            </w:r>
            <w:r>
              <w:rPr>
                <w:color w:val="auto"/>
                <w:sz w:val="24"/>
                <w:highlight w:val="none"/>
              </w:rPr>
              <w:t>本项目排放的</w:t>
            </w:r>
            <w:r>
              <w:rPr>
                <w:rFonts w:hint="eastAsia"/>
                <w:color w:val="auto"/>
                <w:sz w:val="24"/>
                <w:highlight w:val="none"/>
                <w:lang w:val="en-US" w:eastAsia="zh-CN"/>
              </w:rPr>
              <w:t>颗粒物和</w:t>
            </w:r>
            <w:r>
              <w:rPr>
                <w:rFonts w:hint="eastAsia" w:eastAsia="新宋体"/>
                <w:color w:val="auto"/>
                <w:sz w:val="24"/>
                <w:szCs w:val="22"/>
                <w:highlight w:val="none"/>
                <w:lang w:val="en-US" w:eastAsia="zh-CN"/>
              </w:rPr>
              <w:t>VOCs</w:t>
            </w:r>
            <w:r>
              <w:rPr>
                <w:color w:val="auto"/>
                <w:sz w:val="24"/>
                <w:highlight w:val="none"/>
              </w:rPr>
              <w:t>需进行2倍削减量替代，</w:t>
            </w:r>
            <w:r>
              <w:rPr>
                <w:rFonts w:hint="eastAsia"/>
                <w:color w:val="auto"/>
                <w:highlight w:val="none"/>
                <w:lang w:val="en-US" w:eastAsia="zh-CN"/>
              </w:rPr>
              <w:t>所以</w:t>
            </w:r>
            <w:r>
              <w:rPr>
                <w:color w:val="auto"/>
                <w:sz w:val="24"/>
                <w:highlight w:val="none"/>
              </w:rPr>
              <w:t>项目需要</w:t>
            </w:r>
            <w:r>
              <w:rPr>
                <w:rFonts w:hint="eastAsia"/>
                <w:color w:val="auto"/>
                <w:sz w:val="24"/>
                <w:highlight w:val="none"/>
                <w:lang w:val="en-US" w:eastAsia="zh-CN"/>
              </w:rPr>
              <w:t>申请的</w:t>
            </w:r>
            <w:r>
              <w:rPr>
                <w:color w:val="auto"/>
                <w:sz w:val="24"/>
                <w:highlight w:val="none"/>
              </w:rPr>
              <w:t>总量指标为</w:t>
            </w:r>
            <w:r>
              <w:rPr>
                <w:rFonts w:hint="eastAsia" w:eastAsia="新宋体"/>
                <w:color w:val="auto"/>
                <w:sz w:val="24"/>
                <w:szCs w:val="22"/>
                <w:highlight w:val="none"/>
                <w:lang w:val="en-US" w:eastAsia="zh-CN"/>
              </w:rPr>
              <w:t>颗粒物1.084t/a</w:t>
            </w:r>
            <w:r>
              <w:rPr>
                <w:rFonts w:hint="eastAsia" w:eastAsia="新宋体"/>
                <w:color w:val="auto"/>
                <w:sz w:val="24"/>
                <w:highlight w:val="none"/>
                <w:lang w:eastAsia="zh-CN"/>
              </w:rPr>
              <w:t>，</w:t>
            </w:r>
            <w:r>
              <w:rPr>
                <w:rFonts w:hint="eastAsia" w:eastAsia="新宋体"/>
                <w:color w:val="auto"/>
                <w:sz w:val="24"/>
                <w:szCs w:val="22"/>
                <w:highlight w:val="none"/>
                <w:lang w:val="en-US" w:eastAsia="zh-CN"/>
              </w:rPr>
              <w:t>VOCs</w:t>
            </w:r>
            <w:r>
              <w:rPr>
                <w:rFonts w:hint="eastAsia" w:eastAsia="新宋体"/>
                <w:color w:val="auto"/>
                <w:sz w:val="24"/>
                <w:highlight w:val="none"/>
                <w:lang w:val="en-US" w:eastAsia="zh-CN"/>
              </w:rPr>
              <w:t>0.632</w:t>
            </w:r>
            <w:r>
              <w:rPr>
                <w:rFonts w:hint="eastAsia" w:eastAsia="新宋体"/>
                <w:color w:val="auto"/>
                <w:sz w:val="24"/>
                <w:szCs w:val="22"/>
                <w:highlight w:val="none"/>
                <w:lang w:val="en-US" w:eastAsia="zh-CN"/>
              </w:rPr>
              <w:t>t/a</w:t>
            </w:r>
            <w:r>
              <w:rPr>
                <w:rFonts w:hint="eastAsia"/>
                <w:color w:val="auto"/>
                <w:sz w:val="24"/>
                <w:highlight w:val="none"/>
              </w:rPr>
              <w:t>。</w:t>
            </w:r>
            <w:r>
              <w:rPr>
                <w:rFonts w:hint="eastAsia" w:ascii="Times New Roman" w:hAnsi="Times New Roman" w:eastAsia="新宋体" w:cs="Times New Roman"/>
                <w:color w:val="auto"/>
                <w:sz w:val="24"/>
                <w:szCs w:val="22"/>
                <w:highlight w:val="none"/>
                <w:lang w:val="en-US" w:eastAsia="zh-CN"/>
              </w:rPr>
              <w:t>原</w:t>
            </w:r>
            <w:r>
              <w:rPr>
                <w:rFonts w:hint="default"/>
                <w:color w:val="auto"/>
                <w:highlight w:val="none"/>
                <w:lang w:val="en-US" w:eastAsia="zh-CN"/>
              </w:rPr>
              <w:t>年产600吨高纯再生硅材料项目</w:t>
            </w:r>
            <w:r>
              <w:rPr>
                <w:rFonts w:hint="eastAsia" w:ascii="Times New Roman" w:hAnsi="Times New Roman" w:eastAsia="宋体" w:cs="Times New Roman"/>
                <w:color w:val="auto"/>
                <w:sz w:val="24"/>
                <w:szCs w:val="24"/>
                <w:highlight w:val="none"/>
                <w:lang w:val="en-US" w:eastAsia="zh-CN"/>
              </w:rPr>
              <w:t>其颗粒物排放量为0.12</w:t>
            </w:r>
            <w:r>
              <w:rPr>
                <w:rFonts w:hint="eastAsia" w:ascii="Times New Roman" w:hAnsi="Times New Roman" w:eastAsia="新宋体" w:cs="Times New Roman"/>
                <w:color w:val="auto"/>
                <w:sz w:val="24"/>
                <w:szCs w:val="22"/>
                <w:highlight w:val="none"/>
                <w:lang w:val="en-US" w:eastAsia="zh-CN"/>
              </w:rPr>
              <w:t>t/a，</w:t>
            </w:r>
            <w:r>
              <w:rPr>
                <w:rFonts w:hint="eastAsia"/>
                <w:color w:val="auto"/>
                <w:highlight w:val="none"/>
                <w:lang w:val="en-US" w:eastAsia="zh-CN"/>
              </w:rPr>
              <w:t>可作为</w:t>
            </w:r>
            <w:r>
              <w:rPr>
                <w:rFonts w:hint="eastAsia" w:ascii="Times New Roman" w:hAnsi="Times New Roman" w:eastAsia="宋体" w:cs="Times New Roman"/>
                <w:color w:val="auto"/>
                <w:sz w:val="24"/>
                <w:szCs w:val="24"/>
                <w:highlight w:val="none"/>
                <w:lang w:val="en-US" w:eastAsia="zh-CN"/>
              </w:rPr>
              <w:t>全部削减量用于本次项目。</w:t>
            </w:r>
            <w:r>
              <w:rPr>
                <w:rFonts w:hint="eastAsia" w:ascii="Times New Roman" w:hAnsi="Times New Roman" w:eastAsia="新宋体" w:cs="Times New Roman"/>
                <w:color w:val="auto"/>
                <w:sz w:val="24"/>
                <w:szCs w:val="22"/>
                <w:highlight w:val="none"/>
                <w:lang w:val="en-US" w:eastAsia="zh-CN"/>
              </w:rPr>
              <w:t>因此，根据污染物总量控制“以新代老”原则，项目建成后</w:t>
            </w:r>
            <w:r>
              <w:rPr>
                <w:color w:val="auto"/>
                <w:sz w:val="24"/>
                <w:highlight w:val="none"/>
              </w:rPr>
              <w:t>需要</w:t>
            </w:r>
            <w:r>
              <w:rPr>
                <w:rFonts w:hint="eastAsia"/>
                <w:color w:val="auto"/>
                <w:sz w:val="24"/>
                <w:highlight w:val="none"/>
                <w:lang w:val="en-US" w:eastAsia="zh-CN"/>
              </w:rPr>
              <w:t>申请的</w:t>
            </w:r>
            <w:r>
              <w:rPr>
                <w:color w:val="auto"/>
                <w:sz w:val="24"/>
                <w:highlight w:val="none"/>
              </w:rPr>
              <w:t>总量指标为</w:t>
            </w:r>
            <w:r>
              <w:rPr>
                <w:rFonts w:hint="eastAsia" w:eastAsia="新宋体"/>
                <w:color w:val="auto"/>
                <w:sz w:val="24"/>
                <w:szCs w:val="22"/>
                <w:highlight w:val="none"/>
                <w:lang w:val="en-US" w:eastAsia="zh-CN"/>
              </w:rPr>
              <w:t>颗粒物0.964t/a</w:t>
            </w:r>
            <w:r>
              <w:rPr>
                <w:rFonts w:hint="eastAsia" w:eastAsia="新宋体"/>
                <w:color w:val="auto"/>
                <w:sz w:val="24"/>
                <w:highlight w:val="none"/>
                <w:lang w:eastAsia="zh-CN"/>
              </w:rPr>
              <w:t>，</w:t>
            </w:r>
            <w:r>
              <w:rPr>
                <w:rFonts w:hint="eastAsia" w:eastAsia="新宋体"/>
                <w:color w:val="auto"/>
                <w:sz w:val="24"/>
                <w:szCs w:val="22"/>
                <w:highlight w:val="none"/>
                <w:lang w:val="en-US" w:eastAsia="zh-CN"/>
              </w:rPr>
              <w:t>VOCs</w:t>
            </w:r>
            <w:r>
              <w:rPr>
                <w:rFonts w:hint="eastAsia" w:eastAsia="新宋体"/>
                <w:color w:val="auto"/>
                <w:sz w:val="24"/>
                <w:highlight w:val="none"/>
                <w:lang w:val="en-US" w:eastAsia="zh-CN"/>
              </w:rPr>
              <w:t>0.632</w:t>
            </w:r>
            <w:r>
              <w:rPr>
                <w:rFonts w:hint="eastAsia" w:eastAsia="新宋体"/>
                <w:color w:val="auto"/>
                <w:sz w:val="24"/>
                <w:szCs w:val="22"/>
                <w:highlight w:val="none"/>
                <w:lang w:val="en-US" w:eastAsia="zh-CN"/>
              </w:rPr>
              <w:t>t/a</w:t>
            </w:r>
            <w:r>
              <w:rPr>
                <w:rFonts w:hint="eastAsia"/>
                <w:color w:val="auto"/>
                <w:sz w:val="24"/>
                <w:highlight w:val="none"/>
              </w:rPr>
              <w:t>。</w:t>
            </w:r>
          </w:p>
        </w:tc>
      </w:tr>
    </w:tbl>
    <w:p w14:paraId="1B62A098">
      <w:pPr>
        <w:pStyle w:val="26"/>
        <w:jc w:val="center"/>
        <w:outlineLvl w:val="0"/>
        <w:rPr>
          <w:rFonts w:ascii="黑体" w:hAnsi="黑体" w:eastAsia="黑体"/>
          <w:snapToGrid w:val="0"/>
          <w:color w:val="auto"/>
          <w:sz w:val="30"/>
          <w:szCs w:val="30"/>
          <w:highlight w:val="none"/>
        </w:rPr>
      </w:pPr>
      <w:r>
        <w:rPr>
          <w:rFonts w:ascii="黑体" w:hAnsi="黑体" w:eastAsia="黑体"/>
          <w:snapToGrid w:val="0"/>
          <w:color w:val="auto"/>
          <w:sz w:val="36"/>
          <w:szCs w:val="36"/>
          <w:highlight w:val="none"/>
        </w:rPr>
        <w:br w:type="page"/>
      </w:r>
      <w:r>
        <w:rPr>
          <w:rFonts w:hint="eastAsia" w:ascii="黑体" w:hAnsi="黑体" w:eastAsia="黑体"/>
          <w:snapToGrid w:val="0"/>
          <w:color w:val="auto"/>
          <w:sz w:val="30"/>
          <w:szCs w:val="30"/>
          <w:highlight w:val="none"/>
        </w:rPr>
        <w:t>四、主要环境影响和保护措施</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166"/>
      </w:tblGrid>
      <w:tr w14:paraId="711A5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36" w:type="dxa"/>
            <w:noWrap w:val="0"/>
            <w:tcMar>
              <w:left w:w="28" w:type="dxa"/>
              <w:right w:w="28" w:type="dxa"/>
            </w:tcMar>
            <w:vAlign w:val="center"/>
          </w:tcPr>
          <w:p w14:paraId="4202D37E">
            <w:pPr>
              <w:pStyle w:val="26"/>
              <w:adjustRightInd w:val="0"/>
              <w:snapToGrid w:val="0"/>
              <w:spacing w:before="0" w:beforeAutospacing="0" w:after="0" w:afterAutospacing="0"/>
              <w:jc w:val="center"/>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施工期环境保护措施</w:t>
            </w:r>
          </w:p>
        </w:tc>
        <w:tc>
          <w:tcPr>
            <w:tcW w:w="8386" w:type="dxa"/>
            <w:noWrap w:val="0"/>
            <w:vAlign w:val="center"/>
          </w:tcPr>
          <w:p w14:paraId="4FAC8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pacing w:val="-10"/>
                <w:sz w:val="24"/>
                <w:szCs w:val="24"/>
                <w:highlight w:val="none"/>
              </w:rPr>
            </w:pPr>
            <w:r>
              <w:rPr>
                <w:rFonts w:hint="eastAsia"/>
                <w:color w:val="auto"/>
                <w:highlight w:val="none"/>
                <w:lang w:eastAsia="zh-CN"/>
              </w:rPr>
              <w:t>本次项目利用企业现有</w:t>
            </w:r>
            <w:r>
              <w:rPr>
                <w:rFonts w:hint="eastAsia"/>
                <w:color w:val="auto"/>
                <w:highlight w:val="none"/>
              </w:rPr>
              <w:t>厂房进行生产</w:t>
            </w:r>
            <w:r>
              <w:rPr>
                <w:rFonts w:hint="eastAsia"/>
                <w:color w:val="auto"/>
                <w:highlight w:val="none"/>
                <w:lang w:val="en-US" w:eastAsia="zh-CN"/>
              </w:rPr>
              <w:t>并对现有厂房简单改造</w:t>
            </w:r>
            <w:r>
              <w:rPr>
                <w:rFonts w:hint="eastAsia"/>
                <w:color w:val="auto"/>
                <w:highlight w:val="none"/>
              </w:rPr>
              <w:t>，施工期进行简单的设备安装。因此，本项目施工期环境影响</w:t>
            </w:r>
            <w:r>
              <w:rPr>
                <w:rFonts w:hint="eastAsia"/>
                <w:color w:val="auto"/>
                <w:highlight w:val="none"/>
                <w:lang w:val="en-US" w:eastAsia="zh-CN"/>
              </w:rPr>
              <w:t>较小</w:t>
            </w:r>
            <w:r>
              <w:rPr>
                <w:rFonts w:hint="eastAsia"/>
                <w:color w:val="auto"/>
                <w:highlight w:val="none"/>
              </w:rPr>
              <w:t>。本环评不再进行施工期环境保护措施分析</w:t>
            </w:r>
            <w:r>
              <w:rPr>
                <w:color w:val="auto"/>
                <w:highlight w:val="none"/>
              </w:rPr>
              <w:t>。</w:t>
            </w:r>
          </w:p>
        </w:tc>
      </w:tr>
      <w:tr w14:paraId="34D7B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6" w:hRule="atLeast"/>
          <w:jc w:val="center"/>
        </w:trPr>
        <w:tc>
          <w:tcPr>
            <w:tcW w:w="836" w:type="dxa"/>
            <w:noWrap w:val="0"/>
            <w:tcMar>
              <w:left w:w="28" w:type="dxa"/>
              <w:right w:w="28" w:type="dxa"/>
            </w:tcMar>
            <w:vAlign w:val="center"/>
          </w:tcPr>
          <w:p w14:paraId="0CD55053">
            <w:pPr>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运营</w:t>
            </w:r>
          </w:p>
          <w:p w14:paraId="666578A2">
            <w:pPr>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期环</w:t>
            </w:r>
          </w:p>
          <w:p w14:paraId="0B37163F">
            <w:pPr>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境影</w:t>
            </w:r>
          </w:p>
          <w:p w14:paraId="0D9F6621">
            <w:pPr>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响和</w:t>
            </w:r>
          </w:p>
          <w:p w14:paraId="45CDC9EE">
            <w:pPr>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保护</w:t>
            </w:r>
          </w:p>
          <w:p w14:paraId="4937AEFB">
            <w:pPr>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措施</w:t>
            </w:r>
          </w:p>
        </w:tc>
        <w:tc>
          <w:tcPr>
            <w:tcW w:w="8386" w:type="dxa"/>
            <w:noWrap w:val="0"/>
            <w:vAlign w:val="center"/>
          </w:tcPr>
          <w:p w14:paraId="311730C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hAnsi="宋体"/>
                <w:b/>
                <w:bCs/>
                <w:color w:val="auto"/>
                <w:sz w:val="24"/>
                <w:highlight w:val="none"/>
              </w:rPr>
            </w:pPr>
            <w:r>
              <w:rPr>
                <w:rFonts w:hint="eastAsia"/>
                <w:b/>
                <w:color w:val="auto"/>
                <w:sz w:val="24"/>
                <w:highlight w:val="none"/>
                <w:lang w:val="en-US" w:eastAsia="zh-CN"/>
              </w:rPr>
              <w:t>1</w:t>
            </w:r>
            <w:r>
              <w:rPr>
                <w:rFonts w:hint="eastAsia"/>
                <w:b/>
                <w:color w:val="auto"/>
                <w:sz w:val="24"/>
                <w:highlight w:val="none"/>
              </w:rPr>
              <w:t>、</w:t>
            </w:r>
            <w:r>
              <w:rPr>
                <w:b/>
                <w:color w:val="auto"/>
                <w:sz w:val="24"/>
                <w:highlight w:val="none"/>
              </w:rPr>
              <w:t>废</w:t>
            </w:r>
            <w:r>
              <w:rPr>
                <w:rFonts w:hint="eastAsia"/>
                <w:b/>
                <w:color w:val="auto"/>
                <w:sz w:val="24"/>
                <w:highlight w:val="none"/>
                <w:lang w:val="en-US" w:eastAsia="zh-CN"/>
              </w:rPr>
              <w:t>气</w:t>
            </w:r>
            <w:r>
              <w:rPr>
                <w:b/>
                <w:color w:val="auto"/>
                <w:sz w:val="24"/>
                <w:highlight w:val="none"/>
              </w:rPr>
              <w:t>环境影响和保护措施</w:t>
            </w:r>
          </w:p>
          <w:p w14:paraId="1049E850">
            <w:pPr>
              <w:keepNext w:val="0"/>
              <w:keepLines w:val="0"/>
              <w:pageBreakBefore w:val="0"/>
              <w:kinsoku/>
              <w:wordWrap/>
              <w:overflowPunct/>
              <w:topLinePunct w:val="0"/>
              <w:autoSpaceDE/>
              <w:autoSpaceDN/>
              <w:bidi w:val="0"/>
              <w:adjustRightInd/>
              <w:spacing w:line="360" w:lineRule="auto"/>
              <w:ind w:right="0" w:firstLine="480" w:firstLineChars="200"/>
              <w:jc w:val="left"/>
              <w:textAlignment w:val="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（1）</w:t>
            </w:r>
            <w:r>
              <w:rPr>
                <w:rFonts w:hint="default" w:ascii="Times New Roman" w:hAnsi="Times New Roman" w:eastAsia="宋体" w:cs="Times New Roman"/>
                <w:b w:val="0"/>
                <w:bCs/>
                <w:color w:val="auto"/>
                <w:sz w:val="24"/>
                <w:highlight w:val="none"/>
              </w:rPr>
              <w:t>废气</w:t>
            </w:r>
            <w:r>
              <w:rPr>
                <w:rFonts w:hint="default" w:ascii="Times New Roman" w:hAnsi="Times New Roman" w:eastAsia="宋体" w:cs="Times New Roman"/>
                <w:b w:val="0"/>
                <w:bCs/>
                <w:color w:val="auto"/>
                <w:sz w:val="24"/>
                <w:highlight w:val="none"/>
                <w:lang w:val="en-US" w:eastAsia="zh-CN"/>
              </w:rPr>
              <w:t>排放情况</w:t>
            </w:r>
          </w:p>
          <w:p w14:paraId="7DF57C75">
            <w:pPr>
              <w:keepNext w:val="0"/>
              <w:keepLines w:val="0"/>
              <w:pageBreakBefore w:val="0"/>
              <w:widowControl/>
              <w:suppressLineNumbers w:val="0"/>
              <w:kinsoku/>
              <w:wordWrap/>
              <w:overflowPunct/>
              <w:topLinePunct w:val="0"/>
              <w:autoSpaceDE/>
              <w:autoSpaceDN/>
              <w:bidi w:val="0"/>
              <w:adjustRightInd/>
              <w:spacing w:line="360" w:lineRule="auto"/>
              <w:ind w:right="0" w:firstLine="480" w:firstLineChars="20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color w:val="auto"/>
                <w:sz w:val="24"/>
                <w:highlight w:val="none"/>
                <w:lang w:val="en-US" w:eastAsia="zh-CN"/>
              </w:rPr>
              <w:t>项目废气主要包括</w:t>
            </w:r>
            <w:r>
              <w:rPr>
                <w:rFonts w:hint="eastAsia" w:ascii="Times New Roman" w:hAnsi="Times New Roman" w:eastAsia="宋体" w:cs="Times New Roman"/>
                <w:color w:val="auto"/>
                <w:kern w:val="0"/>
                <w:sz w:val="24"/>
                <w:szCs w:val="24"/>
                <w:highlight w:val="none"/>
                <w:lang w:val="en-US" w:eastAsia="zh-CN" w:bidi="ar"/>
              </w:rPr>
              <w:t>打磨</w:t>
            </w:r>
            <w:r>
              <w:rPr>
                <w:rFonts w:hint="default" w:ascii="Times New Roman" w:hAnsi="Times New Roman" w:eastAsia="宋体" w:cs="Times New Roman"/>
                <w:color w:val="auto"/>
                <w:kern w:val="0"/>
                <w:sz w:val="24"/>
                <w:szCs w:val="24"/>
                <w:highlight w:val="none"/>
                <w:lang w:val="en-US" w:eastAsia="zh-CN" w:bidi="ar"/>
              </w:rPr>
              <w:t>粉尘</w:t>
            </w:r>
            <w:r>
              <w:rPr>
                <w:rFonts w:hint="eastAsia" w:ascii="Times New Roman" w:hAnsi="Times New Roman" w:eastAsia="宋体" w:cs="Times New Roman"/>
                <w:color w:val="auto"/>
                <w:kern w:val="0"/>
                <w:sz w:val="24"/>
                <w:szCs w:val="24"/>
                <w:highlight w:val="none"/>
                <w:lang w:val="en-US" w:eastAsia="zh-CN" w:bidi="ar"/>
              </w:rPr>
              <w:t>、上料粉尘、</w:t>
            </w:r>
            <w:r>
              <w:rPr>
                <w:rFonts w:hint="eastAsia" w:cs="Times New Roman"/>
                <w:color w:val="auto"/>
                <w:kern w:val="0"/>
                <w:sz w:val="24"/>
                <w:szCs w:val="24"/>
                <w:highlight w:val="none"/>
                <w:lang w:val="en-US" w:eastAsia="zh-CN" w:bidi="ar"/>
              </w:rPr>
              <w:t>烧结</w:t>
            </w:r>
            <w:r>
              <w:rPr>
                <w:rFonts w:hint="eastAsia" w:ascii="Times New Roman" w:hAnsi="Times New Roman" w:eastAsia="宋体" w:cs="Times New Roman"/>
                <w:color w:val="auto"/>
                <w:kern w:val="0"/>
                <w:sz w:val="24"/>
                <w:szCs w:val="24"/>
                <w:highlight w:val="none"/>
                <w:lang w:val="en-US" w:eastAsia="zh-CN" w:bidi="ar"/>
              </w:rPr>
              <w:t>炉出料口</w:t>
            </w:r>
            <w:r>
              <w:rPr>
                <w:rFonts w:hint="eastAsia" w:cs="Times New Roman"/>
                <w:color w:val="auto"/>
                <w:kern w:val="0"/>
                <w:sz w:val="24"/>
                <w:szCs w:val="24"/>
                <w:highlight w:val="none"/>
                <w:lang w:val="en-US" w:eastAsia="zh-CN" w:bidi="ar"/>
              </w:rPr>
              <w:t>废气</w:t>
            </w:r>
            <w:r>
              <w:rPr>
                <w:rFonts w:hint="eastAsia" w:ascii="Times New Roman" w:hAnsi="Times New Roman" w:eastAsia="宋体" w:cs="Times New Roman"/>
                <w:color w:val="auto"/>
                <w:kern w:val="0"/>
                <w:sz w:val="24"/>
                <w:szCs w:val="24"/>
                <w:highlight w:val="none"/>
                <w:lang w:val="en-US" w:eastAsia="zh-CN" w:bidi="ar"/>
              </w:rPr>
              <w:t>、磁选粉尘、</w:t>
            </w:r>
            <w:r>
              <w:rPr>
                <w:rFonts w:hint="default" w:ascii="Times New Roman" w:hAnsi="Times New Roman" w:eastAsia="宋体" w:cs="Times New Roman"/>
                <w:color w:val="auto"/>
                <w:kern w:val="0"/>
                <w:sz w:val="24"/>
                <w:szCs w:val="24"/>
                <w:highlight w:val="none"/>
                <w:lang w:val="en-US" w:eastAsia="zh-CN" w:bidi="ar"/>
              </w:rPr>
              <w:t>筛分粉尘</w:t>
            </w:r>
            <w:r>
              <w:rPr>
                <w:rFonts w:hint="eastAsia" w:ascii="Times New Roman" w:hAnsi="Times New Roman" w:eastAsia="宋体" w:cs="Times New Roman"/>
                <w:color w:val="auto"/>
                <w:kern w:val="0"/>
                <w:sz w:val="24"/>
                <w:szCs w:val="24"/>
                <w:highlight w:val="none"/>
                <w:lang w:val="en-US" w:eastAsia="zh-CN" w:bidi="ar"/>
              </w:rPr>
              <w:t>及包装粉尘</w:t>
            </w:r>
            <w:r>
              <w:rPr>
                <w:rFonts w:hint="default" w:ascii="Times New Roman" w:hAnsi="Times New Roman" w:eastAsia="宋体" w:cs="Times New Roman"/>
                <w:color w:val="auto"/>
                <w:kern w:val="0"/>
                <w:sz w:val="24"/>
                <w:szCs w:val="24"/>
                <w:highlight w:val="none"/>
                <w:lang w:val="en-US" w:eastAsia="zh-CN" w:bidi="ar"/>
              </w:rPr>
              <w:t>。</w:t>
            </w:r>
          </w:p>
          <w:p w14:paraId="2E034434">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①</w:t>
            </w:r>
            <w:r>
              <w:rPr>
                <w:rFonts w:hint="eastAsia" w:ascii="Times New Roman" w:hAnsi="Times New Roman" w:eastAsia="宋体" w:cs="Times New Roman"/>
                <w:color w:val="auto"/>
                <w:kern w:val="0"/>
                <w:sz w:val="24"/>
                <w:szCs w:val="24"/>
                <w:highlight w:val="none"/>
                <w:lang w:val="en-US" w:eastAsia="zh-CN" w:bidi="ar"/>
              </w:rPr>
              <w:t>打磨</w:t>
            </w:r>
            <w:r>
              <w:rPr>
                <w:rFonts w:hint="default" w:ascii="Times New Roman" w:hAnsi="Times New Roman" w:eastAsia="宋体" w:cs="Times New Roman"/>
                <w:color w:val="auto"/>
                <w:kern w:val="0"/>
                <w:sz w:val="24"/>
                <w:szCs w:val="24"/>
                <w:highlight w:val="none"/>
                <w:lang w:val="en-US" w:eastAsia="zh-CN" w:bidi="ar"/>
              </w:rPr>
              <w:t>粉尘</w:t>
            </w:r>
          </w:p>
          <w:p w14:paraId="31A2FB4C">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项目采用打磨机对打磨物料进行打磨，打磨废气参照《排放源统计调查产排污核算方法和系数手册》（生态环境部公告2021年第24号）中机械行业系数手册，喷砂、抛丸、打磨等预处理工序的颗粒物产污系数为2.19 kg/t-原料（以磨料使用量为基准），项目需打磨的打磨料量约2500t/a，粉尘产生量约5.475t/a。</w:t>
            </w:r>
            <w:r>
              <w:rPr>
                <w:rFonts w:hint="eastAsia" w:ascii="Times New Roman" w:hAnsi="Times New Roman" w:eastAsia="宋体" w:cs="Times New Roman"/>
                <w:color w:val="auto"/>
                <w:kern w:val="0"/>
                <w:sz w:val="24"/>
                <w:szCs w:val="24"/>
                <w:highlight w:val="none"/>
                <w:vertAlign w:val="baseline"/>
                <w:lang w:val="en-US" w:eastAsia="zh-CN" w:bidi="ar"/>
              </w:rPr>
              <w:t>打磨房间密闭，负压，</w:t>
            </w:r>
            <w:r>
              <w:rPr>
                <w:rFonts w:hint="eastAsia" w:ascii="Times New Roman" w:hAnsi="Times New Roman" w:eastAsia="宋体" w:cs="Times New Roman"/>
                <w:color w:val="auto"/>
                <w:kern w:val="0"/>
                <w:sz w:val="24"/>
                <w:szCs w:val="24"/>
                <w:highlight w:val="none"/>
                <w:lang w:val="en-US" w:eastAsia="zh-CN" w:bidi="ar"/>
              </w:rPr>
              <w:t>出风口出配备布袋式除尘器，除尘效率参照《排放源统计调查产排污核算方法和系数手册》（生态环境部公告2021年第24号）中机械行业系数手册，喷砂、抛丸、打磨等预处理工序采用袋式除尘效率，取95%。喷砂打磨房间密闭负压，收集效率取99%，经除尘装置除尘后由引风机引入15米高排气筒排放（DA001）。</w:t>
            </w:r>
          </w:p>
          <w:p w14:paraId="443B09CF">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②</w:t>
            </w:r>
            <w:r>
              <w:rPr>
                <w:rFonts w:hint="eastAsia" w:ascii="Times New Roman" w:hAnsi="Times New Roman" w:eastAsia="宋体" w:cs="Times New Roman"/>
                <w:color w:val="auto"/>
                <w:kern w:val="0"/>
                <w:sz w:val="24"/>
                <w:szCs w:val="24"/>
                <w:highlight w:val="none"/>
                <w:lang w:val="en-US" w:eastAsia="zh-CN" w:bidi="ar"/>
              </w:rPr>
              <w:t>上料口粉尘</w:t>
            </w:r>
          </w:p>
          <w:p w14:paraId="37ADD746">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废硅料由吨包送至</w:t>
            </w:r>
            <w:r>
              <w:rPr>
                <w:rFonts w:hint="eastAsia" w:cs="Times New Roman"/>
                <w:color w:val="auto"/>
                <w:kern w:val="0"/>
                <w:sz w:val="24"/>
                <w:szCs w:val="24"/>
                <w:highlight w:val="none"/>
                <w:lang w:val="en-US" w:eastAsia="zh-CN" w:bidi="ar"/>
              </w:rPr>
              <w:t>烧结</w:t>
            </w:r>
            <w:r>
              <w:rPr>
                <w:rFonts w:hint="eastAsia" w:ascii="Times New Roman" w:hAnsi="Times New Roman" w:eastAsia="宋体" w:cs="Times New Roman"/>
                <w:color w:val="auto"/>
                <w:kern w:val="0"/>
                <w:sz w:val="24"/>
                <w:szCs w:val="24"/>
                <w:highlight w:val="none"/>
                <w:lang w:val="en-US" w:eastAsia="zh-CN" w:bidi="ar"/>
              </w:rPr>
              <w:t>车间上料口，本环评要求输送带做全密闭设置。本项目上料工序进料口产生污染物主要为颗粒物，参考《逸散性工业粉尘控制技术》粒料加工上料工序粉尘产生系数0.15kg/t-搬运料，硅片上料量为3500t/a，核算上料粉尘产生量约0.525t/a。</w:t>
            </w:r>
          </w:p>
          <w:p w14:paraId="5C4E95BF">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③</w:t>
            </w:r>
            <w:r>
              <w:rPr>
                <w:rFonts w:hint="eastAsia" w:cs="Times New Roman"/>
                <w:color w:val="auto"/>
                <w:kern w:val="0"/>
                <w:sz w:val="24"/>
                <w:szCs w:val="24"/>
                <w:highlight w:val="none"/>
                <w:lang w:val="en-US" w:eastAsia="zh-CN" w:bidi="ar"/>
              </w:rPr>
              <w:t>烧结</w:t>
            </w:r>
            <w:r>
              <w:rPr>
                <w:rFonts w:hint="eastAsia" w:ascii="Times New Roman" w:hAnsi="Times New Roman" w:eastAsia="宋体" w:cs="Times New Roman"/>
                <w:color w:val="auto"/>
                <w:kern w:val="0"/>
                <w:sz w:val="24"/>
                <w:szCs w:val="24"/>
                <w:highlight w:val="none"/>
                <w:lang w:val="en-US" w:eastAsia="zh-CN" w:bidi="ar"/>
              </w:rPr>
              <w:t>炉出料口</w:t>
            </w:r>
            <w:r>
              <w:rPr>
                <w:rFonts w:hint="eastAsia" w:cs="Times New Roman"/>
                <w:color w:val="auto"/>
                <w:kern w:val="0"/>
                <w:sz w:val="24"/>
                <w:szCs w:val="24"/>
                <w:highlight w:val="none"/>
                <w:lang w:val="en-US" w:eastAsia="zh-CN" w:bidi="ar"/>
              </w:rPr>
              <w:t>废气</w:t>
            </w:r>
          </w:p>
          <w:p w14:paraId="5B4D605B">
            <w:pPr>
              <w:keepNext w:val="0"/>
              <w:keepLines w:val="0"/>
              <w:pageBreakBefore w:val="0"/>
              <w:tabs>
                <w:tab w:val="left" w:pos="5154"/>
              </w:tabs>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本项目共建设</w:t>
            </w:r>
            <w:r>
              <w:rPr>
                <w:rFonts w:hint="eastAsia" w:ascii="Times New Roman" w:hAnsi="Times New Roman" w:eastAsia="宋体"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台</w:t>
            </w:r>
            <w:r>
              <w:rPr>
                <w:rFonts w:hint="eastAsia" w:cs="Times New Roman"/>
                <w:color w:val="auto"/>
                <w:kern w:val="0"/>
                <w:sz w:val="24"/>
                <w:szCs w:val="24"/>
                <w:highlight w:val="none"/>
                <w:lang w:val="en-US" w:eastAsia="zh-CN" w:bidi="ar"/>
              </w:rPr>
              <w:t>烧结</w:t>
            </w:r>
            <w:r>
              <w:rPr>
                <w:rFonts w:hint="eastAsia" w:ascii="Times New Roman" w:hAnsi="Times New Roman" w:eastAsia="宋体" w:cs="Times New Roman"/>
                <w:color w:val="auto"/>
                <w:kern w:val="0"/>
                <w:sz w:val="24"/>
                <w:szCs w:val="24"/>
                <w:highlight w:val="none"/>
                <w:lang w:val="en-US" w:eastAsia="zh-CN" w:bidi="ar"/>
              </w:rPr>
              <w:t>炉（</w:t>
            </w:r>
            <w:r>
              <w:rPr>
                <w:rFonts w:hint="default" w:ascii="Times New Roman" w:hAnsi="Times New Roman" w:eastAsia="宋体" w:cs="Times New Roman"/>
                <w:color w:val="auto"/>
                <w:kern w:val="0"/>
                <w:sz w:val="24"/>
                <w:szCs w:val="24"/>
                <w:highlight w:val="none"/>
                <w:lang w:val="en-US" w:eastAsia="zh-CN" w:bidi="ar"/>
              </w:rPr>
              <w:t>5*1.55米、150kw</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，项目</w:t>
            </w:r>
            <w:r>
              <w:rPr>
                <w:rFonts w:hint="eastAsia" w:cs="Times New Roman"/>
                <w:color w:val="auto"/>
                <w:kern w:val="0"/>
                <w:sz w:val="24"/>
                <w:szCs w:val="24"/>
                <w:highlight w:val="none"/>
                <w:lang w:val="en-US" w:eastAsia="zh-CN" w:bidi="ar"/>
              </w:rPr>
              <w:t>烧结</w:t>
            </w:r>
            <w:r>
              <w:rPr>
                <w:rFonts w:hint="eastAsia" w:ascii="Times New Roman" w:hAnsi="Times New Roman" w:eastAsia="宋体" w:cs="Times New Roman"/>
                <w:color w:val="auto"/>
                <w:kern w:val="0"/>
                <w:sz w:val="24"/>
                <w:szCs w:val="24"/>
                <w:highlight w:val="none"/>
                <w:lang w:val="en-US" w:eastAsia="zh-CN" w:bidi="ar"/>
              </w:rPr>
              <w:t>炉</w:t>
            </w:r>
            <w:r>
              <w:rPr>
                <w:rFonts w:hint="default" w:ascii="Times New Roman" w:hAnsi="Times New Roman" w:eastAsia="宋体" w:cs="Times New Roman"/>
                <w:color w:val="auto"/>
                <w:kern w:val="0"/>
                <w:sz w:val="24"/>
                <w:szCs w:val="24"/>
                <w:highlight w:val="none"/>
                <w:lang w:val="en-US" w:eastAsia="zh-CN" w:bidi="ar"/>
              </w:rPr>
              <w:t>在</w:t>
            </w:r>
            <w:r>
              <w:rPr>
                <w:rFonts w:hint="eastAsia" w:cs="Times New Roman"/>
                <w:color w:val="auto"/>
                <w:kern w:val="0"/>
                <w:sz w:val="24"/>
                <w:szCs w:val="24"/>
                <w:highlight w:val="none"/>
                <w:lang w:val="en-US" w:eastAsia="zh-CN" w:bidi="ar"/>
              </w:rPr>
              <w:t>烧结</w:t>
            </w:r>
            <w:r>
              <w:rPr>
                <w:rFonts w:hint="default" w:ascii="Times New Roman" w:hAnsi="Times New Roman" w:eastAsia="宋体" w:cs="Times New Roman"/>
                <w:color w:val="auto"/>
                <w:kern w:val="0"/>
                <w:sz w:val="24"/>
                <w:szCs w:val="24"/>
                <w:highlight w:val="none"/>
                <w:lang w:val="en-US" w:eastAsia="zh-CN" w:bidi="ar"/>
              </w:rPr>
              <w:t>时会产生一定量的烟气，主要成分为颗粒物</w:t>
            </w:r>
            <w:r>
              <w:rPr>
                <w:rFonts w:hint="eastAsia" w:ascii="Times New Roman" w:hAnsi="Times New Roman" w:eastAsia="宋体" w:cs="Times New Roman"/>
                <w:color w:val="auto"/>
                <w:kern w:val="0"/>
                <w:sz w:val="24"/>
                <w:szCs w:val="24"/>
                <w:highlight w:val="none"/>
                <w:lang w:val="en-US" w:eastAsia="zh-CN" w:bidi="ar"/>
              </w:rPr>
              <w:t>、VOCs</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FF0000"/>
                <w:kern w:val="0"/>
                <w:sz w:val="24"/>
                <w:szCs w:val="24"/>
                <w:highlight w:val="none"/>
                <w:lang w:val="en-US" w:eastAsia="zh-CN" w:bidi="ar"/>
              </w:rPr>
              <w:t>本项目</w:t>
            </w:r>
            <w:r>
              <w:rPr>
                <w:rFonts w:hint="eastAsia" w:cs="Times New Roman"/>
                <w:color w:val="FF0000"/>
                <w:kern w:val="0"/>
                <w:sz w:val="24"/>
                <w:szCs w:val="24"/>
                <w:highlight w:val="none"/>
                <w:lang w:val="en-US" w:eastAsia="zh-CN" w:bidi="ar"/>
              </w:rPr>
              <w:t>烧结</w:t>
            </w:r>
            <w:r>
              <w:rPr>
                <w:rFonts w:hint="eastAsia" w:ascii="Times New Roman" w:hAnsi="Times New Roman" w:eastAsia="宋体" w:cs="Times New Roman"/>
                <w:color w:val="FF0000"/>
                <w:kern w:val="0"/>
                <w:sz w:val="24"/>
                <w:szCs w:val="24"/>
                <w:highlight w:val="none"/>
                <w:lang w:val="en-US" w:eastAsia="zh-CN" w:bidi="ar"/>
              </w:rPr>
              <w:t>工段</w:t>
            </w:r>
            <w:r>
              <w:rPr>
                <w:rFonts w:hint="eastAsia" w:cs="Times New Roman"/>
                <w:color w:val="FF0000"/>
                <w:kern w:val="0"/>
                <w:sz w:val="24"/>
                <w:szCs w:val="24"/>
                <w:highlight w:val="none"/>
                <w:lang w:val="en-US" w:eastAsia="zh-CN" w:bidi="ar"/>
              </w:rPr>
              <w:t>主要去除的为硅片表面的残胶，残胶为EVA胶，光伏硅片用的EVA胶，全称是乙烯-醋酸乙烯酯共聚物，它是光伏组件封装的核心材料，俗称“光伏胶膜”。它就像太阳能电池的“透明胶水”，把脆弱的硅片、玻璃和背板牢牢粘在一起，形成一个坚固的整体。</w:t>
            </w:r>
            <w:r>
              <w:rPr>
                <w:rFonts w:hint="eastAsia" w:ascii="Times New Roman" w:hAnsi="Times New Roman" w:eastAsia="宋体" w:cs="Times New Roman"/>
                <w:color w:val="FF0000"/>
                <w:kern w:val="0"/>
                <w:sz w:val="24"/>
                <w:szCs w:val="24"/>
                <w:highlight w:val="none"/>
                <w:lang w:val="en-US" w:eastAsia="zh-CN" w:bidi="ar"/>
              </w:rPr>
              <w:t>产生的污染物计算参考类别《</w:t>
            </w:r>
            <w:r>
              <w:rPr>
                <w:rFonts w:hint="default" w:ascii="Times New Roman" w:hAnsi="Times New Roman" w:eastAsia="宋体" w:cs="Times New Roman"/>
                <w:color w:val="FF0000"/>
                <w:kern w:val="0"/>
                <w:sz w:val="24"/>
                <w:szCs w:val="24"/>
                <w:highlight w:val="none"/>
                <w:lang w:val="en-US" w:eastAsia="zh-CN" w:bidi="ar"/>
              </w:rPr>
              <w:t>山东九思新材料科技有限责任公司绿色循环利用废弃硅材料高纯再生新技术研发及产业化</w:t>
            </w:r>
            <w:r>
              <w:rPr>
                <w:rFonts w:hint="eastAsia" w:ascii="Times New Roman" w:hAnsi="Times New Roman" w:eastAsia="宋体" w:cs="Times New Roman"/>
                <w:color w:val="FF0000"/>
                <w:kern w:val="0"/>
                <w:sz w:val="24"/>
                <w:szCs w:val="24"/>
                <w:highlight w:val="none"/>
                <w:lang w:val="en-US" w:eastAsia="zh-CN" w:bidi="ar"/>
              </w:rPr>
              <w:t>》中收集分废硅材料进行</w:t>
            </w:r>
            <w:r>
              <w:rPr>
                <w:rFonts w:hint="eastAsia" w:cs="Times New Roman"/>
                <w:color w:val="FF0000"/>
                <w:kern w:val="0"/>
                <w:sz w:val="24"/>
                <w:szCs w:val="24"/>
                <w:highlight w:val="none"/>
                <w:lang w:val="en-US" w:eastAsia="zh-CN" w:bidi="ar"/>
              </w:rPr>
              <w:t>烧结</w:t>
            </w:r>
            <w:r>
              <w:rPr>
                <w:rFonts w:hint="eastAsia" w:ascii="Times New Roman" w:hAnsi="Times New Roman" w:eastAsia="宋体" w:cs="Times New Roman"/>
                <w:color w:val="FF0000"/>
                <w:kern w:val="0"/>
                <w:sz w:val="24"/>
                <w:szCs w:val="24"/>
                <w:highlight w:val="none"/>
                <w:lang w:val="en-US" w:eastAsia="zh-CN" w:bidi="ar"/>
              </w:rPr>
              <w:t>处理产生的污染物计算，颗粒物计算</w:t>
            </w:r>
            <w:r>
              <w:rPr>
                <w:rFonts w:hint="default" w:ascii="Times New Roman" w:hAnsi="Times New Roman" w:eastAsia="宋体" w:cs="Times New Roman"/>
                <w:color w:val="FF0000"/>
                <w:sz w:val="24"/>
                <w:szCs w:val="24"/>
                <w:highlight w:val="none"/>
              </w:rPr>
              <w:t>产生量以</w:t>
            </w:r>
            <w:r>
              <w:rPr>
                <w:rFonts w:hint="eastAsia" w:cs="Times New Roman"/>
                <w:color w:val="FF0000"/>
                <w:sz w:val="24"/>
                <w:szCs w:val="24"/>
                <w:highlight w:val="none"/>
                <w:lang w:val="en-US" w:eastAsia="zh-CN"/>
              </w:rPr>
              <w:t>烧结</w:t>
            </w:r>
            <w:r>
              <w:rPr>
                <w:rFonts w:hint="eastAsia" w:ascii="Times New Roman" w:hAnsi="Times New Roman" w:eastAsia="宋体" w:cs="Times New Roman"/>
                <w:color w:val="FF0000"/>
                <w:sz w:val="24"/>
                <w:szCs w:val="24"/>
                <w:highlight w:val="none"/>
                <w:lang w:val="en-US" w:eastAsia="zh-CN"/>
              </w:rPr>
              <w:t>原料的</w:t>
            </w:r>
            <w:r>
              <w:rPr>
                <w:rFonts w:hint="default" w:ascii="Times New Roman" w:hAnsi="Times New Roman" w:eastAsia="宋体" w:cs="Times New Roman"/>
                <w:color w:val="FF0000"/>
                <w:sz w:val="24"/>
                <w:szCs w:val="24"/>
                <w:highlight w:val="none"/>
              </w:rPr>
              <w:t>0.01%计，</w:t>
            </w:r>
            <w:r>
              <w:rPr>
                <w:rFonts w:hint="eastAsia" w:ascii="Times New Roman" w:hAnsi="Times New Roman" w:eastAsia="宋体" w:cs="Times New Roman"/>
                <w:color w:val="FF0000"/>
                <w:sz w:val="24"/>
                <w:szCs w:val="24"/>
                <w:highlight w:val="none"/>
                <w:lang w:val="en-US" w:eastAsia="zh-CN"/>
              </w:rPr>
              <w:t>需</w:t>
            </w:r>
            <w:r>
              <w:rPr>
                <w:rFonts w:hint="eastAsia" w:cs="Times New Roman"/>
                <w:color w:val="FF0000"/>
                <w:sz w:val="24"/>
                <w:szCs w:val="24"/>
                <w:highlight w:val="none"/>
                <w:lang w:val="en-US" w:eastAsia="zh-CN"/>
              </w:rPr>
              <w:t>烧结</w:t>
            </w:r>
            <w:r>
              <w:rPr>
                <w:rFonts w:hint="eastAsia" w:ascii="Times New Roman" w:hAnsi="Times New Roman" w:eastAsia="宋体" w:cs="Times New Roman"/>
                <w:color w:val="FF0000"/>
                <w:sz w:val="24"/>
                <w:szCs w:val="24"/>
                <w:highlight w:val="none"/>
                <w:lang w:val="en-US" w:eastAsia="zh-CN"/>
              </w:rPr>
              <w:t>的原料根据企业提供的信息约3500</w:t>
            </w:r>
            <w:r>
              <w:rPr>
                <w:rFonts w:hint="default" w:ascii="Times New Roman" w:hAnsi="Times New Roman" w:eastAsia="宋体" w:cs="Times New Roman"/>
                <w:color w:val="FF0000"/>
                <w:sz w:val="24"/>
                <w:szCs w:val="24"/>
                <w:highlight w:val="none"/>
              </w:rPr>
              <w:t>t/a</w:t>
            </w:r>
            <w:r>
              <w:rPr>
                <w:rFonts w:hint="eastAsia" w:ascii="Times New Roman" w:hAnsi="Times New Roman" w:eastAsia="宋体" w:cs="Times New Roman"/>
                <w:color w:val="FF0000"/>
                <w:sz w:val="24"/>
                <w:szCs w:val="24"/>
                <w:highlight w:val="none"/>
                <w:lang w:eastAsia="zh-CN"/>
              </w:rPr>
              <w:t>，</w:t>
            </w:r>
            <w:r>
              <w:rPr>
                <w:rFonts w:hint="default" w:ascii="Times New Roman" w:hAnsi="Times New Roman" w:eastAsia="宋体" w:cs="Times New Roman"/>
                <w:color w:val="FF0000"/>
                <w:sz w:val="24"/>
                <w:szCs w:val="24"/>
                <w:highlight w:val="none"/>
              </w:rPr>
              <w:t>粉尘产生量为0.</w:t>
            </w:r>
            <w:r>
              <w:rPr>
                <w:rFonts w:hint="eastAsia" w:ascii="Times New Roman" w:hAnsi="Times New Roman" w:eastAsia="宋体" w:cs="Times New Roman"/>
                <w:color w:val="FF0000"/>
                <w:sz w:val="24"/>
                <w:szCs w:val="24"/>
                <w:highlight w:val="none"/>
                <w:lang w:val="en-US" w:eastAsia="zh-CN"/>
              </w:rPr>
              <w:t>35</w:t>
            </w:r>
            <w:r>
              <w:rPr>
                <w:rFonts w:hint="default" w:ascii="Times New Roman" w:hAnsi="Times New Roman" w:eastAsia="宋体" w:cs="Times New Roman"/>
                <w:color w:val="FF0000"/>
                <w:sz w:val="24"/>
                <w:szCs w:val="24"/>
                <w:highlight w:val="none"/>
              </w:rPr>
              <w:t>t/a。外购的硅材料中含有约0.05%</w:t>
            </w:r>
            <w:r>
              <w:rPr>
                <w:rFonts w:hint="eastAsia" w:ascii="宋体" w:hAnsi="宋体" w:eastAsia="宋体" w:cs="宋体"/>
                <w:color w:val="FF0000"/>
                <w:sz w:val="24"/>
                <w:szCs w:val="24"/>
                <w:highlight w:val="none"/>
              </w:rPr>
              <w:t>～</w:t>
            </w:r>
            <w:r>
              <w:rPr>
                <w:rFonts w:hint="eastAsia" w:cs="Times New Roman"/>
                <w:color w:val="FF0000"/>
                <w:sz w:val="24"/>
                <w:szCs w:val="24"/>
                <w:highlight w:val="none"/>
                <w:lang w:val="en-US" w:eastAsia="zh-CN"/>
              </w:rPr>
              <w:t>0.1</w:t>
            </w:r>
            <w:r>
              <w:rPr>
                <w:rFonts w:hint="default" w:ascii="Times New Roman" w:hAnsi="Times New Roman" w:eastAsia="宋体" w:cs="Times New Roman"/>
                <w:color w:val="FF0000"/>
                <w:sz w:val="24"/>
                <w:szCs w:val="24"/>
                <w:highlight w:val="none"/>
              </w:rPr>
              <w:t>%的固化胶质，在上述处理过程中按</w:t>
            </w:r>
            <w:r>
              <w:rPr>
                <w:rFonts w:hint="eastAsia" w:ascii="Times New Roman" w:hAnsi="Times New Roman" w:eastAsia="宋体" w:cs="Times New Roman"/>
                <w:color w:val="FF0000"/>
                <w:sz w:val="24"/>
                <w:szCs w:val="24"/>
                <w:highlight w:val="none"/>
                <w:lang w:val="en-US" w:eastAsia="zh-CN"/>
              </w:rPr>
              <w:t>照最不利全部转为有机废气</w:t>
            </w:r>
            <w:r>
              <w:rPr>
                <w:rFonts w:hint="eastAsia" w:cs="Times New Roman"/>
                <w:color w:val="FF0000"/>
                <w:sz w:val="24"/>
                <w:szCs w:val="24"/>
                <w:highlight w:val="none"/>
                <w:lang w:val="en-US" w:eastAsia="zh-CN"/>
              </w:rPr>
              <w:t>0.1</w:t>
            </w:r>
            <w:r>
              <w:rPr>
                <w:rFonts w:hint="default" w:ascii="Times New Roman" w:hAnsi="Times New Roman" w:eastAsia="宋体" w:cs="Times New Roman"/>
                <w:color w:val="FF0000"/>
                <w:sz w:val="24"/>
                <w:szCs w:val="24"/>
                <w:highlight w:val="none"/>
              </w:rPr>
              <w:t>%计，本生产线年处理外购硅材料约为</w:t>
            </w:r>
            <w:r>
              <w:rPr>
                <w:rFonts w:hint="eastAsia" w:ascii="Times New Roman" w:hAnsi="Times New Roman" w:eastAsia="宋体" w:cs="Times New Roman"/>
                <w:color w:val="FF0000"/>
                <w:sz w:val="24"/>
                <w:szCs w:val="24"/>
                <w:highlight w:val="none"/>
                <w:lang w:val="en-US" w:eastAsia="zh-CN"/>
              </w:rPr>
              <w:t>35</w:t>
            </w:r>
            <w:r>
              <w:rPr>
                <w:rFonts w:hint="default" w:ascii="Times New Roman" w:hAnsi="Times New Roman" w:eastAsia="宋体" w:cs="Times New Roman"/>
                <w:color w:val="FF0000"/>
                <w:sz w:val="24"/>
                <w:szCs w:val="24"/>
                <w:highlight w:val="none"/>
              </w:rPr>
              <w:t>00t/a，故固化胶质产生的气化有机废气为</w:t>
            </w:r>
            <w:r>
              <w:rPr>
                <w:rFonts w:hint="eastAsia" w:cs="Times New Roman"/>
                <w:color w:val="FF0000"/>
                <w:sz w:val="24"/>
                <w:szCs w:val="24"/>
                <w:highlight w:val="none"/>
                <w:lang w:val="en-US" w:eastAsia="zh-CN"/>
              </w:rPr>
              <w:t>3.5</w:t>
            </w:r>
            <w:r>
              <w:rPr>
                <w:rFonts w:hint="default" w:ascii="Times New Roman" w:hAnsi="Times New Roman" w:eastAsia="宋体" w:cs="Times New Roman"/>
                <w:color w:val="FF0000"/>
                <w:sz w:val="24"/>
                <w:szCs w:val="24"/>
                <w:highlight w:val="none"/>
              </w:rPr>
              <w:t>t/a</w:t>
            </w:r>
            <w:r>
              <w:rPr>
                <w:rFonts w:hint="default" w:ascii="Times New Roman" w:hAnsi="Times New Roman" w:eastAsia="宋体" w:cs="Times New Roman"/>
                <w:color w:val="FF0000"/>
                <w:sz w:val="24"/>
                <w:szCs w:val="24"/>
                <w:highlight w:val="none"/>
                <w:lang w:eastAsia="zh-CN"/>
              </w:rPr>
              <w:t>。</w:t>
            </w:r>
          </w:p>
          <w:p w14:paraId="7F5BD67D">
            <w:pPr>
              <w:pStyle w:val="28"/>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w:t>
            </w:r>
            <w:r>
              <w:rPr>
                <w:rFonts w:hint="default" w:ascii="Times New Roman" w:hAnsi="Times New Roman" w:eastAsia="宋体" w:cs="Times New Roman"/>
                <w:b w:val="0"/>
                <w:bCs/>
                <w:color w:val="auto"/>
                <w:kern w:val="0"/>
                <w:sz w:val="24"/>
                <w:szCs w:val="24"/>
                <w:highlight w:val="none"/>
                <w:lang w:val="en-US" w:eastAsia="zh-CN" w:bidi="ar"/>
              </w:rPr>
              <w:t>磁选</w:t>
            </w:r>
            <w:r>
              <w:rPr>
                <w:rFonts w:hint="eastAsia" w:ascii="Times New Roman" w:hAnsi="Times New Roman" w:eastAsia="宋体" w:cs="Times New Roman"/>
                <w:b w:val="0"/>
                <w:bCs/>
                <w:color w:val="auto"/>
                <w:kern w:val="0"/>
                <w:sz w:val="24"/>
                <w:szCs w:val="24"/>
                <w:highlight w:val="none"/>
                <w:lang w:val="en-US" w:eastAsia="zh-CN" w:bidi="ar"/>
              </w:rPr>
              <w:t>粉尘</w:t>
            </w:r>
          </w:p>
          <w:p w14:paraId="5E650C11">
            <w:pPr>
              <w:pStyle w:val="28"/>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default" w:ascii="Times New Roman" w:hAnsi="Times New Roman" w:eastAsia="宋体" w:cs="Times New Roman"/>
                <w:b w:val="0"/>
                <w:bCs/>
                <w:color w:val="auto"/>
                <w:kern w:val="0"/>
                <w:sz w:val="24"/>
                <w:szCs w:val="24"/>
                <w:highlight w:val="none"/>
                <w:lang w:val="en-US" w:eastAsia="zh-CN" w:bidi="ar"/>
              </w:rPr>
              <w:t>原料下落通过磁选机吸出原料中未除净的金属粉尘，下落过程中会产生少量粉尘颗粒物，参考《逸散性工业粉尘控制技术》中各行业的粉尘产污因子，卸料过程的排放系数0.015</w:t>
            </w:r>
            <w:r>
              <w:rPr>
                <w:rFonts w:hint="eastAsia" w:ascii="宋体" w:hAnsi="宋体" w:eastAsia="宋体" w:cs="宋体"/>
                <w:b w:val="0"/>
                <w:bCs/>
                <w:color w:val="auto"/>
                <w:kern w:val="0"/>
                <w:sz w:val="24"/>
                <w:szCs w:val="24"/>
                <w:highlight w:val="none"/>
                <w:lang w:val="en-US" w:eastAsia="zh-CN" w:bidi="ar"/>
              </w:rPr>
              <w:t>～</w:t>
            </w:r>
            <w:r>
              <w:rPr>
                <w:rFonts w:hint="default" w:ascii="Times New Roman" w:hAnsi="Times New Roman" w:eastAsia="宋体" w:cs="Times New Roman"/>
                <w:b w:val="0"/>
                <w:bCs/>
                <w:color w:val="auto"/>
                <w:kern w:val="0"/>
                <w:sz w:val="24"/>
                <w:szCs w:val="24"/>
                <w:highlight w:val="none"/>
                <w:lang w:val="en-US" w:eastAsia="zh-CN" w:bidi="ar"/>
              </w:rPr>
              <w:t>0.2kg/t，本环评取中间值约0.11kg/t。项目原料用量</w:t>
            </w:r>
            <w:r>
              <w:rPr>
                <w:rFonts w:hint="eastAsia" w:ascii="Times New Roman" w:hAnsi="Times New Roman" w:eastAsia="宋体" w:cs="Times New Roman"/>
                <w:b w:val="0"/>
                <w:bCs/>
                <w:color w:val="auto"/>
                <w:kern w:val="0"/>
                <w:sz w:val="24"/>
                <w:szCs w:val="24"/>
                <w:highlight w:val="none"/>
                <w:lang w:val="en-US" w:eastAsia="zh-CN" w:bidi="ar"/>
              </w:rPr>
              <w:t>35</w:t>
            </w:r>
            <w:r>
              <w:rPr>
                <w:rFonts w:hint="default" w:ascii="Times New Roman" w:hAnsi="Times New Roman" w:eastAsia="宋体" w:cs="Times New Roman"/>
                <w:b w:val="0"/>
                <w:bCs/>
                <w:color w:val="auto"/>
                <w:kern w:val="0"/>
                <w:sz w:val="24"/>
                <w:szCs w:val="24"/>
                <w:highlight w:val="none"/>
                <w:lang w:val="en-US" w:eastAsia="zh-CN" w:bidi="ar"/>
              </w:rPr>
              <w:t>00t/a，</w:t>
            </w:r>
            <w:r>
              <w:rPr>
                <w:rFonts w:hint="default" w:ascii="Times New Roman" w:hAnsi="Times New Roman" w:eastAsia="宋体" w:cs="Times New Roman"/>
                <w:color w:val="auto"/>
                <w:kern w:val="0"/>
                <w:sz w:val="24"/>
                <w:szCs w:val="24"/>
                <w:highlight w:val="none"/>
                <w:lang w:val="en-US" w:eastAsia="zh-CN" w:bidi="ar"/>
              </w:rPr>
              <w:t>则颗粒物产生量为</w:t>
            </w:r>
            <w:r>
              <w:rPr>
                <w:rFonts w:hint="eastAsia" w:ascii="Times New Roman" w:hAnsi="Times New Roman" w:eastAsia="宋体" w:cs="Times New Roman"/>
                <w:color w:val="auto"/>
                <w:kern w:val="0"/>
                <w:sz w:val="24"/>
                <w:szCs w:val="24"/>
                <w:highlight w:val="none"/>
                <w:lang w:val="en-US" w:eastAsia="zh-CN" w:bidi="ar"/>
              </w:rPr>
              <w:t>0.385</w:t>
            </w:r>
            <w:r>
              <w:rPr>
                <w:rFonts w:hint="default" w:ascii="Times New Roman" w:hAnsi="Times New Roman" w:eastAsia="宋体" w:cs="Times New Roman"/>
                <w:color w:val="auto"/>
                <w:kern w:val="0"/>
                <w:sz w:val="24"/>
                <w:szCs w:val="24"/>
                <w:highlight w:val="none"/>
                <w:lang w:val="en-US" w:eastAsia="zh-CN" w:bidi="ar"/>
              </w:rPr>
              <w:t>t/a。</w:t>
            </w:r>
          </w:p>
          <w:p w14:paraId="2B853202">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⑤</w:t>
            </w:r>
            <w:r>
              <w:rPr>
                <w:rFonts w:hint="default" w:ascii="Times New Roman" w:hAnsi="Times New Roman" w:eastAsia="宋体" w:cs="Times New Roman"/>
                <w:color w:val="auto"/>
                <w:kern w:val="0"/>
                <w:sz w:val="24"/>
                <w:szCs w:val="24"/>
                <w:highlight w:val="none"/>
                <w:lang w:val="en-US" w:eastAsia="zh-CN" w:bidi="ar"/>
              </w:rPr>
              <w:t>筛分粉尘</w:t>
            </w:r>
          </w:p>
          <w:p w14:paraId="17CCFE8F">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物料</w:t>
            </w:r>
            <w:r>
              <w:rPr>
                <w:rFonts w:hint="eastAsia"/>
                <w:color w:val="auto"/>
                <w:sz w:val="24"/>
                <w:highlight w:val="none"/>
              </w:rPr>
              <w:t>输送皮带全密闭设置</w:t>
            </w:r>
            <w:r>
              <w:rPr>
                <w:rFonts w:hint="eastAsia"/>
                <w:color w:val="auto"/>
                <w:sz w:val="24"/>
                <w:highlight w:val="none"/>
                <w:lang w:val="en-US" w:eastAsia="zh-CN"/>
              </w:rPr>
              <w:t>输送至筛分机</w:t>
            </w:r>
            <w:r>
              <w:rPr>
                <w:rFonts w:hint="default" w:ascii="Times New Roman" w:hAnsi="Times New Roman" w:eastAsia="宋体" w:cs="Times New Roman"/>
                <w:color w:val="auto"/>
                <w:kern w:val="0"/>
                <w:sz w:val="24"/>
                <w:szCs w:val="24"/>
                <w:highlight w:val="none"/>
                <w:lang w:val="en-US" w:eastAsia="zh-CN" w:bidi="ar"/>
              </w:rPr>
              <w:t>，机器运行主要为震动、筛分，筛上物进破碎工序，分选出筛下物进入下一道筛分工序。颗粒物产生系数采用《排放源统计调查产排污核算方法和系数手册》中</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3099其他非金属矿物制品制造行业，筛分工序</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，颗粒物产生系数1.13kg/t原料，项目年加工</w:t>
            </w:r>
            <w:r>
              <w:rPr>
                <w:rFonts w:hint="eastAsia" w:ascii="Times New Roman" w:hAnsi="Times New Roman" w:eastAsia="宋体" w:cs="Times New Roman"/>
                <w:color w:val="auto"/>
                <w:kern w:val="0"/>
                <w:sz w:val="24"/>
                <w:szCs w:val="24"/>
                <w:highlight w:val="none"/>
                <w:lang w:val="en-US" w:eastAsia="zh-CN" w:bidi="ar"/>
              </w:rPr>
              <w:t>碎</w:t>
            </w:r>
            <w:r>
              <w:rPr>
                <w:rFonts w:hint="default" w:ascii="Times New Roman" w:hAnsi="Times New Roman" w:eastAsia="宋体" w:cs="Times New Roman"/>
                <w:color w:val="auto"/>
                <w:kern w:val="0"/>
                <w:sz w:val="24"/>
                <w:szCs w:val="24"/>
                <w:highlight w:val="none"/>
                <w:lang w:val="en-US" w:eastAsia="zh-CN" w:bidi="ar"/>
              </w:rPr>
              <w:t>料</w:t>
            </w:r>
            <w:r>
              <w:rPr>
                <w:rFonts w:hint="eastAsia" w:ascii="Times New Roman" w:hAnsi="Times New Roman" w:eastAsia="宋体" w:cs="Times New Roman"/>
                <w:color w:val="auto"/>
                <w:kern w:val="0"/>
                <w:sz w:val="24"/>
                <w:szCs w:val="24"/>
                <w:highlight w:val="none"/>
                <w:lang w:val="en-US" w:eastAsia="zh-CN" w:bidi="ar"/>
              </w:rPr>
              <w:t>原料约3500</w:t>
            </w:r>
            <w:r>
              <w:rPr>
                <w:rFonts w:hint="default" w:ascii="Times New Roman" w:hAnsi="Times New Roman" w:eastAsia="宋体" w:cs="Times New Roman"/>
                <w:color w:val="auto"/>
                <w:kern w:val="0"/>
                <w:sz w:val="24"/>
                <w:szCs w:val="24"/>
                <w:highlight w:val="none"/>
                <w:lang w:val="en-US" w:eastAsia="zh-CN" w:bidi="ar"/>
              </w:rPr>
              <w:t>t，则颗粒物产生量为</w:t>
            </w:r>
            <w:r>
              <w:rPr>
                <w:rFonts w:hint="eastAsia" w:ascii="Times New Roman" w:hAnsi="Times New Roman" w:eastAsia="宋体" w:cs="Times New Roman"/>
                <w:color w:val="auto"/>
                <w:kern w:val="0"/>
                <w:sz w:val="24"/>
                <w:szCs w:val="24"/>
                <w:highlight w:val="none"/>
                <w:lang w:val="en-US" w:eastAsia="zh-CN" w:bidi="ar"/>
              </w:rPr>
              <w:t>3.955</w:t>
            </w:r>
            <w:r>
              <w:rPr>
                <w:rFonts w:hint="default" w:ascii="Times New Roman" w:hAnsi="Times New Roman" w:eastAsia="宋体" w:cs="Times New Roman"/>
                <w:color w:val="auto"/>
                <w:kern w:val="0"/>
                <w:sz w:val="24"/>
                <w:szCs w:val="24"/>
                <w:highlight w:val="none"/>
                <w:lang w:val="en-US" w:eastAsia="zh-CN" w:bidi="ar"/>
              </w:rPr>
              <w:t>t/a。</w:t>
            </w:r>
          </w:p>
          <w:p w14:paraId="7AD5A2C4">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⑥</w:t>
            </w:r>
            <w:r>
              <w:rPr>
                <w:rFonts w:hint="eastAsia" w:ascii="Times New Roman" w:hAnsi="Times New Roman" w:eastAsia="宋体" w:cs="Times New Roman"/>
                <w:color w:val="auto"/>
                <w:kern w:val="0"/>
                <w:sz w:val="24"/>
                <w:szCs w:val="24"/>
                <w:highlight w:val="none"/>
                <w:lang w:val="en-US" w:eastAsia="zh-CN" w:bidi="ar"/>
              </w:rPr>
              <w:t>打包产生的粉尘</w:t>
            </w:r>
          </w:p>
          <w:p w14:paraId="23DA0E16">
            <w:pPr>
              <w:pStyle w:val="28"/>
              <w:keepNext w:val="0"/>
              <w:keepLines w:val="0"/>
              <w:pageBreakBefore w:val="0"/>
              <w:widowControl/>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szCs w:val="24"/>
                <w:highlight w:val="none"/>
              </w:rPr>
              <w:t>本项目包装过程会产生粉尘</w:t>
            </w:r>
            <w:r>
              <w:rPr>
                <w:rFonts w:hint="default" w:ascii="Times New Roman" w:hAnsi="Times New Roman" w:eastAsia="宋体" w:cs="Times New Roman"/>
                <w:color w:val="auto"/>
                <w:kern w:val="0"/>
                <w:sz w:val="24"/>
                <w:szCs w:val="24"/>
                <w:highlight w:val="none"/>
                <w:lang w:bidi="ar"/>
              </w:rPr>
              <w:t>，本项目包装粉尘产生量参考《逸散性工业粉尘控制技术》中</w:t>
            </w:r>
            <w:r>
              <w:rPr>
                <w:rFonts w:hint="eastAsia" w:ascii="Times New Roman" w:hAnsi="Times New Roman" w:eastAsia="宋体" w:cs="Times New Roman"/>
                <w:color w:val="auto"/>
                <w:kern w:val="0"/>
                <w:sz w:val="24"/>
                <w:szCs w:val="24"/>
                <w:highlight w:val="none"/>
                <w:lang w:eastAsia="zh-CN" w:bidi="ar"/>
              </w:rPr>
              <w:t>“</w:t>
            </w:r>
            <w:r>
              <w:rPr>
                <w:rFonts w:hint="default" w:ascii="Times New Roman" w:hAnsi="Times New Roman" w:eastAsia="宋体" w:cs="Times New Roman"/>
                <w:color w:val="auto"/>
                <w:kern w:val="0"/>
                <w:sz w:val="24"/>
                <w:szCs w:val="24"/>
                <w:highlight w:val="none"/>
                <w:lang w:bidi="ar"/>
              </w:rPr>
              <w:t>粉料包装</w:t>
            </w:r>
            <w:r>
              <w:rPr>
                <w:rFonts w:hint="eastAsia" w:ascii="Times New Roman" w:hAnsi="Times New Roman" w:eastAsia="宋体" w:cs="Times New Roman"/>
                <w:color w:val="auto"/>
                <w:kern w:val="0"/>
                <w:sz w:val="24"/>
                <w:szCs w:val="24"/>
                <w:highlight w:val="none"/>
                <w:lang w:eastAsia="zh-CN" w:bidi="ar"/>
              </w:rPr>
              <w:t>”</w:t>
            </w:r>
            <w:r>
              <w:rPr>
                <w:rFonts w:hint="default" w:ascii="Times New Roman" w:hAnsi="Times New Roman" w:eastAsia="宋体" w:cs="Times New Roman"/>
                <w:color w:val="auto"/>
                <w:kern w:val="0"/>
                <w:sz w:val="24"/>
                <w:szCs w:val="24"/>
                <w:highlight w:val="none"/>
                <w:lang w:bidi="ar"/>
              </w:rPr>
              <w:t>产污系数0.125kg/t</w:t>
            </w:r>
            <w:r>
              <w:rPr>
                <w:rFonts w:hint="default" w:ascii="Times New Roman" w:hAnsi="Times New Roman" w:eastAsia="宋体" w:cs="Times New Roman"/>
                <w:color w:val="auto"/>
                <w:sz w:val="24"/>
                <w:szCs w:val="24"/>
                <w:highlight w:val="none"/>
                <w:lang w:val="de-DE" w:eastAsia="zh-CN"/>
              </w:rPr>
              <w:t>（产品）</w:t>
            </w: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kern w:val="0"/>
                <w:sz w:val="24"/>
                <w:szCs w:val="24"/>
                <w:highlight w:val="none"/>
                <w:lang w:bidi="ar"/>
              </w:rPr>
              <w:t>粉料包装</w:t>
            </w:r>
            <w:r>
              <w:rPr>
                <w:rFonts w:hint="eastAsia" w:ascii="Times New Roman" w:hAnsi="Times New Roman" w:eastAsia="宋体" w:cs="Times New Roman"/>
                <w:color w:val="auto"/>
                <w:sz w:val="24"/>
                <w:szCs w:val="24"/>
                <w:highlight w:val="none"/>
                <w:lang w:val="en-US" w:eastAsia="zh-CN"/>
              </w:rPr>
              <w:t>35</w:t>
            </w:r>
            <w:r>
              <w:rPr>
                <w:rFonts w:hint="default" w:ascii="Times New Roman" w:hAnsi="Times New Roman" w:eastAsia="宋体" w:cs="Times New Roman"/>
                <w:color w:val="auto"/>
                <w:sz w:val="24"/>
                <w:szCs w:val="24"/>
                <w:highlight w:val="none"/>
                <w:lang w:val="en-US" w:eastAsia="zh-CN"/>
              </w:rPr>
              <w:t>00吨</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则颗粒物产生量为</w:t>
            </w:r>
            <w:r>
              <w:rPr>
                <w:rFonts w:hint="eastAsia" w:ascii="Times New Roman" w:hAnsi="Times New Roman" w:eastAsia="宋体" w:cs="Times New Roman"/>
                <w:color w:val="auto"/>
                <w:kern w:val="0"/>
                <w:sz w:val="24"/>
                <w:szCs w:val="24"/>
                <w:highlight w:val="none"/>
                <w:lang w:val="en-US" w:eastAsia="zh-CN" w:bidi="ar"/>
              </w:rPr>
              <w:t>0.438</w:t>
            </w:r>
            <w:r>
              <w:rPr>
                <w:rFonts w:hint="default" w:ascii="Times New Roman" w:hAnsi="Times New Roman" w:eastAsia="宋体" w:cs="Times New Roman"/>
                <w:color w:val="auto"/>
                <w:kern w:val="0"/>
                <w:sz w:val="24"/>
                <w:szCs w:val="24"/>
                <w:highlight w:val="none"/>
                <w:lang w:val="en-US" w:eastAsia="zh-CN" w:bidi="ar"/>
              </w:rPr>
              <w:t>t/a。</w:t>
            </w:r>
          </w:p>
          <w:p w14:paraId="7C84C723">
            <w:pPr>
              <w:keepNext w:val="0"/>
              <w:keepLines w:val="0"/>
              <w:pageBreakBefore w:val="0"/>
              <w:numPr>
                <w:ilvl w:val="0"/>
                <w:numId w:val="12"/>
              </w:numPr>
              <w:kinsoku/>
              <w:wordWrap/>
              <w:overflowPunct/>
              <w:topLinePunct w:val="0"/>
              <w:autoSpaceDE/>
              <w:autoSpaceDN/>
              <w:bidi w:val="0"/>
              <w:adjustRightInd/>
              <w:spacing w:line="360" w:lineRule="auto"/>
              <w:ind w:left="0" w:leftChars="0" w:right="0" w:firstLine="480" w:firstLineChars="200"/>
              <w:jc w:val="left"/>
              <w:textAlignment w:val="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粉尘防治措施</w:t>
            </w:r>
          </w:p>
          <w:p w14:paraId="3E07F09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①</w:t>
            </w:r>
            <w:r>
              <w:rPr>
                <w:rFonts w:hint="eastAsia" w:ascii="Times New Roman" w:hAnsi="Times New Roman" w:eastAsia="宋体" w:cs="Times New Roman"/>
                <w:color w:val="auto"/>
                <w:sz w:val="24"/>
                <w:szCs w:val="24"/>
                <w:highlight w:val="none"/>
                <w:lang w:val="en-US" w:eastAsia="zh-CN"/>
              </w:rPr>
              <w:t>打磨</w:t>
            </w:r>
            <w:r>
              <w:rPr>
                <w:rFonts w:hint="default" w:ascii="Times New Roman" w:hAnsi="Times New Roman" w:eastAsia="宋体" w:cs="Times New Roman"/>
                <w:color w:val="auto"/>
                <w:sz w:val="24"/>
                <w:szCs w:val="24"/>
                <w:highlight w:val="none"/>
                <w:lang w:val="en-US" w:eastAsia="zh-CN"/>
              </w:rPr>
              <w:t>车间为全密闭设置</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bidi="ar"/>
              </w:rPr>
              <w:t>打磨</w:t>
            </w:r>
            <w:r>
              <w:rPr>
                <w:rFonts w:hint="eastAsia" w:cs="Times New Roman"/>
                <w:color w:val="auto"/>
                <w:kern w:val="0"/>
                <w:sz w:val="24"/>
                <w:szCs w:val="24"/>
                <w:highlight w:val="none"/>
                <w:lang w:val="en-US" w:eastAsia="zh-CN" w:bidi="ar"/>
              </w:rPr>
              <w:t>废气负压收集后进入</w:t>
            </w:r>
            <w:r>
              <w:rPr>
                <w:rFonts w:hint="eastAsia" w:ascii="Times New Roman" w:hAnsi="Times New Roman" w:eastAsia="宋体" w:cs="Times New Roman"/>
                <w:color w:val="auto"/>
                <w:kern w:val="0"/>
                <w:sz w:val="24"/>
                <w:szCs w:val="24"/>
                <w:highlight w:val="none"/>
                <w:lang w:val="en-US" w:eastAsia="zh-CN" w:bidi="ar"/>
              </w:rPr>
              <w:t>布袋式除尘器</w:t>
            </w:r>
            <w:r>
              <w:rPr>
                <w:rFonts w:hint="default" w:ascii="Times New Roman" w:hAnsi="Times New Roman" w:cs="Times New Roman"/>
                <w:color w:val="auto"/>
                <w:kern w:val="0"/>
                <w:sz w:val="24"/>
                <w:highlight w:val="none"/>
                <w:lang w:eastAsia="zh-CN" w:bidi="ar"/>
              </w:rPr>
              <w:t>（TA001）</w:t>
            </w:r>
            <w:r>
              <w:rPr>
                <w:rFonts w:hint="eastAsia" w:ascii="Times New Roman" w:hAnsi="Times New Roman" w:eastAsia="宋体" w:cs="Times New Roman"/>
                <w:color w:val="auto"/>
                <w:kern w:val="0"/>
                <w:sz w:val="24"/>
                <w:szCs w:val="24"/>
                <w:highlight w:val="none"/>
                <w:lang w:val="en-US" w:eastAsia="zh-CN" w:bidi="ar"/>
              </w:rPr>
              <w:t>，打磨</w:t>
            </w:r>
            <w:r>
              <w:rPr>
                <w:rFonts w:hint="default" w:ascii="Times New Roman" w:hAnsi="Times New Roman" w:eastAsia="宋体" w:cs="Times New Roman"/>
                <w:color w:val="auto"/>
                <w:sz w:val="24"/>
                <w:szCs w:val="24"/>
                <w:highlight w:val="none"/>
                <w:lang w:val="en-US" w:eastAsia="zh-CN"/>
              </w:rPr>
              <w:t>车间</w:t>
            </w:r>
            <w:r>
              <w:rPr>
                <w:rFonts w:hint="eastAsia" w:ascii="Times New Roman" w:hAnsi="Times New Roman" w:eastAsia="宋体" w:cs="Times New Roman"/>
                <w:color w:val="auto"/>
                <w:kern w:val="0"/>
                <w:sz w:val="24"/>
                <w:szCs w:val="24"/>
                <w:highlight w:val="none"/>
                <w:lang w:val="en-US" w:eastAsia="zh-CN" w:bidi="ar"/>
              </w:rPr>
              <w:t>全封闭</w:t>
            </w:r>
            <w:r>
              <w:rPr>
                <w:rFonts w:hint="eastAsia" w:cs="Times New Roman"/>
                <w:color w:val="auto"/>
                <w:kern w:val="0"/>
                <w:sz w:val="24"/>
                <w:szCs w:val="24"/>
                <w:highlight w:val="none"/>
                <w:lang w:val="en-US" w:eastAsia="zh-CN" w:bidi="ar"/>
              </w:rPr>
              <w:t>负压</w:t>
            </w:r>
            <w:r>
              <w:rPr>
                <w:rFonts w:hint="eastAsia" w:ascii="Times New Roman" w:hAnsi="Times New Roman" w:eastAsia="宋体" w:cs="Times New Roman"/>
                <w:color w:val="auto"/>
                <w:kern w:val="0"/>
                <w:sz w:val="24"/>
                <w:szCs w:val="24"/>
                <w:highlight w:val="none"/>
                <w:lang w:val="en-US" w:eastAsia="zh-CN" w:bidi="ar"/>
              </w:rPr>
              <w:t>，打磨时废气收集效率99%，除尘效率9</w:t>
            </w:r>
            <w:r>
              <w:rPr>
                <w:rFonts w:hint="eastAsia" w:cs="Times New Roman"/>
                <w:color w:val="auto"/>
                <w:kern w:val="0"/>
                <w:sz w:val="24"/>
                <w:szCs w:val="24"/>
                <w:highlight w:val="none"/>
                <w:lang w:val="en-US" w:eastAsia="zh-CN" w:bidi="ar"/>
              </w:rPr>
              <w:t>5</w:t>
            </w:r>
            <w:r>
              <w:rPr>
                <w:rFonts w:hint="eastAsia" w:ascii="Times New Roman" w:hAnsi="Times New Roman" w:eastAsia="宋体" w:cs="Times New Roman"/>
                <w:color w:val="auto"/>
                <w:kern w:val="0"/>
                <w:sz w:val="24"/>
                <w:szCs w:val="24"/>
                <w:highlight w:val="none"/>
                <w:lang w:val="en-US" w:eastAsia="zh-CN" w:bidi="ar"/>
              </w:rPr>
              <w:t>%。经除尘装置除尘后由引风机引入15米高排气筒排放（DA001）。</w:t>
            </w:r>
          </w:p>
          <w:p w14:paraId="53B3B6F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cs="Times New Roman"/>
                <w:color w:val="auto"/>
                <w:kern w:val="0"/>
                <w:sz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②</w:t>
            </w:r>
            <w:r>
              <w:rPr>
                <w:rFonts w:hint="default" w:ascii="Times New Roman" w:hAnsi="Times New Roman" w:eastAsia="宋体" w:cs="Times New Roman"/>
                <w:color w:val="auto"/>
                <w:sz w:val="24"/>
                <w:szCs w:val="24"/>
                <w:highlight w:val="none"/>
                <w:lang w:val="en-US" w:eastAsia="zh-CN"/>
              </w:rPr>
              <w:t>上料、</w:t>
            </w:r>
            <w:r>
              <w:rPr>
                <w:rFonts w:hint="eastAsia" w:cs="Times New Roman"/>
                <w:color w:val="auto"/>
                <w:sz w:val="24"/>
                <w:szCs w:val="24"/>
                <w:highlight w:val="none"/>
                <w:lang w:val="en-US" w:eastAsia="zh-CN"/>
              </w:rPr>
              <w:t>烧结</w:t>
            </w:r>
            <w:r>
              <w:rPr>
                <w:rFonts w:hint="default" w:ascii="Times New Roman" w:hAnsi="Times New Roman" w:eastAsia="宋体" w:cs="Times New Roman"/>
                <w:color w:val="auto"/>
                <w:sz w:val="24"/>
                <w:szCs w:val="24"/>
                <w:highlight w:val="none"/>
                <w:lang w:val="en-US" w:eastAsia="zh-CN"/>
              </w:rPr>
              <w:t>及</w:t>
            </w:r>
            <w:r>
              <w:rPr>
                <w:rFonts w:hint="eastAsia" w:ascii="Times New Roman" w:hAnsi="Times New Roman" w:eastAsia="宋体" w:cs="Times New Roman"/>
                <w:color w:val="auto"/>
                <w:sz w:val="24"/>
                <w:szCs w:val="24"/>
                <w:highlight w:val="none"/>
                <w:lang w:val="en-US" w:eastAsia="zh-CN"/>
              </w:rPr>
              <w:t>磁选、</w:t>
            </w:r>
            <w:r>
              <w:rPr>
                <w:rFonts w:hint="default" w:ascii="Times New Roman" w:hAnsi="Times New Roman" w:eastAsia="宋体" w:cs="Times New Roman"/>
                <w:color w:val="auto"/>
                <w:sz w:val="24"/>
                <w:szCs w:val="24"/>
                <w:highlight w:val="none"/>
                <w:lang w:val="en-US" w:eastAsia="zh-CN"/>
              </w:rPr>
              <w:t>筛分工序设置输送带为全密闭设置</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kern w:val="0"/>
                <w:sz w:val="24"/>
                <w:szCs w:val="24"/>
                <w:highlight w:val="none"/>
                <w:lang w:val="en-US" w:eastAsia="zh-CN" w:bidi="ar"/>
              </w:rPr>
              <w:t>烧结</w:t>
            </w:r>
            <w:r>
              <w:rPr>
                <w:rFonts w:hint="eastAsia" w:ascii="Times New Roman" w:hAnsi="Times New Roman" w:eastAsia="宋体" w:cs="Times New Roman"/>
                <w:color w:val="auto"/>
                <w:kern w:val="0"/>
                <w:sz w:val="24"/>
                <w:szCs w:val="24"/>
                <w:highlight w:val="none"/>
                <w:lang w:val="en-US" w:eastAsia="zh-CN" w:bidi="ar"/>
              </w:rPr>
              <w:t>炉为</w:t>
            </w:r>
            <w:r>
              <w:rPr>
                <w:rFonts w:hint="default" w:ascii="Times New Roman" w:hAnsi="Times New Roman" w:eastAsia="宋体" w:cs="Times New Roman"/>
                <w:color w:val="auto"/>
                <w:kern w:val="0"/>
                <w:sz w:val="24"/>
                <w:szCs w:val="24"/>
                <w:highlight w:val="none"/>
                <w:lang w:val="en-US" w:eastAsia="zh-CN" w:bidi="ar"/>
              </w:rPr>
              <w:t>封闭</w:t>
            </w:r>
            <w:r>
              <w:rPr>
                <w:rFonts w:hint="eastAsia" w:ascii="Times New Roman" w:hAnsi="Times New Roman" w:eastAsia="宋体" w:cs="Times New Roman"/>
                <w:color w:val="auto"/>
                <w:kern w:val="0"/>
                <w:sz w:val="24"/>
                <w:szCs w:val="24"/>
                <w:highlight w:val="none"/>
                <w:lang w:val="en-US" w:eastAsia="zh-CN" w:bidi="ar"/>
              </w:rPr>
              <w:t>结构</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在上料口处和出料口处设置</w:t>
            </w:r>
            <w:r>
              <w:rPr>
                <w:rFonts w:hint="default" w:ascii="Times New Roman" w:hAnsi="Times New Roman" w:eastAsia="宋体" w:cs="Times New Roman"/>
                <w:color w:val="auto"/>
                <w:sz w:val="24"/>
                <w:szCs w:val="24"/>
                <w:highlight w:val="none"/>
                <w:lang w:val="en-US" w:eastAsia="zh-CN"/>
              </w:rPr>
              <w:t>密闭隔间，三面及顶部封闭，一面软帘设置，</w:t>
            </w:r>
            <w:r>
              <w:rPr>
                <w:rFonts w:hint="eastAsia" w:ascii="Times New Roman" w:hAnsi="Times New Roman" w:eastAsia="宋体" w:cs="Times New Roman"/>
                <w:color w:val="auto"/>
                <w:sz w:val="24"/>
                <w:szCs w:val="24"/>
                <w:highlight w:val="none"/>
                <w:lang w:val="en-US" w:eastAsia="zh-CN"/>
              </w:rPr>
              <w:t>两处粉尘</w:t>
            </w:r>
            <w:r>
              <w:rPr>
                <w:rFonts w:hint="eastAsia" w:ascii="Times New Roman" w:hAnsi="Times New Roman" w:eastAsia="宋体" w:cs="Times New Roman"/>
                <w:color w:val="auto"/>
                <w:kern w:val="0"/>
                <w:sz w:val="24"/>
                <w:szCs w:val="24"/>
                <w:highlight w:val="none"/>
                <w:lang w:val="en-US" w:eastAsia="zh-CN" w:bidi="ar"/>
              </w:rPr>
              <w:t>收集效率90%计。收集废气</w:t>
            </w:r>
            <w:r>
              <w:rPr>
                <w:rFonts w:hint="default" w:ascii="Times New Roman" w:hAnsi="Times New Roman" w:cs="Times New Roman"/>
                <w:color w:val="auto"/>
                <w:kern w:val="0"/>
                <w:sz w:val="24"/>
                <w:highlight w:val="none"/>
                <w:lang w:bidi="ar"/>
              </w:rPr>
              <w:t>接入</w:t>
            </w:r>
            <w:r>
              <w:rPr>
                <w:rFonts w:hint="default" w:ascii="Times New Roman" w:hAnsi="Times New Roman" w:cs="Times New Roman"/>
                <w:color w:val="auto"/>
                <w:kern w:val="0"/>
                <w:sz w:val="24"/>
                <w:highlight w:val="none"/>
                <w:lang w:eastAsia="zh-CN" w:bidi="ar"/>
              </w:rPr>
              <w:t>布袋除尘器（TA00</w:t>
            </w:r>
            <w:r>
              <w:rPr>
                <w:rFonts w:hint="eastAsia" w:ascii="Times New Roman" w:hAnsi="Times New Roman" w:cs="Times New Roman"/>
                <w:color w:val="auto"/>
                <w:kern w:val="0"/>
                <w:sz w:val="24"/>
                <w:highlight w:val="none"/>
                <w:lang w:val="en-US" w:eastAsia="zh-CN" w:bidi="ar"/>
              </w:rPr>
              <w:t>2</w:t>
            </w:r>
            <w:r>
              <w:rPr>
                <w:rFonts w:hint="default" w:ascii="Times New Roman" w:hAnsi="Times New Roman" w:cs="Times New Roman"/>
                <w:color w:val="auto"/>
                <w:kern w:val="0"/>
                <w:sz w:val="24"/>
                <w:highlight w:val="none"/>
                <w:lang w:eastAsia="zh-CN" w:bidi="ar"/>
              </w:rPr>
              <w:t>）</w:t>
            </w:r>
            <w:r>
              <w:rPr>
                <w:rFonts w:hint="eastAsia" w:ascii="Times New Roman" w:hAnsi="Times New Roman" w:cs="Times New Roman"/>
                <w:color w:val="auto"/>
                <w:kern w:val="0"/>
                <w:sz w:val="24"/>
                <w:highlight w:val="none"/>
                <w:lang w:eastAsia="zh-CN" w:bidi="ar"/>
              </w:rPr>
              <w:t>。</w:t>
            </w:r>
          </w:p>
          <w:p w14:paraId="29F5B0C9">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kern w:val="0"/>
                <w:sz w:val="24"/>
                <w:highlight w:val="none"/>
                <w:lang w:val="en-US" w:eastAsia="zh-CN" w:bidi="ar"/>
              </w:rPr>
              <w:t>项目磁选工段设置集气罩收集</w:t>
            </w:r>
            <w:r>
              <w:rPr>
                <w:rFonts w:hint="eastAsia" w:ascii="Times New Roman" w:hAnsi="Times New Roman" w:eastAsia="宋体" w:cs="Times New Roman"/>
                <w:color w:val="auto"/>
                <w:kern w:val="0"/>
                <w:sz w:val="24"/>
                <w:szCs w:val="24"/>
                <w:highlight w:val="none"/>
                <w:lang w:val="en-US" w:eastAsia="zh-CN" w:bidi="ar"/>
              </w:rPr>
              <w:t>，收集效率80%计</w:t>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lang w:bidi="ar"/>
              </w:rPr>
              <w:t>项目</w:t>
            </w:r>
            <w:r>
              <w:rPr>
                <w:rFonts w:hint="default" w:ascii="Times New Roman" w:hAnsi="Times New Roman" w:cs="Times New Roman"/>
                <w:b w:val="0"/>
                <w:bCs w:val="0"/>
                <w:color w:val="auto"/>
                <w:sz w:val="24"/>
                <w:highlight w:val="none"/>
                <w:lang w:val="en-US" w:eastAsia="zh-CN"/>
              </w:rPr>
              <w:t>振动筛</w:t>
            </w:r>
            <w:r>
              <w:rPr>
                <w:rFonts w:hint="default" w:ascii="Times New Roman" w:hAnsi="Times New Roman" w:cs="Times New Roman"/>
                <w:color w:val="auto"/>
                <w:kern w:val="0"/>
                <w:sz w:val="24"/>
                <w:highlight w:val="none"/>
                <w:lang w:bidi="ar"/>
              </w:rPr>
              <w:t>为全密闭结构，设备进出料口与密闭式传送带全密闭连接，设备排气口由管道直接接入</w:t>
            </w:r>
            <w:r>
              <w:rPr>
                <w:rFonts w:hint="default" w:ascii="Times New Roman" w:hAnsi="Times New Roman" w:cs="Times New Roman"/>
                <w:color w:val="auto"/>
                <w:kern w:val="0"/>
                <w:sz w:val="24"/>
                <w:highlight w:val="none"/>
                <w:lang w:eastAsia="zh-CN" w:bidi="ar"/>
              </w:rPr>
              <w:t>布袋除尘器（TA00</w:t>
            </w:r>
            <w:r>
              <w:rPr>
                <w:rFonts w:hint="eastAsia" w:ascii="Times New Roman" w:hAnsi="Times New Roman" w:cs="Times New Roman"/>
                <w:color w:val="auto"/>
                <w:kern w:val="0"/>
                <w:sz w:val="24"/>
                <w:highlight w:val="none"/>
                <w:lang w:val="en-US" w:eastAsia="zh-CN" w:bidi="ar"/>
              </w:rPr>
              <w:t>2</w:t>
            </w:r>
            <w:r>
              <w:rPr>
                <w:rFonts w:hint="default" w:ascii="Times New Roman" w:hAnsi="Times New Roman" w:cs="Times New Roman"/>
                <w:color w:val="auto"/>
                <w:kern w:val="0"/>
                <w:sz w:val="24"/>
                <w:highlight w:val="none"/>
                <w:lang w:eastAsia="zh-CN" w:bidi="ar"/>
              </w:rPr>
              <w:t>）</w:t>
            </w:r>
            <w:r>
              <w:rPr>
                <w:rFonts w:hint="eastAsia"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项目</w:t>
            </w:r>
            <w:r>
              <w:rPr>
                <w:rFonts w:hint="default" w:ascii="Times New Roman" w:hAnsi="Times New Roman" w:cs="Times New Roman"/>
                <w:color w:val="auto"/>
                <w:kern w:val="0"/>
                <w:sz w:val="24"/>
                <w:highlight w:val="none"/>
                <w:lang w:val="en-US" w:eastAsia="zh-CN" w:bidi="ar"/>
              </w:rPr>
              <w:t>打包</w:t>
            </w:r>
            <w:r>
              <w:rPr>
                <w:rFonts w:hint="default" w:ascii="Times New Roman" w:hAnsi="Times New Roman" w:cs="Times New Roman"/>
                <w:color w:val="auto"/>
                <w:kern w:val="0"/>
                <w:sz w:val="24"/>
                <w:highlight w:val="none"/>
                <w:lang w:bidi="ar"/>
              </w:rPr>
              <w:t>产尘点位为出料口，项目在出料口上方设置集气罩收集</w:t>
            </w:r>
            <w:r>
              <w:rPr>
                <w:rFonts w:hint="default" w:ascii="Times New Roman" w:hAnsi="Times New Roman" w:cs="Times New Roman"/>
                <w:color w:val="auto"/>
                <w:sz w:val="24"/>
                <w:highlight w:val="none"/>
              </w:rPr>
              <w:t>粉尘</w:t>
            </w:r>
            <w:r>
              <w:rPr>
                <w:rFonts w:hint="eastAsia" w:ascii="Times New Roman" w:hAnsi="Times New Roman" w:eastAsia="宋体" w:cs="Times New Roman"/>
                <w:color w:val="auto"/>
                <w:kern w:val="0"/>
                <w:sz w:val="24"/>
                <w:szCs w:val="24"/>
                <w:highlight w:val="none"/>
                <w:lang w:val="en-US" w:eastAsia="zh-CN" w:bidi="ar"/>
              </w:rPr>
              <w:t>，收集效率80%计</w:t>
            </w:r>
            <w:r>
              <w:rPr>
                <w:rFonts w:hint="default" w:ascii="Times New Roman" w:hAnsi="Times New Roman" w:cs="Times New Roman"/>
                <w:color w:val="auto"/>
                <w:sz w:val="24"/>
                <w:highlight w:val="none"/>
              </w:rPr>
              <w:t>；</w:t>
            </w:r>
            <w:r>
              <w:rPr>
                <w:rFonts w:hint="eastAsia" w:ascii="Times New Roman" w:hAnsi="Times New Roman" w:cs="Times New Roman"/>
                <w:color w:val="auto"/>
                <w:kern w:val="0"/>
                <w:sz w:val="24"/>
                <w:highlight w:val="none"/>
                <w:lang w:val="en-US" w:eastAsia="zh-CN" w:bidi="ar"/>
              </w:rPr>
              <w:t>磁选、</w:t>
            </w:r>
            <w:r>
              <w:rPr>
                <w:rFonts w:hint="default" w:ascii="Times New Roman" w:hAnsi="Times New Roman" w:cs="Times New Roman"/>
                <w:color w:val="auto"/>
                <w:sz w:val="24"/>
                <w:highlight w:val="none"/>
              </w:rPr>
              <w:t>筛分粉尘、打包</w:t>
            </w:r>
            <w:r>
              <w:rPr>
                <w:rFonts w:hint="default" w:ascii="Times New Roman" w:hAnsi="Times New Roman" w:cs="Times New Roman"/>
                <w:color w:val="auto"/>
                <w:sz w:val="24"/>
                <w:highlight w:val="none"/>
                <w:lang w:eastAsia="zh-CN"/>
              </w:rPr>
              <w:t>粉尘</w:t>
            </w:r>
            <w:r>
              <w:rPr>
                <w:rFonts w:hint="default" w:ascii="Times New Roman" w:hAnsi="Times New Roman" w:cs="Times New Roman"/>
                <w:color w:val="auto"/>
                <w:sz w:val="24"/>
                <w:highlight w:val="none"/>
              </w:rPr>
              <w:t>经抽风机抽风至</w:t>
            </w:r>
            <w:r>
              <w:rPr>
                <w:rFonts w:hint="default" w:ascii="Times New Roman" w:hAnsi="Times New Roman" w:cs="Times New Roman"/>
                <w:color w:val="auto"/>
                <w:sz w:val="24"/>
                <w:highlight w:val="none"/>
                <w:lang w:eastAsia="zh-CN"/>
              </w:rPr>
              <w:t>布袋除尘器（TA00</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处理后经15m排气筒（</w:t>
            </w:r>
            <w:r>
              <w:rPr>
                <w:rFonts w:hint="default" w:ascii="Times New Roman" w:hAnsi="Times New Roman" w:cs="Times New Roman"/>
                <w:bCs/>
                <w:color w:val="auto"/>
                <w:sz w:val="24"/>
                <w:highlight w:val="none"/>
              </w:rPr>
              <w:t>DA00</w:t>
            </w:r>
            <w:r>
              <w:rPr>
                <w:rFonts w:hint="eastAsia" w:ascii="Times New Roman" w:hAnsi="Times New Roman" w:cs="Times New Roman"/>
                <w:bCs/>
                <w:color w:val="auto"/>
                <w:sz w:val="24"/>
                <w:highlight w:val="none"/>
                <w:lang w:val="en-US" w:eastAsia="zh-CN"/>
              </w:rPr>
              <w:t>2</w:t>
            </w:r>
            <w:r>
              <w:rPr>
                <w:rFonts w:hint="default" w:ascii="Times New Roman" w:hAnsi="Times New Roman" w:cs="Times New Roman"/>
                <w:color w:val="auto"/>
                <w:sz w:val="24"/>
                <w:highlight w:val="none"/>
              </w:rPr>
              <w:t>）排放</w:t>
            </w:r>
            <w:r>
              <w:rPr>
                <w:rFonts w:hint="eastAsia" w:ascii="Times New Roman" w:hAnsi="Times New Roman" w:eastAsia="宋体" w:cs="Times New Roman"/>
                <w:color w:val="auto"/>
                <w:kern w:val="0"/>
                <w:sz w:val="24"/>
                <w:szCs w:val="24"/>
                <w:highlight w:val="none"/>
                <w:lang w:val="en-US" w:eastAsia="zh-CN" w:bidi="ar"/>
              </w:rPr>
              <w:t>，除尘效率9</w:t>
            </w:r>
            <w:r>
              <w:rPr>
                <w:rFonts w:hint="eastAsia" w:cs="Times New Roman"/>
                <w:color w:val="auto"/>
                <w:kern w:val="0"/>
                <w:sz w:val="24"/>
                <w:szCs w:val="24"/>
                <w:highlight w:val="none"/>
                <w:lang w:val="en-US" w:eastAsia="zh-CN" w:bidi="ar"/>
              </w:rPr>
              <w:t>5</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计算</w:t>
            </w:r>
            <w:r>
              <w:rPr>
                <w:rFonts w:hint="eastAsia" w:ascii="Times New Roman" w:hAnsi="Times New Roman" w:eastAsia="宋体" w:cs="Times New Roman"/>
                <w:color w:val="auto"/>
                <w:kern w:val="0"/>
                <w:sz w:val="24"/>
                <w:szCs w:val="24"/>
                <w:highlight w:val="none"/>
                <w:lang w:val="en-US" w:eastAsia="zh-CN" w:bidi="ar"/>
              </w:rPr>
              <w:t>。</w:t>
            </w:r>
          </w:p>
          <w:p w14:paraId="739090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ascii="Times New Roman" w:hAnsi="Times New Roman" w:eastAsia="宋体" w:cs="Times New Roman"/>
                <w:color w:val="FF0000"/>
                <w:kern w:val="0"/>
                <w:sz w:val="24"/>
                <w:szCs w:val="24"/>
                <w:highlight w:val="none"/>
                <w:lang w:val="en-US" w:eastAsia="zh-CN" w:bidi="ar"/>
              </w:rPr>
              <w:t>打磨</w:t>
            </w:r>
            <w:r>
              <w:rPr>
                <w:rFonts w:hint="eastAsia" w:cs="Times New Roman"/>
                <w:color w:val="FF0000"/>
                <w:kern w:val="0"/>
                <w:sz w:val="24"/>
                <w:szCs w:val="24"/>
                <w:highlight w:val="none"/>
                <w:lang w:val="en-US" w:eastAsia="zh-CN" w:bidi="ar"/>
              </w:rPr>
              <w:t>房</w:t>
            </w:r>
            <w:r>
              <w:rPr>
                <w:rFonts w:hint="eastAsia" w:ascii="Times New Roman" w:hAnsi="Times New Roman" w:eastAsia="宋体" w:cs="Times New Roman"/>
                <w:color w:val="FF0000"/>
                <w:kern w:val="0"/>
                <w:sz w:val="24"/>
                <w:szCs w:val="24"/>
                <w:highlight w:val="none"/>
                <w:lang w:val="en-US" w:eastAsia="zh-CN" w:bidi="ar"/>
              </w:rPr>
              <w:t>出风口自带风机，设计风量为</w:t>
            </w:r>
            <w:r>
              <w:rPr>
                <w:rFonts w:hint="eastAsia" w:ascii="Times New Roman" w:hAnsi="Times New Roman" w:eastAsia="宋体" w:cs="Times New Roman"/>
                <w:color w:val="FF0000"/>
                <w:sz w:val="24"/>
                <w:highlight w:val="none"/>
                <w:lang w:val="en-US" w:eastAsia="zh-CN"/>
              </w:rPr>
              <w:t>20000m</w:t>
            </w:r>
            <w:r>
              <w:rPr>
                <w:rFonts w:hint="eastAsia" w:ascii="Times New Roman" w:hAnsi="Times New Roman" w:eastAsia="宋体" w:cs="Times New Roman"/>
                <w:color w:val="FF0000"/>
                <w:sz w:val="24"/>
                <w:highlight w:val="none"/>
                <w:vertAlign w:val="superscript"/>
                <w:lang w:val="en-US" w:eastAsia="zh-CN"/>
              </w:rPr>
              <w:t>3</w:t>
            </w:r>
            <w:r>
              <w:rPr>
                <w:rFonts w:hint="eastAsia" w:ascii="Times New Roman" w:hAnsi="Times New Roman" w:eastAsia="宋体" w:cs="Times New Roman"/>
                <w:color w:val="FF0000"/>
                <w:sz w:val="24"/>
                <w:highlight w:val="none"/>
                <w:lang w:val="en-US" w:eastAsia="zh-CN"/>
              </w:rPr>
              <w:t>/h。</w:t>
            </w:r>
            <w:r>
              <w:rPr>
                <w:rFonts w:hint="eastAsia" w:cs="Times New Roman"/>
                <w:color w:val="FF0000"/>
                <w:sz w:val="24"/>
                <w:highlight w:val="none"/>
                <w:lang w:val="en-US" w:eastAsia="zh-CN"/>
              </w:rPr>
              <w:t>烧结</w:t>
            </w:r>
            <w:r>
              <w:rPr>
                <w:rFonts w:hint="eastAsia" w:ascii="Times New Roman" w:hAnsi="Times New Roman" w:eastAsia="宋体" w:cs="Times New Roman"/>
                <w:color w:val="FF0000"/>
                <w:sz w:val="24"/>
                <w:highlight w:val="none"/>
                <w:lang w:val="en-US" w:eastAsia="zh-CN"/>
              </w:rPr>
              <w:t>上料口和出料口及</w:t>
            </w:r>
            <w:r>
              <w:rPr>
                <w:rFonts w:hint="default" w:ascii="Times New Roman" w:hAnsi="Times New Roman" w:eastAsia="宋体" w:cs="Times New Roman"/>
                <w:color w:val="FF0000"/>
                <w:kern w:val="0"/>
                <w:sz w:val="24"/>
                <w:szCs w:val="24"/>
                <w:highlight w:val="none"/>
                <w:lang w:val="en-US" w:eastAsia="zh-CN" w:bidi="ar"/>
              </w:rPr>
              <w:t>筛分</w:t>
            </w:r>
            <w:r>
              <w:rPr>
                <w:rFonts w:hint="eastAsia" w:ascii="Times New Roman" w:hAnsi="Times New Roman" w:eastAsia="宋体" w:cs="Times New Roman"/>
                <w:color w:val="FF0000"/>
                <w:kern w:val="0"/>
                <w:sz w:val="24"/>
                <w:szCs w:val="24"/>
                <w:highlight w:val="none"/>
                <w:lang w:val="en-US" w:eastAsia="zh-CN" w:bidi="ar"/>
              </w:rPr>
              <w:t>、</w:t>
            </w:r>
            <w:r>
              <w:rPr>
                <w:rFonts w:hint="eastAsia" w:cs="Times New Roman"/>
                <w:color w:val="FF0000"/>
                <w:kern w:val="0"/>
                <w:sz w:val="24"/>
                <w:szCs w:val="24"/>
                <w:highlight w:val="none"/>
                <w:lang w:val="en-US" w:eastAsia="zh-CN" w:bidi="ar"/>
              </w:rPr>
              <w:t>磁选及</w:t>
            </w:r>
            <w:r>
              <w:rPr>
                <w:rFonts w:hint="eastAsia" w:ascii="Times New Roman" w:hAnsi="Times New Roman" w:eastAsia="宋体" w:cs="Times New Roman"/>
                <w:color w:val="FF0000"/>
                <w:kern w:val="0"/>
                <w:sz w:val="24"/>
                <w:szCs w:val="24"/>
                <w:highlight w:val="none"/>
                <w:lang w:val="en-US" w:eastAsia="zh-CN" w:bidi="ar"/>
              </w:rPr>
              <w:t>打包粉尘，</w:t>
            </w:r>
            <w:r>
              <w:rPr>
                <w:rFonts w:hint="eastAsia" w:ascii="Times New Roman" w:hAnsi="Times New Roman" w:eastAsia="宋体" w:cs="宋体"/>
                <w:color w:val="FF0000"/>
                <w:kern w:val="0"/>
                <w:sz w:val="24"/>
                <w:szCs w:val="24"/>
                <w:highlight w:val="none"/>
                <w:lang w:val="en-US" w:eastAsia="zh-CN" w:bidi="ar"/>
              </w:rPr>
              <w:t>根据《环境工程技术手册：废气处理工程技术手册》</w:t>
            </w:r>
            <w:r>
              <w:rPr>
                <w:rFonts w:hint="eastAsia" w:ascii="Times New Roman" w:hAnsi="Times New Roman" w:eastAsia="宋体" w:cs="Times New Roman"/>
                <w:color w:val="FF0000"/>
                <w:kern w:val="2"/>
                <w:sz w:val="24"/>
                <w:szCs w:val="24"/>
                <w:highlight w:val="none"/>
                <w:lang w:val="en-US" w:eastAsia="zh-CN" w:bidi="ar-SA"/>
              </w:rPr>
              <w:t xml:space="preserve">中有关公式，并结合本项目的生产规模和操作环境选取，计算公式如下： </w:t>
            </w:r>
          </w:p>
          <w:p w14:paraId="5FB211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ascii="Times New Roman" w:hAnsi="Times New Roman" w:eastAsia="宋体"/>
                <w:color w:val="FF0000"/>
                <w:highlight w:val="none"/>
              </w:rPr>
            </w:pPr>
            <w:r>
              <w:rPr>
                <w:rFonts w:hint="default" w:ascii="Times New Roman" w:hAnsi="Times New Roman" w:eastAsia="宋体" w:cs="Times New Roman"/>
                <w:color w:val="FF0000"/>
                <w:kern w:val="0"/>
                <w:sz w:val="24"/>
                <w:szCs w:val="24"/>
                <w:highlight w:val="none"/>
                <w:lang w:val="en-US" w:eastAsia="zh-CN" w:bidi="ar"/>
              </w:rPr>
              <w:t>Q=3600</w:t>
            </w:r>
            <w:r>
              <w:rPr>
                <w:rFonts w:hint="default" w:ascii="Times New Roman" w:hAnsi="Times New Roman" w:eastAsia="宋体" w:cs="Arial"/>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1.4</w:t>
            </w:r>
            <w:r>
              <w:rPr>
                <w:rFonts w:hint="default" w:ascii="Times New Roman" w:hAnsi="Times New Roman" w:eastAsia="宋体" w:cs="Arial"/>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p</w:t>
            </w:r>
            <w:r>
              <w:rPr>
                <w:rFonts w:hint="default" w:ascii="Times New Roman" w:hAnsi="Times New Roman" w:eastAsia="宋体" w:cs="Arial"/>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H</w:t>
            </w:r>
            <w:r>
              <w:rPr>
                <w:rFonts w:hint="default" w:ascii="Times New Roman" w:hAnsi="Times New Roman" w:eastAsia="宋体" w:cs="Arial"/>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V</w:t>
            </w:r>
            <w:r>
              <w:rPr>
                <w:rFonts w:hint="default" w:ascii="Times New Roman" w:hAnsi="Times New Roman" w:eastAsia="宋体" w:cs="Times New Roman"/>
                <w:color w:val="FF0000"/>
                <w:kern w:val="0"/>
                <w:sz w:val="24"/>
                <w:szCs w:val="24"/>
                <w:highlight w:val="none"/>
                <w:vertAlign w:val="subscript"/>
                <w:lang w:val="en-US" w:eastAsia="zh-CN" w:bidi="ar"/>
              </w:rPr>
              <w:t>x</w:t>
            </w:r>
          </w:p>
          <w:p w14:paraId="5B25B7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pacing w:val="-10"/>
                <w:sz w:val="24"/>
                <w:szCs w:val="24"/>
                <w:highlight w:val="none"/>
              </w:rPr>
            </w:pPr>
            <w:r>
              <w:rPr>
                <w:rFonts w:hint="eastAsia" w:ascii="Times New Roman" w:hAnsi="Times New Roman" w:eastAsia="宋体" w:cs="宋体"/>
                <w:color w:val="FF0000"/>
                <w:kern w:val="0"/>
                <w:sz w:val="24"/>
                <w:szCs w:val="24"/>
                <w:highlight w:val="none"/>
                <w:lang w:val="en-US" w:eastAsia="zh-CN" w:bidi="ar"/>
              </w:rPr>
              <w:t>式中：</w:t>
            </w:r>
            <w:r>
              <w:rPr>
                <w:rFonts w:hint="default" w:ascii="Times New Roman" w:hAnsi="Times New Roman" w:eastAsia="宋体" w:cs="Times New Roman"/>
                <w:color w:val="FF0000"/>
                <w:kern w:val="0"/>
                <w:sz w:val="24"/>
                <w:szCs w:val="24"/>
                <w:highlight w:val="none"/>
                <w:lang w:val="en-US" w:eastAsia="zh-CN" w:bidi="ar"/>
              </w:rPr>
              <w:t>p—</w:t>
            </w:r>
            <w:r>
              <w:rPr>
                <w:rFonts w:hint="eastAsia" w:ascii="Times New Roman" w:hAnsi="Times New Roman" w:eastAsia="宋体" w:cs="Times New Roman"/>
                <w:color w:val="FF0000"/>
                <w:kern w:val="0"/>
                <w:sz w:val="24"/>
                <w:szCs w:val="24"/>
                <w:highlight w:val="none"/>
                <w:lang w:val="en-US" w:eastAsia="zh-CN" w:bidi="ar"/>
              </w:rPr>
              <w:t>集气</w:t>
            </w:r>
            <w:r>
              <w:rPr>
                <w:rFonts w:hint="eastAsia" w:ascii="Times New Roman" w:hAnsi="Times New Roman" w:eastAsia="宋体" w:cs="宋体"/>
                <w:color w:val="FF0000"/>
                <w:kern w:val="0"/>
                <w:sz w:val="24"/>
                <w:szCs w:val="24"/>
                <w:highlight w:val="none"/>
                <w:lang w:val="en-US" w:eastAsia="zh-CN" w:bidi="ar"/>
              </w:rPr>
              <w:t>罩周长，</w:t>
            </w:r>
            <w:r>
              <w:rPr>
                <w:rFonts w:hint="default" w:ascii="Times New Roman" w:hAnsi="Times New Roman" w:eastAsia="宋体" w:cs="Times New Roman"/>
                <w:color w:val="FF0000"/>
                <w:kern w:val="0"/>
                <w:sz w:val="24"/>
                <w:szCs w:val="24"/>
                <w:highlight w:val="none"/>
                <w:lang w:val="en-US" w:eastAsia="zh-CN" w:bidi="ar"/>
              </w:rPr>
              <w:t>m</w:t>
            </w:r>
            <w:r>
              <w:rPr>
                <w:rFonts w:hint="eastAsia" w:ascii="Times New Roman" w:hAnsi="Times New Roman" w:eastAsia="宋体" w:cs="宋体"/>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H—</w:t>
            </w:r>
            <w:r>
              <w:rPr>
                <w:rFonts w:hint="eastAsia" w:ascii="Times New Roman" w:hAnsi="Times New Roman" w:eastAsia="宋体" w:cs="宋体"/>
                <w:color w:val="FF0000"/>
                <w:kern w:val="0"/>
                <w:sz w:val="24"/>
                <w:szCs w:val="24"/>
                <w:highlight w:val="none"/>
                <w:lang w:val="en-US" w:eastAsia="zh-CN" w:bidi="ar"/>
              </w:rPr>
              <w:t>污染源至罩口距离，</w:t>
            </w:r>
            <w:r>
              <w:rPr>
                <w:rFonts w:hint="default" w:ascii="Times New Roman" w:hAnsi="Times New Roman" w:eastAsia="宋体" w:cs="Times New Roman"/>
                <w:color w:val="FF0000"/>
                <w:kern w:val="0"/>
                <w:sz w:val="24"/>
                <w:szCs w:val="24"/>
                <w:highlight w:val="none"/>
                <w:lang w:val="en-US" w:eastAsia="zh-CN" w:bidi="ar"/>
              </w:rPr>
              <w:t>m</w:t>
            </w:r>
            <w:r>
              <w:rPr>
                <w:rFonts w:hint="eastAsia" w:ascii="Times New Roman" w:hAnsi="Times New Roman" w:eastAsia="宋体" w:cs="宋体"/>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V</w:t>
            </w:r>
            <w:r>
              <w:rPr>
                <w:rFonts w:hint="default" w:ascii="Times New Roman" w:hAnsi="Times New Roman" w:eastAsia="宋体" w:cs="Times New Roman"/>
                <w:color w:val="FF0000"/>
                <w:kern w:val="0"/>
                <w:sz w:val="24"/>
                <w:szCs w:val="24"/>
                <w:highlight w:val="none"/>
                <w:vertAlign w:val="subscript"/>
                <w:lang w:val="en-US" w:eastAsia="zh-CN" w:bidi="ar"/>
              </w:rPr>
              <w:t>x</w:t>
            </w:r>
            <w:r>
              <w:rPr>
                <w:rFonts w:hint="default" w:ascii="Times New Roman" w:hAnsi="Times New Roman" w:eastAsia="宋体" w:cs="Times New Roman"/>
                <w:color w:val="FF0000"/>
                <w:kern w:val="0"/>
                <w:sz w:val="24"/>
                <w:szCs w:val="24"/>
                <w:highlight w:val="none"/>
                <w:lang w:val="en-US" w:eastAsia="zh-CN" w:bidi="ar"/>
              </w:rPr>
              <w:t>—</w:t>
            </w:r>
            <w:r>
              <w:rPr>
                <w:rFonts w:hint="eastAsia" w:ascii="Times New Roman" w:hAnsi="Times New Roman" w:eastAsia="宋体" w:cs="宋体"/>
                <w:color w:val="FF0000"/>
                <w:kern w:val="0"/>
                <w:sz w:val="24"/>
                <w:szCs w:val="24"/>
                <w:highlight w:val="none"/>
                <w:lang w:val="en-US" w:eastAsia="zh-CN" w:bidi="ar"/>
              </w:rPr>
              <w:t>集气罩口吸入风速，</w:t>
            </w:r>
            <w:r>
              <w:rPr>
                <w:rFonts w:hint="default" w:ascii="Times New Roman" w:hAnsi="Times New Roman" w:eastAsia="宋体" w:cs="Times New Roman"/>
                <w:color w:val="FF0000"/>
                <w:kern w:val="0"/>
                <w:sz w:val="24"/>
                <w:szCs w:val="24"/>
                <w:highlight w:val="none"/>
                <w:lang w:val="en-US" w:eastAsia="zh-CN" w:bidi="ar"/>
              </w:rPr>
              <w:t>m/s</w:t>
            </w:r>
            <w:r>
              <w:rPr>
                <w:rFonts w:hint="eastAsia" w:ascii="Times New Roman" w:hAnsi="Times New Roman" w:eastAsia="宋体" w:cs="Times New Roman"/>
                <w:color w:val="FF0000"/>
                <w:kern w:val="0"/>
                <w:sz w:val="24"/>
                <w:szCs w:val="24"/>
                <w:highlight w:val="none"/>
                <w:lang w:val="en-US" w:eastAsia="zh-CN" w:bidi="ar"/>
              </w:rPr>
              <w:t>，取0.3</w:t>
            </w:r>
            <w:r>
              <w:rPr>
                <w:rFonts w:hint="default" w:ascii="Times New Roman" w:hAnsi="Times New Roman" w:eastAsia="宋体" w:cs="Times New Roman"/>
                <w:color w:val="FF0000"/>
                <w:kern w:val="0"/>
                <w:sz w:val="24"/>
                <w:szCs w:val="24"/>
                <w:highlight w:val="none"/>
                <w:lang w:val="en-US" w:eastAsia="zh-CN" w:bidi="ar"/>
              </w:rPr>
              <w:t>m</w:t>
            </w:r>
            <w:r>
              <w:rPr>
                <w:rFonts w:hint="eastAsia" w:ascii="Times New Roman" w:hAnsi="Times New Roman" w:eastAsia="宋体" w:cs="Times New Roman"/>
                <w:color w:val="FF0000"/>
                <w:kern w:val="0"/>
                <w:sz w:val="24"/>
                <w:szCs w:val="24"/>
                <w:highlight w:val="none"/>
                <w:lang w:val="en-US" w:eastAsia="zh-CN" w:bidi="ar"/>
              </w:rPr>
              <w:t>/s</w:t>
            </w:r>
            <w:r>
              <w:rPr>
                <w:rFonts w:hint="eastAsia" w:ascii="Times New Roman" w:hAnsi="Times New Roman" w:eastAsia="宋体" w:cs="宋体"/>
                <w:color w:val="FF0000"/>
                <w:kern w:val="0"/>
                <w:sz w:val="24"/>
                <w:szCs w:val="24"/>
                <w:highlight w:val="none"/>
                <w:lang w:val="en-US" w:eastAsia="zh-CN" w:bidi="ar"/>
              </w:rPr>
              <w:t>。项目共设置12处集气罩收集粉尘及有机废气，集气罩周长取2.6m，离源高度0.3m，总计需风量为14152</w:t>
            </w:r>
            <w:r>
              <w:rPr>
                <w:rFonts w:hint="eastAsia" w:ascii="Times New Roman" w:hAnsi="Times New Roman" w:eastAsia="宋体" w:cs="Times New Roman"/>
                <w:color w:val="FF0000"/>
                <w:sz w:val="24"/>
                <w:highlight w:val="none"/>
                <w:lang w:val="en-US" w:eastAsia="zh-CN"/>
              </w:rPr>
              <w:t>m</w:t>
            </w:r>
            <w:r>
              <w:rPr>
                <w:rFonts w:hint="eastAsia" w:ascii="Times New Roman" w:hAnsi="Times New Roman" w:eastAsia="宋体" w:cs="Times New Roman"/>
                <w:color w:val="FF0000"/>
                <w:sz w:val="24"/>
                <w:highlight w:val="none"/>
                <w:vertAlign w:val="superscript"/>
                <w:lang w:val="en-US" w:eastAsia="zh-CN"/>
              </w:rPr>
              <w:t>3</w:t>
            </w:r>
            <w:r>
              <w:rPr>
                <w:rFonts w:hint="eastAsia" w:ascii="Times New Roman" w:hAnsi="Times New Roman" w:eastAsia="宋体" w:cs="Times New Roman"/>
                <w:color w:val="FF0000"/>
                <w:sz w:val="24"/>
                <w:highlight w:val="none"/>
                <w:lang w:val="en-US" w:eastAsia="zh-CN"/>
              </w:rPr>
              <w:t>/h，考虑风量损耗，</w:t>
            </w:r>
            <w:r>
              <w:rPr>
                <w:rFonts w:hint="eastAsia" w:ascii="Times New Roman" w:hAnsi="Times New Roman" w:eastAsia="宋体" w:cs="Times New Roman"/>
                <w:color w:val="FF0000"/>
                <w:kern w:val="0"/>
                <w:sz w:val="24"/>
                <w:szCs w:val="24"/>
                <w:highlight w:val="none"/>
                <w:lang w:val="en-US" w:eastAsia="zh-CN" w:bidi="ar"/>
              </w:rPr>
              <w:t>设计风量为</w:t>
            </w:r>
            <w:r>
              <w:rPr>
                <w:rFonts w:hint="eastAsia" w:ascii="Times New Roman" w:hAnsi="Times New Roman" w:eastAsia="宋体" w:cs="Times New Roman"/>
                <w:color w:val="FF0000"/>
                <w:sz w:val="24"/>
                <w:highlight w:val="none"/>
                <w:lang w:val="en-US" w:eastAsia="zh-CN"/>
              </w:rPr>
              <w:t>20000m</w:t>
            </w:r>
            <w:r>
              <w:rPr>
                <w:rFonts w:hint="eastAsia" w:ascii="Times New Roman" w:hAnsi="Times New Roman" w:eastAsia="宋体" w:cs="Times New Roman"/>
                <w:color w:val="FF0000"/>
                <w:sz w:val="24"/>
                <w:highlight w:val="none"/>
                <w:vertAlign w:val="superscript"/>
                <w:lang w:val="en-US" w:eastAsia="zh-CN"/>
              </w:rPr>
              <w:t>3</w:t>
            </w:r>
            <w:r>
              <w:rPr>
                <w:rFonts w:hint="eastAsia" w:ascii="Times New Roman" w:hAnsi="Times New Roman" w:eastAsia="宋体" w:cs="Times New Roman"/>
                <w:color w:val="FF0000"/>
                <w:sz w:val="24"/>
                <w:highlight w:val="none"/>
                <w:lang w:val="en-US" w:eastAsia="zh-CN"/>
              </w:rPr>
              <w:t>/h</w:t>
            </w:r>
            <w:r>
              <w:rPr>
                <w:rFonts w:hint="default" w:ascii="Times New Roman" w:hAnsi="Times New Roman" w:cs="Times New Roman"/>
                <w:color w:val="FF0000"/>
                <w:sz w:val="24"/>
                <w:szCs w:val="32"/>
                <w:highlight w:val="none"/>
              </w:rPr>
              <w:t>。</w:t>
            </w:r>
            <w:r>
              <w:rPr>
                <w:rFonts w:hint="default" w:ascii="Times New Roman" w:hAnsi="Times New Roman" w:cs="Times New Roman"/>
                <w:color w:val="FF0000"/>
                <w:sz w:val="24"/>
                <w:highlight w:val="none"/>
                <w:lang w:val="en-US" w:eastAsia="zh-CN"/>
              </w:rPr>
              <w:t>项目</w:t>
            </w:r>
            <w:r>
              <w:rPr>
                <w:rFonts w:hint="eastAsia" w:ascii="Times New Roman" w:hAnsi="Times New Roman" w:cs="Times New Roman"/>
                <w:color w:val="FF0000"/>
                <w:sz w:val="24"/>
                <w:highlight w:val="none"/>
                <w:lang w:val="en-US" w:eastAsia="zh-CN"/>
              </w:rPr>
              <w:t>连续生产，生产</w:t>
            </w:r>
            <w:r>
              <w:rPr>
                <w:rFonts w:hint="default" w:ascii="Times New Roman" w:hAnsi="Times New Roman" w:cs="Times New Roman"/>
                <w:color w:val="FF0000"/>
                <w:sz w:val="24"/>
                <w:highlight w:val="none"/>
                <w:lang w:val="en-US" w:eastAsia="zh-CN"/>
              </w:rPr>
              <w:t>时间约为</w:t>
            </w:r>
            <w:r>
              <w:rPr>
                <w:rFonts w:hint="eastAsia" w:ascii="Times New Roman" w:hAnsi="Times New Roman" w:cs="Times New Roman"/>
                <w:color w:val="FF0000"/>
                <w:sz w:val="24"/>
                <w:highlight w:val="none"/>
                <w:lang w:val="en-US" w:eastAsia="zh-CN"/>
              </w:rPr>
              <w:t>24</w:t>
            </w:r>
            <w:r>
              <w:rPr>
                <w:rFonts w:hint="default" w:ascii="Times New Roman" w:hAnsi="Times New Roman" w:cs="Times New Roman"/>
                <w:color w:val="FF0000"/>
                <w:sz w:val="24"/>
                <w:highlight w:val="none"/>
                <w:lang w:val="en-US" w:eastAsia="zh-CN"/>
              </w:rPr>
              <w:t>h/d，即</w:t>
            </w:r>
            <w:r>
              <w:rPr>
                <w:rFonts w:hint="eastAsia" w:ascii="Times New Roman" w:hAnsi="Times New Roman" w:cs="Times New Roman"/>
                <w:color w:val="FF0000"/>
                <w:sz w:val="24"/>
                <w:highlight w:val="none"/>
                <w:lang w:val="en-US" w:eastAsia="zh-CN"/>
              </w:rPr>
              <w:t>72</w:t>
            </w:r>
            <w:r>
              <w:rPr>
                <w:rFonts w:hint="default" w:ascii="Times New Roman" w:hAnsi="Times New Roman" w:cs="Times New Roman"/>
                <w:color w:val="FF0000"/>
                <w:sz w:val="24"/>
                <w:highlight w:val="none"/>
                <w:lang w:val="en-US" w:eastAsia="zh-CN"/>
              </w:rPr>
              <w:t>00</w:t>
            </w:r>
            <w:r>
              <w:rPr>
                <w:rFonts w:hint="default" w:ascii="Times New Roman" w:hAnsi="Times New Roman" w:cs="Times New Roman"/>
                <w:color w:val="FF0000"/>
                <w:sz w:val="24"/>
                <w:highlight w:val="none"/>
              </w:rPr>
              <w:t>h/a</w:t>
            </w:r>
            <w:r>
              <w:rPr>
                <w:rFonts w:hint="eastAsia" w:ascii="Times New Roman" w:hAnsi="Times New Roman" w:eastAsia="宋体" w:cs="Times New Roman"/>
                <w:color w:val="FF0000"/>
                <w:kern w:val="0"/>
                <w:sz w:val="24"/>
                <w:szCs w:val="24"/>
                <w:highlight w:val="none"/>
                <w:lang w:val="en-US" w:eastAsia="zh-CN" w:bidi="ar"/>
              </w:rPr>
              <w:t>；</w:t>
            </w:r>
            <w:r>
              <w:rPr>
                <w:rFonts w:hint="eastAsia" w:ascii="Times New Roman" w:hAnsi="Times New Roman" w:cs="Times New Roman"/>
                <w:color w:val="FF0000"/>
                <w:sz w:val="24"/>
                <w:highlight w:val="none"/>
                <w:lang w:val="en-US" w:eastAsia="zh-CN"/>
              </w:rPr>
              <w:t>污染源强产生情况见表4.1所示。</w:t>
            </w:r>
          </w:p>
        </w:tc>
      </w:tr>
    </w:tbl>
    <w:p w14:paraId="615A2337">
      <w:pPr>
        <w:adjustRightInd w:val="0"/>
        <w:snapToGrid w:val="0"/>
        <w:spacing w:line="360" w:lineRule="auto"/>
        <w:rPr>
          <w:rFonts w:hint="eastAsia" w:ascii="宋体" w:cs="宋体"/>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8"/>
      </w:tblGrid>
      <w:tr w14:paraId="7F8A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14622" w:type="dxa"/>
            <w:noWrap w:val="0"/>
            <w:vAlign w:val="top"/>
          </w:tcPr>
          <w:p w14:paraId="6B50B4F4">
            <w:pPr>
              <w:pStyle w:val="101"/>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lang w:val="en-US" w:eastAsia="zh-CN"/>
              </w:rPr>
              <w:t>表4-</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各工序废气产生及排放情况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99"/>
              <w:gridCol w:w="1239"/>
              <w:gridCol w:w="1187"/>
              <w:gridCol w:w="1252"/>
              <w:gridCol w:w="1180"/>
              <w:gridCol w:w="1313"/>
              <w:gridCol w:w="1271"/>
              <w:gridCol w:w="1587"/>
              <w:gridCol w:w="1437"/>
            </w:tblGrid>
            <w:tr w14:paraId="42F6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9" w:type="dxa"/>
                  <w:noWrap w:val="0"/>
                  <w:vAlign w:val="center"/>
                </w:tcPr>
                <w:p w14:paraId="5ACF19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产生工序</w:t>
                  </w:r>
                </w:p>
              </w:tc>
              <w:tc>
                <w:tcPr>
                  <w:tcW w:w="1438" w:type="dxa"/>
                  <w:noWrap w:val="0"/>
                  <w:vAlign w:val="center"/>
                </w:tcPr>
                <w:p w14:paraId="17512A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污染因子</w:t>
                  </w:r>
                </w:p>
              </w:tc>
              <w:tc>
                <w:tcPr>
                  <w:tcW w:w="1371" w:type="dxa"/>
                  <w:noWrap w:val="0"/>
                  <w:vAlign w:val="center"/>
                </w:tcPr>
                <w:p w14:paraId="7C004C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产生量</w:t>
                  </w:r>
                </w:p>
                <w:p w14:paraId="278B58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（t/a）</w:t>
                  </w:r>
                </w:p>
              </w:tc>
              <w:tc>
                <w:tcPr>
                  <w:tcW w:w="1312" w:type="dxa"/>
                  <w:noWrap w:val="0"/>
                  <w:vAlign w:val="center"/>
                </w:tcPr>
                <w:p w14:paraId="4FA0E1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产生速率</w:t>
                  </w:r>
                </w:p>
                <w:p w14:paraId="63463E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（kg/h）</w:t>
                  </w:r>
                </w:p>
              </w:tc>
              <w:tc>
                <w:tcPr>
                  <w:tcW w:w="1385" w:type="dxa"/>
                  <w:noWrap w:val="0"/>
                  <w:vAlign w:val="center"/>
                </w:tcPr>
                <w:p w14:paraId="156A1B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收集效率（%）</w:t>
                  </w:r>
                </w:p>
              </w:tc>
              <w:tc>
                <w:tcPr>
                  <w:tcW w:w="1304" w:type="dxa"/>
                  <w:noWrap w:val="0"/>
                  <w:vAlign w:val="center"/>
                </w:tcPr>
                <w:p w14:paraId="28BC8B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处理效率（%）</w:t>
                  </w:r>
                </w:p>
              </w:tc>
              <w:tc>
                <w:tcPr>
                  <w:tcW w:w="1454" w:type="dxa"/>
                  <w:noWrap w:val="0"/>
                  <w:vAlign w:val="center"/>
                </w:tcPr>
                <w:p w14:paraId="710DF2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无组织量</w:t>
                  </w:r>
                </w:p>
                <w:p w14:paraId="3CB9D3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（t/a）</w:t>
                  </w:r>
                </w:p>
              </w:tc>
              <w:tc>
                <w:tcPr>
                  <w:tcW w:w="1407" w:type="dxa"/>
                  <w:noWrap w:val="0"/>
                  <w:vAlign w:val="center"/>
                </w:tcPr>
                <w:p w14:paraId="02C6EF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收集量（t/a）</w:t>
                  </w:r>
                </w:p>
              </w:tc>
              <w:tc>
                <w:tcPr>
                  <w:tcW w:w="1764" w:type="dxa"/>
                  <w:noWrap w:val="0"/>
                  <w:vAlign w:val="center"/>
                </w:tcPr>
                <w:p w14:paraId="33322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排放量</w:t>
                  </w:r>
                </w:p>
                <w:p w14:paraId="3EFC5A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（t/a）</w:t>
                  </w:r>
                </w:p>
              </w:tc>
              <w:tc>
                <w:tcPr>
                  <w:tcW w:w="1594" w:type="dxa"/>
                  <w:noWrap w:val="0"/>
                  <w:vAlign w:val="center"/>
                </w:tcPr>
                <w:p w14:paraId="1A381F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排放速率</w:t>
                  </w:r>
                </w:p>
                <w:p w14:paraId="6B74C4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（kg/h）</w:t>
                  </w:r>
                </w:p>
              </w:tc>
            </w:tr>
            <w:tr w14:paraId="3613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69" w:type="dxa"/>
                  <w:noWrap w:val="0"/>
                  <w:vAlign w:val="center"/>
                </w:tcPr>
                <w:p w14:paraId="36C0E8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打磨工序</w:t>
                  </w:r>
                </w:p>
              </w:tc>
              <w:tc>
                <w:tcPr>
                  <w:tcW w:w="1438" w:type="dxa"/>
                  <w:noWrap w:val="0"/>
                  <w:vAlign w:val="center"/>
                </w:tcPr>
                <w:p w14:paraId="5C072A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371" w:type="dxa"/>
                  <w:noWrap w:val="0"/>
                  <w:vAlign w:val="center"/>
                </w:tcPr>
                <w:p w14:paraId="5C2B123D">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5.475</w:t>
                  </w:r>
                </w:p>
              </w:tc>
              <w:tc>
                <w:tcPr>
                  <w:tcW w:w="1312" w:type="dxa"/>
                  <w:noWrap w:val="0"/>
                  <w:vAlign w:val="center"/>
                </w:tcPr>
                <w:p w14:paraId="58382EB3">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0.760</w:t>
                  </w:r>
                </w:p>
              </w:tc>
              <w:tc>
                <w:tcPr>
                  <w:tcW w:w="1385" w:type="dxa"/>
                  <w:noWrap w:val="0"/>
                  <w:vAlign w:val="center"/>
                </w:tcPr>
                <w:p w14:paraId="1CE6F288">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99</w:t>
                  </w:r>
                </w:p>
              </w:tc>
              <w:tc>
                <w:tcPr>
                  <w:tcW w:w="1304" w:type="dxa"/>
                  <w:noWrap w:val="0"/>
                  <w:vAlign w:val="center"/>
                </w:tcPr>
                <w:p w14:paraId="01D84F6D">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95</w:t>
                  </w:r>
                </w:p>
              </w:tc>
              <w:tc>
                <w:tcPr>
                  <w:tcW w:w="1454" w:type="dxa"/>
                  <w:noWrap w:val="0"/>
                  <w:vAlign w:val="center"/>
                </w:tcPr>
                <w:p w14:paraId="46BB8DF4">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0.055</w:t>
                  </w:r>
                </w:p>
              </w:tc>
              <w:tc>
                <w:tcPr>
                  <w:tcW w:w="1407" w:type="dxa"/>
                  <w:noWrap w:val="0"/>
                  <w:vAlign w:val="center"/>
                </w:tcPr>
                <w:p w14:paraId="2B4F44C0">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5.420</w:t>
                  </w:r>
                </w:p>
              </w:tc>
              <w:tc>
                <w:tcPr>
                  <w:tcW w:w="1764" w:type="dxa"/>
                  <w:noWrap w:val="0"/>
                  <w:vAlign w:val="center"/>
                </w:tcPr>
                <w:p w14:paraId="77E4FD56">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0.271</w:t>
                  </w:r>
                </w:p>
              </w:tc>
              <w:tc>
                <w:tcPr>
                  <w:tcW w:w="1594" w:type="dxa"/>
                  <w:noWrap w:val="0"/>
                  <w:vAlign w:val="center"/>
                </w:tcPr>
                <w:p w14:paraId="61A8D625">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0.038</w:t>
                  </w:r>
                </w:p>
              </w:tc>
            </w:tr>
            <w:tr w14:paraId="651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69" w:type="dxa"/>
                  <w:noWrap w:val="0"/>
                  <w:vAlign w:val="center"/>
                </w:tcPr>
                <w:p w14:paraId="623456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上料口</w:t>
                  </w:r>
                </w:p>
              </w:tc>
              <w:tc>
                <w:tcPr>
                  <w:tcW w:w="1438" w:type="dxa"/>
                  <w:noWrap w:val="0"/>
                  <w:vAlign w:val="center"/>
                </w:tcPr>
                <w:p w14:paraId="2F588F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371" w:type="dxa"/>
                  <w:noWrap w:val="0"/>
                  <w:vAlign w:val="center"/>
                </w:tcPr>
                <w:p w14:paraId="6F215E3D">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0.525</w:t>
                  </w:r>
                </w:p>
              </w:tc>
              <w:tc>
                <w:tcPr>
                  <w:tcW w:w="1312" w:type="dxa"/>
                  <w:noWrap w:val="0"/>
                  <w:vAlign w:val="center"/>
                </w:tcPr>
                <w:p w14:paraId="2C3020FE">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0.073 </w:t>
                  </w:r>
                </w:p>
              </w:tc>
              <w:tc>
                <w:tcPr>
                  <w:tcW w:w="1385" w:type="dxa"/>
                  <w:noWrap w:val="0"/>
                  <w:vAlign w:val="center"/>
                </w:tcPr>
                <w:p w14:paraId="7020756D">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1304" w:type="dxa"/>
                  <w:noWrap w:val="0"/>
                  <w:vAlign w:val="center"/>
                </w:tcPr>
                <w:p w14:paraId="20D0CD2D">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1454" w:type="dxa"/>
                  <w:noWrap w:val="0"/>
                  <w:vAlign w:val="center"/>
                </w:tcPr>
                <w:p w14:paraId="42323E95">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0.0525</w:t>
                  </w:r>
                </w:p>
              </w:tc>
              <w:tc>
                <w:tcPr>
                  <w:tcW w:w="1407" w:type="dxa"/>
                  <w:noWrap w:val="0"/>
                  <w:vAlign w:val="center"/>
                </w:tcPr>
                <w:p w14:paraId="01CA8A4B">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0.47</w:t>
                  </w:r>
                  <w:r>
                    <w:rPr>
                      <w:rFonts w:hint="eastAsia" w:ascii="Times New Roman" w:hAnsi="Times New Roman" w:eastAsia="宋体" w:cs="Times New Roman"/>
                      <w:i w:val="0"/>
                      <w:iCs w:val="0"/>
                      <w:color w:val="auto"/>
                      <w:kern w:val="0"/>
                      <w:sz w:val="21"/>
                      <w:szCs w:val="21"/>
                      <w:highlight w:val="none"/>
                      <w:u w:val="none"/>
                      <w:lang w:val="en-US" w:eastAsia="zh-CN" w:bidi="ar"/>
                    </w:rPr>
                    <w:t>3</w:t>
                  </w:r>
                </w:p>
              </w:tc>
              <w:tc>
                <w:tcPr>
                  <w:tcW w:w="1764" w:type="dxa"/>
                  <w:noWrap w:val="0"/>
                  <w:vAlign w:val="center"/>
                </w:tcPr>
                <w:p w14:paraId="7BCFAD19">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0.024 </w:t>
                  </w:r>
                </w:p>
              </w:tc>
              <w:tc>
                <w:tcPr>
                  <w:tcW w:w="1594" w:type="dxa"/>
                  <w:noWrap w:val="0"/>
                  <w:vAlign w:val="center"/>
                </w:tcPr>
                <w:p w14:paraId="4BE43A2F">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0.003 </w:t>
                  </w:r>
                </w:p>
              </w:tc>
            </w:tr>
            <w:tr w14:paraId="06F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69" w:type="dxa"/>
                  <w:vMerge w:val="restart"/>
                  <w:noWrap w:val="0"/>
                  <w:vAlign w:val="center"/>
                </w:tcPr>
                <w:p w14:paraId="52F11B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出料口</w:t>
                  </w:r>
                </w:p>
              </w:tc>
              <w:tc>
                <w:tcPr>
                  <w:tcW w:w="1438" w:type="dxa"/>
                  <w:noWrap w:val="0"/>
                  <w:vAlign w:val="center"/>
                </w:tcPr>
                <w:p w14:paraId="27F6BF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371" w:type="dxa"/>
                  <w:noWrap w:val="0"/>
                  <w:vAlign w:val="center"/>
                </w:tcPr>
                <w:p w14:paraId="604C42E8">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0.35</w:t>
                  </w:r>
                </w:p>
              </w:tc>
              <w:tc>
                <w:tcPr>
                  <w:tcW w:w="1312" w:type="dxa"/>
                  <w:noWrap w:val="0"/>
                  <w:vAlign w:val="center"/>
                </w:tcPr>
                <w:p w14:paraId="70342680">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0.049 </w:t>
                  </w:r>
                </w:p>
              </w:tc>
              <w:tc>
                <w:tcPr>
                  <w:tcW w:w="1385" w:type="dxa"/>
                  <w:noWrap w:val="0"/>
                  <w:vAlign w:val="center"/>
                </w:tcPr>
                <w:p w14:paraId="49A6FD9A">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1304" w:type="dxa"/>
                  <w:noWrap w:val="0"/>
                  <w:vAlign w:val="center"/>
                </w:tcPr>
                <w:p w14:paraId="3EA00424">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1454" w:type="dxa"/>
                  <w:noWrap w:val="0"/>
                  <w:vAlign w:val="center"/>
                </w:tcPr>
                <w:p w14:paraId="79931500">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0.035</w:t>
                  </w:r>
                </w:p>
              </w:tc>
              <w:tc>
                <w:tcPr>
                  <w:tcW w:w="1407" w:type="dxa"/>
                  <w:noWrap w:val="0"/>
                  <w:vAlign w:val="center"/>
                </w:tcPr>
                <w:p w14:paraId="1FDCB966">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0.315</w:t>
                  </w:r>
                </w:p>
              </w:tc>
              <w:tc>
                <w:tcPr>
                  <w:tcW w:w="1764" w:type="dxa"/>
                  <w:noWrap w:val="0"/>
                  <w:vAlign w:val="center"/>
                </w:tcPr>
                <w:p w14:paraId="520333EC">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0.016 </w:t>
                  </w:r>
                </w:p>
              </w:tc>
              <w:tc>
                <w:tcPr>
                  <w:tcW w:w="1594" w:type="dxa"/>
                  <w:noWrap w:val="0"/>
                  <w:vAlign w:val="center"/>
                </w:tcPr>
                <w:p w14:paraId="01730189">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0.002 </w:t>
                  </w:r>
                </w:p>
              </w:tc>
            </w:tr>
            <w:tr w14:paraId="3906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369" w:type="dxa"/>
                  <w:vMerge w:val="continue"/>
                  <w:noWrap w:val="0"/>
                  <w:vAlign w:val="center"/>
                </w:tcPr>
                <w:p w14:paraId="3CA2D9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438" w:type="dxa"/>
                  <w:noWrap w:val="0"/>
                  <w:vAlign w:val="center"/>
                </w:tcPr>
                <w:p w14:paraId="220345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VOCs</w:t>
                  </w:r>
                </w:p>
              </w:tc>
              <w:tc>
                <w:tcPr>
                  <w:tcW w:w="1371" w:type="dxa"/>
                  <w:noWrap w:val="0"/>
                  <w:vAlign w:val="center"/>
                </w:tcPr>
                <w:p w14:paraId="361A45C6">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3.50</w:t>
                  </w:r>
                </w:p>
              </w:tc>
              <w:tc>
                <w:tcPr>
                  <w:tcW w:w="1312" w:type="dxa"/>
                  <w:noWrap w:val="0"/>
                  <w:vAlign w:val="center"/>
                </w:tcPr>
                <w:p w14:paraId="1BEFC38B">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0.486</w:t>
                  </w:r>
                </w:p>
              </w:tc>
              <w:tc>
                <w:tcPr>
                  <w:tcW w:w="1385" w:type="dxa"/>
                  <w:noWrap w:val="0"/>
                  <w:vAlign w:val="center"/>
                </w:tcPr>
                <w:p w14:paraId="6160D943">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1304" w:type="dxa"/>
                  <w:noWrap w:val="0"/>
                  <w:vAlign w:val="center"/>
                </w:tcPr>
                <w:p w14:paraId="18EDD02B">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90</w:t>
                  </w:r>
                </w:p>
              </w:tc>
              <w:tc>
                <w:tcPr>
                  <w:tcW w:w="1454" w:type="dxa"/>
                  <w:noWrap w:val="0"/>
                  <w:vAlign w:val="center"/>
                </w:tcPr>
                <w:p w14:paraId="3A76073B">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0.350</w:t>
                  </w:r>
                </w:p>
              </w:tc>
              <w:tc>
                <w:tcPr>
                  <w:tcW w:w="1407" w:type="dxa"/>
                  <w:noWrap w:val="0"/>
                  <w:vAlign w:val="center"/>
                </w:tcPr>
                <w:p w14:paraId="776EBA6C">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3.15</w:t>
                  </w:r>
                </w:p>
              </w:tc>
              <w:tc>
                <w:tcPr>
                  <w:tcW w:w="1764" w:type="dxa"/>
                  <w:noWrap w:val="0"/>
                  <w:vAlign w:val="center"/>
                </w:tcPr>
                <w:p w14:paraId="474EC4C2">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0.316</w:t>
                  </w:r>
                </w:p>
              </w:tc>
              <w:tc>
                <w:tcPr>
                  <w:tcW w:w="1594" w:type="dxa"/>
                  <w:noWrap w:val="0"/>
                  <w:vAlign w:val="center"/>
                </w:tcPr>
                <w:p w14:paraId="254C0623">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0.044</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14:paraId="7ED0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369" w:type="dxa"/>
                  <w:noWrap w:val="0"/>
                  <w:vAlign w:val="center"/>
                </w:tcPr>
                <w:p w14:paraId="2CD05C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磁选工序</w:t>
                  </w:r>
                </w:p>
              </w:tc>
              <w:tc>
                <w:tcPr>
                  <w:tcW w:w="1438" w:type="dxa"/>
                  <w:noWrap w:val="0"/>
                  <w:vAlign w:val="center"/>
                </w:tcPr>
                <w:p w14:paraId="7A25E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lang w:val="en-US" w:eastAsia="zh-CN"/>
                    </w:rPr>
                    <w:t>颗粒物</w:t>
                  </w:r>
                </w:p>
              </w:tc>
              <w:tc>
                <w:tcPr>
                  <w:tcW w:w="1371" w:type="dxa"/>
                  <w:noWrap w:val="0"/>
                  <w:vAlign w:val="center"/>
                </w:tcPr>
                <w:p w14:paraId="1F92CAD4">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0.385</w:t>
                  </w:r>
                </w:p>
              </w:tc>
              <w:tc>
                <w:tcPr>
                  <w:tcW w:w="1312" w:type="dxa"/>
                  <w:noWrap w:val="0"/>
                  <w:vAlign w:val="center"/>
                </w:tcPr>
                <w:p w14:paraId="4928FDA1">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0.053 </w:t>
                  </w:r>
                </w:p>
              </w:tc>
              <w:tc>
                <w:tcPr>
                  <w:tcW w:w="1385" w:type="dxa"/>
                  <w:noWrap w:val="0"/>
                  <w:vAlign w:val="center"/>
                </w:tcPr>
                <w:p w14:paraId="5934E021">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1304" w:type="dxa"/>
                  <w:noWrap w:val="0"/>
                  <w:vAlign w:val="center"/>
                </w:tcPr>
                <w:p w14:paraId="762B9206">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1454" w:type="dxa"/>
                  <w:noWrap w:val="0"/>
                  <w:vAlign w:val="center"/>
                </w:tcPr>
                <w:p w14:paraId="1A47D3AD">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0.077</w:t>
                  </w:r>
                </w:p>
              </w:tc>
              <w:tc>
                <w:tcPr>
                  <w:tcW w:w="1407" w:type="dxa"/>
                  <w:noWrap w:val="0"/>
                  <w:vAlign w:val="center"/>
                </w:tcPr>
                <w:p w14:paraId="35459C7A">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0.308</w:t>
                  </w:r>
                </w:p>
              </w:tc>
              <w:tc>
                <w:tcPr>
                  <w:tcW w:w="1764" w:type="dxa"/>
                  <w:noWrap w:val="0"/>
                  <w:vAlign w:val="center"/>
                </w:tcPr>
                <w:p w14:paraId="4B2587E0">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0.015 </w:t>
                  </w:r>
                </w:p>
              </w:tc>
              <w:tc>
                <w:tcPr>
                  <w:tcW w:w="1594" w:type="dxa"/>
                  <w:noWrap w:val="0"/>
                  <w:vAlign w:val="center"/>
                </w:tcPr>
                <w:p w14:paraId="3DBDF78B">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0.002 </w:t>
                  </w:r>
                </w:p>
              </w:tc>
            </w:tr>
            <w:tr w14:paraId="3105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369" w:type="dxa"/>
                  <w:noWrap w:val="0"/>
                  <w:vAlign w:val="center"/>
                </w:tcPr>
                <w:p w14:paraId="5E5E8D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筛分工序</w:t>
                  </w:r>
                </w:p>
              </w:tc>
              <w:tc>
                <w:tcPr>
                  <w:tcW w:w="1438" w:type="dxa"/>
                  <w:noWrap w:val="0"/>
                  <w:vAlign w:val="center"/>
                </w:tcPr>
                <w:p w14:paraId="0E915B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lang w:val="en-US" w:eastAsia="zh-CN"/>
                    </w:rPr>
                    <w:t>颗粒物</w:t>
                  </w:r>
                </w:p>
              </w:tc>
              <w:tc>
                <w:tcPr>
                  <w:tcW w:w="1371" w:type="dxa"/>
                  <w:noWrap w:val="0"/>
                  <w:vAlign w:val="center"/>
                </w:tcPr>
                <w:p w14:paraId="19F7F7F9">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3.955</w:t>
                  </w:r>
                </w:p>
              </w:tc>
              <w:tc>
                <w:tcPr>
                  <w:tcW w:w="1312" w:type="dxa"/>
                  <w:noWrap w:val="0"/>
                  <w:vAlign w:val="center"/>
                </w:tcPr>
                <w:p w14:paraId="3CA3A0E4">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0.549 </w:t>
                  </w:r>
                </w:p>
              </w:tc>
              <w:tc>
                <w:tcPr>
                  <w:tcW w:w="1385" w:type="dxa"/>
                  <w:noWrap w:val="0"/>
                  <w:vAlign w:val="center"/>
                </w:tcPr>
                <w:p w14:paraId="609486DD">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1304" w:type="dxa"/>
                  <w:noWrap w:val="0"/>
                  <w:vAlign w:val="center"/>
                </w:tcPr>
                <w:p w14:paraId="7F16AC57">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1454" w:type="dxa"/>
                  <w:noWrap w:val="0"/>
                  <w:vAlign w:val="center"/>
                </w:tcPr>
                <w:p w14:paraId="00CD5212">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407" w:type="dxa"/>
                  <w:noWrap w:val="0"/>
                  <w:vAlign w:val="center"/>
                </w:tcPr>
                <w:p w14:paraId="3DC677C2">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3.955</w:t>
                  </w:r>
                </w:p>
              </w:tc>
              <w:tc>
                <w:tcPr>
                  <w:tcW w:w="1764" w:type="dxa"/>
                  <w:noWrap w:val="0"/>
                  <w:vAlign w:val="center"/>
                </w:tcPr>
                <w:p w14:paraId="0317D89C">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0.198 </w:t>
                  </w:r>
                </w:p>
              </w:tc>
              <w:tc>
                <w:tcPr>
                  <w:tcW w:w="1594" w:type="dxa"/>
                  <w:noWrap w:val="0"/>
                  <w:vAlign w:val="center"/>
                </w:tcPr>
                <w:p w14:paraId="1C702505">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0.027 </w:t>
                  </w:r>
                </w:p>
              </w:tc>
            </w:tr>
            <w:tr w14:paraId="3255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9" w:type="dxa"/>
                  <w:noWrap w:val="0"/>
                  <w:vAlign w:val="center"/>
                </w:tcPr>
                <w:p w14:paraId="76654A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打包工序</w:t>
                  </w:r>
                </w:p>
              </w:tc>
              <w:tc>
                <w:tcPr>
                  <w:tcW w:w="1438" w:type="dxa"/>
                  <w:noWrap w:val="0"/>
                  <w:vAlign w:val="center"/>
                </w:tcPr>
                <w:p w14:paraId="786640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371" w:type="dxa"/>
                  <w:noWrap w:val="0"/>
                  <w:vAlign w:val="center"/>
                </w:tcPr>
                <w:p w14:paraId="04B95CBA">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0.438</w:t>
                  </w:r>
                </w:p>
              </w:tc>
              <w:tc>
                <w:tcPr>
                  <w:tcW w:w="1312" w:type="dxa"/>
                  <w:noWrap w:val="0"/>
                  <w:vAlign w:val="center"/>
                </w:tcPr>
                <w:p w14:paraId="3F415AB2">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0.061 </w:t>
                  </w:r>
                </w:p>
              </w:tc>
              <w:tc>
                <w:tcPr>
                  <w:tcW w:w="1385" w:type="dxa"/>
                  <w:noWrap w:val="0"/>
                  <w:vAlign w:val="center"/>
                </w:tcPr>
                <w:p w14:paraId="3B06BAC1">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1304" w:type="dxa"/>
                  <w:noWrap w:val="0"/>
                  <w:vAlign w:val="center"/>
                </w:tcPr>
                <w:p w14:paraId="22B63FCF">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1454" w:type="dxa"/>
                  <w:noWrap w:val="0"/>
                  <w:vAlign w:val="center"/>
                </w:tcPr>
                <w:p w14:paraId="515989D8">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0.08</w:t>
                  </w:r>
                  <w:r>
                    <w:rPr>
                      <w:rFonts w:hint="eastAsia" w:ascii="Times New Roman" w:hAnsi="Times New Roman" w:eastAsia="宋体" w:cs="Times New Roman"/>
                      <w:i w:val="0"/>
                      <w:iCs w:val="0"/>
                      <w:color w:val="auto"/>
                      <w:kern w:val="0"/>
                      <w:sz w:val="21"/>
                      <w:szCs w:val="21"/>
                      <w:highlight w:val="none"/>
                      <w:u w:val="none"/>
                      <w:lang w:val="en-US" w:eastAsia="zh-CN" w:bidi="ar"/>
                    </w:rPr>
                    <w:t>8</w:t>
                  </w:r>
                </w:p>
              </w:tc>
              <w:tc>
                <w:tcPr>
                  <w:tcW w:w="1407" w:type="dxa"/>
                  <w:noWrap w:val="0"/>
                  <w:vAlign w:val="center"/>
                </w:tcPr>
                <w:p w14:paraId="2B81BE7B">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0.350</w:t>
                  </w:r>
                </w:p>
              </w:tc>
              <w:tc>
                <w:tcPr>
                  <w:tcW w:w="1764" w:type="dxa"/>
                  <w:noWrap w:val="0"/>
                  <w:vAlign w:val="center"/>
                </w:tcPr>
                <w:p w14:paraId="0F6DBC02">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0.018 </w:t>
                  </w:r>
                </w:p>
              </w:tc>
              <w:tc>
                <w:tcPr>
                  <w:tcW w:w="1594" w:type="dxa"/>
                  <w:noWrap w:val="0"/>
                  <w:vAlign w:val="center"/>
                </w:tcPr>
                <w:p w14:paraId="072918E0">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0.002 </w:t>
                  </w:r>
                </w:p>
              </w:tc>
            </w:tr>
            <w:tr w14:paraId="123C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369" w:type="dxa"/>
                  <w:vMerge w:val="restart"/>
                  <w:noWrap w:val="0"/>
                  <w:vAlign w:val="center"/>
                </w:tcPr>
                <w:p w14:paraId="5017CF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合计</w:t>
                  </w:r>
                </w:p>
              </w:tc>
              <w:tc>
                <w:tcPr>
                  <w:tcW w:w="1438" w:type="dxa"/>
                  <w:noWrap w:val="0"/>
                  <w:vAlign w:val="center"/>
                </w:tcPr>
                <w:p w14:paraId="49D23E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371" w:type="dxa"/>
                  <w:noWrap w:val="0"/>
                  <w:vAlign w:val="center"/>
                </w:tcPr>
                <w:p w14:paraId="32E7A6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11.128</w:t>
                  </w:r>
                </w:p>
              </w:tc>
              <w:tc>
                <w:tcPr>
                  <w:tcW w:w="1312" w:type="dxa"/>
                  <w:noWrap w:val="0"/>
                  <w:vAlign w:val="center"/>
                </w:tcPr>
                <w:p w14:paraId="1D9EA4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1.545 </w:t>
                  </w:r>
                </w:p>
              </w:tc>
              <w:tc>
                <w:tcPr>
                  <w:tcW w:w="1385" w:type="dxa"/>
                  <w:noWrap w:val="0"/>
                  <w:vAlign w:val="center"/>
                </w:tcPr>
                <w:p w14:paraId="2F9246DB">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304" w:type="dxa"/>
                  <w:noWrap w:val="0"/>
                  <w:vAlign w:val="center"/>
                </w:tcPr>
                <w:p w14:paraId="5AE41D75">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454" w:type="dxa"/>
                  <w:noWrap w:val="0"/>
                  <w:vAlign w:val="center"/>
                </w:tcPr>
                <w:p w14:paraId="37AA53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0.307 </w:t>
                  </w:r>
                </w:p>
              </w:tc>
              <w:tc>
                <w:tcPr>
                  <w:tcW w:w="1407" w:type="dxa"/>
                  <w:noWrap w:val="0"/>
                  <w:vAlign w:val="center"/>
                </w:tcPr>
                <w:p w14:paraId="6150F64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10.821 </w:t>
                  </w:r>
                </w:p>
              </w:tc>
              <w:tc>
                <w:tcPr>
                  <w:tcW w:w="1764" w:type="dxa"/>
                  <w:noWrap w:val="0"/>
                  <w:vAlign w:val="center"/>
                </w:tcPr>
                <w:p w14:paraId="56712CA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0.542 </w:t>
                  </w:r>
                </w:p>
              </w:tc>
              <w:tc>
                <w:tcPr>
                  <w:tcW w:w="1594" w:type="dxa"/>
                  <w:noWrap w:val="0"/>
                  <w:vAlign w:val="center"/>
                </w:tcPr>
                <w:p w14:paraId="5F2000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0.074 </w:t>
                  </w:r>
                </w:p>
              </w:tc>
            </w:tr>
            <w:tr w14:paraId="3CEC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369" w:type="dxa"/>
                  <w:vMerge w:val="continue"/>
                  <w:noWrap w:val="0"/>
                  <w:vAlign w:val="center"/>
                </w:tcPr>
                <w:p w14:paraId="4407D5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438" w:type="dxa"/>
                  <w:noWrap w:val="0"/>
                  <w:vAlign w:val="center"/>
                </w:tcPr>
                <w:p w14:paraId="647DCA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VOCs</w:t>
                  </w:r>
                </w:p>
              </w:tc>
              <w:tc>
                <w:tcPr>
                  <w:tcW w:w="1371" w:type="dxa"/>
                  <w:noWrap w:val="0"/>
                  <w:vAlign w:val="center"/>
                </w:tcPr>
                <w:p w14:paraId="7C1C820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1.75</w:t>
                  </w:r>
                </w:p>
              </w:tc>
              <w:tc>
                <w:tcPr>
                  <w:tcW w:w="1312" w:type="dxa"/>
                  <w:noWrap w:val="0"/>
                  <w:vAlign w:val="center"/>
                </w:tcPr>
                <w:p w14:paraId="1CFBAA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0.243</w:t>
                  </w:r>
                </w:p>
              </w:tc>
              <w:tc>
                <w:tcPr>
                  <w:tcW w:w="1385" w:type="dxa"/>
                  <w:noWrap w:val="0"/>
                  <w:vAlign w:val="center"/>
                </w:tcPr>
                <w:p w14:paraId="012B3101">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304" w:type="dxa"/>
                  <w:noWrap w:val="0"/>
                  <w:vAlign w:val="center"/>
                </w:tcPr>
                <w:p w14:paraId="7295C2DA">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454" w:type="dxa"/>
                  <w:noWrap w:val="0"/>
                  <w:vAlign w:val="center"/>
                </w:tcPr>
                <w:p w14:paraId="7E26AC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0.350</w:t>
                  </w:r>
                </w:p>
              </w:tc>
              <w:tc>
                <w:tcPr>
                  <w:tcW w:w="1407" w:type="dxa"/>
                  <w:noWrap w:val="0"/>
                  <w:vAlign w:val="center"/>
                </w:tcPr>
                <w:p w14:paraId="5DA287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3.15</w:t>
                  </w:r>
                </w:p>
              </w:tc>
              <w:tc>
                <w:tcPr>
                  <w:tcW w:w="1764" w:type="dxa"/>
                  <w:noWrap w:val="0"/>
                  <w:vAlign w:val="center"/>
                </w:tcPr>
                <w:p w14:paraId="106774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0.316</w:t>
                  </w:r>
                </w:p>
              </w:tc>
              <w:tc>
                <w:tcPr>
                  <w:tcW w:w="1594" w:type="dxa"/>
                  <w:noWrap w:val="0"/>
                  <w:vAlign w:val="center"/>
                </w:tcPr>
                <w:p w14:paraId="5D0A6B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0.044</w:t>
                  </w:r>
                </w:p>
              </w:tc>
            </w:tr>
          </w:tbl>
          <w:p w14:paraId="63945D9E">
            <w:pPr>
              <w:adjustRightInd w:val="0"/>
              <w:snapToGrid w:val="0"/>
              <w:spacing w:line="360" w:lineRule="auto"/>
              <w:ind w:firstLine="453" w:firstLineChars="188"/>
              <w:rPr>
                <w:rFonts w:hint="default" w:ascii="Times New Roman" w:hAnsi="Times New Roman" w:cs="Times New Roman"/>
                <w:color w:val="auto"/>
                <w:kern w:val="0"/>
                <w:sz w:val="24"/>
                <w:highlight w:val="none"/>
              </w:rPr>
            </w:pPr>
            <w:r>
              <w:rPr>
                <w:rFonts w:hint="default" w:ascii="Times New Roman" w:hAnsi="Times New Roman" w:cs="Times New Roman"/>
                <w:b/>
                <w:bCs/>
                <w:color w:val="auto"/>
                <w:kern w:val="0"/>
                <w:sz w:val="24"/>
                <w:szCs w:val="20"/>
                <w:highlight w:val="none"/>
              </w:rPr>
              <w:t>2、废气污染源汇总</w:t>
            </w:r>
          </w:p>
          <w:p w14:paraId="0423B056">
            <w:pPr>
              <w:widowControl/>
              <w:spacing w:line="360" w:lineRule="auto"/>
              <w:ind w:firstLine="480"/>
              <w:rPr>
                <w:rFonts w:hint="default" w:ascii="Times New Roman" w:hAnsi="Times New Roman" w:eastAsia="宋体" w:cs="Times New Roman"/>
                <w:b/>
                <w:color w:val="auto"/>
                <w:kern w:val="0"/>
                <w:sz w:val="24"/>
                <w:highlight w:val="none"/>
                <w:lang w:val="en-US" w:eastAsia="zh-CN"/>
              </w:rPr>
            </w:pPr>
            <w:r>
              <w:rPr>
                <w:rFonts w:hint="default" w:ascii="Times New Roman" w:hAnsi="Times New Roman" w:cs="Times New Roman"/>
                <w:color w:val="auto"/>
                <w:kern w:val="0"/>
                <w:sz w:val="24"/>
                <w:highlight w:val="none"/>
              </w:rPr>
              <w:t>项目废气污染源产生及处理排放情况见表4-</w:t>
            </w:r>
            <w:r>
              <w:rPr>
                <w:rFonts w:hint="eastAsia" w:cs="Times New Roman"/>
                <w:color w:val="auto"/>
                <w:kern w:val="0"/>
                <w:sz w:val="24"/>
                <w:highlight w:val="none"/>
                <w:lang w:val="en-US" w:eastAsia="zh-CN"/>
              </w:rPr>
              <w:t>2</w:t>
            </w:r>
            <w:r>
              <w:rPr>
                <w:rFonts w:hint="default" w:ascii="Times New Roman" w:hAnsi="Times New Roman" w:cs="Times New Roman"/>
                <w:color w:val="auto"/>
                <w:kern w:val="0"/>
                <w:sz w:val="24"/>
                <w:highlight w:val="none"/>
              </w:rPr>
              <w:t>，项目</w:t>
            </w:r>
            <w:r>
              <w:rPr>
                <w:rFonts w:hint="default" w:ascii="Times New Roman" w:hAnsi="Times New Roman" w:cs="Times New Roman"/>
                <w:color w:val="auto"/>
                <w:sz w:val="24"/>
                <w:highlight w:val="none"/>
              </w:rPr>
              <w:t>废气污染源排放参数见表4-</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~表4-</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非正常工况排放情况见表4-5所示。</w:t>
            </w:r>
          </w:p>
          <w:p w14:paraId="0B5C0C4F">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项目主要废气污染源产排情况一览表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60"/>
              <w:gridCol w:w="682"/>
              <w:gridCol w:w="755"/>
              <w:gridCol w:w="773"/>
              <w:gridCol w:w="687"/>
              <w:gridCol w:w="801"/>
              <w:gridCol w:w="937"/>
              <w:gridCol w:w="786"/>
              <w:gridCol w:w="786"/>
              <w:gridCol w:w="999"/>
              <w:gridCol w:w="614"/>
              <w:gridCol w:w="809"/>
              <w:gridCol w:w="825"/>
              <w:gridCol w:w="825"/>
              <w:gridCol w:w="939"/>
            </w:tblGrid>
            <w:tr w14:paraId="75ED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Merge w:val="restart"/>
                  <w:tcBorders>
                    <w:tl2br w:val="nil"/>
                    <w:tr2bl w:val="nil"/>
                  </w:tcBorders>
                  <w:noWrap w:val="0"/>
                  <w:vAlign w:val="center"/>
                </w:tcPr>
                <w:p w14:paraId="0C348F51">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工序/生产线</w:t>
                  </w:r>
                </w:p>
              </w:tc>
              <w:tc>
                <w:tcPr>
                  <w:tcW w:w="292" w:type="pct"/>
                  <w:vMerge w:val="restart"/>
                  <w:tcBorders>
                    <w:tl2br w:val="nil"/>
                    <w:tr2bl w:val="nil"/>
                  </w:tcBorders>
                  <w:noWrap w:val="0"/>
                  <w:vAlign w:val="center"/>
                </w:tcPr>
                <w:p w14:paraId="13CC6CAC">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排放源</w:t>
                  </w:r>
                </w:p>
              </w:tc>
              <w:tc>
                <w:tcPr>
                  <w:tcW w:w="262" w:type="pct"/>
                  <w:vMerge w:val="restart"/>
                  <w:tcBorders>
                    <w:tl2br w:val="nil"/>
                    <w:tr2bl w:val="nil"/>
                  </w:tcBorders>
                  <w:noWrap w:val="0"/>
                  <w:vAlign w:val="center"/>
                </w:tcPr>
                <w:p w14:paraId="19BEF096">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排放时间h</w:t>
                  </w:r>
                </w:p>
              </w:tc>
              <w:tc>
                <w:tcPr>
                  <w:tcW w:w="290" w:type="pct"/>
                  <w:vMerge w:val="restart"/>
                  <w:tcBorders>
                    <w:tl2br w:val="nil"/>
                    <w:tr2bl w:val="nil"/>
                  </w:tcBorders>
                  <w:noWrap w:val="0"/>
                  <w:vAlign w:val="center"/>
                </w:tcPr>
                <w:p w14:paraId="2AAA8DDA">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风量</w:t>
                  </w:r>
                </w:p>
                <w:p w14:paraId="79D0A462">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m</w:t>
                  </w:r>
                  <w:r>
                    <w:rPr>
                      <w:rFonts w:hint="default" w:ascii="Times New Roman" w:hAnsi="Times New Roman" w:eastAsia="宋体" w:cs="Times New Roman"/>
                      <w:b w:val="0"/>
                      <w:bCs/>
                      <w:color w:val="auto"/>
                      <w:sz w:val="21"/>
                      <w:szCs w:val="21"/>
                      <w:highlight w:val="none"/>
                      <w:vertAlign w:val="superscript"/>
                    </w:rPr>
                    <w:t>3</w:t>
                  </w:r>
                  <w:r>
                    <w:rPr>
                      <w:rFonts w:hint="default" w:ascii="Times New Roman" w:hAnsi="Times New Roman" w:eastAsia="宋体" w:cs="Times New Roman"/>
                      <w:b w:val="0"/>
                      <w:bCs/>
                      <w:color w:val="auto"/>
                      <w:sz w:val="21"/>
                      <w:szCs w:val="21"/>
                      <w:highlight w:val="none"/>
                    </w:rPr>
                    <w:t>/h</w:t>
                  </w:r>
                </w:p>
              </w:tc>
              <w:tc>
                <w:tcPr>
                  <w:tcW w:w="297" w:type="pct"/>
                  <w:vMerge w:val="restart"/>
                  <w:tcBorders>
                    <w:tl2br w:val="nil"/>
                    <w:tr2bl w:val="nil"/>
                  </w:tcBorders>
                  <w:noWrap w:val="0"/>
                  <w:vAlign w:val="center"/>
                </w:tcPr>
                <w:p w14:paraId="0599E330">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污染物</w:t>
                  </w:r>
                </w:p>
              </w:tc>
              <w:tc>
                <w:tcPr>
                  <w:tcW w:w="1536" w:type="pct"/>
                  <w:gridSpan w:val="5"/>
                  <w:tcBorders>
                    <w:tl2br w:val="nil"/>
                    <w:tr2bl w:val="nil"/>
                  </w:tcBorders>
                  <w:noWrap w:val="0"/>
                  <w:vAlign w:val="center"/>
                </w:tcPr>
                <w:p w14:paraId="695150B6">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污染物产生情况</w:t>
                  </w:r>
                </w:p>
              </w:tc>
              <w:tc>
                <w:tcPr>
                  <w:tcW w:w="931" w:type="pct"/>
                  <w:gridSpan w:val="3"/>
                  <w:tcBorders>
                    <w:tl2br w:val="nil"/>
                    <w:tr2bl w:val="nil"/>
                  </w:tcBorders>
                  <w:noWrap w:val="0"/>
                  <w:vAlign w:val="center"/>
                </w:tcPr>
                <w:p w14:paraId="0E15C6DD">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治理措施</w:t>
                  </w:r>
                </w:p>
              </w:tc>
              <w:tc>
                <w:tcPr>
                  <w:tcW w:w="995" w:type="pct"/>
                  <w:gridSpan w:val="3"/>
                  <w:tcBorders>
                    <w:tl2br w:val="nil"/>
                    <w:tr2bl w:val="nil"/>
                  </w:tcBorders>
                  <w:noWrap w:val="0"/>
                  <w:vAlign w:val="center"/>
                </w:tcPr>
                <w:p w14:paraId="1691AFC4">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污染物排放情况</w:t>
                  </w:r>
                </w:p>
              </w:tc>
            </w:tr>
            <w:tr w14:paraId="7263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Merge w:val="continue"/>
                  <w:tcBorders>
                    <w:tl2br w:val="nil"/>
                    <w:tr2bl w:val="nil"/>
                  </w:tcBorders>
                  <w:noWrap w:val="0"/>
                  <w:vAlign w:val="center"/>
                </w:tcPr>
                <w:p w14:paraId="0C26C560">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p>
              </w:tc>
              <w:tc>
                <w:tcPr>
                  <w:tcW w:w="292" w:type="pct"/>
                  <w:vMerge w:val="continue"/>
                  <w:tcBorders>
                    <w:tl2br w:val="nil"/>
                    <w:tr2bl w:val="nil"/>
                  </w:tcBorders>
                  <w:noWrap w:val="0"/>
                  <w:vAlign w:val="center"/>
                </w:tcPr>
                <w:p w14:paraId="240870F9">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p>
              </w:tc>
              <w:tc>
                <w:tcPr>
                  <w:tcW w:w="262" w:type="pct"/>
                  <w:vMerge w:val="continue"/>
                  <w:tcBorders>
                    <w:tl2br w:val="nil"/>
                    <w:tr2bl w:val="nil"/>
                  </w:tcBorders>
                  <w:noWrap w:val="0"/>
                  <w:vAlign w:val="center"/>
                </w:tcPr>
                <w:p w14:paraId="38A7A0B7">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p>
              </w:tc>
              <w:tc>
                <w:tcPr>
                  <w:tcW w:w="290" w:type="pct"/>
                  <w:vMerge w:val="continue"/>
                  <w:tcBorders>
                    <w:tl2br w:val="nil"/>
                    <w:tr2bl w:val="nil"/>
                  </w:tcBorders>
                  <w:noWrap w:val="0"/>
                  <w:vAlign w:val="center"/>
                </w:tcPr>
                <w:p w14:paraId="7665B704">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p>
              </w:tc>
              <w:tc>
                <w:tcPr>
                  <w:tcW w:w="297" w:type="pct"/>
                  <w:vMerge w:val="continue"/>
                  <w:tcBorders>
                    <w:tl2br w:val="nil"/>
                    <w:tr2bl w:val="nil"/>
                  </w:tcBorders>
                  <w:noWrap w:val="0"/>
                  <w:vAlign w:val="center"/>
                </w:tcPr>
                <w:p w14:paraId="1648A468">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p>
              </w:tc>
              <w:tc>
                <w:tcPr>
                  <w:tcW w:w="264" w:type="pct"/>
                  <w:tcBorders>
                    <w:tl2br w:val="nil"/>
                    <w:tr2bl w:val="nil"/>
                  </w:tcBorders>
                  <w:noWrap w:val="0"/>
                  <w:vAlign w:val="center"/>
                </w:tcPr>
                <w:p w14:paraId="48FAAE0F">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核算</w:t>
                  </w:r>
                </w:p>
                <w:p w14:paraId="3DB86954">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方法</w:t>
                  </w:r>
                </w:p>
              </w:tc>
              <w:tc>
                <w:tcPr>
                  <w:tcW w:w="308" w:type="pct"/>
                  <w:tcBorders>
                    <w:tl2br w:val="nil"/>
                    <w:tr2bl w:val="nil"/>
                  </w:tcBorders>
                  <w:noWrap w:val="0"/>
                  <w:vAlign w:val="center"/>
                </w:tcPr>
                <w:p w14:paraId="25ED6BA6">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收集效率%</w:t>
                  </w:r>
                </w:p>
              </w:tc>
              <w:tc>
                <w:tcPr>
                  <w:tcW w:w="360" w:type="pct"/>
                  <w:tcBorders>
                    <w:tl2br w:val="nil"/>
                    <w:tr2bl w:val="nil"/>
                  </w:tcBorders>
                  <w:noWrap w:val="0"/>
                  <w:vAlign w:val="center"/>
                </w:tcPr>
                <w:p w14:paraId="668E1D6E">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浓度</w:t>
                  </w:r>
                </w:p>
                <w:p w14:paraId="19AB5507">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mg/m</w:t>
                  </w:r>
                  <w:r>
                    <w:rPr>
                      <w:rFonts w:hint="default" w:ascii="Times New Roman" w:hAnsi="Times New Roman" w:eastAsia="宋体" w:cs="Times New Roman"/>
                      <w:b w:val="0"/>
                      <w:bCs/>
                      <w:color w:val="auto"/>
                      <w:sz w:val="21"/>
                      <w:szCs w:val="21"/>
                      <w:highlight w:val="none"/>
                      <w:vertAlign w:val="superscript"/>
                    </w:rPr>
                    <w:t>3</w:t>
                  </w:r>
                </w:p>
              </w:tc>
              <w:tc>
                <w:tcPr>
                  <w:tcW w:w="302" w:type="pct"/>
                  <w:tcBorders>
                    <w:tl2br w:val="nil"/>
                    <w:tr2bl w:val="nil"/>
                  </w:tcBorders>
                  <w:noWrap w:val="0"/>
                  <w:vAlign w:val="center"/>
                </w:tcPr>
                <w:p w14:paraId="6DDF9CCD">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速率</w:t>
                  </w:r>
                </w:p>
                <w:p w14:paraId="5BC4C73C">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kg/h</w:t>
                  </w:r>
                </w:p>
              </w:tc>
              <w:tc>
                <w:tcPr>
                  <w:tcW w:w="301" w:type="pct"/>
                  <w:tcBorders>
                    <w:tl2br w:val="nil"/>
                    <w:tr2bl w:val="nil"/>
                  </w:tcBorders>
                  <w:noWrap w:val="0"/>
                  <w:vAlign w:val="center"/>
                </w:tcPr>
                <w:p w14:paraId="31ABBB59">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产生量t/a</w:t>
                  </w:r>
                </w:p>
              </w:tc>
              <w:tc>
                <w:tcPr>
                  <w:tcW w:w="384" w:type="pct"/>
                  <w:tcBorders>
                    <w:tl2br w:val="nil"/>
                    <w:tr2bl w:val="nil"/>
                  </w:tcBorders>
                  <w:noWrap w:val="0"/>
                  <w:vAlign w:val="center"/>
                </w:tcPr>
                <w:p w14:paraId="2D78823A">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工艺</w:t>
                  </w:r>
                </w:p>
              </w:tc>
              <w:tc>
                <w:tcPr>
                  <w:tcW w:w="236" w:type="pct"/>
                  <w:tcBorders>
                    <w:tl2br w:val="nil"/>
                    <w:tr2bl w:val="nil"/>
                  </w:tcBorders>
                  <w:noWrap w:val="0"/>
                  <w:vAlign w:val="center"/>
                </w:tcPr>
                <w:p w14:paraId="685D9DCD">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去除率%</w:t>
                  </w:r>
                </w:p>
              </w:tc>
              <w:tc>
                <w:tcPr>
                  <w:tcW w:w="311" w:type="pct"/>
                  <w:tcBorders>
                    <w:tl2br w:val="nil"/>
                    <w:tr2bl w:val="nil"/>
                  </w:tcBorders>
                  <w:noWrap w:val="0"/>
                  <w:vAlign w:val="center"/>
                </w:tcPr>
                <w:p w14:paraId="2F26A5A8">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是否可行技术</w:t>
                  </w:r>
                </w:p>
              </w:tc>
              <w:tc>
                <w:tcPr>
                  <w:tcW w:w="317" w:type="pct"/>
                  <w:tcBorders>
                    <w:tl2br w:val="nil"/>
                    <w:tr2bl w:val="nil"/>
                  </w:tcBorders>
                  <w:noWrap w:val="0"/>
                  <w:vAlign w:val="center"/>
                </w:tcPr>
                <w:p w14:paraId="1E4EC71C">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浓度</w:t>
                  </w:r>
                </w:p>
                <w:p w14:paraId="53C31E5A">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mg/m</w:t>
                  </w:r>
                  <w:r>
                    <w:rPr>
                      <w:rFonts w:hint="default" w:ascii="Times New Roman" w:hAnsi="Times New Roman" w:eastAsia="宋体" w:cs="Times New Roman"/>
                      <w:b w:val="0"/>
                      <w:bCs/>
                      <w:color w:val="auto"/>
                      <w:sz w:val="21"/>
                      <w:szCs w:val="21"/>
                      <w:highlight w:val="none"/>
                      <w:vertAlign w:val="superscript"/>
                    </w:rPr>
                    <w:t>3</w:t>
                  </w:r>
                </w:p>
              </w:tc>
              <w:tc>
                <w:tcPr>
                  <w:tcW w:w="317" w:type="pct"/>
                  <w:tcBorders>
                    <w:tl2br w:val="nil"/>
                    <w:tr2bl w:val="nil"/>
                  </w:tcBorders>
                  <w:noWrap w:val="0"/>
                  <w:vAlign w:val="center"/>
                </w:tcPr>
                <w:p w14:paraId="53FCE8E8">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速率</w:t>
                  </w:r>
                </w:p>
                <w:p w14:paraId="225BD4EE">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kg/h</w:t>
                  </w:r>
                </w:p>
              </w:tc>
              <w:tc>
                <w:tcPr>
                  <w:tcW w:w="361" w:type="pct"/>
                  <w:tcBorders>
                    <w:tl2br w:val="nil"/>
                    <w:tr2bl w:val="nil"/>
                  </w:tcBorders>
                  <w:noWrap w:val="0"/>
                  <w:vAlign w:val="center"/>
                </w:tcPr>
                <w:p w14:paraId="0746F757">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排放量t/a</w:t>
                  </w:r>
                </w:p>
              </w:tc>
            </w:tr>
            <w:tr w14:paraId="19CB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4" w:type="pct"/>
                  <w:tcBorders>
                    <w:tl2br w:val="nil"/>
                    <w:tr2bl w:val="nil"/>
                  </w:tcBorders>
                  <w:noWrap w:val="0"/>
                  <w:vAlign w:val="center"/>
                </w:tcPr>
                <w:p w14:paraId="6F52E3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b w:val="0"/>
                      <w:bCs/>
                      <w:color w:val="auto"/>
                      <w:sz w:val="21"/>
                      <w:szCs w:val="21"/>
                      <w:highlight w:val="none"/>
                      <w:lang w:val="en-US" w:eastAsia="zh-CN"/>
                    </w:rPr>
                    <w:t>打磨粉尘</w:t>
                  </w:r>
                </w:p>
              </w:tc>
              <w:tc>
                <w:tcPr>
                  <w:tcW w:w="292" w:type="pct"/>
                  <w:tcBorders>
                    <w:tl2br w:val="nil"/>
                    <w:tr2bl w:val="nil"/>
                  </w:tcBorders>
                  <w:noWrap w:val="0"/>
                  <w:vAlign w:val="center"/>
                </w:tcPr>
                <w:p w14:paraId="2729C230">
                  <w:pPr>
                    <w:keepNext w:val="0"/>
                    <w:keepLines w:val="0"/>
                    <w:pageBreakBefore w:val="0"/>
                    <w:widowControl/>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DA001排气筒</w:t>
                  </w:r>
                </w:p>
              </w:tc>
              <w:tc>
                <w:tcPr>
                  <w:tcW w:w="262" w:type="pct"/>
                  <w:tcBorders>
                    <w:tl2br w:val="nil"/>
                    <w:tr2bl w:val="nil"/>
                  </w:tcBorders>
                  <w:noWrap w:val="0"/>
                  <w:vAlign w:val="center"/>
                </w:tcPr>
                <w:p w14:paraId="2C9FC445">
                  <w:pPr>
                    <w:keepNext w:val="0"/>
                    <w:keepLines w:val="0"/>
                    <w:pageBreakBefore w:val="0"/>
                    <w:kinsoku/>
                    <w:wordWrap/>
                    <w:overflowPunct/>
                    <w:topLinePunct w:val="0"/>
                    <w:autoSpaceDE/>
                    <w:autoSpaceDN/>
                    <w:bidi w:val="0"/>
                    <w:adjustRightInd/>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72</w:t>
                  </w:r>
                  <w:r>
                    <w:rPr>
                      <w:rFonts w:hint="default" w:ascii="Times New Roman" w:hAnsi="Times New Roman" w:eastAsia="宋体" w:cs="Times New Roman"/>
                      <w:b w:val="0"/>
                      <w:bCs/>
                      <w:color w:val="auto"/>
                      <w:sz w:val="21"/>
                      <w:szCs w:val="21"/>
                      <w:highlight w:val="none"/>
                    </w:rPr>
                    <w:t>00</w:t>
                  </w:r>
                </w:p>
              </w:tc>
              <w:tc>
                <w:tcPr>
                  <w:tcW w:w="290" w:type="pct"/>
                  <w:tcBorders>
                    <w:tl2br w:val="nil"/>
                    <w:tr2bl w:val="nil"/>
                  </w:tcBorders>
                  <w:noWrap w:val="0"/>
                  <w:vAlign w:val="center"/>
                </w:tcPr>
                <w:p w14:paraId="5F203C34">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eastAsia="宋体" w:cs="Times New Roman"/>
                      <w:b w:val="0"/>
                      <w:bCs/>
                      <w:color w:val="auto"/>
                      <w:sz w:val="21"/>
                      <w:szCs w:val="21"/>
                      <w:highlight w:val="none"/>
                      <w:lang w:val="en-US" w:eastAsia="zh-CN"/>
                    </w:rPr>
                    <w:t>20000</w:t>
                  </w:r>
                </w:p>
              </w:tc>
              <w:tc>
                <w:tcPr>
                  <w:tcW w:w="297" w:type="pct"/>
                  <w:tcBorders>
                    <w:tl2br w:val="nil"/>
                    <w:tr2bl w:val="nil"/>
                  </w:tcBorders>
                  <w:noWrap w:val="0"/>
                  <w:vAlign w:val="center"/>
                </w:tcPr>
                <w:p w14:paraId="7DEA1965">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颗粒物</w:t>
                  </w:r>
                </w:p>
              </w:tc>
              <w:tc>
                <w:tcPr>
                  <w:tcW w:w="264" w:type="pct"/>
                  <w:tcBorders>
                    <w:tl2br w:val="nil"/>
                    <w:tr2bl w:val="nil"/>
                  </w:tcBorders>
                  <w:noWrap w:val="0"/>
                  <w:vAlign w:val="center"/>
                </w:tcPr>
                <w:p w14:paraId="505CF8C6">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物料</w:t>
                  </w:r>
                </w:p>
                <w:p w14:paraId="7E755BCA">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衡算</w:t>
                  </w:r>
                </w:p>
              </w:tc>
              <w:tc>
                <w:tcPr>
                  <w:tcW w:w="308" w:type="pct"/>
                  <w:tcBorders>
                    <w:tl2br w:val="nil"/>
                    <w:tr2bl w:val="nil"/>
                  </w:tcBorders>
                  <w:noWrap w:val="0"/>
                  <w:vAlign w:val="center"/>
                </w:tcPr>
                <w:p w14:paraId="2FDC49F8">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99</w:t>
                  </w:r>
                </w:p>
              </w:tc>
              <w:tc>
                <w:tcPr>
                  <w:tcW w:w="360" w:type="pct"/>
                  <w:tcBorders>
                    <w:tl2br w:val="nil"/>
                    <w:tr2bl w:val="nil"/>
                  </w:tcBorders>
                  <w:noWrap w:val="0"/>
                  <w:vAlign w:val="center"/>
                </w:tcPr>
                <w:p w14:paraId="4D271CC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38</w:t>
                  </w:r>
                </w:p>
              </w:tc>
              <w:tc>
                <w:tcPr>
                  <w:tcW w:w="302" w:type="pct"/>
                  <w:tcBorders>
                    <w:tl2br w:val="nil"/>
                    <w:tr2bl w:val="nil"/>
                  </w:tcBorders>
                  <w:noWrap w:val="0"/>
                  <w:vAlign w:val="center"/>
                </w:tcPr>
                <w:p w14:paraId="00750B1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kern w:val="2"/>
                      <w:sz w:val="21"/>
                      <w:szCs w:val="21"/>
                      <w:highlight w:val="none"/>
                      <w:vertAlign w:val="baseline"/>
                      <w:lang w:val="en-US" w:eastAsia="zh-CN" w:bidi="ar-SA"/>
                    </w:rPr>
                    <w:t>0.760</w:t>
                  </w:r>
                </w:p>
              </w:tc>
              <w:tc>
                <w:tcPr>
                  <w:tcW w:w="301" w:type="pct"/>
                  <w:tcBorders>
                    <w:tl2br w:val="nil"/>
                    <w:tr2bl w:val="nil"/>
                  </w:tcBorders>
                  <w:noWrap w:val="0"/>
                  <w:vAlign w:val="center"/>
                </w:tcPr>
                <w:p w14:paraId="762F23B6">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kern w:val="2"/>
                      <w:sz w:val="21"/>
                      <w:szCs w:val="21"/>
                      <w:highlight w:val="none"/>
                      <w:vertAlign w:val="baseline"/>
                      <w:lang w:val="en-US" w:eastAsia="zh-CN" w:bidi="ar-SA"/>
                    </w:rPr>
                    <w:t>5.475</w:t>
                  </w:r>
                </w:p>
              </w:tc>
              <w:tc>
                <w:tcPr>
                  <w:tcW w:w="384" w:type="pct"/>
                  <w:tcBorders>
                    <w:tl2br w:val="nil"/>
                    <w:tr2bl w:val="nil"/>
                  </w:tcBorders>
                  <w:noWrap w:val="0"/>
                  <w:vAlign w:val="center"/>
                </w:tcPr>
                <w:p w14:paraId="14D2EE60">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袋式除尘</w:t>
                  </w:r>
                </w:p>
              </w:tc>
              <w:tc>
                <w:tcPr>
                  <w:tcW w:w="236" w:type="pct"/>
                  <w:tcBorders>
                    <w:tl2br w:val="nil"/>
                    <w:tr2bl w:val="nil"/>
                  </w:tcBorders>
                  <w:noWrap w:val="0"/>
                  <w:vAlign w:val="center"/>
                </w:tcPr>
                <w:p w14:paraId="05C8343B">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95</w:t>
                  </w:r>
                </w:p>
              </w:tc>
              <w:tc>
                <w:tcPr>
                  <w:tcW w:w="311" w:type="pct"/>
                  <w:tcBorders>
                    <w:tl2br w:val="nil"/>
                    <w:tr2bl w:val="nil"/>
                  </w:tcBorders>
                  <w:noWrap w:val="0"/>
                  <w:vAlign w:val="center"/>
                </w:tcPr>
                <w:p w14:paraId="4633A99B">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是</w:t>
                  </w:r>
                </w:p>
              </w:tc>
              <w:tc>
                <w:tcPr>
                  <w:tcW w:w="317" w:type="pct"/>
                  <w:tcBorders>
                    <w:tl2br w:val="nil"/>
                    <w:tr2bl w:val="nil"/>
                  </w:tcBorders>
                  <w:noWrap w:val="0"/>
                  <w:vAlign w:val="center"/>
                </w:tcPr>
                <w:p w14:paraId="4232111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1.90</w:t>
                  </w:r>
                </w:p>
              </w:tc>
              <w:tc>
                <w:tcPr>
                  <w:tcW w:w="317" w:type="pct"/>
                  <w:tcBorders>
                    <w:tl2br w:val="nil"/>
                    <w:tr2bl w:val="nil"/>
                  </w:tcBorders>
                  <w:noWrap w:val="0"/>
                  <w:vAlign w:val="center"/>
                </w:tcPr>
                <w:p w14:paraId="7FD3EE1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0.038</w:t>
                  </w:r>
                </w:p>
              </w:tc>
              <w:tc>
                <w:tcPr>
                  <w:tcW w:w="361" w:type="pct"/>
                  <w:tcBorders>
                    <w:tl2br w:val="nil"/>
                    <w:tr2bl w:val="nil"/>
                  </w:tcBorders>
                  <w:noWrap w:val="0"/>
                  <w:vAlign w:val="center"/>
                </w:tcPr>
                <w:p w14:paraId="0404FC3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0.271</w:t>
                  </w:r>
                </w:p>
              </w:tc>
            </w:tr>
            <w:tr w14:paraId="74EE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4" w:type="pct"/>
                  <w:vMerge w:val="restart"/>
                  <w:tcBorders>
                    <w:tl2br w:val="nil"/>
                    <w:tr2bl w:val="nil"/>
                  </w:tcBorders>
                  <w:noWrap w:val="0"/>
                  <w:vAlign w:val="center"/>
                </w:tcPr>
                <w:p w14:paraId="7F4728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val="0"/>
                      <w:bCs/>
                      <w:color w:val="auto"/>
                      <w:sz w:val="21"/>
                      <w:szCs w:val="21"/>
                      <w:highlight w:val="none"/>
                      <w:lang w:val="en-US" w:eastAsia="zh-CN"/>
                    </w:rPr>
                  </w:pPr>
                  <w:r>
                    <w:rPr>
                      <w:rFonts w:hint="eastAsia"/>
                      <w:b w:val="0"/>
                      <w:bCs/>
                      <w:color w:val="auto"/>
                      <w:sz w:val="21"/>
                      <w:szCs w:val="21"/>
                      <w:highlight w:val="none"/>
                      <w:lang w:val="en-US" w:eastAsia="zh-CN"/>
                    </w:rPr>
                    <w:t>烧结</w:t>
                  </w:r>
                  <w:r>
                    <w:rPr>
                      <w:rFonts w:hint="eastAsia" w:ascii="Times New Roman" w:hAnsi="Times New Roman" w:eastAsia="宋体"/>
                      <w:b w:val="0"/>
                      <w:bCs/>
                      <w:color w:val="auto"/>
                      <w:sz w:val="21"/>
                      <w:szCs w:val="21"/>
                      <w:highlight w:val="none"/>
                      <w:lang w:val="en-US" w:eastAsia="zh-CN"/>
                    </w:rPr>
                    <w:t>及筛分、</w:t>
                  </w:r>
                  <w:r>
                    <w:rPr>
                      <w:rFonts w:hint="eastAsia" w:ascii="Times New Roman" w:hAnsi="Times New Roman" w:eastAsia="宋体" w:cs="Times New Roman"/>
                      <w:color w:val="auto"/>
                      <w:kern w:val="2"/>
                      <w:sz w:val="21"/>
                      <w:szCs w:val="21"/>
                      <w:highlight w:val="none"/>
                      <w:lang w:val="en-US" w:eastAsia="zh-CN" w:bidi="ar-SA"/>
                    </w:rPr>
                    <w:t>磁选</w:t>
                  </w:r>
                  <w:r>
                    <w:rPr>
                      <w:rFonts w:hint="eastAsia" w:ascii="Times New Roman" w:hAnsi="Times New Roman" w:eastAsia="宋体"/>
                      <w:b w:val="0"/>
                      <w:bCs/>
                      <w:color w:val="auto"/>
                      <w:sz w:val="21"/>
                      <w:szCs w:val="21"/>
                      <w:highlight w:val="none"/>
                      <w:lang w:val="en-US" w:eastAsia="zh-CN"/>
                    </w:rPr>
                    <w:t>打包</w:t>
                  </w:r>
                  <w:r>
                    <w:rPr>
                      <w:rFonts w:hint="eastAsia"/>
                      <w:b w:val="0"/>
                      <w:bCs/>
                      <w:color w:val="auto"/>
                      <w:sz w:val="21"/>
                      <w:szCs w:val="21"/>
                      <w:highlight w:val="none"/>
                      <w:lang w:val="en-US" w:eastAsia="zh-CN"/>
                    </w:rPr>
                    <w:t>废气</w:t>
                  </w:r>
                </w:p>
              </w:tc>
              <w:tc>
                <w:tcPr>
                  <w:tcW w:w="292" w:type="pct"/>
                  <w:vMerge w:val="restart"/>
                  <w:tcBorders>
                    <w:tl2br w:val="nil"/>
                    <w:tr2bl w:val="nil"/>
                  </w:tcBorders>
                  <w:noWrap w:val="0"/>
                  <w:vAlign w:val="center"/>
                </w:tcPr>
                <w:p w14:paraId="10BC36D3">
                  <w:pPr>
                    <w:keepNext w:val="0"/>
                    <w:keepLines w:val="0"/>
                    <w:pageBreakBefore w:val="0"/>
                    <w:widowControl/>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DA00</w:t>
                  </w:r>
                  <w:r>
                    <w:rPr>
                      <w:rFonts w:hint="eastAsia" w:ascii="Times New Roman" w:hAnsi="Times New Roman" w:eastAsia="宋体"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rPr>
                    <w:t>排气筒</w:t>
                  </w:r>
                </w:p>
              </w:tc>
              <w:tc>
                <w:tcPr>
                  <w:tcW w:w="262" w:type="pct"/>
                  <w:vMerge w:val="restart"/>
                  <w:tcBorders>
                    <w:tl2br w:val="nil"/>
                    <w:tr2bl w:val="nil"/>
                  </w:tcBorders>
                  <w:noWrap w:val="0"/>
                  <w:vAlign w:val="center"/>
                </w:tcPr>
                <w:p w14:paraId="5657F9A6">
                  <w:pPr>
                    <w:keepNext w:val="0"/>
                    <w:keepLines w:val="0"/>
                    <w:pageBreakBefore w:val="0"/>
                    <w:kinsoku/>
                    <w:wordWrap/>
                    <w:overflowPunct/>
                    <w:topLinePunct w:val="0"/>
                    <w:autoSpaceDE/>
                    <w:autoSpaceDN/>
                    <w:bidi w:val="0"/>
                    <w:adjustRightInd/>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72</w:t>
                  </w:r>
                  <w:r>
                    <w:rPr>
                      <w:rFonts w:hint="default" w:ascii="Times New Roman" w:hAnsi="Times New Roman" w:eastAsia="宋体" w:cs="Times New Roman"/>
                      <w:b w:val="0"/>
                      <w:bCs/>
                      <w:color w:val="auto"/>
                      <w:sz w:val="21"/>
                      <w:szCs w:val="21"/>
                      <w:highlight w:val="none"/>
                    </w:rPr>
                    <w:t>00</w:t>
                  </w:r>
                </w:p>
              </w:tc>
              <w:tc>
                <w:tcPr>
                  <w:tcW w:w="290" w:type="pct"/>
                  <w:vMerge w:val="restart"/>
                  <w:tcBorders>
                    <w:tl2br w:val="nil"/>
                    <w:tr2bl w:val="nil"/>
                  </w:tcBorders>
                  <w:noWrap w:val="0"/>
                  <w:vAlign w:val="center"/>
                </w:tcPr>
                <w:p w14:paraId="78CC03D4">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20000</w:t>
                  </w:r>
                </w:p>
              </w:tc>
              <w:tc>
                <w:tcPr>
                  <w:tcW w:w="297" w:type="pct"/>
                  <w:tcBorders>
                    <w:tl2br w:val="nil"/>
                    <w:tr2bl w:val="nil"/>
                  </w:tcBorders>
                  <w:noWrap w:val="0"/>
                  <w:vAlign w:val="center"/>
                </w:tcPr>
                <w:p w14:paraId="1F7D18C6">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颗粒物</w:t>
                  </w:r>
                </w:p>
              </w:tc>
              <w:tc>
                <w:tcPr>
                  <w:tcW w:w="264" w:type="pct"/>
                  <w:tcBorders>
                    <w:tl2br w:val="nil"/>
                    <w:tr2bl w:val="nil"/>
                  </w:tcBorders>
                  <w:noWrap w:val="0"/>
                  <w:vAlign w:val="center"/>
                </w:tcPr>
                <w:p w14:paraId="6A3E9701">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物料</w:t>
                  </w:r>
                </w:p>
                <w:p w14:paraId="3B271BBE">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衡算</w:t>
                  </w:r>
                </w:p>
              </w:tc>
              <w:tc>
                <w:tcPr>
                  <w:tcW w:w="308" w:type="pct"/>
                  <w:tcBorders>
                    <w:tl2br w:val="nil"/>
                    <w:tr2bl w:val="nil"/>
                  </w:tcBorders>
                  <w:noWrap w:val="0"/>
                  <w:vAlign w:val="center"/>
                </w:tcPr>
                <w:p w14:paraId="0AAF892A">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60" w:type="pct"/>
                  <w:tcBorders>
                    <w:tl2br w:val="nil"/>
                    <w:tr2bl w:val="nil"/>
                  </w:tcBorders>
                  <w:noWrap w:val="0"/>
                  <w:vAlign w:val="center"/>
                </w:tcPr>
                <w:p w14:paraId="6068D3C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40.45</w:t>
                  </w:r>
                </w:p>
              </w:tc>
              <w:tc>
                <w:tcPr>
                  <w:tcW w:w="302" w:type="pct"/>
                  <w:tcBorders>
                    <w:tl2br w:val="nil"/>
                    <w:tr2bl w:val="nil"/>
                  </w:tcBorders>
                  <w:noWrap w:val="0"/>
                  <w:vAlign w:val="center"/>
                </w:tcPr>
                <w:p w14:paraId="5E16C4DE">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0.809</w:t>
                  </w:r>
                </w:p>
              </w:tc>
              <w:tc>
                <w:tcPr>
                  <w:tcW w:w="301" w:type="pct"/>
                  <w:tcBorders>
                    <w:tl2br w:val="nil"/>
                    <w:tr2bl w:val="nil"/>
                  </w:tcBorders>
                  <w:noWrap w:val="0"/>
                  <w:vAlign w:val="center"/>
                </w:tcPr>
                <w:p w14:paraId="45DBED17">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5.828</w:t>
                  </w:r>
                </w:p>
              </w:tc>
              <w:tc>
                <w:tcPr>
                  <w:tcW w:w="384" w:type="pct"/>
                  <w:tcBorders>
                    <w:tl2br w:val="nil"/>
                    <w:tr2bl w:val="nil"/>
                  </w:tcBorders>
                  <w:noWrap w:val="0"/>
                  <w:vAlign w:val="center"/>
                </w:tcPr>
                <w:p w14:paraId="454D466E">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袋式除尘</w:t>
                  </w:r>
                </w:p>
              </w:tc>
              <w:tc>
                <w:tcPr>
                  <w:tcW w:w="236" w:type="pct"/>
                  <w:tcBorders>
                    <w:tl2br w:val="nil"/>
                    <w:tr2bl w:val="nil"/>
                  </w:tcBorders>
                  <w:noWrap w:val="0"/>
                  <w:vAlign w:val="center"/>
                </w:tcPr>
                <w:p w14:paraId="558ED134">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95</w:t>
                  </w:r>
                </w:p>
              </w:tc>
              <w:tc>
                <w:tcPr>
                  <w:tcW w:w="311" w:type="pct"/>
                  <w:tcBorders>
                    <w:tl2br w:val="nil"/>
                    <w:tr2bl w:val="nil"/>
                  </w:tcBorders>
                  <w:noWrap w:val="0"/>
                  <w:vAlign w:val="center"/>
                </w:tcPr>
                <w:p w14:paraId="0ED20828">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是</w:t>
                  </w:r>
                </w:p>
              </w:tc>
              <w:tc>
                <w:tcPr>
                  <w:tcW w:w="317" w:type="pct"/>
                  <w:tcBorders>
                    <w:tl2br w:val="nil"/>
                    <w:tr2bl w:val="nil"/>
                  </w:tcBorders>
                  <w:noWrap w:val="0"/>
                  <w:vAlign w:val="center"/>
                </w:tcPr>
                <w:p w14:paraId="1238645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1.90</w:t>
                  </w:r>
                </w:p>
              </w:tc>
              <w:tc>
                <w:tcPr>
                  <w:tcW w:w="317" w:type="pct"/>
                  <w:tcBorders>
                    <w:tl2br w:val="nil"/>
                    <w:tr2bl w:val="nil"/>
                  </w:tcBorders>
                  <w:noWrap w:val="0"/>
                  <w:vAlign w:val="center"/>
                </w:tcPr>
                <w:p w14:paraId="2769E47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0.038</w:t>
                  </w:r>
                </w:p>
              </w:tc>
              <w:tc>
                <w:tcPr>
                  <w:tcW w:w="361" w:type="pct"/>
                  <w:tcBorders>
                    <w:tl2br w:val="nil"/>
                    <w:tr2bl w:val="nil"/>
                  </w:tcBorders>
                  <w:noWrap w:val="0"/>
                  <w:vAlign w:val="center"/>
                </w:tcPr>
                <w:p w14:paraId="5A18B51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0.271</w:t>
                  </w:r>
                </w:p>
              </w:tc>
            </w:tr>
            <w:tr w14:paraId="12EC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4" w:type="pct"/>
                  <w:vMerge w:val="continue"/>
                  <w:tcBorders>
                    <w:tl2br w:val="nil"/>
                    <w:tr2bl w:val="nil"/>
                  </w:tcBorders>
                  <w:noWrap w:val="0"/>
                  <w:vAlign w:val="center"/>
                </w:tcPr>
                <w:p w14:paraId="37D3E2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val="0"/>
                      <w:bCs/>
                      <w:color w:val="auto"/>
                      <w:sz w:val="21"/>
                      <w:szCs w:val="21"/>
                      <w:highlight w:val="none"/>
                      <w:lang w:val="en-US" w:eastAsia="zh-CN"/>
                    </w:rPr>
                  </w:pPr>
                </w:p>
              </w:tc>
              <w:tc>
                <w:tcPr>
                  <w:tcW w:w="292" w:type="pct"/>
                  <w:vMerge w:val="continue"/>
                  <w:tcBorders>
                    <w:tl2br w:val="nil"/>
                    <w:tr2bl w:val="nil"/>
                  </w:tcBorders>
                  <w:noWrap w:val="0"/>
                  <w:vAlign w:val="center"/>
                </w:tcPr>
                <w:p w14:paraId="441B5447">
                  <w:pPr>
                    <w:keepNext w:val="0"/>
                    <w:keepLines w:val="0"/>
                    <w:pageBreakBefore w:val="0"/>
                    <w:widowControl/>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sz w:val="21"/>
                      <w:szCs w:val="21"/>
                      <w:highlight w:val="none"/>
                    </w:rPr>
                  </w:pPr>
                </w:p>
              </w:tc>
              <w:tc>
                <w:tcPr>
                  <w:tcW w:w="262" w:type="pct"/>
                  <w:vMerge w:val="continue"/>
                  <w:tcBorders>
                    <w:tl2br w:val="nil"/>
                    <w:tr2bl w:val="nil"/>
                  </w:tcBorders>
                  <w:noWrap w:val="0"/>
                  <w:vAlign w:val="center"/>
                </w:tcPr>
                <w:p w14:paraId="500A5C6C">
                  <w:pPr>
                    <w:keepNext w:val="0"/>
                    <w:keepLines w:val="0"/>
                    <w:pageBreakBefore w:val="0"/>
                    <w:kinsoku/>
                    <w:wordWrap/>
                    <w:overflowPunct/>
                    <w:topLinePunct w:val="0"/>
                    <w:autoSpaceDE/>
                    <w:autoSpaceDN/>
                    <w:bidi w:val="0"/>
                    <w:adjustRightInd/>
                    <w:jc w:val="center"/>
                    <w:rPr>
                      <w:rFonts w:hint="eastAsia" w:ascii="Times New Roman" w:hAnsi="Times New Roman" w:eastAsia="宋体" w:cs="Times New Roman"/>
                      <w:b w:val="0"/>
                      <w:bCs/>
                      <w:color w:val="auto"/>
                      <w:sz w:val="21"/>
                      <w:szCs w:val="21"/>
                      <w:highlight w:val="none"/>
                      <w:lang w:val="en-US" w:eastAsia="zh-CN"/>
                    </w:rPr>
                  </w:pPr>
                </w:p>
              </w:tc>
              <w:tc>
                <w:tcPr>
                  <w:tcW w:w="290" w:type="pct"/>
                  <w:vMerge w:val="continue"/>
                  <w:tcBorders>
                    <w:tl2br w:val="nil"/>
                    <w:tr2bl w:val="nil"/>
                  </w:tcBorders>
                  <w:noWrap w:val="0"/>
                  <w:vAlign w:val="center"/>
                </w:tcPr>
                <w:p w14:paraId="0E6ED5ED">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val="en-US" w:eastAsia="zh-CN"/>
                    </w:rPr>
                  </w:pPr>
                </w:p>
              </w:tc>
              <w:tc>
                <w:tcPr>
                  <w:tcW w:w="297" w:type="pct"/>
                  <w:tcBorders>
                    <w:tl2br w:val="nil"/>
                    <w:tr2bl w:val="nil"/>
                  </w:tcBorders>
                  <w:noWrap w:val="0"/>
                  <w:vAlign w:val="center"/>
                </w:tcPr>
                <w:p w14:paraId="20F222BE">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VOCs</w:t>
                  </w:r>
                </w:p>
              </w:tc>
              <w:tc>
                <w:tcPr>
                  <w:tcW w:w="264" w:type="pct"/>
                  <w:tcBorders>
                    <w:tl2br w:val="nil"/>
                    <w:tr2bl w:val="nil"/>
                  </w:tcBorders>
                  <w:noWrap w:val="0"/>
                  <w:vAlign w:val="center"/>
                </w:tcPr>
                <w:p w14:paraId="463DDC83">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系数法</w:t>
                  </w:r>
                </w:p>
              </w:tc>
              <w:tc>
                <w:tcPr>
                  <w:tcW w:w="308" w:type="pct"/>
                  <w:tcBorders>
                    <w:tl2br w:val="nil"/>
                    <w:tr2bl w:val="nil"/>
                  </w:tcBorders>
                  <w:noWrap w:val="0"/>
                  <w:vAlign w:val="center"/>
                </w:tcPr>
                <w:p w14:paraId="328BC636">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60" w:type="pct"/>
                  <w:tcBorders>
                    <w:tl2br w:val="nil"/>
                    <w:tr2bl w:val="nil"/>
                  </w:tcBorders>
                  <w:noWrap w:val="0"/>
                  <w:vAlign w:val="center"/>
                </w:tcPr>
                <w:p w14:paraId="3666DD6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b w:val="0"/>
                      <w:bCs/>
                      <w:i w:val="0"/>
                      <w:iCs w:val="0"/>
                      <w:color w:val="auto"/>
                      <w:kern w:val="0"/>
                      <w:sz w:val="21"/>
                      <w:szCs w:val="21"/>
                      <w:highlight w:val="none"/>
                      <w:u w:val="none"/>
                      <w:lang w:val="en-US" w:eastAsia="zh-CN" w:bidi="ar"/>
                    </w:rPr>
                    <w:t>24.30</w:t>
                  </w:r>
                </w:p>
              </w:tc>
              <w:tc>
                <w:tcPr>
                  <w:tcW w:w="302" w:type="pct"/>
                  <w:tcBorders>
                    <w:tl2br w:val="nil"/>
                    <w:tr2bl w:val="nil"/>
                  </w:tcBorders>
                  <w:noWrap w:val="0"/>
                  <w:vAlign w:val="center"/>
                </w:tcPr>
                <w:p w14:paraId="4BB5B057">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0.486</w:t>
                  </w:r>
                </w:p>
              </w:tc>
              <w:tc>
                <w:tcPr>
                  <w:tcW w:w="301" w:type="pct"/>
                  <w:tcBorders>
                    <w:tl2br w:val="nil"/>
                    <w:tr2bl w:val="nil"/>
                  </w:tcBorders>
                  <w:noWrap w:val="0"/>
                  <w:vAlign w:val="center"/>
                </w:tcPr>
                <w:p w14:paraId="4DDA9346">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b w:val="0"/>
                      <w:bCs/>
                      <w:i w:val="0"/>
                      <w:iCs w:val="0"/>
                      <w:color w:val="auto"/>
                      <w:kern w:val="0"/>
                      <w:sz w:val="21"/>
                      <w:szCs w:val="21"/>
                      <w:highlight w:val="none"/>
                      <w:u w:val="none"/>
                      <w:lang w:val="en-US" w:eastAsia="zh-CN" w:bidi="ar"/>
                    </w:rPr>
                    <w:t>3.50</w:t>
                  </w:r>
                </w:p>
              </w:tc>
              <w:tc>
                <w:tcPr>
                  <w:tcW w:w="384" w:type="pct"/>
                  <w:tcBorders>
                    <w:tl2br w:val="nil"/>
                    <w:tr2bl w:val="nil"/>
                  </w:tcBorders>
                  <w:noWrap w:val="0"/>
                  <w:vAlign w:val="center"/>
                </w:tcPr>
                <w:p w14:paraId="3A916976">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二级活性炭吸附</w:t>
                  </w:r>
                </w:p>
              </w:tc>
              <w:tc>
                <w:tcPr>
                  <w:tcW w:w="236" w:type="pct"/>
                  <w:tcBorders>
                    <w:tl2br w:val="nil"/>
                    <w:tr2bl w:val="nil"/>
                  </w:tcBorders>
                  <w:noWrap w:val="0"/>
                  <w:vAlign w:val="center"/>
                </w:tcPr>
                <w:p w14:paraId="1AD1CAFA">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90</w:t>
                  </w:r>
                </w:p>
              </w:tc>
              <w:tc>
                <w:tcPr>
                  <w:tcW w:w="311" w:type="pct"/>
                  <w:tcBorders>
                    <w:tl2br w:val="nil"/>
                    <w:tr2bl w:val="nil"/>
                  </w:tcBorders>
                  <w:noWrap w:val="0"/>
                  <w:vAlign w:val="center"/>
                </w:tcPr>
                <w:p w14:paraId="545EC330">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是</w:t>
                  </w:r>
                </w:p>
              </w:tc>
              <w:tc>
                <w:tcPr>
                  <w:tcW w:w="317" w:type="pct"/>
                  <w:tcBorders>
                    <w:tl2br w:val="nil"/>
                    <w:tr2bl w:val="nil"/>
                  </w:tcBorders>
                  <w:noWrap w:val="0"/>
                  <w:vAlign w:val="center"/>
                </w:tcPr>
                <w:p w14:paraId="6B8D2BD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b w:val="0"/>
                      <w:bCs/>
                      <w:i w:val="0"/>
                      <w:iCs w:val="0"/>
                      <w:color w:val="auto"/>
                      <w:kern w:val="0"/>
                      <w:sz w:val="21"/>
                      <w:szCs w:val="21"/>
                      <w:highlight w:val="none"/>
                      <w:u w:val="none"/>
                      <w:lang w:val="en-US" w:eastAsia="zh-CN" w:bidi="ar"/>
                    </w:rPr>
                    <w:t>2.20</w:t>
                  </w:r>
                </w:p>
              </w:tc>
              <w:tc>
                <w:tcPr>
                  <w:tcW w:w="317" w:type="pct"/>
                  <w:tcBorders>
                    <w:tl2br w:val="nil"/>
                    <w:tr2bl w:val="nil"/>
                  </w:tcBorders>
                  <w:noWrap w:val="0"/>
                  <w:vAlign w:val="center"/>
                </w:tcPr>
                <w:p w14:paraId="455B981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b w:val="0"/>
                      <w:bCs/>
                      <w:i w:val="0"/>
                      <w:iCs w:val="0"/>
                      <w:color w:val="auto"/>
                      <w:kern w:val="0"/>
                      <w:sz w:val="21"/>
                      <w:szCs w:val="21"/>
                      <w:highlight w:val="none"/>
                      <w:u w:val="none"/>
                      <w:lang w:val="en-US" w:eastAsia="zh-CN" w:bidi="ar"/>
                    </w:rPr>
                    <w:t>0.044</w:t>
                  </w:r>
                </w:p>
              </w:tc>
              <w:tc>
                <w:tcPr>
                  <w:tcW w:w="361" w:type="pct"/>
                  <w:tcBorders>
                    <w:tl2br w:val="nil"/>
                    <w:tr2bl w:val="nil"/>
                  </w:tcBorders>
                  <w:noWrap w:val="0"/>
                  <w:vAlign w:val="center"/>
                </w:tcPr>
                <w:p w14:paraId="670A073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b w:val="0"/>
                      <w:bCs/>
                      <w:i w:val="0"/>
                      <w:iCs w:val="0"/>
                      <w:color w:val="auto"/>
                      <w:kern w:val="0"/>
                      <w:sz w:val="21"/>
                      <w:szCs w:val="21"/>
                      <w:highlight w:val="none"/>
                      <w:u w:val="none"/>
                      <w:lang w:val="en-US" w:eastAsia="zh-CN" w:bidi="ar"/>
                    </w:rPr>
                    <w:t>0.316</w:t>
                  </w:r>
                </w:p>
              </w:tc>
            </w:tr>
            <w:tr w14:paraId="7C38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94" w:type="pct"/>
                  <w:vMerge w:val="restart"/>
                  <w:tcBorders>
                    <w:tl2br w:val="nil"/>
                    <w:tr2bl w:val="nil"/>
                  </w:tcBorders>
                  <w:noWrap w:val="0"/>
                  <w:vAlign w:val="center"/>
                </w:tcPr>
                <w:p w14:paraId="280F3599">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292" w:type="pct"/>
                  <w:vMerge w:val="restart"/>
                  <w:tcBorders>
                    <w:tl2br w:val="nil"/>
                    <w:tr2bl w:val="nil"/>
                  </w:tcBorders>
                  <w:noWrap w:val="0"/>
                  <w:vAlign w:val="center"/>
                </w:tcPr>
                <w:p w14:paraId="163D3AB7">
                  <w:pPr>
                    <w:keepNext w:val="0"/>
                    <w:keepLines w:val="0"/>
                    <w:pageBreakBefore w:val="0"/>
                    <w:widowControl/>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无组织</w:t>
                  </w:r>
                </w:p>
              </w:tc>
              <w:tc>
                <w:tcPr>
                  <w:tcW w:w="262" w:type="pct"/>
                  <w:vMerge w:val="restart"/>
                  <w:tcBorders>
                    <w:tl2br w:val="nil"/>
                    <w:tr2bl w:val="nil"/>
                  </w:tcBorders>
                  <w:noWrap w:val="0"/>
                  <w:vAlign w:val="center"/>
                </w:tcPr>
                <w:p w14:paraId="34789494">
                  <w:pPr>
                    <w:keepNext w:val="0"/>
                    <w:keepLines w:val="0"/>
                    <w:pageBreakBefore w:val="0"/>
                    <w:kinsoku/>
                    <w:wordWrap/>
                    <w:overflowPunct/>
                    <w:topLinePunct w:val="0"/>
                    <w:autoSpaceDE/>
                    <w:autoSpaceDN/>
                    <w:bidi w:val="0"/>
                    <w:adjustRightInd/>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720</w:t>
                  </w:r>
                  <w:r>
                    <w:rPr>
                      <w:rFonts w:hint="default" w:ascii="Times New Roman" w:hAnsi="Times New Roman" w:eastAsia="宋体" w:cs="Times New Roman"/>
                      <w:b w:val="0"/>
                      <w:bCs/>
                      <w:color w:val="auto"/>
                      <w:sz w:val="21"/>
                      <w:szCs w:val="21"/>
                      <w:highlight w:val="none"/>
                    </w:rPr>
                    <w:t>0</w:t>
                  </w:r>
                </w:p>
              </w:tc>
              <w:tc>
                <w:tcPr>
                  <w:tcW w:w="290" w:type="pct"/>
                  <w:vMerge w:val="restart"/>
                  <w:tcBorders>
                    <w:tl2br w:val="nil"/>
                    <w:tr2bl w:val="nil"/>
                  </w:tcBorders>
                  <w:noWrap w:val="0"/>
                  <w:vAlign w:val="center"/>
                </w:tcPr>
                <w:p w14:paraId="256CAF0D">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297" w:type="pct"/>
                  <w:tcBorders>
                    <w:tl2br w:val="nil"/>
                    <w:tr2bl w:val="nil"/>
                  </w:tcBorders>
                  <w:noWrap w:val="0"/>
                  <w:vAlign w:val="center"/>
                </w:tcPr>
                <w:p w14:paraId="58154C75">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kern w:val="0"/>
                      <w:sz w:val="21"/>
                      <w:szCs w:val="21"/>
                      <w:highlight w:val="none"/>
                      <w:lang w:val="en-US" w:eastAsia="zh-CN" w:bidi="ar"/>
                    </w:rPr>
                    <w:t>颗粒物</w:t>
                  </w:r>
                </w:p>
              </w:tc>
              <w:tc>
                <w:tcPr>
                  <w:tcW w:w="264" w:type="pct"/>
                  <w:tcBorders>
                    <w:tl2br w:val="nil"/>
                    <w:tr2bl w:val="nil"/>
                  </w:tcBorders>
                  <w:noWrap w:val="0"/>
                  <w:vAlign w:val="center"/>
                </w:tcPr>
                <w:p w14:paraId="4531159D">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08" w:type="pct"/>
                  <w:tcBorders>
                    <w:tl2br w:val="nil"/>
                    <w:tr2bl w:val="nil"/>
                  </w:tcBorders>
                  <w:noWrap w:val="0"/>
                  <w:vAlign w:val="center"/>
                </w:tcPr>
                <w:p w14:paraId="32252B43">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60" w:type="pct"/>
                  <w:tcBorders>
                    <w:tl2br w:val="nil"/>
                    <w:tr2bl w:val="nil"/>
                  </w:tcBorders>
                  <w:noWrap w:val="0"/>
                  <w:vAlign w:val="center"/>
                </w:tcPr>
                <w:p w14:paraId="6BB8620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02" w:type="pct"/>
                  <w:tcBorders>
                    <w:tl2br w:val="nil"/>
                    <w:tr2bl w:val="nil"/>
                  </w:tcBorders>
                  <w:noWrap w:val="0"/>
                  <w:vAlign w:val="center"/>
                </w:tcPr>
                <w:p w14:paraId="728D9A94">
                  <w:pPr>
                    <w:keepNext w:val="0"/>
                    <w:keepLines w:val="0"/>
                    <w:widowControl/>
                    <w:suppressLineNumbers w:val="0"/>
                    <w:jc w:val="both"/>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kern w:val="2"/>
                      <w:sz w:val="21"/>
                      <w:szCs w:val="21"/>
                      <w:highlight w:val="none"/>
                      <w:vertAlign w:val="baseline"/>
                      <w:lang w:val="en-US" w:eastAsia="zh-CN" w:bidi="ar-SA"/>
                    </w:rPr>
                    <w:t>0.035</w:t>
                  </w:r>
                </w:p>
              </w:tc>
              <w:tc>
                <w:tcPr>
                  <w:tcW w:w="301" w:type="pct"/>
                  <w:tcBorders>
                    <w:tl2br w:val="nil"/>
                    <w:tr2bl w:val="nil"/>
                  </w:tcBorders>
                  <w:noWrap w:val="0"/>
                  <w:vAlign w:val="center"/>
                </w:tcPr>
                <w:p w14:paraId="62A66B06">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i w:val="0"/>
                      <w:iCs w:val="0"/>
                      <w:color w:val="auto"/>
                      <w:kern w:val="0"/>
                      <w:sz w:val="21"/>
                      <w:szCs w:val="21"/>
                      <w:highlight w:val="none"/>
                      <w:u w:val="none"/>
                      <w:lang w:val="en-US" w:eastAsia="zh-CN" w:bidi="ar"/>
                    </w:rPr>
                    <w:t>0.254</w:t>
                  </w:r>
                </w:p>
              </w:tc>
              <w:tc>
                <w:tcPr>
                  <w:tcW w:w="384" w:type="pct"/>
                  <w:vMerge w:val="restart"/>
                  <w:tcBorders>
                    <w:tl2br w:val="nil"/>
                    <w:tr2bl w:val="nil"/>
                  </w:tcBorders>
                  <w:noWrap w:val="0"/>
                  <w:vAlign w:val="center"/>
                </w:tcPr>
                <w:p w14:paraId="1640BC9D">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车间密闭</w:t>
                  </w:r>
                </w:p>
              </w:tc>
              <w:tc>
                <w:tcPr>
                  <w:tcW w:w="236" w:type="pct"/>
                  <w:tcBorders>
                    <w:tl2br w:val="nil"/>
                    <w:tr2bl w:val="nil"/>
                  </w:tcBorders>
                  <w:noWrap w:val="0"/>
                  <w:vAlign w:val="center"/>
                </w:tcPr>
                <w:p w14:paraId="34F123C4">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11" w:type="pct"/>
                  <w:tcBorders>
                    <w:tl2br w:val="nil"/>
                    <w:tr2bl w:val="nil"/>
                  </w:tcBorders>
                  <w:noWrap w:val="0"/>
                  <w:vAlign w:val="center"/>
                </w:tcPr>
                <w:p w14:paraId="228D6956">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17" w:type="pct"/>
                  <w:tcBorders>
                    <w:tl2br w:val="nil"/>
                    <w:tr2bl w:val="nil"/>
                  </w:tcBorders>
                  <w:noWrap w:val="0"/>
                  <w:vAlign w:val="center"/>
                </w:tcPr>
                <w:p w14:paraId="728B716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rPr>
                    <w:t>--</w:t>
                  </w:r>
                </w:p>
              </w:tc>
              <w:tc>
                <w:tcPr>
                  <w:tcW w:w="913" w:type="dxa"/>
                  <w:tcBorders>
                    <w:tl2br w:val="nil"/>
                    <w:tr2bl w:val="nil"/>
                  </w:tcBorders>
                  <w:noWrap w:val="0"/>
                  <w:vAlign w:val="center"/>
                </w:tcPr>
                <w:p w14:paraId="20D3A1AC">
                  <w:pPr>
                    <w:keepNext w:val="0"/>
                    <w:keepLines w:val="0"/>
                    <w:widowControl/>
                    <w:suppressLineNumbers w:val="0"/>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SA"/>
                    </w:rPr>
                    <w:t>0.043</w:t>
                  </w:r>
                </w:p>
              </w:tc>
              <w:tc>
                <w:tcPr>
                  <w:tcW w:w="1041" w:type="dxa"/>
                  <w:tcBorders>
                    <w:tl2br w:val="nil"/>
                    <w:tr2bl w:val="nil"/>
                  </w:tcBorders>
                  <w:noWrap w:val="0"/>
                  <w:vAlign w:val="center"/>
                </w:tcPr>
                <w:p w14:paraId="45521027">
                  <w:pPr>
                    <w:keepNext w:val="0"/>
                    <w:keepLines w:val="0"/>
                    <w:widowControl/>
                    <w:suppressLineNumbers w:val="0"/>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0.307</w:t>
                  </w:r>
                </w:p>
              </w:tc>
            </w:tr>
            <w:tr w14:paraId="35D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394" w:type="pct"/>
                  <w:vMerge w:val="continue"/>
                  <w:tcBorders>
                    <w:tl2br w:val="nil"/>
                    <w:tr2bl w:val="nil"/>
                  </w:tcBorders>
                  <w:noWrap w:val="0"/>
                  <w:vAlign w:val="center"/>
                </w:tcPr>
                <w:p w14:paraId="2D0E96D0">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sz w:val="21"/>
                      <w:szCs w:val="21"/>
                      <w:highlight w:val="none"/>
                      <w:lang w:val="en-US" w:eastAsia="zh-CN"/>
                    </w:rPr>
                  </w:pPr>
                </w:p>
              </w:tc>
              <w:tc>
                <w:tcPr>
                  <w:tcW w:w="292" w:type="pct"/>
                  <w:vMerge w:val="continue"/>
                  <w:tcBorders>
                    <w:tl2br w:val="nil"/>
                    <w:tr2bl w:val="nil"/>
                  </w:tcBorders>
                  <w:noWrap w:val="0"/>
                  <w:vAlign w:val="center"/>
                </w:tcPr>
                <w:p w14:paraId="04ED6CCC">
                  <w:pPr>
                    <w:keepNext w:val="0"/>
                    <w:keepLines w:val="0"/>
                    <w:pageBreakBefore w:val="0"/>
                    <w:widowControl/>
                    <w:kinsoku/>
                    <w:wordWrap/>
                    <w:overflowPunct/>
                    <w:topLinePunct w:val="0"/>
                    <w:autoSpaceDE/>
                    <w:autoSpaceDN/>
                    <w:bidi w:val="0"/>
                    <w:adjustRightInd/>
                    <w:jc w:val="center"/>
                    <w:textAlignment w:val="center"/>
                    <w:rPr>
                      <w:rFonts w:hint="default" w:ascii="Times New Roman" w:hAnsi="Times New Roman" w:eastAsia="宋体" w:cs="Times New Roman"/>
                      <w:b w:val="0"/>
                      <w:bCs/>
                      <w:color w:val="auto"/>
                      <w:sz w:val="21"/>
                      <w:szCs w:val="21"/>
                      <w:highlight w:val="none"/>
                    </w:rPr>
                  </w:pPr>
                </w:p>
              </w:tc>
              <w:tc>
                <w:tcPr>
                  <w:tcW w:w="262" w:type="pct"/>
                  <w:vMerge w:val="continue"/>
                  <w:tcBorders>
                    <w:tl2br w:val="nil"/>
                    <w:tr2bl w:val="nil"/>
                  </w:tcBorders>
                  <w:noWrap w:val="0"/>
                  <w:vAlign w:val="center"/>
                </w:tcPr>
                <w:p w14:paraId="4B1F0D83">
                  <w:pPr>
                    <w:keepNext w:val="0"/>
                    <w:keepLines w:val="0"/>
                    <w:pageBreakBefore w:val="0"/>
                    <w:kinsoku/>
                    <w:wordWrap/>
                    <w:overflowPunct/>
                    <w:topLinePunct w:val="0"/>
                    <w:autoSpaceDE/>
                    <w:autoSpaceDN/>
                    <w:bidi w:val="0"/>
                    <w:adjustRightInd/>
                    <w:jc w:val="center"/>
                    <w:rPr>
                      <w:rFonts w:hint="eastAsia" w:ascii="Times New Roman" w:hAnsi="Times New Roman" w:eastAsia="宋体" w:cs="Times New Roman"/>
                      <w:b w:val="0"/>
                      <w:bCs/>
                      <w:color w:val="auto"/>
                      <w:sz w:val="21"/>
                      <w:szCs w:val="21"/>
                      <w:highlight w:val="none"/>
                      <w:lang w:val="en-US" w:eastAsia="zh-CN"/>
                    </w:rPr>
                  </w:pPr>
                </w:p>
              </w:tc>
              <w:tc>
                <w:tcPr>
                  <w:tcW w:w="290" w:type="pct"/>
                  <w:vMerge w:val="continue"/>
                  <w:tcBorders>
                    <w:tl2br w:val="nil"/>
                    <w:tr2bl w:val="nil"/>
                  </w:tcBorders>
                  <w:noWrap w:val="0"/>
                  <w:vAlign w:val="center"/>
                </w:tcPr>
                <w:p w14:paraId="5A44B8D3">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p>
              </w:tc>
              <w:tc>
                <w:tcPr>
                  <w:tcW w:w="297" w:type="pct"/>
                  <w:tcBorders>
                    <w:tl2br w:val="nil"/>
                    <w:tr2bl w:val="nil"/>
                  </w:tcBorders>
                  <w:noWrap w:val="0"/>
                  <w:vAlign w:val="center"/>
                </w:tcPr>
                <w:p w14:paraId="0D82202B">
                  <w:pPr>
                    <w:pStyle w:val="103"/>
                    <w:keepNext w:val="0"/>
                    <w:keepLines w:val="0"/>
                    <w:pageBreakBefore w:val="0"/>
                    <w:kinsoku/>
                    <w:wordWrap/>
                    <w:overflowPunct/>
                    <w:topLinePunct w:val="0"/>
                    <w:autoSpaceDE/>
                    <w:autoSpaceDN/>
                    <w:bidi w:val="0"/>
                    <w:adjustRightInd/>
                    <w:rPr>
                      <w:rFonts w:hint="eastAsia" w:ascii="Times New Roman" w:hAnsi="Times New Roman" w:eastAsia="宋体" w:cs="Times New Roman"/>
                      <w:b w:val="0"/>
                      <w:bCs/>
                      <w:color w:val="auto"/>
                      <w:kern w:val="0"/>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rPr>
                    <w:t>VOCs</w:t>
                  </w:r>
                </w:p>
              </w:tc>
              <w:tc>
                <w:tcPr>
                  <w:tcW w:w="264" w:type="pct"/>
                  <w:tcBorders>
                    <w:tl2br w:val="nil"/>
                    <w:tr2bl w:val="nil"/>
                  </w:tcBorders>
                  <w:noWrap w:val="0"/>
                  <w:vAlign w:val="center"/>
                </w:tcPr>
                <w:p w14:paraId="2ACE457E">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08" w:type="pct"/>
                  <w:tcBorders>
                    <w:tl2br w:val="nil"/>
                    <w:tr2bl w:val="nil"/>
                  </w:tcBorders>
                  <w:noWrap w:val="0"/>
                  <w:vAlign w:val="center"/>
                </w:tcPr>
                <w:p w14:paraId="6891D45A">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60" w:type="pct"/>
                  <w:tcBorders>
                    <w:tl2br w:val="nil"/>
                    <w:tr2bl w:val="nil"/>
                  </w:tcBorders>
                  <w:noWrap w:val="0"/>
                  <w:vAlign w:val="center"/>
                </w:tcPr>
                <w:p w14:paraId="329E1D3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rPr>
                    <w:t>--</w:t>
                  </w:r>
                </w:p>
              </w:tc>
              <w:tc>
                <w:tcPr>
                  <w:tcW w:w="302" w:type="pct"/>
                  <w:tcBorders>
                    <w:tl2br w:val="nil"/>
                    <w:tr2bl w:val="nil"/>
                  </w:tcBorders>
                  <w:noWrap w:val="0"/>
                  <w:vAlign w:val="center"/>
                </w:tcPr>
                <w:p w14:paraId="4A607688">
                  <w:pPr>
                    <w:keepNext w:val="0"/>
                    <w:keepLines w:val="0"/>
                    <w:widowControl/>
                    <w:suppressLineNumbers w:val="0"/>
                    <w:jc w:val="both"/>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kern w:val="2"/>
                      <w:sz w:val="21"/>
                      <w:szCs w:val="21"/>
                      <w:highlight w:val="none"/>
                      <w:vertAlign w:val="baseline"/>
                      <w:lang w:val="en-US" w:eastAsia="zh-CN" w:bidi="ar-SA"/>
                    </w:rPr>
                    <w:t>0.048</w:t>
                  </w:r>
                </w:p>
              </w:tc>
              <w:tc>
                <w:tcPr>
                  <w:tcW w:w="301" w:type="pct"/>
                  <w:tcBorders>
                    <w:tl2br w:val="nil"/>
                    <w:tr2bl w:val="nil"/>
                  </w:tcBorders>
                  <w:noWrap w:val="0"/>
                  <w:vAlign w:val="center"/>
                </w:tcPr>
                <w:p w14:paraId="2DF4E2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0.350</w:t>
                  </w:r>
                </w:p>
              </w:tc>
              <w:tc>
                <w:tcPr>
                  <w:tcW w:w="384" w:type="pct"/>
                  <w:vMerge w:val="continue"/>
                  <w:tcBorders>
                    <w:tl2br w:val="nil"/>
                    <w:tr2bl w:val="nil"/>
                  </w:tcBorders>
                  <w:noWrap w:val="0"/>
                  <w:vAlign w:val="center"/>
                </w:tcPr>
                <w:p w14:paraId="6052CFFC">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p>
              </w:tc>
              <w:tc>
                <w:tcPr>
                  <w:tcW w:w="680" w:type="dxa"/>
                  <w:tcBorders>
                    <w:tl2br w:val="nil"/>
                    <w:tr2bl w:val="nil"/>
                  </w:tcBorders>
                  <w:noWrap w:val="0"/>
                  <w:vAlign w:val="center"/>
                </w:tcPr>
                <w:p w14:paraId="674F05F2">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896" w:type="dxa"/>
                  <w:tcBorders>
                    <w:tl2br w:val="nil"/>
                    <w:tr2bl w:val="nil"/>
                  </w:tcBorders>
                  <w:noWrap w:val="0"/>
                  <w:vAlign w:val="center"/>
                </w:tcPr>
                <w:p w14:paraId="238A22B8">
                  <w:pPr>
                    <w:pStyle w:val="103"/>
                    <w:keepNext w:val="0"/>
                    <w:keepLines w:val="0"/>
                    <w:pageBreakBefore w:val="0"/>
                    <w:kinsoku/>
                    <w:wordWrap/>
                    <w:overflowPunct/>
                    <w:topLinePunct w:val="0"/>
                    <w:autoSpaceDE/>
                    <w:autoSpaceDN/>
                    <w:bidi w:val="0"/>
                    <w:adjustRightInd/>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317" w:type="pct"/>
                  <w:tcBorders>
                    <w:tl2br w:val="nil"/>
                    <w:tr2bl w:val="nil"/>
                  </w:tcBorders>
                  <w:noWrap w:val="0"/>
                  <w:vAlign w:val="center"/>
                </w:tcPr>
                <w:p w14:paraId="065726E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i w:val="0"/>
                      <w:iCs w:val="0"/>
                      <w:color w:val="auto"/>
                      <w:kern w:val="0"/>
                      <w:sz w:val="21"/>
                      <w:szCs w:val="21"/>
                      <w:highlight w:val="none"/>
                      <w:u w:val="none"/>
                      <w:lang w:val="en-US" w:eastAsia="zh-CN" w:bidi="ar"/>
                    </w:rPr>
                  </w:pPr>
                  <w:r>
                    <w:rPr>
                      <w:rFonts w:hint="default" w:ascii="Times New Roman" w:hAnsi="Times New Roman" w:eastAsia="宋体" w:cs="Times New Roman"/>
                      <w:b w:val="0"/>
                      <w:bCs/>
                      <w:color w:val="auto"/>
                      <w:sz w:val="21"/>
                      <w:szCs w:val="21"/>
                      <w:highlight w:val="none"/>
                    </w:rPr>
                    <w:t>--</w:t>
                  </w:r>
                </w:p>
              </w:tc>
              <w:tc>
                <w:tcPr>
                  <w:tcW w:w="913" w:type="dxa"/>
                  <w:tcBorders>
                    <w:tl2br w:val="nil"/>
                    <w:tr2bl w:val="nil"/>
                  </w:tcBorders>
                  <w:noWrap w:val="0"/>
                  <w:vAlign w:val="center"/>
                </w:tcPr>
                <w:p w14:paraId="082F41F7">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b w:val="0"/>
                      <w:bCs/>
                      <w:color w:val="auto"/>
                      <w:kern w:val="2"/>
                      <w:sz w:val="21"/>
                      <w:szCs w:val="21"/>
                      <w:highlight w:val="none"/>
                      <w:vertAlign w:val="baseline"/>
                      <w:lang w:val="en-US" w:eastAsia="zh-CN" w:bidi="ar-SA"/>
                    </w:rPr>
                    <w:t>0.048</w:t>
                  </w:r>
                </w:p>
              </w:tc>
              <w:tc>
                <w:tcPr>
                  <w:tcW w:w="1041" w:type="dxa"/>
                  <w:tcBorders>
                    <w:tl2br w:val="nil"/>
                    <w:tr2bl w:val="nil"/>
                  </w:tcBorders>
                  <w:noWrap w:val="0"/>
                  <w:vAlign w:val="center"/>
                </w:tcPr>
                <w:p w14:paraId="343FAEB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0.350</w:t>
                  </w:r>
                </w:p>
              </w:tc>
            </w:tr>
          </w:tbl>
          <w:p w14:paraId="121C7BA0">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项目有组织废气污染源参数一览表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602"/>
              <w:gridCol w:w="1230"/>
              <w:gridCol w:w="1530"/>
              <w:gridCol w:w="1465"/>
              <w:gridCol w:w="1320"/>
              <w:gridCol w:w="2122"/>
              <w:gridCol w:w="1421"/>
              <w:gridCol w:w="1410"/>
            </w:tblGrid>
            <w:tr w14:paraId="68F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2" w:type="dxa"/>
                  <w:vMerge w:val="restart"/>
                  <w:tcBorders>
                    <w:tl2br w:val="nil"/>
                    <w:tr2bl w:val="nil"/>
                  </w:tcBorders>
                  <w:noWrap/>
                  <w:vAlign w:val="center"/>
                </w:tcPr>
                <w:p w14:paraId="305551A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编号</w:t>
                  </w:r>
                </w:p>
              </w:tc>
              <w:tc>
                <w:tcPr>
                  <w:tcW w:w="1602" w:type="dxa"/>
                  <w:vMerge w:val="restart"/>
                  <w:tcBorders>
                    <w:tl2br w:val="nil"/>
                    <w:tr2bl w:val="nil"/>
                  </w:tcBorders>
                  <w:noWrap/>
                  <w:vAlign w:val="center"/>
                </w:tcPr>
                <w:p w14:paraId="0C9B92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名称</w:t>
                  </w:r>
                </w:p>
              </w:tc>
              <w:tc>
                <w:tcPr>
                  <w:tcW w:w="1230" w:type="dxa"/>
                  <w:vMerge w:val="restart"/>
                  <w:tcBorders>
                    <w:tl2br w:val="nil"/>
                    <w:tr2bl w:val="nil"/>
                  </w:tcBorders>
                  <w:noWrap/>
                  <w:vAlign w:val="center"/>
                </w:tcPr>
                <w:p w14:paraId="731C625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污染物因子</w:t>
                  </w:r>
                </w:p>
              </w:tc>
              <w:tc>
                <w:tcPr>
                  <w:tcW w:w="3970" w:type="dxa"/>
                  <w:gridSpan w:val="2"/>
                  <w:tcBorders>
                    <w:tl2br w:val="nil"/>
                    <w:tr2bl w:val="nil"/>
                  </w:tcBorders>
                  <w:noWrap w:val="0"/>
                  <w:vAlign w:val="center"/>
                </w:tcPr>
                <w:p w14:paraId="1A8648C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地理坐标</w:t>
                  </w:r>
                </w:p>
              </w:tc>
              <w:tc>
                <w:tcPr>
                  <w:tcW w:w="1740" w:type="dxa"/>
                  <w:vMerge w:val="restart"/>
                  <w:tcBorders>
                    <w:tl2br w:val="nil"/>
                    <w:tr2bl w:val="nil"/>
                  </w:tcBorders>
                  <w:noWrap w:val="0"/>
                  <w:vAlign w:val="center"/>
                </w:tcPr>
                <w:p w14:paraId="4C3C389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排气筒高度m</w:t>
                  </w:r>
                </w:p>
              </w:tc>
              <w:tc>
                <w:tcPr>
                  <w:tcW w:w="2122" w:type="dxa"/>
                  <w:vMerge w:val="restart"/>
                  <w:tcBorders>
                    <w:tl2br w:val="nil"/>
                    <w:tr2bl w:val="nil"/>
                  </w:tcBorders>
                  <w:noWrap/>
                  <w:vAlign w:val="center"/>
                </w:tcPr>
                <w:p w14:paraId="37EFFD8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排气筒出口内径m</w:t>
                  </w:r>
                </w:p>
              </w:tc>
              <w:tc>
                <w:tcPr>
                  <w:tcW w:w="1421" w:type="dxa"/>
                  <w:vMerge w:val="restart"/>
                  <w:tcBorders>
                    <w:tl2br w:val="nil"/>
                    <w:tr2bl w:val="nil"/>
                  </w:tcBorders>
                  <w:noWrap/>
                  <w:vAlign w:val="center"/>
                </w:tcPr>
                <w:p w14:paraId="16762EE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烟气温度℃</w:t>
                  </w:r>
                </w:p>
              </w:tc>
              <w:tc>
                <w:tcPr>
                  <w:tcW w:w="1409" w:type="dxa"/>
                  <w:vMerge w:val="restart"/>
                  <w:tcBorders>
                    <w:tl2br w:val="nil"/>
                    <w:tr2bl w:val="nil"/>
                  </w:tcBorders>
                  <w:noWrap/>
                  <w:vAlign w:val="center"/>
                </w:tcPr>
                <w:p w14:paraId="1DC4C67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类型</w:t>
                  </w:r>
                </w:p>
              </w:tc>
            </w:tr>
            <w:tr w14:paraId="7AEB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 w:type="dxa"/>
                  <w:vMerge w:val="continue"/>
                  <w:tcBorders>
                    <w:tl2br w:val="nil"/>
                    <w:tr2bl w:val="nil"/>
                  </w:tcBorders>
                  <w:noWrap w:val="0"/>
                  <w:vAlign w:val="center"/>
                </w:tcPr>
                <w:p w14:paraId="5454E22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602" w:type="dxa"/>
                  <w:vMerge w:val="continue"/>
                  <w:tcBorders>
                    <w:tl2br w:val="nil"/>
                    <w:tr2bl w:val="nil"/>
                  </w:tcBorders>
                  <w:noWrap w:val="0"/>
                  <w:vAlign w:val="center"/>
                </w:tcPr>
                <w:p w14:paraId="11B5602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230" w:type="dxa"/>
                  <w:vMerge w:val="continue"/>
                  <w:tcBorders>
                    <w:tl2br w:val="nil"/>
                    <w:tr2bl w:val="nil"/>
                  </w:tcBorders>
                  <w:noWrap w:val="0"/>
                  <w:vAlign w:val="center"/>
                </w:tcPr>
                <w:p w14:paraId="111C2F9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2030" w:type="dxa"/>
                  <w:tcBorders>
                    <w:tl2br w:val="nil"/>
                    <w:tr2bl w:val="nil"/>
                  </w:tcBorders>
                  <w:noWrap w:val="0"/>
                  <w:vAlign w:val="center"/>
                </w:tcPr>
                <w:p w14:paraId="2AEA783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经度</w:t>
                  </w:r>
                </w:p>
              </w:tc>
              <w:tc>
                <w:tcPr>
                  <w:tcW w:w="1940" w:type="dxa"/>
                  <w:tcBorders>
                    <w:tl2br w:val="nil"/>
                    <w:tr2bl w:val="nil"/>
                  </w:tcBorders>
                  <w:noWrap w:val="0"/>
                  <w:vAlign w:val="center"/>
                </w:tcPr>
                <w:p w14:paraId="64A7F28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纬度</w:t>
                  </w:r>
                </w:p>
              </w:tc>
              <w:tc>
                <w:tcPr>
                  <w:tcW w:w="1740" w:type="dxa"/>
                  <w:vMerge w:val="continue"/>
                  <w:tcBorders>
                    <w:tl2br w:val="nil"/>
                    <w:tr2bl w:val="nil"/>
                  </w:tcBorders>
                  <w:noWrap w:val="0"/>
                  <w:vAlign w:val="center"/>
                </w:tcPr>
                <w:p w14:paraId="3213F4D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2122" w:type="dxa"/>
                  <w:vMerge w:val="continue"/>
                  <w:tcBorders>
                    <w:tl2br w:val="nil"/>
                    <w:tr2bl w:val="nil"/>
                  </w:tcBorders>
                  <w:noWrap w:val="0"/>
                  <w:vAlign w:val="center"/>
                </w:tcPr>
                <w:p w14:paraId="2E00E33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421" w:type="dxa"/>
                  <w:vMerge w:val="continue"/>
                  <w:tcBorders>
                    <w:tl2br w:val="nil"/>
                    <w:tr2bl w:val="nil"/>
                  </w:tcBorders>
                  <w:noWrap w:val="0"/>
                  <w:vAlign w:val="center"/>
                </w:tcPr>
                <w:p w14:paraId="2484FA3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409" w:type="dxa"/>
                  <w:vMerge w:val="continue"/>
                  <w:tcBorders>
                    <w:tl2br w:val="nil"/>
                    <w:tr2bl w:val="nil"/>
                  </w:tcBorders>
                  <w:noWrap w:val="0"/>
                  <w:vAlign w:val="center"/>
                </w:tcPr>
                <w:p w14:paraId="560A812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r>
            <w:tr w14:paraId="0F2E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2" w:type="dxa"/>
                  <w:tcBorders>
                    <w:tl2br w:val="nil"/>
                    <w:tr2bl w:val="nil"/>
                  </w:tcBorders>
                  <w:noWrap/>
                  <w:vAlign w:val="center"/>
                </w:tcPr>
                <w:p w14:paraId="059E90C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DA001</w:t>
                  </w:r>
                </w:p>
              </w:tc>
              <w:tc>
                <w:tcPr>
                  <w:tcW w:w="1602" w:type="dxa"/>
                  <w:tcBorders>
                    <w:tl2br w:val="nil"/>
                    <w:tr2bl w:val="nil"/>
                  </w:tcBorders>
                  <w:noWrap/>
                  <w:vAlign w:val="center"/>
                </w:tcPr>
                <w:p w14:paraId="11B81A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b w:val="0"/>
                      <w:bCs/>
                      <w:color w:val="auto"/>
                      <w:sz w:val="21"/>
                      <w:szCs w:val="21"/>
                      <w:highlight w:val="none"/>
                      <w:lang w:val="en-US" w:eastAsia="zh-CN"/>
                    </w:rPr>
                    <w:t>打磨粉尘</w:t>
                  </w:r>
                </w:p>
              </w:tc>
              <w:tc>
                <w:tcPr>
                  <w:tcW w:w="1230" w:type="dxa"/>
                  <w:tcBorders>
                    <w:tl2br w:val="nil"/>
                    <w:tr2bl w:val="nil"/>
                  </w:tcBorders>
                  <w:noWrap/>
                  <w:vAlign w:val="center"/>
                </w:tcPr>
                <w:p w14:paraId="6EF1CDA3">
                  <w:pPr>
                    <w:pStyle w:val="103"/>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2030" w:type="dxa"/>
                  <w:tcBorders>
                    <w:tl2br w:val="nil"/>
                    <w:tr2bl w:val="nil"/>
                  </w:tcBorders>
                  <w:noWrap w:val="0"/>
                  <w:vAlign w:val="center"/>
                </w:tcPr>
                <w:p w14:paraId="65C4672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117°23'14.881"E</w:t>
                  </w:r>
                </w:p>
              </w:tc>
              <w:tc>
                <w:tcPr>
                  <w:tcW w:w="1940" w:type="dxa"/>
                  <w:tcBorders>
                    <w:tl2br w:val="nil"/>
                    <w:tr2bl w:val="nil"/>
                  </w:tcBorders>
                  <w:noWrap w:val="0"/>
                  <w:vAlign w:val="center"/>
                </w:tcPr>
                <w:p w14:paraId="4ABB878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35°38'59.798"N</w:t>
                  </w:r>
                </w:p>
              </w:tc>
              <w:tc>
                <w:tcPr>
                  <w:tcW w:w="1740" w:type="dxa"/>
                  <w:tcBorders>
                    <w:tl2br w:val="nil"/>
                    <w:tr2bl w:val="nil"/>
                  </w:tcBorders>
                  <w:noWrap w:val="0"/>
                  <w:vAlign w:val="center"/>
                </w:tcPr>
                <w:p w14:paraId="0149948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15</w:t>
                  </w:r>
                </w:p>
              </w:tc>
              <w:tc>
                <w:tcPr>
                  <w:tcW w:w="2122" w:type="dxa"/>
                  <w:tcBorders>
                    <w:tl2br w:val="nil"/>
                    <w:tr2bl w:val="nil"/>
                  </w:tcBorders>
                  <w:noWrap/>
                  <w:vAlign w:val="center"/>
                </w:tcPr>
                <w:p w14:paraId="08C9ACB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0.8</w:t>
                  </w:r>
                </w:p>
              </w:tc>
              <w:tc>
                <w:tcPr>
                  <w:tcW w:w="1421" w:type="dxa"/>
                  <w:tcBorders>
                    <w:tl2br w:val="nil"/>
                    <w:tr2bl w:val="nil"/>
                  </w:tcBorders>
                  <w:noWrap/>
                  <w:vAlign w:val="center"/>
                </w:tcPr>
                <w:p w14:paraId="6929212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常温</w:t>
                  </w:r>
                </w:p>
              </w:tc>
              <w:tc>
                <w:tcPr>
                  <w:tcW w:w="1409" w:type="dxa"/>
                  <w:tcBorders>
                    <w:tl2br w:val="nil"/>
                    <w:tr2bl w:val="nil"/>
                  </w:tcBorders>
                  <w:noWrap/>
                  <w:vAlign w:val="center"/>
                </w:tcPr>
                <w:p w14:paraId="5C5C691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一般排放口</w:t>
                  </w:r>
                </w:p>
              </w:tc>
            </w:tr>
            <w:tr w14:paraId="2230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2" w:type="dxa"/>
                  <w:vMerge w:val="restart"/>
                  <w:tcBorders>
                    <w:tl2br w:val="nil"/>
                    <w:tr2bl w:val="nil"/>
                  </w:tcBorders>
                  <w:noWrap/>
                  <w:vAlign w:val="center"/>
                </w:tcPr>
                <w:p w14:paraId="6CA75EC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DA00</w:t>
                  </w:r>
                  <w:r>
                    <w:rPr>
                      <w:rFonts w:hint="eastAsia" w:ascii="Times New Roman" w:hAnsi="Times New Roman" w:eastAsia="宋体" w:cs="Times New Roman"/>
                      <w:b w:val="0"/>
                      <w:bCs w:val="0"/>
                      <w:color w:val="auto"/>
                      <w:sz w:val="21"/>
                      <w:szCs w:val="21"/>
                      <w:highlight w:val="none"/>
                      <w:lang w:val="en-US" w:eastAsia="zh-CN"/>
                    </w:rPr>
                    <w:t>2</w:t>
                  </w:r>
                </w:p>
              </w:tc>
              <w:tc>
                <w:tcPr>
                  <w:tcW w:w="1602" w:type="dxa"/>
                  <w:vMerge w:val="restart"/>
                  <w:tcBorders>
                    <w:tl2br w:val="nil"/>
                    <w:tr2bl w:val="nil"/>
                  </w:tcBorders>
                  <w:noWrap/>
                  <w:vAlign w:val="center"/>
                </w:tcPr>
                <w:p w14:paraId="2500E6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val="0"/>
                      <w:bCs w:val="0"/>
                      <w:color w:val="auto"/>
                      <w:sz w:val="21"/>
                      <w:szCs w:val="21"/>
                      <w:highlight w:val="none"/>
                      <w:lang w:val="en-US" w:eastAsia="zh-CN"/>
                    </w:rPr>
                  </w:pPr>
                  <w:r>
                    <w:rPr>
                      <w:rFonts w:hint="eastAsia"/>
                      <w:b w:val="0"/>
                      <w:bCs/>
                      <w:color w:val="auto"/>
                      <w:sz w:val="21"/>
                      <w:szCs w:val="21"/>
                      <w:highlight w:val="none"/>
                      <w:lang w:val="en-US" w:eastAsia="zh-CN"/>
                    </w:rPr>
                    <w:t>烧结</w:t>
                  </w:r>
                  <w:r>
                    <w:rPr>
                      <w:rFonts w:hint="eastAsia" w:ascii="Times New Roman" w:hAnsi="Times New Roman" w:eastAsia="宋体"/>
                      <w:b w:val="0"/>
                      <w:bCs/>
                      <w:color w:val="auto"/>
                      <w:sz w:val="21"/>
                      <w:szCs w:val="21"/>
                      <w:highlight w:val="none"/>
                      <w:lang w:val="en-US" w:eastAsia="zh-CN"/>
                    </w:rPr>
                    <w:t>及</w:t>
                  </w:r>
                  <w:r>
                    <w:rPr>
                      <w:rFonts w:hint="eastAsia" w:ascii="Times New Roman" w:hAnsi="Times New Roman" w:eastAsia="宋体" w:cs="Times New Roman"/>
                      <w:color w:val="auto"/>
                      <w:kern w:val="2"/>
                      <w:sz w:val="21"/>
                      <w:szCs w:val="21"/>
                      <w:highlight w:val="none"/>
                      <w:lang w:val="en-US" w:eastAsia="zh-CN" w:bidi="ar-SA"/>
                    </w:rPr>
                    <w:t>磁选、</w:t>
                  </w:r>
                  <w:r>
                    <w:rPr>
                      <w:rFonts w:hint="eastAsia" w:ascii="Times New Roman" w:hAnsi="Times New Roman" w:eastAsia="宋体"/>
                      <w:b w:val="0"/>
                      <w:bCs/>
                      <w:color w:val="auto"/>
                      <w:sz w:val="21"/>
                      <w:szCs w:val="21"/>
                      <w:highlight w:val="none"/>
                      <w:lang w:val="en-US" w:eastAsia="zh-CN"/>
                    </w:rPr>
                    <w:t>筛分、打包</w:t>
                  </w:r>
                  <w:r>
                    <w:rPr>
                      <w:rFonts w:hint="eastAsia"/>
                      <w:b w:val="0"/>
                      <w:bCs/>
                      <w:color w:val="auto"/>
                      <w:sz w:val="21"/>
                      <w:szCs w:val="21"/>
                      <w:highlight w:val="none"/>
                      <w:lang w:val="en-US" w:eastAsia="zh-CN"/>
                    </w:rPr>
                    <w:t>废气</w:t>
                  </w:r>
                </w:p>
              </w:tc>
              <w:tc>
                <w:tcPr>
                  <w:tcW w:w="1230" w:type="dxa"/>
                  <w:tcBorders>
                    <w:tl2br w:val="nil"/>
                    <w:tr2bl w:val="nil"/>
                  </w:tcBorders>
                  <w:noWrap/>
                  <w:vAlign w:val="center"/>
                </w:tcPr>
                <w:p w14:paraId="49232574">
                  <w:pPr>
                    <w:pStyle w:val="103"/>
                    <w:keepNext w:val="0"/>
                    <w:keepLines w:val="0"/>
                    <w:pageBreakBefore w:val="0"/>
                    <w:widowControl w:val="0"/>
                    <w:kinsoku/>
                    <w:wordWrap/>
                    <w:overflowPunct/>
                    <w:topLinePunct w:val="0"/>
                    <w:autoSpaceDE/>
                    <w:autoSpaceDN/>
                    <w:bidi w:val="0"/>
                    <w:adjustRightInd/>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2030" w:type="dxa"/>
                  <w:vMerge w:val="restart"/>
                  <w:tcBorders>
                    <w:tl2br w:val="nil"/>
                    <w:tr2bl w:val="nil"/>
                  </w:tcBorders>
                  <w:noWrap w:val="0"/>
                  <w:vAlign w:val="center"/>
                </w:tcPr>
                <w:p w14:paraId="06E52CD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117°23'14.881"E</w:t>
                  </w:r>
                </w:p>
              </w:tc>
              <w:tc>
                <w:tcPr>
                  <w:tcW w:w="1940" w:type="dxa"/>
                  <w:vMerge w:val="restart"/>
                  <w:tcBorders>
                    <w:tl2br w:val="nil"/>
                    <w:tr2bl w:val="nil"/>
                  </w:tcBorders>
                  <w:noWrap w:val="0"/>
                  <w:vAlign w:val="center"/>
                </w:tcPr>
                <w:p w14:paraId="245D689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35°38'59.798"N</w:t>
                  </w:r>
                </w:p>
              </w:tc>
              <w:tc>
                <w:tcPr>
                  <w:tcW w:w="1740" w:type="dxa"/>
                  <w:vMerge w:val="restart"/>
                  <w:tcBorders>
                    <w:tl2br w:val="nil"/>
                    <w:tr2bl w:val="nil"/>
                  </w:tcBorders>
                  <w:noWrap w:val="0"/>
                  <w:vAlign w:val="center"/>
                </w:tcPr>
                <w:p w14:paraId="7029C06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15</w:t>
                  </w:r>
                </w:p>
              </w:tc>
              <w:tc>
                <w:tcPr>
                  <w:tcW w:w="2122" w:type="dxa"/>
                  <w:vMerge w:val="restart"/>
                  <w:tcBorders>
                    <w:tl2br w:val="nil"/>
                    <w:tr2bl w:val="nil"/>
                  </w:tcBorders>
                  <w:noWrap/>
                  <w:vAlign w:val="center"/>
                </w:tcPr>
                <w:p w14:paraId="25F5B37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0.8</w:t>
                  </w:r>
                </w:p>
              </w:tc>
              <w:tc>
                <w:tcPr>
                  <w:tcW w:w="1421" w:type="dxa"/>
                  <w:vMerge w:val="restart"/>
                  <w:tcBorders>
                    <w:tl2br w:val="nil"/>
                    <w:tr2bl w:val="nil"/>
                  </w:tcBorders>
                  <w:noWrap/>
                  <w:vAlign w:val="center"/>
                </w:tcPr>
                <w:p w14:paraId="4C0EE17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常温</w:t>
                  </w:r>
                </w:p>
              </w:tc>
              <w:tc>
                <w:tcPr>
                  <w:tcW w:w="1409" w:type="dxa"/>
                  <w:vMerge w:val="restart"/>
                  <w:tcBorders>
                    <w:tl2br w:val="nil"/>
                    <w:tr2bl w:val="nil"/>
                  </w:tcBorders>
                  <w:noWrap/>
                  <w:vAlign w:val="center"/>
                </w:tcPr>
                <w:p w14:paraId="16E7514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一般排放口</w:t>
                  </w:r>
                </w:p>
              </w:tc>
            </w:tr>
            <w:tr w14:paraId="5E45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2" w:type="dxa"/>
                  <w:vMerge w:val="continue"/>
                  <w:tcBorders>
                    <w:tl2br w:val="nil"/>
                    <w:tr2bl w:val="nil"/>
                  </w:tcBorders>
                  <w:noWrap/>
                  <w:vAlign w:val="center"/>
                </w:tcPr>
                <w:p w14:paraId="6605C18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602" w:type="dxa"/>
                  <w:vMerge w:val="continue"/>
                  <w:tcBorders>
                    <w:tl2br w:val="nil"/>
                    <w:tr2bl w:val="nil"/>
                  </w:tcBorders>
                  <w:noWrap/>
                  <w:vAlign w:val="center"/>
                </w:tcPr>
                <w:p w14:paraId="41428C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val="0"/>
                      <w:bCs/>
                      <w:color w:val="auto"/>
                      <w:sz w:val="21"/>
                      <w:szCs w:val="21"/>
                      <w:highlight w:val="none"/>
                      <w:lang w:val="en-US" w:eastAsia="zh-CN"/>
                    </w:rPr>
                  </w:pPr>
                </w:p>
              </w:tc>
              <w:tc>
                <w:tcPr>
                  <w:tcW w:w="1230" w:type="dxa"/>
                  <w:tcBorders>
                    <w:tl2br w:val="nil"/>
                    <w:tr2bl w:val="nil"/>
                  </w:tcBorders>
                  <w:noWrap/>
                  <w:vAlign w:val="center"/>
                </w:tcPr>
                <w:p w14:paraId="29361F36">
                  <w:pPr>
                    <w:pStyle w:val="103"/>
                    <w:keepNext w:val="0"/>
                    <w:keepLines w:val="0"/>
                    <w:pageBreakBefore w:val="0"/>
                    <w:widowControl w:val="0"/>
                    <w:kinsoku/>
                    <w:wordWrap/>
                    <w:overflowPunct/>
                    <w:topLinePunct w:val="0"/>
                    <w:autoSpaceDE/>
                    <w:autoSpaceDN/>
                    <w:bidi w:val="0"/>
                    <w:adjustRightInd/>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VOCs</w:t>
                  </w:r>
                </w:p>
              </w:tc>
              <w:tc>
                <w:tcPr>
                  <w:tcW w:w="2030" w:type="dxa"/>
                  <w:vMerge w:val="continue"/>
                  <w:tcBorders>
                    <w:tl2br w:val="nil"/>
                    <w:tr2bl w:val="nil"/>
                  </w:tcBorders>
                  <w:noWrap w:val="0"/>
                  <w:vAlign w:val="center"/>
                </w:tcPr>
                <w:p w14:paraId="0F50834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940" w:type="dxa"/>
                  <w:vMerge w:val="continue"/>
                  <w:tcBorders>
                    <w:tl2br w:val="nil"/>
                    <w:tr2bl w:val="nil"/>
                  </w:tcBorders>
                  <w:noWrap w:val="0"/>
                  <w:vAlign w:val="center"/>
                </w:tcPr>
                <w:p w14:paraId="349CE02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740" w:type="dxa"/>
                  <w:vMerge w:val="continue"/>
                  <w:tcBorders>
                    <w:tl2br w:val="nil"/>
                    <w:tr2bl w:val="nil"/>
                  </w:tcBorders>
                  <w:noWrap w:val="0"/>
                  <w:vAlign w:val="center"/>
                </w:tcPr>
                <w:p w14:paraId="2945ACC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2122" w:type="dxa"/>
                  <w:vMerge w:val="continue"/>
                  <w:tcBorders>
                    <w:tl2br w:val="nil"/>
                    <w:tr2bl w:val="nil"/>
                  </w:tcBorders>
                  <w:noWrap/>
                  <w:vAlign w:val="center"/>
                </w:tcPr>
                <w:p w14:paraId="14525FF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val="0"/>
                      <w:bCs w:val="0"/>
                      <w:color w:val="auto"/>
                      <w:sz w:val="21"/>
                      <w:szCs w:val="21"/>
                      <w:highlight w:val="none"/>
                      <w:lang w:val="en-US" w:eastAsia="zh-CN"/>
                    </w:rPr>
                  </w:pPr>
                </w:p>
              </w:tc>
              <w:tc>
                <w:tcPr>
                  <w:tcW w:w="1421" w:type="dxa"/>
                  <w:vMerge w:val="continue"/>
                  <w:tcBorders>
                    <w:tl2br w:val="nil"/>
                    <w:tr2bl w:val="nil"/>
                  </w:tcBorders>
                  <w:noWrap/>
                  <w:vAlign w:val="center"/>
                </w:tcPr>
                <w:p w14:paraId="3546934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409" w:type="dxa"/>
                  <w:vMerge w:val="continue"/>
                  <w:tcBorders>
                    <w:tl2br w:val="nil"/>
                    <w:tr2bl w:val="nil"/>
                  </w:tcBorders>
                  <w:noWrap/>
                  <w:vAlign w:val="center"/>
                </w:tcPr>
                <w:p w14:paraId="675BBE4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r>
          </w:tbl>
          <w:p w14:paraId="2D29C7D7">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项目无组织废气污染源参数一览表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844"/>
              <w:gridCol w:w="1942"/>
              <w:gridCol w:w="1037"/>
              <w:gridCol w:w="966"/>
              <w:gridCol w:w="1110"/>
              <w:gridCol w:w="1810"/>
              <w:gridCol w:w="1253"/>
              <w:gridCol w:w="1847"/>
            </w:tblGrid>
            <w:tr w14:paraId="3237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vMerge w:val="restart"/>
                  <w:tcBorders>
                    <w:tl2br w:val="nil"/>
                    <w:tr2bl w:val="nil"/>
                  </w:tcBorders>
                  <w:noWrap w:val="0"/>
                  <w:vAlign w:val="center"/>
                </w:tcPr>
                <w:p w14:paraId="7C47C050">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污染源</w:t>
                  </w:r>
                </w:p>
              </w:tc>
              <w:tc>
                <w:tcPr>
                  <w:tcW w:w="4210" w:type="dxa"/>
                  <w:gridSpan w:val="2"/>
                  <w:tcBorders>
                    <w:tl2br w:val="nil"/>
                    <w:tr2bl w:val="nil"/>
                  </w:tcBorders>
                  <w:noWrap w:val="0"/>
                  <w:vAlign w:val="center"/>
                </w:tcPr>
                <w:p w14:paraId="1C784EBE">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坐标</w:t>
                  </w:r>
                </w:p>
              </w:tc>
              <w:tc>
                <w:tcPr>
                  <w:tcW w:w="3422" w:type="dxa"/>
                  <w:gridSpan w:val="3"/>
                  <w:tcBorders>
                    <w:tl2br w:val="nil"/>
                    <w:tr2bl w:val="nil"/>
                  </w:tcBorders>
                  <w:noWrap w:val="0"/>
                  <w:vAlign w:val="center"/>
                </w:tcPr>
                <w:p w14:paraId="0C4290D0">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矩形面源</w:t>
                  </w:r>
                </w:p>
              </w:tc>
              <w:tc>
                <w:tcPr>
                  <w:tcW w:w="2011" w:type="dxa"/>
                  <w:vMerge w:val="restart"/>
                  <w:tcBorders>
                    <w:tl2br w:val="nil"/>
                    <w:tr2bl w:val="nil"/>
                  </w:tcBorders>
                  <w:noWrap w:val="0"/>
                  <w:vAlign w:val="center"/>
                </w:tcPr>
                <w:p w14:paraId="30CC8091">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污染物种类</w:t>
                  </w:r>
                </w:p>
              </w:tc>
              <w:tc>
                <w:tcPr>
                  <w:tcW w:w="1384" w:type="dxa"/>
                  <w:vMerge w:val="restart"/>
                  <w:tcBorders>
                    <w:tl2br w:val="nil"/>
                    <w:tr2bl w:val="nil"/>
                  </w:tcBorders>
                  <w:noWrap w:val="0"/>
                  <w:vAlign w:val="center"/>
                </w:tcPr>
                <w:p w14:paraId="70D5DDCF">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治理措施</w:t>
                  </w:r>
                </w:p>
              </w:tc>
              <w:tc>
                <w:tcPr>
                  <w:tcW w:w="2053" w:type="dxa"/>
                  <w:vMerge w:val="restart"/>
                  <w:tcBorders>
                    <w:tl2br w:val="nil"/>
                    <w:tr2bl w:val="nil"/>
                  </w:tcBorders>
                  <w:noWrap w:val="0"/>
                  <w:vAlign w:val="center"/>
                </w:tcPr>
                <w:p w14:paraId="18A915A2">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排放量t/a</w:t>
                  </w:r>
                </w:p>
              </w:tc>
            </w:tr>
            <w:tr w14:paraId="34B3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vMerge w:val="continue"/>
                  <w:tcBorders>
                    <w:tl2br w:val="nil"/>
                    <w:tr2bl w:val="nil"/>
                  </w:tcBorders>
                  <w:noWrap w:val="0"/>
                  <w:vAlign w:val="center"/>
                </w:tcPr>
                <w:p w14:paraId="58B08458">
                  <w:pPr>
                    <w:jc w:val="center"/>
                    <w:rPr>
                      <w:rFonts w:hint="default" w:ascii="Times New Roman" w:hAnsi="Times New Roman" w:eastAsia="宋体" w:cs="Times New Roman"/>
                      <w:b w:val="0"/>
                      <w:bCs w:val="0"/>
                      <w:color w:val="auto"/>
                      <w:sz w:val="21"/>
                      <w:szCs w:val="21"/>
                      <w:highlight w:val="none"/>
                    </w:rPr>
                  </w:pPr>
                </w:p>
              </w:tc>
              <w:tc>
                <w:tcPr>
                  <w:tcW w:w="2050" w:type="dxa"/>
                  <w:tcBorders>
                    <w:tl2br w:val="nil"/>
                    <w:tr2bl w:val="nil"/>
                  </w:tcBorders>
                  <w:noWrap w:val="0"/>
                  <w:vAlign w:val="center"/>
                </w:tcPr>
                <w:p w14:paraId="6B3DFF5E">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经度</w:t>
                  </w:r>
                </w:p>
              </w:tc>
              <w:tc>
                <w:tcPr>
                  <w:tcW w:w="2160" w:type="dxa"/>
                  <w:tcBorders>
                    <w:tl2br w:val="nil"/>
                    <w:tr2bl w:val="nil"/>
                  </w:tcBorders>
                  <w:noWrap w:val="0"/>
                  <w:vAlign w:val="center"/>
                </w:tcPr>
                <w:p w14:paraId="39FDE43B">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纬度</w:t>
                  </w:r>
                </w:p>
              </w:tc>
              <w:tc>
                <w:tcPr>
                  <w:tcW w:w="1140" w:type="dxa"/>
                  <w:tcBorders>
                    <w:tl2br w:val="nil"/>
                    <w:tr2bl w:val="nil"/>
                  </w:tcBorders>
                  <w:noWrap w:val="0"/>
                  <w:vAlign w:val="center"/>
                </w:tcPr>
                <w:p w14:paraId="07F35B20">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长度</w:t>
                  </w:r>
                </w:p>
              </w:tc>
              <w:tc>
                <w:tcPr>
                  <w:tcW w:w="1060" w:type="dxa"/>
                  <w:tcBorders>
                    <w:tl2br w:val="nil"/>
                    <w:tr2bl w:val="nil"/>
                  </w:tcBorders>
                  <w:noWrap w:val="0"/>
                  <w:vAlign w:val="center"/>
                </w:tcPr>
                <w:p w14:paraId="6A245858">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宽度</w:t>
                  </w:r>
                </w:p>
              </w:tc>
              <w:tc>
                <w:tcPr>
                  <w:tcW w:w="1222" w:type="dxa"/>
                  <w:tcBorders>
                    <w:tl2br w:val="nil"/>
                    <w:tr2bl w:val="nil"/>
                  </w:tcBorders>
                  <w:noWrap w:val="0"/>
                  <w:vAlign w:val="center"/>
                </w:tcPr>
                <w:p w14:paraId="543C74D1">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有效高度</w:t>
                  </w:r>
                </w:p>
              </w:tc>
              <w:tc>
                <w:tcPr>
                  <w:tcW w:w="2011" w:type="dxa"/>
                  <w:vMerge w:val="continue"/>
                  <w:tcBorders>
                    <w:tl2br w:val="nil"/>
                    <w:tr2bl w:val="nil"/>
                  </w:tcBorders>
                  <w:noWrap w:val="0"/>
                  <w:vAlign w:val="center"/>
                </w:tcPr>
                <w:p w14:paraId="7D166E68">
                  <w:pPr>
                    <w:jc w:val="center"/>
                    <w:rPr>
                      <w:rFonts w:hint="default" w:ascii="Times New Roman" w:hAnsi="Times New Roman" w:eastAsia="宋体" w:cs="Times New Roman"/>
                      <w:b w:val="0"/>
                      <w:bCs w:val="0"/>
                      <w:color w:val="auto"/>
                      <w:sz w:val="21"/>
                      <w:szCs w:val="21"/>
                      <w:highlight w:val="none"/>
                    </w:rPr>
                  </w:pPr>
                </w:p>
              </w:tc>
              <w:tc>
                <w:tcPr>
                  <w:tcW w:w="1384" w:type="dxa"/>
                  <w:vMerge w:val="continue"/>
                  <w:tcBorders>
                    <w:tl2br w:val="nil"/>
                    <w:tr2bl w:val="nil"/>
                  </w:tcBorders>
                  <w:noWrap w:val="0"/>
                  <w:vAlign w:val="center"/>
                </w:tcPr>
                <w:p w14:paraId="375605FF">
                  <w:pPr>
                    <w:jc w:val="center"/>
                    <w:rPr>
                      <w:rFonts w:hint="default" w:ascii="Times New Roman" w:hAnsi="Times New Roman" w:eastAsia="宋体" w:cs="Times New Roman"/>
                      <w:b w:val="0"/>
                      <w:bCs w:val="0"/>
                      <w:color w:val="auto"/>
                      <w:sz w:val="21"/>
                      <w:szCs w:val="21"/>
                      <w:highlight w:val="none"/>
                    </w:rPr>
                  </w:pPr>
                </w:p>
              </w:tc>
              <w:tc>
                <w:tcPr>
                  <w:tcW w:w="2053" w:type="dxa"/>
                  <w:vMerge w:val="continue"/>
                  <w:tcBorders>
                    <w:tl2br w:val="nil"/>
                    <w:tr2bl w:val="nil"/>
                  </w:tcBorders>
                  <w:noWrap w:val="0"/>
                  <w:vAlign w:val="center"/>
                </w:tcPr>
                <w:p w14:paraId="78AA6785">
                  <w:pPr>
                    <w:jc w:val="center"/>
                    <w:rPr>
                      <w:rFonts w:hint="default" w:ascii="Times New Roman" w:hAnsi="Times New Roman" w:eastAsia="宋体" w:cs="Times New Roman"/>
                      <w:b w:val="0"/>
                      <w:bCs w:val="0"/>
                      <w:color w:val="auto"/>
                      <w:sz w:val="21"/>
                      <w:szCs w:val="21"/>
                      <w:highlight w:val="none"/>
                    </w:rPr>
                  </w:pPr>
                </w:p>
              </w:tc>
            </w:tr>
            <w:tr w14:paraId="18D2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tcBorders>
                    <w:tl2br w:val="nil"/>
                    <w:tr2bl w:val="nil"/>
                  </w:tcBorders>
                  <w:noWrap w:val="0"/>
                  <w:vAlign w:val="center"/>
                </w:tcPr>
                <w:p w14:paraId="6FF9EDE4">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生</w:t>
                  </w:r>
                  <w:r>
                    <w:rPr>
                      <w:rFonts w:hint="default" w:ascii="Times New Roman" w:hAnsi="Times New Roman" w:eastAsia="宋体" w:cs="Times New Roman"/>
                      <w:b w:val="0"/>
                      <w:bCs w:val="0"/>
                      <w:color w:val="auto"/>
                      <w:sz w:val="21"/>
                      <w:szCs w:val="21"/>
                      <w:highlight w:val="none"/>
                    </w:rPr>
                    <w:t>产车间</w:t>
                  </w:r>
                  <w:r>
                    <w:rPr>
                      <w:rFonts w:hint="eastAsia" w:ascii="Times New Roman" w:hAnsi="Times New Roman" w:eastAsia="宋体" w:cs="Times New Roman"/>
                      <w:b w:val="0"/>
                      <w:bCs w:val="0"/>
                      <w:color w:val="auto"/>
                      <w:sz w:val="21"/>
                      <w:szCs w:val="21"/>
                      <w:highlight w:val="none"/>
                      <w:lang w:val="en-US" w:eastAsia="zh-CN"/>
                    </w:rPr>
                    <w:t>1</w:t>
                  </w:r>
                </w:p>
              </w:tc>
              <w:tc>
                <w:tcPr>
                  <w:tcW w:w="2050" w:type="dxa"/>
                  <w:tcBorders>
                    <w:tl2br w:val="nil"/>
                    <w:tr2bl w:val="nil"/>
                  </w:tcBorders>
                  <w:noWrap w:val="0"/>
                  <w:vAlign w:val="center"/>
                </w:tcPr>
                <w:p w14:paraId="67A69EC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117°23'14.881"E</w:t>
                  </w:r>
                </w:p>
              </w:tc>
              <w:tc>
                <w:tcPr>
                  <w:tcW w:w="2160" w:type="dxa"/>
                  <w:tcBorders>
                    <w:tl2br w:val="nil"/>
                    <w:tr2bl w:val="nil"/>
                  </w:tcBorders>
                  <w:noWrap w:val="0"/>
                  <w:vAlign w:val="center"/>
                </w:tcPr>
                <w:p w14:paraId="2F098F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35°38'59.798"N</w:t>
                  </w:r>
                </w:p>
              </w:tc>
              <w:tc>
                <w:tcPr>
                  <w:tcW w:w="1140" w:type="dxa"/>
                  <w:tcBorders>
                    <w:tl2br w:val="nil"/>
                    <w:tr2bl w:val="nil"/>
                  </w:tcBorders>
                  <w:noWrap w:val="0"/>
                  <w:vAlign w:val="center"/>
                </w:tcPr>
                <w:p w14:paraId="487098A5">
                  <w:pPr>
                    <w:autoSpaceDE w:val="0"/>
                    <w:autoSpaceDN w:val="0"/>
                    <w:adjustRightInd w:val="0"/>
                    <w:snapToGrid w:val="0"/>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40</w:t>
                  </w:r>
                  <w:r>
                    <w:rPr>
                      <w:rFonts w:hint="default" w:ascii="Times New Roman" w:hAnsi="Times New Roman" w:eastAsia="宋体" w:cs="Times New Roman"/>
                      <w:b w:val="0"/>
                      <w:bCs w:val="0"/>
                      <w:color w:val="auto"/>
                      <w:sz w:val="21"/>
                      <w:szCs w:val="21"/>
                      <w:highlight w:val="none"/>
                    </w:rPr>
                    <w:t>m</w:t>
                  </w:r>
                </w:p>
              </w:tc>
              <w:tc>
                <w:tcPr>
                  <w:tcW w:w="1060" w:type="dxa"/>
                  <w:tcBorders>
                    <w:tl2br w:val="nil"/>
                    <w:tr2bl w:val="nil"/>
                  </w:tcBorders>
                  <w:noWrap w:val="0"/>
                  <w:vAlign w:val="center"/>
                </w:tcPr>
                <w:p w14:paraId="58A8EDA6">
                  <w:pPr>
                    <w:autoSpaceDE w:val="0"/>
                    <w:autoSpaceDN w:val="0"/>
                    <w:adjustRightInd w:val="0"/>
                    <w:snapToGrid w:val="0"/>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20</w:t>
                  </w:r>
                  <w:r>
                    <w:rPr>
                      <w:rFonts w:hint="default" w:ascii="Times New Roman" w:hAnsi="Times New Roman" w:eastAsia="宋体" w:cs="Times New Roman"/>
                      <w:b w:val="0"/>
                      <w:bCs w:val="0"/>
                      <w:color w:val="auto"/>
                      <w:sz w:val="21"/>
                      <w:szCs w:val="21"/>
                      <w:highlight w:val="none"/>
                    </w:rPr>
                    <w:t>m</w:t>
                  </w:r>
                </w:p>
              </w:tc>
              <w:tc>
                <w:tcPr>
                  <w:tcW w:w="1222" w:type="dxa"/>
                  <w:tcBorders>
                    <w:tl2br w:val="nil"/>
                    <w:tr2bl w:val="nil"/>
                  </w:tcBorders>
                  <w:noWrap w:val="0"/>
                  <w:vAlign w:val="center"/>
                </w:tcPr>
                <w:p w14:paraId="5462D03E">
                  <w:pPr>
                    <w:autoSpaceDE w:val="0"/>
                    <w:autoSpaceDN w:val="0"/>
                    <w:adjustRightInd w:val="0"/>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8m</w:t>
                  </w:r>
                </w:p>
              </w:tc>
              <w:tc>
                <w:tcPr>
                  <w:tcW w:w="2011" w:type="dxa"/>
                  <w:tcBorders>
                    <w:tl2br w:val="nil"/>
                    <w:tr2bl w:val="nil"/>
                  </w:tcBorders>
                  <w:noWrap w:val="0"/>
                  <w:vAlign w:val="center"/>
                </w:tcPr>
                <w:p w14:paraId="351DB6E0">
                  <w:pPr>
                    <w:autoSpaceDE w:val="0"/>
                    <w:autoSpaceDN w:val="0"/>
                    <w:adjustRightInd w:val="0"/>
                    <w:snapToGrid w:val="0"/>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颗粒物</w:t>
                  </w:r>
                </w:p>
              </w:tc>
              <w:tc>
                <w:tcPr>
                  <w:tcW w:w="1384" w:type="dxa"/>
                  <w:tcBorders>
                    <w:tl2br w:val="nil"/>
                    <w:tr2bl w:val="nil"/>
                  </w:tcBorders>
                  <w:noWrap w:val="0"/>
                  <w:vAlign w:val="center"/>
                </w:tcPr>
                <w:p w14:paraId="73EC2512">
                  <w:pPr>
                    <w:autoSpaceDE w:val="0"/>
                    <w:autoSpaceDN w:val="0"/>
                    <w:adjustRightInd w:val="0"/>
                    <w:snapToGrid w:val="0"/>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kern w:val="2"/>
                      <w:sz w:val="21"/>
                      <w:szCs w:val="21"/>
                      <w:highlight w:val="none"/>
                      <w:lang w:val="en-US" w:eastAsia="zh-CN" w:bidi="ar-SA"/>
                    </w:rPr>
                    <w:t>车间封闭</w:t>
                  </w:r>
                </w:p>
              </w:tc>
              <w:tc>
                <w:tcPr>
                  <w:tcW w:w="2053" w:type="dxa"/>
                  <w:tcBorders>
                    <w:tl2br w:val="nil"/>
                    <w:tr2bl w:val="nil"/>
                  </w:tcBorders>
                  <w:noWrap w:val="0"/>
                  <w:vAlign w:val="center"/>
                </w:tcPr>
                <w:p w14:paraId="4FD7F0CD">
                  <w:pPr>
                    <w:pStyle w:val="103"/>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0.055</w:t>
                  </w:r>
                </w:p>
              </w:tc>
            </w:tr>
            <w:tr w14:paraId="363B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316" w:type="dxa"/>
                  <w:vMerge w:val="restart"/>
                  <w:tcBorders>
                    <w:tl2br w:val="nil"/>
                    <w:tr2bl w:val="nil"/>
                  </w:tcBorders>
                  <w:noWrap w:val="0"/>
                  <w:vAlign w:val="center"/>
                </w:tcPr>
                <w:p w14:paraId="09B8A60D">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生</w:t>
                  </w:r>
                  <w:r>
                    <w:rPr>
                      <w:rFonts w:hint="default" w:ascii="Times New Roman" w:hAnsi="Times New Roman" w:eastAsia="宋体" w:cs="Times New Roman"/>
                      <w:b w:val="0"/>
                      <w:bCs w:val="0"/>
                      <w:color w:val="auto"/>
                      <w:sz w:val="21"/>
                      <w:szCs w:val="21"/>
                      <w:highlight w:val="none"/>
                    </w:rPr>
                    <w:t>产车间</w:t>
                  </w:r>
                  <w:r>
                    <w:rPr>
                      <w:rFonts w:hint="eastAsia" w:ascii="Times New Roman" w:hAnsi="Times New Roman" w:eastAsia="宋体" w:cs="Times New Roman"/>
                      <w:b w:val="0"/>
                      <w:bCs w:val="0"/>
                      <w:color w:val="auto"/>
                      <w:sz w:val="21"/>
                      <w:szCs w:val="21"/>
                      <w:highlight w:val="none"/>
                      <w:lang w:val="en-US" w:eastAsia="zh-CN"/>
                    </w:rPr>
                    <w:t>2</w:t>
                  </w:r>
                </w:p>
              </w:tc>
              <w:tc>
                <w:tcPr>
                  <w:tcW w:w="2050" w:type="dxa"/>
                  <w:vMerge w:val="restart"/>
                  <w:tcBorders>
                    <w:tl2br w:val="nil"/>
                    <w:tr2bl w:val="nil"/>
                  </w:tcBorders>
                  <w:noWrap w:val="0"/>
                  <w:vAlign w:val="center"/>
                </w:tcPr>
                <w:p w14:paraId="140AD9D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117°23'14.881"E</w:t>
                  </w:r>
                </w:p>
              </w:tc>
              <w:tc>
                <w:tcPr>
                  <w:tcW w:w="2160" w:type="dxa"/>
                  <w:vMerge w:val="restart"/>
                  <w:tcBorders>
                    <w:tl2br w:val="nil"/>
                    <w:tr2bl w:val="nil"/>
                  </w:tcBorders>
                  <w:noWrap w:val="0"/>
                  <w:vAlign w:val="center"/>
                </w:tcPr>
                <w:p w14:paraId="794DE11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35°38'59.798"N</w:t>
                  </w:r>
                </w:p>
              </w:tc>
              <w:tc>
                <w:tcPr>
                  <w:tcW w:w="1140" w:type="dxa"/>
                  <w:vMerge w:val="restart"/>
                  <w:tcBorders>
                    <w:tl2br w:val="nil"/>
                    <w:tr2bl w:val="nil"/>
                  </w:tcBorders>
                  <w:noWrap w:val="0"/>
                  <w:vAlign w:val="center"/>
                </w:tcPr>
                <w:p w14:paraId="068400C9">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15</w:t>
                  </w:r>
                  <w:r>
                    <w:rPr>
                      <w:rFonts w:hint="default" w:ascii="Times New Roman" w:hAnsi="Times New Roman" w:eastAsia="宋体" w:cs="Times New Roman"/>
                      <w:b w:val="0"/>
                      <w:bCs w:val="0"/>
                      <w:color w:val="auto"/>
                      <w:sz w:val="21"/>
                      <w:szCs w:val="21"/>
                      <w:highlight w:val="none"/>
                    </w:rPr>
                    <w:t>m</w:t>
                  </w:r>
                </w:p>
              </w:tc>
              <w:tc>
                <w:tcPr>
                  <w:tcW w:w="1060" w:type="dxa"/>
                  <w:vMerge w:val="restart"/>
                  <w:tcBorders>
                    <w:tl2br w:val="nil"/>
                    <w:tr2bl w:val="nil"/>
                  </w:tcBorders>
                  <w:noWrap w:val="0"/>
                  <w:vAlign w:val="center"/>
                </w:tcPr>
                <w:p w14:paraId="53A330FE">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10</w:t>
                  </w:r>
                  <w:r>
                    <w:rPr>
                      <w:rFonts w:hint="default" w:ascii="Times New Roman" w:hAnsi="Times New Roman" w:eastAsia="宋体" w:cs="Times New Roman"/>
                      <w:b w:val="0"/>
                      <w:bCs w:val="0"/>
                      <w:color w:val="auto"/>
                      <w:sz w:val="21"/>
                      <w:szCs w:val="21"/>
                      <w:highlight w:val="none"/>
                    </w:rPr>
                    <w:t>m</w:t>
                  </w:r>
                </w:p>
              </w:tc>
              <w:tc>
                <w:tcPr>
                  <w:tcW w:w="1222" w:type="dxa"/>
                  <w:vMerge w:val="restart"/>
                  <w:tcBorders>
                    <w:tl2br w:val="nil"/>
                    <w:tr2bl w:val="nil"/>
                  </w:tcBorders>
                  <w:noWrap w:val="0"/>
                  <w:vAlign w:val="center"/>
                </w:tcPr>
                <w:p w14:paraId="216ACC10">
                  <w:pPr>
                    <w:autoSpaceDE w:val="0"/>
                    <w:autoSpaceDN w:val="0"/>
                    <w:adjustRightInd w:val="0"/>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8m</w:t>
                  </w:r>
                </w:p>
              </w:tc>
              <w:tc>
                <w:tcPr>
                  <w:tcW w:w="2011" w:type="dxa"/>
                  <w:tcBorders>
                    <w:tl2br w:val="nil"/>
                    <w:tr2bl w:val="nil"/>
                  </w:tcBorders>
                  <w:noWrap w:val="0"/>
                  <w:vAlign w:val="center"/>
                </w:tcPr>
                <w:p w14:paraId="45CCD31B">
                  <w:pPr>
                    <w:autoSpaceDE w:val="0"/>
                    <w:autoSpaceDN w:val="0"/>
                    <w:adjustRightInd w:val="0"/>
                    <w:snapToGrid w:val="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颗粒物</w:t>
                  </w:r>
                </w:p>
              </w:tc>
              <w:tc>
                <w:tcPr>
                  <w:tcW w:w="1384" w:type="dxa"/>
                  <w:vMerge w:val="restart"/>
                  <w:tcBorders>
                    <w:tl2br w:val="nil"/>
                    <w:tr2bl w:val="nil"/>
                  </w:tcBorders>
                  <w:noWrap w:val="0"/>
                  <w:vAlign w:val="center"/>
                </w:tcPr>
                <w:p w14:paraId="3C332A0F">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车间封闭</w:t>
                  </w:r>
                </w:p>
              </w:tc>
              <w:tc>
                <w:tcPr>
                  <w:tcW w:w="2053" w:type="dxa"/>
                  <w:tcBorders>
                    <w:tl2br w:val="nil"/>
                    <w:tr2bl w:val="nil"/>
                  </w:tcBorders>
                  <w:noWrap w:val="0"/>
                  <w:vAlign w:val="center"/>
                </w:tcPr>
                <w:p w14:paraId="04C85192">
                  <w:pPr>
                    <w:pStyle w:val="103"/>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0.253</w:t>
                  </w:r>
                </w:p>
              </w:tc>
            </w:tr>
            <w:tr w14:paraId="232A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16" w:type="dxa"/>
                  <w:vMerge w:val="continue"/>
                  <w:tcBorders>
                    <w:tl2br w:val="nil"/>
                    <w:tr2bl w:val="nil"/>
                  </w:tcBorders>
                  <w:noWrap w:val="0"/>
                  <w:vAlign w:val="center"/>
                </w:tcPr>
                <w:p w14:paraId="1153F775">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p>
              </w:tc>
              <w:tc>
                <w:tcPr>
                  <w:tcW w:w="2050" w:type="dxa"/>
                  <w:vMerge w:val="continue"/>
                  <w:tcBorders>
                    <w:tl2br w:val="nil"/>
                    <w:tr2bl w:val="nil"/>
                  </w:tcBorders>
                  <w:noWrap w:val="0"/>
                  <w:vAlign w:val="center"/>
                </w:tcPr>
                <w:p w14:paraId="5FD141B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2160" w:type="dxa"/>
                  <w:vMerge w:val="continue"/>
                  <w:tcBorders>
                    <w:tl2br w:val="nil"/>
                    <w:tr2bl w:val="nil"/>
                  </w:tcBorders>
                  <w:noWrap w:val="0"/>
                  <w:vAlign w:val="center"/>
                </w:tcPr>
                <w:p w14:paraId="725A59A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highlight w:val="none"/>
                    </w:rPr>
                  </w:pPr>
                </w:p>
              </w:tc>
              <w:tc>
                <w:tcPr>
                  <w:tcW w:w="1140" w:type="dxa"/>
                  <w:vMerge w:val="continue"/>
                  <w:tcBorders>
                    <w:tl2br w:val="nil"/>
                    <w:tr2bl w:val="nil"/>
                  </w:tcBorders>
                  <w:noWrap w:val="0"/>
                  <w:vAlign w:val="center"/>
                </w:tcPr>
                <w:p w14:paraId="12CE49BF">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p>
              </w:tc>
              <w:tc>
                <w:tcPr>
                  <w:tcW w:w="1060" w:type="dxa"/>
                  <w:vMerge w:val="continue"/>
                  <w:tcBorders>
                    <w:tl2br w:val="nil"/>
                    <w:tr2bl w:val="nil"/>
                  </w:tcBorders>
                  <w:noWrap w:val="0"/>
                  <w:vAlign w:val="center"/>
                </w:tcPr>
                <w:p w14:paraId="31C4BCF0">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p>
              </w:tc>
              <w:tc>
                <w:tcPr>
                  <w:tcW w:w="1222" w:type="dxa"/>
                  <w:vMerge w:val="continue"/>
                  <w:tcBorders>
                    <w:tl2br w:val="nil"/>
                    <w:tr2bl w:val="nil"/>
                  </w:tcBorders>
                  <w:noWrap w:val="0"/>
                  <w:vAlign w:val="center"/>
                </w:tcPr>
                <w:p w14:paraId="4C7828A2">
                  <w:pPr>
                    <w:autoSpaceDE w:val="0"/>
                    <w:autoSpaceDN w:val="0"/>
                    <w:adjustRightInd w:val="0"/>
                    <w:snapToGrid w:val="0"/>
                    <w:jc w:val="center"/>
                    <w:rPr>
                      <w:rFonts w:hint="default" w:ascii="Times New Roman" w:hAnsi="Times New Roman" w:eastAsia="宋体" w:cs="Times New Roman"/>
                      <w:b w:val="0"/>
                      <w:bCs w:val="0"/>
                      <w:color w:val="auto"/>
                      <w:sz w:val="21"/>
                      <w:szCs w:val="21"/>
                      <w:highlight w:val="none"/>
                    </w:rPr>
                  </w:pPr>
                </w:p>
              </w:tc>
              <w:tc>
                <w:tcPr>
                  <w:tcW w:w="2011" w:type="dxa"/>
                  <w:tcBorders>
                    <w:tl2br w:val="nil"/>
                    <w:tr2bl w:val="nil"/>
                  </w:tcBorders>
                  <w:noWrap w:val="0"/>
                  <w:vAlign w:val="center"/>
                </w:tcPr>
                <w:p w14:paraId="0C0A71B6">
                  <w:pPr>
                    <w:autoSpaceDE w:val="0"/>
                    <w:autoSpaceDN w:val="0"/>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VOCs</w:t>
                  </w:r>
                </w:p>
              </w:tc>
              <w:tc>
                <w:tcPr>
                  <w:tcW w:w="1384" w:type="dxa"/>
                  <w:vMerge w:val="continue"/>
                  <w:tcBorders>
                    <w:tl2br w:val="nil"/>
                    <w:tr2bl w:val="nil"/>
                  </w:tcBorders>
                  <w:noWrap w:val="0"/>
                  <w:vAlign w:val="center"/>
                </w:tcPr>
                <w:p w14:paraId="08A2B608">
                  <w:pPr>
                    <w:autoSpaceDE w:val="0"/>
                    <w:autoSpaceDN w:val="0"/>
                    <w:adjustRightInd w:val="0"/>
                    <w:snapToGrid w:val="0"/>
                    <w:jc w:val="center"/>
                    <w:rPr>
                      <w:rFonts w:hint="eastAsia" w:ascii="Times New Roman" w:hAnsi="Times New Roman" w:eastAsia="宋体" w:cs="Times New Roman"/>
                      <w:b w:val="0"/>
                      <w:bCs w:val="0"/>
                      <w:color w:val="auto"/>
                      <w:kern w:val="2"/>
                      <w:sz w:val="21"/>
                      <w:szCs w:val="21"/>
                      <w:highlight w:val="none"/>
                      <w:lang w:val="en-US" w:eastAsia="zh-CN" w:bidi="ar-SA"/>
                    </w:rPr>
                  </w:pPr>
                </w:p>
              </w:tc>
              <w:tc>
                <w:tcPr>
                  <w:tcW w:w="2053" w:type="dxa"/>
                  <w:tcBorders>
                    <w:tl2br w:val="nil"/>
                    <w:tr2bl w:val="nil"/>
                  </w:tcBorders>
                  <w:noWrap w:val="0"/>
                  <w:vAlign w:val="center"/>
                </w:tcPr>
                <w:p w14:paraId="2731C63F">
                  <w:pPr>
                    <w:pStyle w:val="103"/>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0.350</w:t>
                  </w:r>
                </w:p>
              </w:tc>
            </w:tr>
          </w:tbl>
          <w:p w14:paraId="6A16FFE5">
            <w:pPr>
              <w:pStyle w:val="10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环评要求建设单位应加强管理，定期对设备尤其环保设施进行维护检修，保证其处理效率，避免事故排放对大气环境产生影响。</w:t>
            </w:r>
          </w:p>
          <w:p w14:paraId="6E36213C">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表4-5非正常工况下大气污染排放情况一览表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06"/>
              <w:gridCol w:w="1970"/>
              <w:gridCol w:w="989"/>
              <w:gridCol w:w="1200"/>
              <w:gridCol w:w="1135"/>
              <w:gridCol w:w="1262"/>
              <w:gridCol w:w="856"/>
              <w:gridCol w:w="3768"/>
            </w:tblGrid>
            <w:tr w14:paraId="4335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0" w:type="pct"/>
                  <w:tcBorders>
                    <w:tl2br w:val="nil"/>
                    <w:tr2bl w:val="nil"/>
                  </w:tcBorders>
                  <w:noWrap w:val="0"/>
                  <w:vAlign w:val="center"/>
                </w:tcPr>
                <w:p w14:paraId="00DCD53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编号</w:t>
                  </w:r>
                </w:p>
              </w:tc>
              <w:tc>
                <w:tcPr>
                  <w:tcW w:w="540" w:type="pct"/>
                  <w:tcBorders>
                    <w:tl2br w:val="nil"/>
                    <w:tr2bl w:val="nil"/>
                  </w:tcBorders>
                  <w:noWrap w:val="0"/>
                  <w:vAlign w:val="center"/>
                </w:tcPr>
                <w:p w14:paraId="3B643955">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污染源</w:t>
                  </w:r>
                </w:p>
              </w:tc>
              <w:tc>
                <w:tcPr>
                  <w:tcW w:w="757" w:type="pct"/>
                  <w:tcBorders>
                    <w:tl2br w:val="nil"/>
                    <w:tr2bl w:val="nil"/>
                  </w:tcBorders>
                  <w:noWrap w:val="0"/>
                  <w:vAlign w:val="center"/>
                </w:tcPr>
                <w:p w14:paraId="51D002AD">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非正常原因</w:t>
                  </w:r>
                </w:p>
              </w:tc>
              <w:tc>
                <w:tcPr>
                  <w:tcW w:w="380" w:type="pct"/>
                  <w:tcBorders>
                    <w:tl2br w:val="nil"/>
                    <w:tr2bl w:val="nil"/>
                  </w:tcBorders>
                  <w:noWrap w:val="0"/>
                  <w:vAlign w:val="center"/>
                </w:tcPr>
                <w:p w14:paraId="7AD0C76A">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污染物</w:t>
                  </w:r>
                </w:p>
              </w:tc>
              <w:tc>
                <w:tcPr>
                  <w:tcW w:w="461" w:type="pct"/>
                  <w:tcBorders>
                    <w:tl2br w:val="nil"/>
                    <w:tr2bl w:val="nil"/>
                  </w:tcBorders>
                  <w:noWrap w:val="0"/>
                  <w:vAlign w:val="center"/>
                </w:tcPr>
                <w:p w14:paraId="2A9A6283">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排放速率（</w:t>
                  </w:r>
                  <w:r>
                    <w:rPr>
                      <w:rFonts w:hint="default" w:ascii="Times New Roman" w:hAnsi="Times New Roman" w:eastAsia="宋体" w:cs="Times New Roman"/>
                      <w:color w:val="auto"/>
                      <w:sz w:val="21"/>
                      <w:szCs w:val="21"/>
                      <w:highlight w:val="none"/>
                      <w:lang w:val="en-US" w:eastAsia="zh-CN"/>
                    </w:rPr>
                    <w:t>kg/h</w:t>
                  </w:r>
                  <w:r>
                    <w:rPr>
                      <w:rFonts w:hint="default" w:ascii="Times New Roman" w:hAnsi="Times New Roman" w:eastAsia="宋体" w:cs="Times New Roman"/>
                      <w:color w:val="auto"/>
                      <w:sz w:val="21"/>
                      <w:szCs w:val="21"/>
                      <w:highlight w:val="none"/>
                      <w:lang w:eastAsia="zh-CN"/>
                    </w:rPr>
                    <w:t>）</w:t>
                  </w:r>
                </w:p>
              </w:tc>
              <w:tc>
                <w:tcPr>
                  <w:tcW w:w="436" w:type="pct"/>
                  <w:tcBorders>
                    <w:tl2br w:val="nil"/>
                    <w:tr2bl w:val="nil"/>
                  </w:tcBorders>
                  <w:noWrap w:val="0"/>
                  <w:vAlign w:val="center"/>
                </w:tcPr>
                <w:p w14:paraId="7D5CF459">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排放浓度（</w:t>
                  </w:r>
                  <w:r>
                    <w:rPr>
                      <w:rFonts w:hint="default" w:ascii="Times New Roman" w:hAnsi="Times New Roman" w:eastAsia="宋体" w:cs="Times New Roman"/>
                      <w:color w:val="auto"/>
                      <w:sz w:val="21"/>
                      <w:szCs w:val="21"/>
                      <w:highlight w:val="none"/>
                      <w:lang w:val="en-US" w:eastAsia="zh-CN"/>
                    </w:rPr>
                    <w:t>mg/m³</w:t>
                  </w:r>
                  <w:r>
                    <w:rPr>
                      <w:rFonts w:hint="default" w:ascii="Times New Roman" w:hAnsi="Times New Roman" w:eastAsia="宋体" w:cs="Times New Roman"/>
                      <w:color w:val="auto"/>
                      <w:sz w:val="21"/>
                      <w:szCs w:val="21"/>
                      <w:highlight w:val="none"/>
                      <w:lang w:eastAsia="zh-CN"/>
                    </w:rPr>
                    <w:t>）</w:t>
                  </w:r>
                </w:p>
              </w:tc>
              <w:tc>
                <w:tcPr>
                  <w:tcW w:w="485" w:type="pct"/>
                  <w:tcBorders>
                    <w:tl2br w:val="nil"/>
                    <w:tr2bl w:val="nil"/>
                  </w:tcBorders>
                  <w:noWrap w:val="0"/>
                  <w:vAlign w:val="center"/>
                </w:tcPr>
                <w:p w14:paraId="2DDCDFCA">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单次排放时间（</w:t>
                  </w:r>
                  <w:r>
                    <w:rPr>
                      <w:rFonts w:hint="default" w:ascii="Times New Roman" w:hAnsi="Times New Roman" w:eastAsia="宋体" w:cs="Times New Roman"/>
                      <w:color w:val="auto"/>
                      <w:sz w:val="21"/>
                      <w:szCs w:val="21"/>
                      <w:highlight w:val="none"/>
                      <w:lang w:val="en-US" w:eastAsia="zh-CN"/>
                    </w:rPr>
                    <w:t>h</w:t>
                  </w:r>
                  <w:r>
                    <w:rPr>
                      <w:rFonts w:hint="default" w:ascii="Times New Roman" w:hAnsi="Times New Roman" w:eastAsia="宋体" w:cs="Times New Roman"/>
                      <w:color w:val="auto"/>
                      <w:sz w:val="21"/>
                      <w:szCs w:val="21"/>
                      <w:highlight w:val="none"/>
                      <w:lang w:eastAsia="zh-CN"/>
                    </w:rPr>
                    <w:t>）</w:t>
                  </w:r>
                </w:p>
              </w:tc>
              <w:tc>
                <w:tcPr>
                  <w:tcW w:w="329" w:type="pct"/>
                  <w:tcBorders>
                    <w:tl2br w:val="nil"/>
                    <w:tr2bl w:val="nil"/>
                  </w:tcBorders>
                  <w:noWrap w:val="0"/>
                  <w:vAlign w:val="center"/>
                </w:tcPr>
                <w:p w14:paraId="6BD31CC9">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年发生频次</w:t>
                  </w:r>
                </w:p>
              </w:tc>
              <w:tc>
                <w:tcPr>
                  <w:tcW w:w="1447" w:type="pct"/>
                  <w:tcBorders>
                    <w:tl2br w:val="nil"/>
                    <w:tr2bl w:val="nil"/>
                  </w:tcBorders>
                  <w:noWrap w:val="0"/>
                  <w:vAlign w:val="center"/>
                </w:tcPr>
                <w:p w14:paraId="42436BF8">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应对措施</w:t>
                  </w:r>
                </w:p>
              </w:tc>
            </w:tr>
            <w:tr w14:paraId="3BE0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0" w:type="pct"/>
                  <w:tcBorders>
                    <w:tl2br w:val="nil"/>
                    <w:tr2bl w:val="nil"/>
                  </w:tcBorders>
                  <w:noWrap w:val="0"/>
                  <w:vAlign w:val="center"/>
                </w:tcPr>
                <w:p w14:paraId="19805DD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540" w:type="pct"/>
                  <w:tcBorders>
                    <w:tl2br w:val="nil"/>
                    <w:tr2bl w:val="nil"/>
                  </w:tcBorders>
                  <w:noWrap w:val="0"/>
                  <w:vAlign w:val="center"/>
                </w:tcPr>
                <w:p w14:paraId="170C99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b w:val="0"/>
                      <w:bCs/>
                      <w:color w:val="auto"/>
                      <w:sz w:val="21"/>
                      <w:szCs w:val="21"/>
                      <w:highlight w:val="none"/>
                      <w:lang w:val="en-US" w:eastAsia="zh-CN"/>
                    </w:rPr>
                    <w:t>打磨粉尘</w:t>
                  </w:r>
                </w:p>
              </w:tc>
              <w:tc>
                <w:tcPr>
                  <w:tcW w:w="757" w:type="pct"/>
                  <w:vMerge w:val="restart"/>
                  <w:tcBorders>
                    <w:tl2br w:val="nil"/>
                    <w:tr2bl w:val="nil"/>
                  </w:tcBorders>
                  <w:noWrap w:val="0"/>
                  <w:vAlign w:val="center"/>
                </w:tcPr>
                <w:p w14:paraId="728C0B94">
                  <w:p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开停机、设备检修、废气治理设施短时失效、停电等</w:t>
                  </w:r>
                </w:p>
              </w:tc>
              <w:tc>
                <w:tcPr>
                  <w:tcW w:w="380" w:type="pct"/>
                  <w:tcBorders>
                    <w:tl2br w:val="nil"/>
                    <w:tr2bl w:val="nil"/>
                  </w:tcBorders>
                  <w:noWrap w:val="0"/>
                  <w:vAlign w:val="center"/>
                </w:tcPr>
                <w:p w14:paraId="053B003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329" w:type="dxa"/>
                  <w:tcBorders>
                    <w:tl2br w:val="nil"/>
                    <w:tr2bl w:val="nil"/>
                  </w:tcBorders>
                  <w:noWrap w:val="0"/>
                  <w:vAlign w:val="center"/>
                </w:tcPr>
                <w:p w14:paraId="42C13E5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vertAlign w:val="baseline"/>
                      <w:lang w:val="en-US" w:eastAsia="zh-CN" w:bidi="ar-SA"/>
                    </w:rPr>
                    <w:t>0.760</w:t>
                  </w:r>
                </w:p>
              </w:tc>
              <w:tc>
                <w:tcPr>
                  <w:tcW w:w="1257" w:type="dxa"/>
                  <w:tcBorders>
                    <w:tl2br w:val="nil"/>
                    <w:tr2bl w:val="nil"/>
                  </w:tcBorders>
                  <w:noWrap w:val="0"/>
                  <w:vAlign w:val="center"/>
                </w:tcPr>
                <w:p w14:paraId="403DBD3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38</w:t>
                  </w:r>
                </w:p>
              </w:tc>
              <w:tc>
                <w:tcPr>
                  <w:tcW w:w="485" w:type="pct"/>
                  <w:tcBorders>
                    <w:tl2br w:val="nil"/>
                    <w:tr2bl w:val="nil"/>
                  </w:tcBorders>
                  <w:noWrap w:val="0"/>
                  <w:vAlign w:val="center"/>
                </w:tcPr>
                <w:p w14:paraId="464679E5">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329" w:type="pct"/>
                  <w:tcBorders>
                    <w:tl2br w:val="nil"/>
                    <w:tr2bl w:val="nil"/>
                  </w:tcBorders>
                  <w:noWrap w:val="0"/>
                  <w:vAlign w:val="center"/>
                </w:tcPr>
                <w:p w14:paraId="774ABBAC">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447" w:type="pct"/>
                  <w:vMerge w:val="restart"/>
                  <w:tcBorders>
                    <w:tl2br w:val="nil"/>
                    <w:tr2bl w:val="nil"/>
                  </w:tcBorders>
                  <w:noWrap w:val="0"/>
                  <w:vAlign w:val="center"/>
                </w:tcPr>
                <w:p w14:paraId="459D9573">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生产时，先启动环保设施后开启生产设施；停产、检修时，先关闭生产设施，再关停同时启动；加强污染治理设施的维护保养等</w:t>
                  </w:r>
                </w:p>
              </w:tc>
            </w:tr>
            <w:tr w14:paraId="124B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0" w:type="pct"/>
                  <w:vMerge w:val="restart"/>
                  <w:tcBorders>
                    <w:tl2br w:val="nil"/>
                    <w:tr2bl w:val="nil"/>
                  </w:tcBorders>
                  <w:noWrap w:val="0"/>
                  <w:vAlign w:val="center"/>
                </w:tcPr>
                <w:p w14:paraId="0C889EEC">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540" w:type="pct"/>
                  <w:vMerge w:val="restart"/>
                  <w:tcBorders>
                    <w:tl2br w:val="nil"/>
                    <w:tr2bl w:val="nil"/>
                  </w:tcBorders>
                  <w:noWrap w:val="0"/>
                  <w:vAlign w:val="center"/>
                </w:tcPr>
                <w:p w14:paraId="68EBBC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val="0"/>
                      <w:bCs w:val="0"/>
                      <w:color w:val="auto"/>
                      <w:sz w:val="21"/>
                      <w:szCs w:val="21"/>
                      <w:highlight w:val="none"/>
                      <w:lang w:val="en-US" w:eastAsia="zh-CN"/>
                    </w:rPr>
                  </w:pPr>
                  <w:r>
                    <w:rPr>
                      <w:rFonts w:hint="eastAsia"/>
                      <w:b w:val="0"/>
                      <w:bCs/>
                      <w:color w:val="auto"/>
                      <w:sz w:val="21"/>
                      <w:szCs w:val="21"/>
                      <w:highlight w:val="none"/>
                      <w:lang w:val="en-US" w:eastAsia="zh-CN"/>
                    </w:rPr>
                    <w:t>烧结</w:t>
                  </w:r>
                  <w:r>
                    <w:rPr>
                      <w:rFonts w:hint="eastAsia" w:ascii="Times New Roman" w:hAnsi="Times New Roman" w:eastAsia="宋体"/>
                      <w:b w:val="0"/>
                      <w:bCs/>
                      <w:color w:val="auto"/>
                      <w:sz w:val="21"/>
                      <w:szCs w:val="21"/>
                      <w:highlight w:val="none"/>
                      <w:lang w:val="en-US" w:eastAsia="zh-CN"/>
                    </w:rPr>
                    <w:t>及筛分、打包</w:t>
                  </w:r>
                  <w:r>
                    <w:rPr>
                      <w:rFonts w:hint="eastAsia"/>
                      <w:b w:val="0"/>
                      <w:bCs/>
                      <w:color w:val="auto"/>
                      <w:sz w:val="21"/>
                      <w:szCs w:val="21"/>
                      <w:highlight w:val="none"/>
                      <w:lang w:val="en-US" w:eastAsia="zh-CN"/>
                    </w:rPr>
                    <w:t>废气</w:t>
                  </w:r>
                </w:p>
              </w:tc>
              <w:tc>
                <w:tcPr>
                  <w:tcW w:w="757" w:type="pct"/>
                  <w:vMerge w:val="continue"/>
                  <w:tcBorders>
                    <w:tl2br w:val="nil"/>
                    <w:tr2bl w:val="nil"/>
                  </w:tcBorders>
                  <w:noWrap w:val="0"/>
                  <w:vAlign w:val="center"/>
                </w:tcPr>
                <w:p w14:paraId="4B4195CC">
                  <w:pPr>
                    <w:jc w:val="both"/>
                    <w:rPr>
                      <w:rFonts w:hint="default" w:ascii="Times New Roman" w:hAnsi="Times New Roman" w:eastAsia="宋体" w:cs="Times New Roman"/>
                      <w:color w:val="auto"/>
                      <w:sz w:val="21"/>
                      <w:szCs w:val="21"/>
                      <w:highlight w:val="none"/>
                      <w:lang w:eastAsia="zh-CN"/>
                    </w:rPr>
                  </w:pPr>
                </w:p>
              </w:tc>
              <w:tc>
                <w:tcPr>
                  <w:tcW w:w="380" w:type="pct"/>
                  <w:tcBorders>
                    <w:tl2br w:val="nil"/>
                    <w:tr2bl w:val="nil"/>
                  </w:tcBorders>
                  <w:noWrap w:val="0"/>
                  <w:vAlign w:val="center"/>
                </w:tcPr>
                <w:p w14:paraId="150FE103">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329" w:type="dxa"/>
                  <w:tcBorders>
                    <w:tl2br w:val="nil"/>
                    <w:tr2bl w:val="nil"/>
                  </w:tcBorders>
                  <w:noWrap w:val="0"/>
                  <w:vAlign w:val="center"/>
                </w:tcPr>
                <w:p w14:paraId="1DD7C36D">
                  <w:pPr>
                    <w:keepNext w:val="0"/>
                    <w:keepLines w:val="0"/>
                    <w:pageBreakBefore w:val="0"/>
                    <w:widowControl/>
                    <w:suppressLineNumbers w:val="0"/>
                    <w:kinsoku/>
                    <w:wordWrap/>
                    <w:overflowPunct/>
                    <w:topLinePunct w:val="0"/>
                    <w:autoSpaceDE/>
                    <w:autoSpaceDN/>
                    <w:bidi w:val="0"/>
                    <w:adjustRightInd/>
                    <w:jc w:val="center"/>
                    <w:textAlignment w:val="auto"/>
                    <w:rPr>
                      <w:rFonts w:hint="eastAsia" w:ascii="Times New Roman" w:hAnsi="Times New Roman" w:eastAsia="宋体"/>
                      <w:b w:val="0"/>
                      <w:bCs w:val="0"/>
                      <w:color w:val="auto"/>
                      <w:sz w:val="21"/>
                      <w:szCs w:val="21"/>
                      <w:highlight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0.809</w:t>
                  </w:r>
                </w:p>
              </w:tc>
              <w:tc>
                <w:tcPr>
                  <w:tcW w:w="1257" w:type="dxa"/>
                  <w:tcBorders>
                    <w:tl2br w:val="nil"/>
                    <w:tr2bl w:val="nil"/>
                  </w:tcBorders>
                  <w:noWrap w:val="0"/>
                  <w:vAlign w:val="center"/>
                </w:tcPr>
                <w:p w14:paraId="51FB2E8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40.45</w:t>
                  </w:r>
                </w:p>
              </w:tc>
              <w:tc>
                <w:tcPr>
                  <w:tcW w:w="485" w:type="pct"/>
                  <w:tcBorders>
                    <w:tl2br w:val="nil"/>
                    <w:tr2bl w:val="nil"/>
                  </w:tcBorders>
                  <w:noWrap w:val="0"/>
                  <w:vAlign w:val="center"/>
                </w:tcPr>
                <w:p w14:paraId="780961A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329" w:type="pct"/>
                  <w:tcBorders>
                    <w:tl2br w:val="nil"/>
                    <w:tr2bl w:val="nil"/>
                  </w:tcBorders>
                  <w:noWrap w:val="0"/>
                  <w:vAlign w:val="center"/>
                </w:tcPr>
                <w:p w14:paraId="48593670">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447" w:type="pct"/>
                  <w:vMerge w:val="continue"/>
                  <w:tcBorders>
                    <w:tl2br w:val="nil"/>
                    <w:tr2bl w:val="nil"/>
                  </w:tcBorders>
                  <w:noWrap w:val="0"/>
                  <w:vAlign w:val="center"/>
                </w:tcPr>
                <w:p w14:paraId="40E2499A">
                  <w:pPr>
                    <w:jc w:val="both"/>
                    <w:rPr>
                      <w:rFonts w:hint="default" w:ascii="Times New Roman" w:hAnsi="Times New Roman" w:eastAsia="宋体" w:cs="Times New Roman"/>
                      <w:color w:val="auto"/>
                      <w:sz w:val="21"/>
                      <w:szCs w:val="21"/>
                      <w:highlight w:val="none"/>
                      <w:lang w:eastAsia="zh-CN"/>
                    </w:rPr>
                  </w:pPr>
                </w:p>
              </w:tc>
            </w:tr>
            <w:tr w14:paraId="7137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0" w:type="pct"/>
                  <w:vMerge w:val="continue"/>
                  <w:tcBorders>
                    <w:tl2br w:val="nil"/>
                    <w:tr2bl w:val="nil"/>
                  </w:tcBorders>
                  <w:noWrap w:val="0"/>
                  <w:vAlign w:val="center"/>
                </w:tcPr>
                <w:p w14:paraId="7D932CB8">
                  <w:pPr>
                    <w:jc w:val="center"/>
                    <w:rPr>
                      <w:rFonts w:hint="eastAsia" w:ascii="Times New Roman" w:hAnsi="Times New Roman" w:eastAsia="宋体" w:cs="Times New Roman"/>
                      <w:color w:val="auto"/>
                      <w:sz w:val="21"/>
                      <w:szCs w:val="21"/>
                      <w:highlight w:val="none"/>
                      <w:lang w:val="en-US" w:eastAsia="zh-CN"/>
                    </w:rPr>
                  </w:pPr>
                </w:p>
              </w:tc>
              <w:tc>
                <w:tcPr>
                  <w:tcW w:w="540" w:type="pct"/>
                  <w:vMerge w:val="continue"/>
                  <w:tcBorders>
                    <w:tl2br w:val="nil"/>
                    <w:tr2bl w:val="nil"/>
                  </w:tcBorders>
                  <w:noWrap w:val="0"/>
                  <w:vAlign w:val="center"/>
                </w:tcPr>
                <w:p w14:paraId="560C12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val="0"/>
                      <w:bCs/>
                      <w:color w:val="auto"/>
                      <w:sz w:val="21"/>
                      <w:szCs w:val="21"/>
                      <w:highlight w:val="none"/>
                      <w:lang w:val="en-US" w:eastAsia="zh-CN"/>
                    </w:rPr>
                  </w:pPr>
                </w:p>
              </w:tc>
              <w:tc>
                <w:tcPr>
                  <w:tcW w:w="757" w:type="pct"/>
                  <w:vMerge w:val="continue"/>
                  <w:tcBorders>
                    <w:tl2br w:val="nil"/>
                    <w:tr2bl w:val="nil"/>
                  </w:tcBorders>
                  <w:noWrap w:val="0"/>
                  <w:vAlign w:val="center"/>
                </w:tcPr>
                <w:p w14:paraId="5DE1983D">
                  <w:pPr>
                    <w:jc w:val="both"/>
                    <w:rPr>
                      <w:rFonts w:hint="default" w:ascii="Times New Roman" w:hAnsi="Times New Roman" w:eastAsia="宋体" w:cs="Times New Roman"/>
                      <w:color w:val="auto"/>
                      <w:sz w:val="21"/>
                      <w:szCs w:val="21"/>
                      <w:highlight w:val="none"/>
                      <w:lang w:eastAsia="zh-CN"/>
                    </w:rPr>
                  </w:pPr>
                </w:p>
              </w:tc>
              <w:tc>
                <w:tcPr>
                  <w:tcW w:w="380" w:type="pct"/>
                  <w:tcBorders>
                    <w:tl2br w:val="nil"/>
                    <w:tr2bl w:val="nil"/>
                  </w:tcBorders>
                  <w:noWrap w:val="0"/>
                  <w:vAlign w:val="center"/>
                </w:tcPr>
                <w:p w14:paraId="2978B789">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VOCs</w:t>
                  </w:r>
                </w:p>
              </w:tc>
              <w:tc>
                <w:tcPr>
                  <w:tcW w:w="1329" w:type="dxa"/>
                  <w:tcBorders>
                    <w:tl2br w:val="nil"/>
                    <w:tr2bl w:val="nil"/>
                  </w:tcBorders>
                  <w:noWrap w:val="0"/>
                  <w:vAlign w:val="center"/>
                </w:tcPr>
                <w:p w14:paraId="652302F8">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0.486</w:t>
                  </w:r>
                </w:p>
              </w:tc>
              <w:tc>
                <w:tcPr>
                  <w:tcW w:w="1257" w:type="dxa"/>
                  <w:tcBorders>
                    <w:tl2br w:val="nil"/>
                    <w:tr2bl w:val="nil"/>
                  </w:tcBorders>
                  <w:noWrap w:val="0"/>
                  <w:vAlign w:val="center"/>
                </w:tcPr>
                <w:p w14:paraId="6FB2536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cs="Times New Roman"/>
                      <w:b w:val="0"/>
                      <w:bCs/>
                      <w:i w:val="0"/>
                      <w:iCs w:val="0"/>
                      <w:color w:val="auto"/>
                      <w:kern w:val="0"/>
                      <w:sz w:val="21"/>
                      <w:szCs w:val="21"/>
                      <w:highlight w:val="none"/>
                      <w:u w:val="none"/>
                      <w:lang w:val="en-US" w:eastAsia="zh-CN" w:bidi="ar"/>
                    </w:rPr>
                    <w:t>24.30</w:t>
                  </w:r>
                </w:p>
              </w:tc>
              <w:tc>
                <w:tcPr>
                  <w:tcW w:w="1398" w:type="dxa"/>
                  <w:tcBorders>
                    <w:tl2br w:val="nil"/>
                    <w:tr2bl w:val="nil"/>
                  </w:tcBorders>
                  <w:noWrap w:val="0"/>
                  <w:vAlign w:val="center"/>
                </w:tcPr>
                <w:p w14:paraId="523E7E02">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950" w:type="dxa"/>
                  <w:tcBorders>
                    <w:tl2br w:val="nil"/>
                    <w:tr2bl w:val="nil"/>
                  </w:tcBorders>
                  <w:noWrap w:val="0"/>
                  <w:vAlign w:val="center"/>
                </w:tcPr>
                <w:p w14:paraId="64A1C91B">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447" w:type="pct"/>
                  <w:vMerge w:val="continue"/>
                  <w:tcBorders>
                    <w:tl2br w:val="nil"/>
                    <w:tr2bl w:val="nil"/>
                  </w:tcBorders>
                  <w:noWrap w:val="0"/>
                  <w:vAlign w:val="center"/>
                </w:tcPr>
                <w:p w14:paraId="61EEDA6F">
                  <w:pPr>
                    <w:jc w:val="both"/>
                    <w:rPr>
                      <w:rFonts w:hint="default" w:ascii="Times New Roman" w:hAnsi="Times New Roman" w:eastAsia="宋体" w:cs="Times New Roman"/>
                      <w:color w:val="auto"/>
                      <w:sz w:val="21"/>
                      <w:szCs w:val="21"/>
                      <w:highlight w:val="none"/>
                      <w:lang w:eastAsia="zh-CN"/>
                    </w:rPr>
                  </w:pPr>
                </w:p>
              </w:tc>
            </w:tr>
          </w:tbl>
          <w:p w14:paraId="42AA5463">
            <w:pPr>
              <w:keepNext w:val="0"/>
              <w:keepLines w:val="0"/>
              <w:pageBreakBefore w:val="0"/>
              <w:kinsoku/>
              <w:wordWrap/>
              <w:overflowPunct/>
              <w:topLinePunct w:val="0"/>
              <w:autoSpaceDE/>
              <w:autoSpaceDN/>
              <w:bidi w:val="0"/>
              <w:adjustRightInd/>
              <w:snapToGrid/>
              <w:spacing w:line="360" w:lineRule="auto"/>
              <w:ind w:left="0" w:leftChars="0" w:right="0" w:firstLine="562" w:firstLineChars="200"/>
              <w:textAlignment w:val="auto"/>
              <w:rPr>
                <w:rFonts w:hint="default" w:ascii="Times New Roman" w:hAnsi="Times New Roman" w:cs="Times New Roman"/>
                <w:b/>
                <w:color w:val="auto"/>
                <w:kern w:val="0"/>
                <w:sz w:val="28"/>
                <w:szCs w:val="28"/>
                <w:highlight w:val="none"/>
              </w:rPr>
            </w:pPr>
          </w:p>
        </w:tc>
      </w:tr>
    </w:tbl>
    <w:p w14:paraId="099A091A">
      <w:pPr>
        <w:pStyle w:val="29"/>
        <w:rPr>
          <w:rFonts w:hint="eastAsia"/>
          <w:color w:val="auto"/>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10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7"/>
        <w:gridCol w:w="9763"/>
      </w:tblGrid>
      <w:tr w14:paraId="66453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547" w:type="dxa"/>
            <w:noWrap w:val="0"/>
            <w:tcMar>
              <w:left w:w="28" w:type="dxa"/>
              <w:right w:w="28" w:type="dxa"/>
            </w:tcMar>
            <w:vAlign w:val="center"/>
          </w:tcPr>
          <w:p w14:paraId="756FEB4B">
            <w:pPr>
              <w:adjustRightInd w:val="0"/>
              <w:snapToGrid w:val="0"/>
              <w:jc w:val="center"/>
              <w:rPr>
                <w:rFonts w:hint="default" w:ascii="Times New Roman" w:hAnsi="Times New Roman" w:cs="Times New Roman"/>
                <w:bCs/>
                <w:color w:val="auto"/>
                <w:sz w:val="24"/>
                <w:highlight w:val="none"/>
              </w:rPr>
            </w:pPr>
            <w:bookmarkStart w:id="3" w:name="_Hlk54167917"/>
            <w:r>
              <w:rPr>
                <w:rFonts w:hint="default" w:ascii="Times New Roman" w:hAnsi="Times New Roman" w:cs="Times New Roman"/>
                <w:bCs/>
                <w:color w:val="auto"/>
                <w:sz w:val="24"/>
                <w:highlight w:val="none"/>
              </w:rPr>
              <w:t>运营</w:t>
            </w:r>
          </w:p>
          <w:p w14:paraId="3D5ED60C">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期环</w:t>
            </w:r>
          </w:p>
          <w:p w14:paraId="705CB594">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境影</w:t>
            </w:r>
          </w:p>
          <w:p w14:paraId="0F624ABD">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响和</w:t>
            </w:r>
          </w:p>
          <w:p w14:paraId="1857B482">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保护</w:t>
            </w:r>
          </w:p>
          <w:p w14:paraId="7AC4362C">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 w:val="24"/>
                <w:highlight w:val="none"/>
              </w:rPr>
              <w:t>措施</w:t>
            </w:r>
          </w:p>
        </w:tc>
        <w:tc>
          <w:tcPr>
            <w:tcW w:w="9763" w:type="dxa"/>
            <w:noWrap w:val="0"/>
            <w:vAlign w:val="center"/>
          </w:tcPr>
          <w:p w14:paraId="67044FAE">
            <w:pPr>
              <w:keepNext w:val="0"/>
              <w:keepLines w:val="0"/>
              <w:pageBreakBefore w:val="0"/>
              <w:kinsoku/>
              <w:wordWrap/>
              <w:overflowPunct/>
              <w:topLinePunct w:val="0"/>
              <w:autoSpaceDE w:val="0"/>
              <w:autoSpaceDN w:val="0"/>
              <w:bidi w:val="0"/>
              <w:adjustRightInd w:val="0"/>
              <w:snapToGrid w:val="0"/>
              <w:spacing w:line="360" w:lineRule="auto"/>
              <w:ind w:right="0" w:firstLine="482" w:firstLineChars="200"/>
              <w:textAlignment w:val="auto"/>
              <w:rPr>
                <w:rFonts w:hint="default" w:ascii="Times New Roman" w:hAnsi="Times New Roman" w:cs="Times New Roman"/>
                <w:strike/>
                <w:color w:val="auto"/>
                <w:highlight w:val="none"/>
              </w:rPr>
            </w:pPr>
            <w:r>
              <w:rPr>
                <w:rFonts w:hint="default" w:ascii="Times New Roman" w:hAnsi="Times New Roman" w:cs="Times New Roman"/>
                <w:b/>
                <w:bCs/>
                <w:color w:val="auto"/>
                <w:sz w:val="24"/>
                <w:highlight w:val="none"/>
              </w:rPr>
              <w:t>3、项目废气处理措施的可行性分析</w:t>
            </w:r>
          </w:p>
          <w:p w14:paraId="298841FF">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（1）除尘可行性技术分析</w:t>
            </w:r>
          </w:p>
          <w:p w14:paraId="0DBCD12E">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打磨、筛分、</w:t>
            </w:r>
            <w:r>
              <w:rPr>
                <w:rFonts w:hint="eastAsia" w:cs="Times New Roman"/>
                <w:b w:val="0"/>
                <w:bCs w:val="0"/>
                <w:color w:val="auto"/>
                <w:sz w:val="24"/>
                <w:szCs w:val="24"/>
                <w:highlight w:val="none"/>
                <w:lang w:val="en-US" w:eastAsia="zh-CN"/>
              </w:rPr>
              <w:t>烧结</w:t>
            </w:r>
            <w:r>
              <w:rPr>
                <w:rFonts w:hint="eastAsia" w:ascii="Times New Roman" w:hAnsi="Times New Roman" w:eastAsia="宋体" w:cs="Times New Roman"/>
                <w:b w:val="0"/>
                <w:bCs w:val="0"/>
                <w:color w:val="auto"/>
                <w:sz w:val="24"/>
                <w:szCs w:val="24"/>
                <w:highlight w:val="none"/>
                <w:lang w:val="en-US" w:eastAsia="zh-CN"/>
              </w:rPr>
              <w:t>及打包工段产生的颗粒物采用高效</w:t>
            </w:r>
            <w:r>
              <w:rPr>
                <w:rFonts w:ascii="Times New Roman" w:hAnsi="Times New Roman" w:eastAsia="宋体" w:cs="Times New Roman"/>
                <w:b w:val="0"/>
                <w:bCs w:val="0"/>
                <w:color w:val="auto"/>
                <w:sz w:val="24"/>
                <w:szCs w:val="24"/>
                <w:highlight w:val="none"/>
              </w:rPr>
              <w:t>布袋除尘器除去</w:t>
            </w:r>
            <w:r>
              <w:rPr>
                <w:rFonts w:hint="eastAsia" w:ascii="Times New Roman" w:hAnsi="Times New Roman" w:eastAsia="宋体" w:cs="Times New Roman"/>
                <w:b w:val="0"/>
                <w:bCs w:val="0"/>
                <w:color w:val="auto"/>
                <w:sz w:val="24"/>
                <w:szCs w:val="24"/>
                <w:highlight w:val="none"/>
                <w:lang w:val="en-US" w:eastAsia="zh-CN"/>
              </w:rPr>
              <w:t>，处理效率大于95%，处理效率高。根据《排污许可证申请与核发技术规范 石墨及其他非金属矿物制品制造》（HJ1119—2020），项目生产过程中的废气采用“布袋除尘器”为推荐可行技术，符合规范要求，技术可行。</w:t>
            </w:r>
          </w:p>
          <w:p w14:paraId="6FEDF4A4">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各设备专用于特定材料加工，布袋除尘器截留的粉料可回收回用于生产，弹性内卡式滤袋安装方式，确保滤袋的安装和拆卸非常方便，特别是避免了袋内结灰和滤料的磨损。</w:t>
            </w:r>
          </w:p>
          <w:p w14:paraId="1D43D177">
            <w:pPr>
              <w:pStyle w:val="75"/>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w:t>
            </w:r>
            <w:r>
              <w:rPr>
                <w:rFonts w:hint="eastAsia" w:ascii="Times New Roman" w:hAnsi="Times New Roman" w:cs="Times New Roman"/>
                <w:b w:val="0"/>
                <w:bCs w:val="0"/>
                <w:color w:val="auto"/>
                <w:sz w:val="24"/>
                <w:szCs w:val="24"/>
                <w:highlight w:val="none"/>
                <w:lang w:val="en-US" w:eastAsia="zh-CN"/>
              </w:rPr>
              <w:t>有机废气可行性技术分析</w:t>
            </w:r>
          </w:p>
          <w:p w14:paraId="071F72A1">
            <w:pPr>
              <w:autoSpaceDE w:val="0"/>
              <w:autoSpaceDN w:val="0"/>
              <w:adjustRightIn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活性炭吸附技术：主要是利用活性炭吸附材料具有丰富空隙结构和巨大比表面积，将VOC</w:t>
            </w:r>
            <w:r>
              <w:rPr>
                <w:rFonts w:hint="default" w:ascii="Times New Roman" w:hAnsi="Times New Roman" w:eastAsia="宋体" w:cs="Times New Roman"/>
                <w:color w:val="auto"/>
                <w:sz w:val="24"/>
                <w:highlight w:val="none"/>
                <w:vertAlign w:val="subscript"/>
                <w:lang w:val="en-US" w:eastAsia="zh-CN"/>
              </w:rPr>
              <w:t>S</w:t>
            </w:r>
            <w:r>
              <w:rPr>
                <w:rFonts w:hint="default" w:ascii="Times New Roman" w:hAnsi="Times New Roman" w:eastAsia="宋体" w:cs="Times New Roman"/>
                <w:color w:val="auto"/>
                <w:sz w:val="24"/>
                <w:highlight w:val="none"/>
                <w:lang w:val="en-US" w:eastAsia="zh-CN"/>
              </w:rPr>
              <w:t>吸附在其内部空隙，从而达到净化废气的目的。活性炭吸附剂包括：活性炭纤维，蜂窝状活性炭，活性炭颗粒等。</w:t>
            </w:r>
          </w:p>
          <w:p w14:paraId="12B8F0B2">
            <w:pPr>
              <w:autoSpaceDE w:val="0"/>
              <w:autoSpaceDN w:val="0"/>
              <w:adjustRightInd w:val="0"/>
              <w:spacing w:line="360" w:lineRule="auto"/>
              <w:ind w:firstLine="480" w:firstLineChars="200"/>
              <w:jc w:val="left"/>
              <w:rPr>
                <w:rFonts w:hint="default" w:ascii="Times New Roman" w:hAnsi="Times New Roman" w:eastAsia="宋体" w:cs="Times New Roman"/>
                <w:color w:val="FF0000"/>
                <w:sz w:val="24"/>
                <w:highlight w:val="none"/>
                <w:lang w:val="en-US" w:eastAsia="zh-CN"/>
              </w:rPr>
            </w:pPr>
            <w:r>
              <w:rPr>
                <w:rFonts w:hint="default" w:ascii="Times New Roman" w:hAnsi="Times New Roman" w:eastAsia="宋体" w:cs="Times New Roman"/>
                <w:color w:val="FF0000"/>
                <w:sz w:val="24"/>
                <w:highlight w:val="none"/>
                <w:lang w:val="en-US" w:eastAsia="zh-CN"/>
              </w:rPr>
              <w:t>本项目采用蜂窝状活性炭，具有孔隙结构发达，比表面积大，流体阻力小等优点，特别适用于大风量、低浓度有机废气净化治理</w:t>
            </w:r>
            <w:r>
              <w:rPr>
                <w:rFonts w:hint="eastAsia" w:cs="Times New Roman"/>
                <w:color w:val="FF0000"/>
                <w:sz w:val="24"/>
                <w:highlight w:val="none"/>
                <w:lang w:val="en-US" w:eastAsia="zh-CN"/>
              </w:rPr>
              <w:t>。</w:t>
            </w:r>
            <w:r>
              <w:rPr>
                <w:rFonts w:hint="default" w:ascii="Times New Roman" w:hAnsi="Times New Roman" w:eastAsia="宋体" w:cs="Times New Roman"/>
                <w:color w:val="FF0000"/>
                <w:sz w:val="24"/>
                <w:highlight w:val="none"/>
                <w:lang w:val="en-US" w:eastAsia="zh-CN"/>
              </w:rPr>
              <w:t>本项目采用蜂窝活性炭作为吸附剂，其碘值要求不宜低于650mg/g，满足《吸附法工业有机废气治理工程技术规范》（HJ2026-2013）要求。</w:t>
            </w:r>
            <w:r>
              <w:rPr>
                <w:rFonts w:hint="eastAsia" w:ascii="Times New Roman" w:hAnsi="Times New Roman" w:eastAsia="宋体" w:cs="Times New Roman"/>
                <w:b w:val="0"/>
                <w:bCs w:val="0"/>
                <w:color w:val="FF0000"/>
                <w:sz w:val="24"/>
                <w:szCs w:val="24"/>
                <w:highlight w:val="none"/>
                <w:lang w:val="en-US" w:eastAsia="zh-CN"/>
              </w:rPr>
              <w:t>根据《吸附法工业有机废气治理工程技术规范》（HJ2026-2013）活性炭吸附技术可达处理效率为50%~80%。本项目处理的废气属于低VOCs含量，“活性炭吸附”治理效率可取值中等偏高。综合考虑上述，单级活性炭处理的效率取70%，因此有机废气用二级活性炭处理的效率能达90%以上，本项目按90%计。</w:t>
            </w:r>
            <w:r>
              <w:rPr>
                <w:rFonts w:hint="default" w:ascii="Times New Roman" w:hAnsi="Times New Roman" w:eastAsia="宋体" w:cs="Times New Roman"/>
                <w:color w:val="FF0000"/>
                <w:sz w:val="24"/>
                <w:highlight w:val="none"/>
                <w:lang w:val="en-US" w:eastAsia="zh-CN"/>
              </w:rPr>
              <w:t>技术规范要求吸附装置的净化效率不得低于90%。本环评处理效率按90%计算，建设单位应按照相关规定设计和安装活性炭吸附处理装置，及时更换活性炭确保处理效率。</w:t>
            </w:r>
          </w:p>
          <w:p w14:paraId="09BDBBE5">
            <w:pPr>
              <w:autoSpaceDE w:val="0"/>
              <w:autoSpaceDN w:val="0"/>
              <w:adjustRightInd w:val="0"/>
              <w:spacing w:line="360" w:lineRule="auto"/>
              <w:ind w:firstLine="480" w:firstLineChars="200"/>
              <w:jc w:val="left"/>
              <w:rPr>
                <w:rFonts w:hint="eastAsia"/>
                <w:color w:val="auto"/>
                <w:highlight w:val="none"/>
                <w:lang w:val="en-US" w:eastAsia="zh-CN"/>
              </w:rPr>
            </w:pPr>
            <w:r>
              <w:rPr>
                <w:rFonts w:hint="eastAsia" w:cs="Times New Roman"/>
                <w:color w:val="auto"/>
                <w:sz w:val="24"/>
                <w:highlight w:val="none"/>
                <w:lang w:val="en-US" w:eastAsia="zh-CN"/>
              </w:rPr>
              <w:t>综上，对照2025年《国家污染防治技术指导目录》，该项目采用袋式除尘技术和</w:t>
            </w:r>
            <w:r>
              <w:rPr>
                <w:rFonts w:hint="default" w:ascii="Times New Roman" w:hAnsi="Times New Roman" w:eastAsia="宋体" w:cs="Times New Roman"/>
                <w:color w:val="auto"/>
                <w:sz w:val="24"/>
                <w:highlight w:val="none"/>
                <w:lang w:val="en-US" w:eastAsia="zh-CN"/>
              </w:rPr>
              <w:t>两级活性炭吸附工艺</w:t>
            </w:r>
            <w:r>
              <w:rPr>
                <w:rFonts w:hint="eastAsia" w:ascii="Times New Roman" w:hAnsi="Times New Roman" w:eastAsia="宋体" w:cs="Times New Roman"/>
                <w:color w:val="auto"/>
                <w:sz w:val="24"/>
                <w:highlight w:val="none"/>
                <w:lang w:val="en-US" w:eastAsia="zh-CN"/>
              </w:rPr>
              <w:t>不属于低效类技术。</w:t>
            </w:r>
            <w:r>
              <w:rPr>
                <w:rFonts w:hint="default" w:ascii="Times New Roman" w:hAnsi="Times New Roman" w:eastAsia="宋体" w:cs="Times New Roman"/>
                <w:color w:val="auto"/>
                <w:sz w:val="24"/>
                <w:highlight w:val="none"/>
                <w:lang w:val="en-US" w:eastAsia="zh-CN"/>
              </w:rPr>
              <w:t>本项目废气污染物采取</w:t>
            </w:r>
            <w:r>
              <w:rPr>
                <w:rFonts w:hint="eastAsia" w:cs="Times New Roman"/>
                <w:color w:val="auto"/>
                <w:sz w:val="24"/>
                <w:highlight w:val="none"/>
                <w:lang w:val="en-US" w:eastAsia="zh-CN"/>
              </w:rPr>
              <w:t>袋式除尘和</w:t>
            </w:r>
            <w:r>
              <w:rPr>
                <w:rFonts w:hint="default" w:ascii="Times New Roman" w:hAnsi="Times New Roman" w:eastAsia="宋体" w:cs="Times New Roman"/>
                <w:color w:val="auto"/>
                <w:sz w:val="24"/>
                <w:highlight w:val="none"/>
                <w:lang w:val="en-US" w:eastAsia="zh-CN"/>
              </w:rPr>
              <w:t>两级活性炭吸附处理能够达标排放，所采取的治理措施具有可行性。</w:t>
            </w:r>
          </w:p>
          <w:p w14:paraId="4E53A0E9">
            <w:pPr>
              <w:numPr>
                <w:ilvl w:val="0"/>
                <w:numId w:val="9"/>
              </w:numPr>
              <w:adjustRightInd w:val="0"/>
              <w:snapToGrid w:val="0"/>
              <w:spacing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废气环境影响分析</w:t>
            </w:r>
          </w:p>
          <w:p w14:paraId="7417E1F1">
            <w:pPr>
              <w:pStyle w:val="101"/>
              <w:bidi w:val="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表 </w:t>
            </w:r>
            <w:r>
              <w:rPr>
                <w:rFonts w:hint="eastAsia" w:ascii="Times New Roman" w:hAnsi="Times New Roman" w:cs="Times New Roman"/>
                <w:color w:val="auto"/>
                <w:highlight w:val="none"/>
                <w:lang w:val="en-US" w:eastAsia="zh-CN"/>
              </w:rPr>
              <w:t>4-6</w:t>
            </w:r>
            <w:r>
              <w:rPr>
                <w:rFonts w:hint="default" w:ascii="Times New Roman" w:hAnsi="Times New Roman" w:cs="Times New Roman"/>
                <w:color w:val="auto"/>
                <w:highlight w:val="none"/>
                <w:lang w:val="en-US" w:eastAsia="zh-CN"/>
              </w:rPr>
              <w:tab/>
            </w:r>
            <w:r>
              <w:rPr>
                <w:rFonts w:hint="default" w:ascii="Times New Roman" w:hAnsi="Times New Roman" w:cs="Times New Roman"/>
                <w:color w:val="auto"/>
                <w:highlight w:val="none"/>
                <w:lang w:val="en-US" w:eastAsia="zh-CN"/>
              </w:rPr>
              <w:t>本项目</w:t>
            </w:r>
            <w:r>
              <w:rPr>
                <w:rFonts w:hint="eastAsia" w:ascii="Times New Roman" w:hAnsi="Times New Roman" w:cs="Times New Roman"/>
                <w:color w:val="auto"/>
                <w:highlight w:val="none"/>
                <w:lang w:val="en-US" w:eastAsia="zh-CN"/>
              </w:rPr>
              <w:t>有组织</w:t>
            </w:r>
            <w:r>
              <w:rPr>
                <w:rFonts w:hint="default" w:ascii="Times New Roman" w:hAnsi="Times New Roman" w:cs="Times New Roman"/>
                <w:color w:val="auto"/>
                <w:highlight w:val="none"/>
                <w:lang w:val="en-US" w:eastAsia="zh-CN"/>
              </w:rPr>
              <w:t>废气</w:t>
            </w:r>
            <w:r>
              <w:rPr>
                <w:rFonts w:hint="eastAsia" w:ascii="Times New Roman" w:hAnsi="Times New Roman" w:cs="Times New Roman"/>
                <w:color w:val="auto"/>
                <w:highlight w:val="none"/>
                <w:lang w:val="en-US" w:eastAsia="zh-CN"/>
              </w:rPr>
              <w:t>污染物排放标准一览表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50"/>
              <w:gridCol w:w="1075"/>
              <w:gridCol w:w="966"/>
              <w:gridCol w:w="869"/>
              <w:gridCol w:w="1616"/>
              <w:gridCol w:w="1282"/>
              <w:gridCol w:w="1187"/>
              <w:gridCol w:w="761"/>
            </w:tblGrid>
            <w:tr w14:paraId="293D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pct"/>
                  <w:vMerge w:val="restart"/>
                  <w:noWrap w:val="0"/>
                  <w:vAlign w:val="center"/>
                </w:tcPr>
                <w:p w14:paraId="3CB900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排放口编号</w:t>
                  </w:r>
                </w:p>
              </w:tc>
              <w:tc>
                <w:tcPr>
                  <w:tcW w:w="498" w:type="pct"/>
                  <w:vMerge w:val="restart"/>
                  <w:noWrap w:val="0"/>
                  <w:vAlign w:val="center"/>
                </w:tcPr>
                <w:p w14:paraId="068AD5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污染物种类</w:t>
                  </w:r>
                </w:p>
              </w:tc>
              <w:tc>
                <w:tcPr>
                  <w:tcW w:w="1526" w:type="pct"/>
                  <w:gridSpan w:val="3"/>
                  <w:noWrap w:val="0"/>
                  <w:vAlign w:val="center"/>
                </w:tcPr>
                <w:p w14:paraId="0AF3AB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污染物排放情况</w:t>
                  </w:r>
                </w:p>
              </w:tc>
              <w:tc>
                <w:tcPr>
                  <w:tcW w:w="2142" w:type="pct"/>
                  <w:gridSpan w:val="3"/>
                  <w:noWrap w:val="0"/>
                  <w:vAlign w:val="center"/>
                </w:tcPr>
                <w:p w14:paraId="5A5E18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污染物排放标准</w:t>
                  </w:r>
                </w:p>
              </w:tc>
              <w:tc>
                <w:tcPr>
                  <w:tcW w:w="399" w:type="pct"/>
                  <w:vMerge w:val="restart"/>
                  <w:noWrap w:val="0"/>
                  <w:vAlign w:val="center"/>
                </w:tcPr>
                <w:p w14:paraId="275B35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是否达标</w:t>
                  </w:r>
                </w:p>
              </w:tc>
            </w:tr>
            <w:tr w14:paraId="7813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pct"/>
                  <w:vMerge w:val="continue"/>
                  <w:noWrap w:val="0"/>
                  <w:vAlign w:val="center"/>
                </w:tcPr>
                <w:p w14:paraId="621938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p>
              </w:tc>
              <w:tc>
                <w:tcPr>
                  <w:tcW w:w="498" w:type="pct"/>
                  <w:vMerge w:val="continue"/>
                  <w:noWrap w:val="0"/>
                  <w:vAlign w:val="center"/>
                </w:tcPr>
                <w:p w14:paraId="37B8C3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p>
              </w:tc>
              <w:tc>
                <w:tcPr>
                  <w:tcW w:w="563" w:type="pct"/>
                  <w:noWrap w:val="0"/>
                  <w:vAlign w:val="center"/>
                </w:tcPr>
                <w:p w14:paraId="07A4FDF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排放量t/a</w:t>
                  </w:r>
                </w:p>
              </w:tc>
              <w:tc>
                <w:tcPr>
                  <w:tcW w:w="506" w:type="pct"/>
                  <w:noWrap w:val="0"/>
                  <w:vAlign w:val="center"/>
                </w:tcPr>
                <w:p w14:paraId="4D5E39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排放速率kg/h</w:t>
                  </w:r>
                </w:p>
              </w:tc>
              <w:tc>
                <w:tcPr>
                  <w:tcW w:w="455" w:type="pct"/>
                  <w:noWrap w:val="0"/>
                  <w:vAlign w:val="center"/>
                </w:tcPr>
                <w:p w14:paraId="6F3B1F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排放浓度mg/m</w:t>
                  </w:r>
                  <w:r>
                    <w:rPr>
                      <w:rFonts w:hint="default" w:ascii="Times New Roman" w:hAnsi="Times New Roman" w:eastAsia="宋体" w:cs="Times New Roman"/>
                      <w:b w:val="0"/>
                      <w:bCs w:val="0"/>
                      <w:color w:val="auto"/>
                      <w:sz w:val="21"/>
                      <w:szCs w:val="21"/>
                      <w:highlight w:val="none"/>
                      <w:vertAlign w:val="superscript"/>
                      <w:lang w:val="en-US" w:eastAsia="zh-CN"/>
                    </w:rPr>
                    <w:t>3</w:t>
                  </w:r>
                </w:p>
              </w:tc>
              <w:tc>
                <w:tcPr>
                  <w:tcW w:w="847" w:type="pct"/>
                  <w:noWrap w:val="0"/>
                  <w:vAlign w:val="center"/>
                </w:tcPr>
                <w:p w14:paraId="228F92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名称</w:t>
                  </w:r>
                </w:p>
              </w:tc>
              <w:tc>
                <w:tcPr>
                  <w:tcW w:w="672" w:type="pct"/>
                  <w:noWrap w:val="0"/>
                  <w:vAlign w:val="center"/>
                </w:tcPr>
                <w:p w14:paraId="669022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浓度限值（mg/m</w:t>
                  </w:r>
                  <w:r>
                    <w:rPr>
                      <w:rFonts w:hint="eastAsia" w:ascii="Times New Roman" w:hAnsi="Times New Roman" w:eastAsia="宋体" w:cs="Times New Roman"/>
                      <w:b w:val="0"/>
                      <w:bCs w:val="0"/>
                      <w:color w:val="auto"/>
                      <w:sz w:val="21"/>
                      <w:szCs w:val="21"/>
                      <w:highlight w:val="none"/>
                      <w:vertAlign w:val="superscript"/>
                      <w:lang w:val="en-US" w:eastAsia="zh-CN"/>
                    </w:rPr>
                    <w:t>3</w:t>
                  </w: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622" w:type="pct"/>
                  <w:noWrap w:val="0"/>
                  <w:vAlign w:val="center"/>
                </w:tcPr>
                <w:p w14:paraId="0F62D8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速率限值（kg/h）</w:t>
                  </w:r>
                </w:p>
              </w:tc>
              <w:tc>
                <w:tcPr>
                  <w:tcW w:w="399" w:type="pct"/>
                  <w:vMerge w:val="continue"/>
                  <w:noWrap w:val="0"/>
                  <w:vAlign w:val="center"/>
                </w:tcPr>
                <w:p w14:paraId="454900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p>
              </w:tc>
            </w:tr>
            <w:tr w14:paraId="15B9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pct"/>
                  <w:noWrap w:val="0"/>
                  <w:vAlign w:val="center"/>
                </w:tcPr>
                <w:p w14:paraId="262D5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DA001排气筒</w:t>
                  </w:r>
                </w:p>
              </w:tc>
              <w:tc>
                <w:tcPr>
                  <w:tcW w:w="498" w:type="pct"/>
                  <w:noWrap w:val="0"/>
                  <w:vAlign w:val="center"/>
                </w:tcPr>
                <w:p w14:paraId="6E39E5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563" w:type="pct"/>
                  <w:noWrap w:val="0"/>
                  <w:vAlign w:val="center"/>
                </w:tcPr>
                <w:p w14:paraId="3799779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0.271</w:t>
                  </w:r>
                </w:p>
              </w:tc>
              <w:tc>
                <w:tcPr>
                  <w:tcW w:w="506" w:type="pct"/>
                  <w:noWrap w:val="0"/>
                  <w:vAlign w:val="center"/>
                </w:tcPr>
                <w:p w14:paraId="2A9122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0.038</w:t>
                  </w:r>
                </w:p>
              </w:tc>
              <w:tc>
                <w:tcPr>
                  <w:tcW w:w="455" w:type="pct"/>
                  <w:noWrap w:val="0"/>
                  <w:vAlign w:val="center"/>
                </w:tcPr>
                <w:p w14:paraId="52ED3E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1.90</w:t>
                  </w:r>
                </w:p>
              </w:tc>
              <w:tc>
                <w:tcPr>
                  <w:tcW w:w="847" w:type="pct"/>
                  <w:noWrap w:val="0"/>
                  <w:vAlign w:val="center"/>
                </w:tcPr>
                <w:p w14:paraId="02B00C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b w:val="0"/>
                      <w:bCs w:val="0"/>
                      <w:color w:val="auto"/>
                      <w:sz w:val="21"/>
                      <w:szCs w:val="21"/>
                      <w:highlight w:val="none"/>
                      <w:lang w:val="en-US" w:eastAsia="zh-CN"/>
                    </w:rPr>
                    <w:t>DB37/2376-2019</w:t>
                  </w:r>
                </w:p>
              </w:tc>
              <w:tc>
                <w:tcPr>
                  <w:tcW w:w="672" w:type="pct"/>
                  <w:noWrap w:val="0"/>
                  <w:vAlign w:val="center"/>
                </w:tcPr>
                <w:p w14:paraId="60597F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20</w:t>
                  </w:r>
                </w:p>
              </w:tc>
              <w:tc>
                <w:tcPr>
                  <w:tcW w:w="622" w:type="pct"/>
                  <w:noWrap w:val="0"/>
                  <w:vAlign w:val="center"/>
                </w:tcPr>
                <w:p w14:paraId="273013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3.5</w:t>
                  </w:r>
                </w:p>
              </w:tc>
              <w:tc>
                <w:tcPr>
                  <w:tcW w:w="399" w:type="pct"/>
                  <w:noWrap w:val="0"/>
                  <w:vAlign w:val="center"/>
                </w:tcPr>
                <w:p w14:paraId="335E30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是</w:t>
                  </w:r>
                </w:p>
              </w:tc>
            </w:tr>
            <w:tr w14:paraId="645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pct"/>
                  <w:vMerge w:val="restart"/>
                  <w:noWrap w:val="0"/>
                  <w:vAlign w:val="center"/>
                </w:tcPr>
                <w:p w14:paraId="02FA74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DA002排气筒</w:t>
                  </w:r>
                </w:p>
              </w:tc>
              <w:tc>
                <w:tcPr>
                  <w:tcW w:w="498" w:type="pct"/>
                  <w:noWrap w:val="0"/>
                  <w:vAlign w:val="center"/>
                </w:tcPr>
                <w:p w14:paraId="783235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563" w:type="pct"/>
                  <w:noWrap w:val="0"/>
                  <w:vAlign w:val="center"/>
                </w:tcPr>
                <w:p w14:paraId="39B4BD4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0.271</w:t>
                  </w:r>
                </w:p>
              </w:tc>
              <w:tc>
                <w:tcPr>
                  <w:tcW w:w="966" w:type="dxa"/>
                  <w:noWrap w:val="0"/>
                  <w:vAlign w:val="center"/>
                </w:tcPr>
                <w:p w14:paraId="33A82AB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0.038</w:t>
                  </w:r>
                </w:p>
              </w:tc>
              <w:tc>
                <w:tcPr>
                  <w:tcW w:w="455" w:type="pct"/>
                  <w:noWrap w:val="0"/>
                  <w:vAlign w:val="center"/>
                </w:tcPr>
                <w:p w14:paraId="4522657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1.90</w:t>
                  </w:r>
                </w:p>
              </w:tc>
              <w:tc>
                <w:tcPr>
                  <w:tcW w:w="847" w:type="pct"/>
                  <w:noWrap w:val="0"/>
                  <w:vAlign w:val="center"/>
                </w:tcPr>
                <w:p w14:paraId="1D181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b w:val="0"/>
                      <w:bCs w:val="0"/>
                      <w:color w:val="auto"/>
                      <w:sz w:val="21"/>
                      <w:szCs w:val="21"/>
                      <w:highlight w:val="none"/>
                      <w:lang w:val="en-US" w:eastAsia="zh-CN"/>
                    </w:rPr>
                    <w:t>DB37/2376-2019</w:t>
                  </w:r>
                </w:p>
              </w:tc>
              <w:tc>
                <w:tcPr>
                  <w:tcW w:w="672" w:type="pct"/>
                  <w:noWrap w:val="0"/>
                  <w:vAlign w:val="center"/>
                </w:tcPr>
                <w:p w14:paraId="25FC8E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b w:val="0"/>
                      <w:bCs w:val="0"/>
                      <w:snapToGrid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20</w:t>
                  </w:r>
                </w:p>
              </w:tc>
              <w:tc>
                <w:tcPr>
                  <w:tcW w:w="622" w:type="pct"/>
                  <w:noWrap w:val="0"/>
                  <w:vAlign w:val="center"/>
                </w:tcPr>
                <w:p w14:paraId="307E2C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3.5</w:t>
                  </w:r>
                </w:p>
              </w:tc>
              <w:tc>
                <w:tcPr>
                  <w:tcW w:w="399" w:type="pct"/>
                  <w:noWrap w:val="0"/>
                  <w:vAlign w:val="center"/>
                </w:tcPr>
                <w:p w14:paraId="401BAC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是</w:t>
                  </w:r>
                </w:p>
              </w:tc>
            </w:tr>
            <w:tr w14:paraId="18A3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pct"/>
                  <w:vMerge w:val="continue"/>
                  <w:noWrap w:val="0"/>
                  <w:vAlign w:val="center"/>
                </w:tcPr>
                <w:p w14:paraId="54D0FE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498" w:type="pct"/>
                  <w:noWrap w:val="0"/>
                  <w:vAlign w:val="center"/>
                </w:tcPr>
                <w:p w14:paraId="48C2C96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VOCs</w:t>
                  </w:r>
                </w:p>
              </w:tc>
              <w:tc>
                <w:tcPr>
                  <w:tcW w:w="563" w:type="pct"/>
                  <w:noWrap w:val="0"/>
                  <w:vAlign w:val="center"/>
                </w:tcPr>
                <w:p w14:paraId="6FC3FC1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olor w:val="auto"/>
                      <w:kern w:val="0"/>
                      <w:sz w:val="21"/>
                      <w:szCs w:val="21"/>
                      <w:highlight w:val="none"/>
                      <w:u w:val="none"/>
                      <w:lang w:val="en-US" w:eastAsia="zh-CN" w:bidi="ar"/>
                    </w:rPr>
                    <w:t>0.316</w:t>
                  </w:r>
                </w:p>
              </w:tc>
              <w:tc>
                <w:tcPr>
                  <w:tcW w:w="966" w:type="dxa"/>
                  <w:noWrap w:val="0"/>
                  <w:vAlign w:val="center"/>
                </w:tcPr>
                <w:p w14:paraId="1FEDDBA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olor w:val="auto"/>
                      <w:kern w:val="0"/>
                      <w:sz w:val="21"/>
                      <w:szCs w:val="21"/>
                      <w:highlight w:val="none"/>
                      <w:u w:val="none"/>
                      <w:lang w:val="en-US" w:eastAsia="zh-CN" w:bidi="ar"/>
                    </w:rPr>
                    <w:t>0.044</w:t>
                  </w:r>
                </w:p>
              </w:tc>
              <w:tc>
                <w:tcPr>
                  <w:tcW w:w="455" w:type="pct"/>
                  <w:noWrap w:val="0"/>
                  <w:vAlign w:val="center"/>
                </w:tcPr>
                <w:p w14:paraId="75094ED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olor w:val="auto"/>
                      <w:kern w:val="0"/>
                      <w:sz w:val="21"/>
                      <w:szCs w:val="21"/>
                      <w:highlight w:val="none"/>
                      <w:u w:val="none"/>
                      <w:lang w:val="en-US" w:eastAsia="zh-CN" w:bidi="ar"/>
                    </w:rPr>
                    <w:t>2.20</w:t>
                  </w:r>
                </w:p>
              </w:tc>
              <w:tc>
                <w:tcPr>
                  <w:tcW w:w="847" w:type="pct"/>
                  <w:noWrap w:val="0"/>
                  <w:vAlign w:val="center"/>
                </w:tcPr>
                <w:p w14:paraId="1582ED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DB37/2801.7—2019</w:t>
                  </w:r>
                </w:p>
              </w:tc>
              <w:tc>
                <w:tcPr>
                  <w:tcW w:w="672" w:type="pct"/>
                  <w:noWrap w:val="0"/>
                  <w:vAlign w:val="center"/>
                </w:tcPr>
                <w:p w14:paraId="7E9F1E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b w:val="0"/>
                      <w:bCs w:val="0"/>
                      <w:snapToGrid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60</w:t>
                  </w:r>
                </w:p>
              </w:tc>
              <w:tc>
                <w:tcPr>
                  <w:tcW w:w="622" w:type="pct"/>
                  <w:noWrap w:val="0"/>
                  <w:vAlign w:val="center"/>
                </w:tcPr>
                <w:p w14:paraId="428813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3.0</w:t>
                  </w:r>
                </w:p>
              </w:tc>
              <w:tc>
                <w:tcPr>
                  <w:tcW w:w="399" w:type="pct"/>
                  <w:noWrap w:val="0"/>
                  <w:vAlign w:val="center"/>
                </w:tcPr>
                <w:p w14:paraId="76BEB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是</w:t>
                  </w:r>
                </w:p>
              </w:tc>
            </w:tr>
            <w:tr w14:paraId="681D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pct"/>
                  <w:vMerge w:val="restart"/>
                  <w:noWrap w:val="0"/>
                  <w:vAlign w:val="center"/>
                </w:tcPr>
                <w:p w14:paraId="102D22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总计</w:t>
                  </w:r>
                </w:p>
              </w:tc>
              <w:tc>
                <w:tcPr>
                  <w:tcW w:w="498" w:type="pct"/>
                  <w:noWrap w:val="0"/>
                  <w:vAlign w:val="center"/>
                </w:tcPr>
                <w:p w14:paraId="0C9F1C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563" w:type="pct"/>
                  <w:noWrap w:val="0"/>
                  <w:vAlign w:val="center"/>
                </w:tcPr>
                <w:p w14:paraId="46B5894B">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0.542</w:t>
                  </w:r>
                </w:p>
              </w:tc>
              <w:tc>
                <w:tcPr>
                  <w:tcW w:w="506" w:type="pct"/>
                  <w:noWrap w:val="0"/>
                  <w:vAlign w:val="center"/>
                </w:tcPr>
                <w:p w14:paraId="12336C1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455" w:type="pct"/>
                  <w:noWrap w:val="0"/>
                  <w:vAlign w:val="center"/>
                </w:tcPr>
                <w:p w14:paraId="317E118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847" w:type="pct"/>
                  <w:noWrap w:val="0"/>
                  <w:vAlign w:val="center"/>
                </w:tcPr>
                <w:p w14:paraId="3302C7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672" w:type="pct"/>
                  <w:noWrap w:val="0"/>
                  <w:vAlign w:val="center"/>
                </w:tcPr>
                <w:p w14:paraId="269B1D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622" w:type="pct"/>
                  <w:noWrap w:val="0"/>
                  <w:vAlign w:val="center"/>
                </w:tcPr>
                <w:p w14:paraId="6FA7BA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399" w:type="pct"/>
                  <w:noWrap w:val="0"/>
                  <w:vAlign w:val="center"/>
                </w:tcPr>
                <w:p w14:paraId="423C27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r>
            <w:tr w14:paraId="2531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pct"/>
                  <w:vMerge w:val="continue"/>
                  <w:noWrap w:val="0"/>
                  <w:vAlign w:val="center"/>
                </w:tcPr>
                <w:p w14:paraId="79390E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498" w:type="pct"/>
                  <w:noWrap w:val="0"/>
                  <w:vAlign w:val="center"/>
                </w:tcPr>
                <w:p w14:paraId="1DBB7A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VOCs</w:t>
                  </w:r>
                </w:p>
              </w:tc>
              <w:tc>
                <w:tcPr>
                  <w:tcW w:w="563" w:type="pct"/>
                  <w:noWrap w:val="0"/>
                  <w:vAlign w:val="center"/>
                </w:tcPr>
                <w:p w14:paraId="5A750C5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0.316</w:t>
                  </w:r>
                </w:p>
              </w:tc>
              <w:tc>
                <w:tcPr>
                  <w:tcW w:w="506" w:type="pct"/>
                  <w:noWrap w:val="0"/>
                  <w:vAlign w:val="center"/>
                </w:tcPr>
                <w:p w14:paraId="0DBBCF3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455" w:type="pct"/>
                  <w:noWrap w:val="0"/>
                  <w:vAlign w:val="center"/>
                </w:tcPr>
                <w:p w14:paraId="67D2B70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847" w:type="pct"/>
                  <w:noWrap w:val="0"/>
                  <w:vAlign w:val="center"/>
                </w:tcPr>
                <w:p w14:paraId="5E027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672" w:type="pct"/>
                  <w:noWrap w:val="0"/>
                  <w:vAlign w:val="center"/>
                </w:tcPr>
                <w:p w14:paraId="62573E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622" w:type="pct"/>
                  <w:noWrap w:val="0"/>
                  <w:vAlign w:val="center"/>
                </w:tcPr>
                <w:p w14:paraId="500535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399" w:type="pct"/>
                  <w:noWrap w:val="0"/>
                  <w:vAlign w:val="center"/>
                </w:tcPr>
                <w:p w14:paraId="4708DA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r>
          </w:tbl>
          <w:p w14:paraId="1FC57E59">
            <w:pPr>
              <w:pStyle w:val="101"/>
              <w:bidi w:val="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表4-7   本项目无组织排放情况一览表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11"/>
              <w:gridCol w:w="954"/>
              <w:gridCol w:w="976"/>
              <w:gridCol w:w="2429"/>
              <w:gridCol w:w="2242"/>
              <w:gridCol w:w="949"/>
            </w:tblGrid>
            <w:tr w14:paraId="7B0D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restart"/>
                  <w:tcBorders>
                    <w:tl2br w:val="nil"/>
                    <w:tr2bl w:val="nil"/>
                  </w:tcBorders>
                  <w:noWrap w:val="0"/>
                  <w:vAlign w:val="center"/>
                </w:tcPr>
                <w:p w14:paraId="66CA0D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排放口编号</w:t>
                  </w:r>
                </w:p>
              </w:tc>
              <w:tc>
                <w:tcPr>
                  <w:tcW w:w="1211" w:type="dxa"/>
                  <w:vMerge w:val="restart"/>
                  <w:tcBorders>
                    <w:tl2br w:val="nil"/>
                    <w:tr2bl w:val="nil"/>
                  </w:tcBorders>
                  <w:noWrap w:val="0"/>
                  <w:vAlign w:val="center"/>
                </w:tcPr>
                <w:p w14:paraId="1CD2F3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产污环节</w:t>
                  </w:r>
                </w:p>
              </w:tc>
              <w:tc>
                <w:tcPr>
                  <w:tcW w:w="954" w:type="dxa"/>
                  <w:vMerge w:val="restart"/>
                  <w:tcBorders>
                    <w:tl2br w:val="nil"/>
                    <w:tr2bl w:val="nil"/>
                  </w:tcBorders>
                  <w:noWrap w:val="0"/>
                  <w:vAlign w:val="center"/>
                </w:tcPr>
                <w:p w14:paraId="5C602C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污染物</w:t>
                  </w:r>
                </w:p>
              </w:tc>
              <w:tc>
                <w:tcPr>
                  <w:tcW w:w="976" w:type="dxa"/>
                  <w:vMerge w:val="restart"/>
                  <w:tcBorders>
                    <w:tl2br w:val="nil"/>
                    <w:tr2bl w:val="nil"/>
                  </w:tcBorders>
                  <w:noWrap w:val="0"/>
                  <w:vAlign w:val="center"/>
                </w:tcPr>
                <w:p w14:paraId="718A72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主要防治措施</w:t>
                  </w:r>
                </w:p>
              </w:tc>
              <w:tc>
                <w:tcPr>
                  <w:tcW w:w="4671" w:type="dxa"/>
                  <w:gridSpan w:val="2"/>
                  <w:tcBorders>
                    <w:tl2br w:val="nil"/>
                    <w:tr2bl w:val="nil"/>
                  </w:tcBorders>
                  <w:noWrap w:val="0"/>
                  <w:vAlign w:val="center"/>
                </w:tcPr>
                <w:p w14:paraId="48BC54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国家或地方污染物排放标准</w:t>
                  </w:r>
                </w:p>
              </w:tc>
              <w:tc>
                <w:tcPr>
                  <w:tcW w:w="949" w:type="dxa"/>
                  <w:vMerge w:val="restart"/>
                  <w:tcBorders>
                    <w:tl2br w:val="nil"/>
                    <w:tr2bl w:val="nil"/>
                  </w:tcBorders>
                  <w:noWrap w:val="0"/>
                  <w:vAlign w:val="center"/>
                </w:tcPr>
                <w:p w14:paraId="4C1EC5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年排放量（t/a）</w:t>
                  </w:r>
                </w:p>
              </w:tc>
            </w:tr>
            <w:tr w14:paraId="2E2B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tcBorders>
                    <w:tl2br w:val="nil"/>
                    <w:tr2bl w:val="nil"/>
                  </w:tcBorders>
                  <w:noWrap w:val="0"/>
                  <w:vAlign w:val="center"/>
                </w:tcPr>
                <w:p w14:paraId="2C07C7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1211" w:type="dxa"/>
                  <w:vMerge w:val="continue"/>
                  <w:tcBorders>
                    <w:tl2br w:val="nil"/>
                    <w:tr2bl w:val="nil"/>
                  </w:tcBorders>
                  <w:noWrap w:val="0"/>
                  <w:vAlign w:val="center"/>
                </w:tcPr>
                <w:p w14:paraId="34C63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954" w:type="dxa"/>
                  <w:vMerge w:val="continue"/>
                  <w:tcBorders>
                    <w:tl2br w:val="nil"/>
                    <w:tr2bl w:val="nil"/>
                  </w:tcBorders>
                  <w:noWrap w:val="0"/>
                  <w:vAlign w:val="center"/>
                </w:tcPr>
                <w:p w14:paraId="19969B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976" w:type="dxa"/>
                  <w:vMerge w:val="continue"/>
                  <w:tcBorders>
                    <w:tl2br w:val="nil"/>
                    <w:tr2bl w:val="nil"/>
                  </w:tcBorders>
                  <w:noWrap w:val="0"/>
                  <w:vAlign w:val="center"/>
                </w:tcPr>
                <w:p w14:paraId="457144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2429" w:type="dxa"/>
                  <w:tcBorders>
                    <w:tl2br w:val="nil"/>
                    <w:tr2bl w:val="nil"/>
                  </w:tcBorders>
                  <w:noWrap w:val="0"/>
                  <w:vAlign w:val="center"/>
                </w:tcPr>
                <w:p w14:paraId="455F47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标准名称</w:t>
                  </w:r>
                </w:p>
              </w:tc>
              <w:tc>
                <w:tcPr>
                  <w:tcW w:w="2242" w:type="dxa"/>
                  <w:tcBorders>
                    <w:tl2br w:val="nil"/>
                    <w:tr2bl w:val="nil"/>
                  </w:tcBorders>
                  <w:noWrap w:val="0"/>
                  <w:vAlign w:val="center"/>
                </w:tcPr>
                <w:p w14:paraId="33C67C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浓度限值（mg/m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949" w:type="dxa"/>
                  <w:vMerge w:val="continue"/>
                  <w:tcBorders>
                    <w:tl2br w:val="nil"/>
                    <w:tr2bl w:val="nil"/>
                  </w:tcBorders>
                  <w:noWrap w:val="0"/>
                  <w:vAlign w:val="center"/>
                </w:tcPr>
                <w:p w14:paraId="5F5B7B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r>
            <w:tr w14:paraId="48EC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vMerge w:val="restart"/>
                  <w:tcBorders>
                    <w:tl2br w:val="nil"/>
                    <w:tr2bl w:val="nil"/>
                  </w:tcBorders>
                  <w:noWrap w:val="0"/>
                  <w:vAlign w:val="center"/>
                </w:tcPr>
                <w:p w14:paraId="001CEC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厂界</w:t>
                  </w:r>
                </w:p>
              </w:tc>
              <w:tc>
                <w:tcPr>
                  <w:tcW w:w="1211" w:type="dxa"/>
                  <w:tcBorders>
                    <w:tl2br w:val="nil"/>
                    <w:tr2bl w:val="nil"/>
                  </w:tcBorders>
                  <w:noWrap w:val="0"/>
                  <w:vAlign w:val="center"/>
                </w:tcPr>
                <w:p w14:paraId="5610DE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打磨、筛分等工序</w:t>
                  </w:r>
                </w:p>
              </w:tc>
              <w:tc>
                <w:tcPr>
                  <w:tcW w:w="954" w:type="dxa"/>
                  <w:tcBorders>
                    <w:tl2br w:val="nil"/>
                    <w:tr2bl w:val="nil"/>
                  </w:tcBorders>
                  <w:noWrap w:val="0"/>
                  <w:vAlign w:val="center"/>
                </w:tcPr>
                <w:p w14:paraId="3EC1A8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颗粒物</w:t>
                  </w:r>
                </w:p>
              </w:tc>
              <w:tc>
                <w:tcPr>
                  <w:tcW w:w="976" w:type="dxa"/>
                  <w:vMerge w:val="restart"/>
                  <w:tcBorders>
                    <w:tl2br w:val="nil"/>
                    <w:tr2bl w:val="nil"/>
                  </w:tcBorders>
                  <w:noWrap w:val="0"/>
                  <w:vAlign w:val="center"/>
                </w:tcPr>
                <w:p w14:paraId="249004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加强厂房通风</w:t>
                  </w:r>
                </w:p>
              </w:tc>
              <w:tc>
                <w:tcPr>
                  <w:tcW w:w="2429" w:type="dxa"/>
                  <w:tcBorders>
                    <w:tl2br w:val="nil"/>
                    <w:tr2bl w:val="nil"/>
                  </w:tcBorders>
                  <w:noWrap w:val="0"/>
                  <w:vAlign w:val="center"/>
                </w:tcPr>
                <w:p w14:paraId="69789F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ascii="Times New Roman" w:hAnsi="Times New Roman" w:eastAsia="宋体"/>
                      <w:b w:val="0"/>
                      <w:bCs w:val="0"/>
                      <w:color w:val="auto"/>
                      <w:sz w:val="21"/>
                      <w:szCs w:val="21"/>
                      <w:highlight w:val="none"/>
                    </w:rPr>
                    <w:t>GB16297-1996</w:t>
                  </w:r>
                </w:p>
              </w:tc>
              <w:tc>
                <w:tcPr>
                  <w:tcW w:w="2242" w:type="dxa"/>
                  <w:tcBorders>
                    <w:tl2br w:val="nil"/>
                    <w:tr2bl w:val="nil"/>
                  </w:tcBorders>
                  <w:noWrap w:val="0"/>
                  <w:vAlign w:val="center"/>
                </w:tcPr>
                <w:p w14:paraId="01FFA2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1.0</w:t>
                  </w:r>
                </w:p>
              </w:tc>
              <w:tc>
                <w:tcPr>
                  <w:tcW w:w="949" w:type="dxa"/>
                  <w:tcBorders>
                    <w:tl2br w:val="nil"/>
                    <w:tr2bl w:val="nil"/>
                  </w:tcBorders>
                  <w:noWrap w:val="0"/>
                  <w:vAlign w:val="center"/>
                </w:tcPr>
                <w:p w14:paraId="43E28E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0.307</w:t>
                  </w:r>
                </w:p>
              </w:tc>
            </w:tr>
            <w:tr w14:paraId="262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tcBorders>
                    <w:tl2br w:val="nil"/>
                    <w:tr2bl w:val="nil"/>
                  </w:tcBorders>
                  <w:noWrap w:val="0"/>
                  <w:vAlign w:val="center"/>
                </w:tcPr>
                <w:p w14:paraId="4F430B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1211" w:type="dxa"/>
                  <w:tcBorders>
                    <w:tl2br w:val="nil"/>
                    <w:tr2bl w:val="nil"/>
                  </w:tcBorders>
                  <w:noWrap w:val="0"/>
                  <w:vAlign w:val="center"/>
                </w:tcPr>
                <w:p w14:paraId="7341B7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烧结处理</w:t>
                  </w:r>
                </w:p>
              </w:tc>
              <w:tc>
                <w:tcPr>
                  <w:tcW w:w="954" w:type="dxa"/>
                  <w:tcBorders>
                    <w:tl2br w:val="nil"/>
                    <w:tr2bl w:val="nil"/>
                  </w:tcBorders>
                  <w:noWrap w:val="0"/>
                  <w:vAlign w:val="center"/>
                </w:tcPr>
                <w:p w14:paraId="15FF7A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VOCs</w:t>
                  </w:r>
                </w:p>
              </w:tc>
              <w:tc>
                <w:tcPr>
                  <w:tcW w:w="976" w:type="dxa"/>
                  <w:vMerge w:val="continue"/>
                  <w:tcBorders>
                    <w:tl2br w:val="nil"/>
                    <w:tr2bl w:val="nil"/>
                  </w:tcBorders>
                  <w:noWrap w:val="0"/>
                  <w:vAlign w:val="center"/>
                </w:tcPr>
                <w:p w14:paraId="4D804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2429" w:type="dxa"/>
                  <w:tcBorders>
                    <w:tl2br w:val="nil"/>
                    <w:tr2bl w:val="nil"/>
                  </w:tcBorders>
                  <w:noWrap w:val="0"/>
                  <w:vAlign w:val="center"/>
                </w:tcPr>
                <w:p w14:paraId="617D83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ascii="Times New Roman" w:hAnsi="Times New Roman" w:eastAsia="宋体"/>
                      <w:b w:val="0"/>
                      <w:bCs w:val="0"/>
                      <w:color w:val="auto"/>
                      <w:sz w:val="21"/>
                      <w:szCs w:val="21"/>
                      <w:highlight w:val="none"/>
                    </w:rPr>
                    <w:t>DB37/ 2801.7—2019</w:t>
                  </w:r>
                </w:p>
              </w:tc>
              <w:tc>
                <w:tcPr>
                  <w:tcW w:w="2242" w:type="dxa"/>
                  <w:tcBorders>
                    <w:tl2br w:val="nil"/>
                    <w:tr2bl w:val="nil"/>
                  </w:tcBorders>
                  <w:noWrap w:val="0"/>
                  <w:vAlign w:val="center"/>
                </w:tcPr>
                <w:p w14:paraId="5AB9AF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2.0</w:t>
                  </w:r>
                </w:p>
              </w:tc>
              <w:tc>
                <w:tcPr>
                  <w:tcW w:w="949" w:type="dxa"/>
                  <w:tcBorders>
                    <w:tl2br w:val="nil"/>
                    <w:tr2bl w:val="nil"/>
                  </w:tcBorders>
                  <w:noWrap w:val="0"/>
                  <w:vAlign w:val="center"/>
                </w:tcPr>
                <w:p w14:paraId="427D3A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0.350</w:t>
                  </w:r>
                </w:p>
              </w:tc>
            </w:tr>
          </w:tbl>
          <w:p w14:paraId="21BDF15B">
            <w:pPr>
              <w:widowControl w:val="0"/>
              <w:tabs>
                <w:tab w:val="left" w:pos="0"/>
              </w:tabs>
              <w:spacing w:line="360" w:lineRule="auto"/>
              <w:ind w:left="0" w:firstLine="480" w:firstLineChars="200"/>
              <w:jc w:val="left"/>
              <w:rPr>
                <w:rFonts w:hint="default" w:eastAsia="宋体"/>
                <w:b w:val="0"/>
                <w:bCs/>
                <w:color w:val="auto"/>
                <w:sz w:val="24"/>
                <w:szCs w:val="24"/>
                <w:highlight w:val="none"/>
                <w:lang w:val="en-US" w:eastAsia="zh-CN"/>
              </w:rPr>
            </w:pPr>
            <w:r>
              <w:rPr>
                <w:rFonts w:hint="eastAsia"/>
                <w:color w:val="auto"/>
                <w:sz w:val="24"/>
                <w:szCs w:val="24"/>
                <w:highlight w:val="none"/>
                <w:lang w:val="en-US" w:eastAsia="zh-CN"/>
              </w:rPr>
              <w:t>综上分析，颗粒物有组织</w:t>
            </w:r>
            <w:r>
              <w:rPr>
                <w:color w:val="auto"/>
                <w:sz w:val="24"/>
                <w:szCs w:val="24"/>
                <w:highlight w:val="none"/>
              </w:rPr>
              <w:t>排放</w:t>
            </w:r>
            <w:r>
              <w:rPr>
                <w:rFonts w:hint="eastAsia"/>
                <w:color w:val="auto"/>
                <w:sz w:val="24"/>
                <w:szCs w:val="24"/>
                <w:highlight w:val="none"/>
                <w:lang w:val="en-US" w:eastAsia="zh-CN"/>
              </w:rPr>
              <w:t>浓度满足《区域性大气污染物综合排放标准》（DB37/2376-2019）</w:t>
            </w:r>
            <w:r>
              <w:rPr>
                <w:color w:val="auto"/>
                <w:sz w:val="24"/>
                <w:szCs w:val="24"/>
                <w:highlight w:val="none"/>
              </w:rPr>
              <w:t>中表</w:t>
            </w:r>
            <w:r>
              <w:rPr>
                <w:rFonts w:hint="eastAsia"/>
                <w:color w:val="auto"/>
                <w:sz w:val="24"/>
                <w:szCs w:val="24"/>
                <w:highlight w:val="none"/>
                <w:lang w:val="en-US" w:eastAsia="zh-CN"/>
              </w:rPr>
              <w:t>1</w:t>
            </w:r>
            <w:r>
              <w:rPr>
                <w:color w:val="auto"/>
                <w:sz w:val="24"/>
                <w:szCs w:val="24"/>
                <w:highlight w:val="none"/>
              </w:rPr>
              <w:t>中</w:t>
            </w:r>
            <w:r>
              <w:rPr>
                <w:rFonts w:hint="eastAsia"/>
                <w:color w:val="auto"/>
                <w:sz w:val="24"/>
                <w:szCs w:val="24"/>
                <w:highlight w:val="none"/>
                <w:lang w:val="en-US" w:eastAsia="zh-CN"/>
              </w:rPr>
              <w:t>一般控制区标准限值</w:t>
            </w:r>
            <w:r>
              <w:rPr>
                <w:rFonts w:hint="eastAsia"/>
                <w:color w:val="auto"/>
                <w:sz w:val="24"/>
                <w:szCs w:val="24"/>
                <w:highlight w:val="none"/>
                <w:lang w:eastAsia="zh-CN"/>
              </w:rPr>
              <w:t>，</w:t>
            </w:r>
            <w:r>
              <w:rPr>
                <w:rFonts w:hint="eastAsia"/>
                <w:color w:val="auto"/>
                <w:sz w:val="24"/>
                <w:szCs w:val="24"/>
                <w:highlight w:val="none"/>
                <w:lang w:val="en-US" w:eastAsia="zh-CN"/>
              </w:rPr>
              <w:t>排放速率满足</w:t>
            </w:r>
            <w:r>
              <w:rPr>
                <w:color w:val="auto"/>
                <w:sz w:val="24"/>
                <w:szCs w:val="24"/>
                <w:highlight w:val="none"/>
              </w:rPr>
              <w:t>《大气污染物综合排放标准》(GB16297-1996</w:t>
            </w:r>
            <w:r>
              <w:rPr>
                <w:rFonts w:hint="eastAsia"/>
                <w:color w:val="auto"/>
                <w:sz w:val="24"/>
                <w:szCs w:val="24"/>
                <w:highlight w:val="none"/>
                <w:lang w:eastAsia="zh-CN"/>
              </w:rPr>
              <w:t>）</w:t>
            </w:r>
            <w:r>
              <w:rPr>
                <w:rFonts w:hint="eastAsia"/>
                <w:color w:val="auto"/>
                <w:sz w:val="24"/>
                <w:szCs w:val="24"/>
                <w:highlight w:val="none"/>
                <w:lang w:val="en-US" w:eastAsia="zh-CN"/>
              </w:rPr>
              <w:t>表2二级标准；VOCs满足《挥发性有机物排放标准  第7部分其他行业》DB37/2801.7-2019，表1非重点行业标准要求</w:t>
            </w:r>
            <w:r>
              <w:rPr>
                <w:rFonts w:hint="eastAsia"/>
                <w:color w:val="auto"/>
                <w:sz w:val="24"/>
                <w:szCs w:val="24"/>
                <w:highlight w:val="none"/>
                <w:lang w:eastAsia="zh-CN"/>
              </w:rPr>
              <w:t>；无组织</w:t>
            </w:r>
            <w:r>
              <w:rPr>
                <w:rFonts w:hint="eastAsia" w:ascii="宋体" w:hAnsi="宋体" w:cs="宋体"/>
                <w:color w:val="auto"/>
                <w:sz w:val="24"/>
                <w:szCs w:val="20"/>
                <w:highlight w:val="none"/>
                <w:lang w:bidi="ar"/>
              </w:rPr>
              <w:t>颗粒物</w:t>
            </w:r>
            <w:r>
              <w:rPr>
                <w:color w:val="auto"/>
                <w:sz w:val="24"/>
                <w:szCs w:val="24"/>
                <w:highlight w:val="none"/>
              </w:rPr>
              <w:t>排放</w:t>
            </w:r>
            <w:r>
              <w:rPr>
                <w:rFonts w:hint="eastAsia"/>
                <w:color w:val="auto"/>
                <w:sz w:val="24"/>
                <w:szCs w:val="24"/>
                <w:highlight w:val="none"/>
                <w:lang w:val="en-US" w:eastAsia="zh-CN"/>
              </w:rPr>
              <w:t>满足</w:t>
            </w:r>
            <w:r>
              <w:rPr>
                <w:color w:val="auto"/>
                <w:sz w:val="24"/>
                <w:szCs w:val="24"/>
                <w:highlight w:val="none"/>
              </w:rPr>
              <w:t>《大气污染物综合排放标准》(GB16297-1996</w:t>
            </w:r>
            <w:r>
              <w:rPr>
                <w:rFonts w:hint="eastAsia"/>
                <w:color w:val="auto"/>
                <w:sz w:val="24"/>
                <w:szCs w:val="24"/>
                <w:highlight w:val="none"/>
                <w:lang w:eastAsia="zh-CN"/>
              </w:rPr>
              <w:t>）</w:t>
            </w:r>
            <w:r>
              <w:rPr>
                <w:color w:val="auto"/>
                <w:sz w:val="24"/>
                <w:szCs w:val="24"/>
                <w:highlight w:val="none"/>
              </w:rPr>
              <w:t>中表2中无组织排放监控浓度限制要求</w:t>
            </w:r>
            <w:r>
              <w:rPr>
                <w:rFonts w:hint="eastAsia"/>
                <w:color w:val="auto"/>
                <w:sz w:val="24"/>
                <w:szCs w:val="24"/>
                <w:highlight w:val="none"/>
                <w:lang w:eastAsia="zh-CN"/>
              </w:rPr>
              <w:t>。</w:t>
            </w:r>
            <w:r>
              <w:rPr>
                <w:rFonts w:hint="eastAsia"/>
                <w:color w:val="auto"/>
                <w:sz w:val="24"/>
                <w:szCs w:val="24"/>
                <w:highlight w:val="none"/>
                <w:lang w:val="en-US" w:eastAsia="zh-CN"/>
              </w:rPr>
              <w:t>VOCs满足《挥发性有机物排放标准  第7部分其他行业》（DB37/2801.7-2019）表2要求。</w:t>
            </w:r>
          </w:p>
          <w:p w14:paraId="6475418E">
            <w:pPr>
              <w:keepNext w:val="0"/>
              <w:keepLines w:val="0"/>
              <w:widowControl/>
              <w:numPr>
                <w:ilvl w:val="0"/>
                <w:numId w:val="0"/>
              </w:numPr>
              <w:suppressLineNumbers w:val="0"/>
              <w:spacing w:line="360" w:lineRule="auto"/>
              <w:ind w:firstLine="480" w:firstLineChars="200"/>
              <w:jc w:val="left"/>
              <w:rPr>
                <w:rFonts w:hint="eastAsia"/>
                <w:color w:val="auto"/>
                <w:highlight w:val="none"/>
                <w:lang w:val="en-US" w:eastAsia="zh-CN"/>
              </w:rPr>
            </w:pPr>
            <w:r>
              <w:rPr>
                <w:rFonts w:hint="eastAsia" w:ascii="Times New Roman" w:hAnsi="Times New Roman" w:eastAsia="宋体" w:cs="Times New Roman"/>
                <w:bCs/>
                <w:color w:val="auto"/>
                <w:spacing w:val="0"/>
                <w:sz w:val="24"/>
                <w:szCs w:val="24"/>
                <w:highlight w:val="none"/>
                <w:lang w:val="en-US" w:eastAsia="zh-CN"/>
              </w:rPr>
              <w:t>本项目区域环境空气中可吸入颗粒物、细颗粒物均超标，为不达标区域。本项目大气污染物在采取上述措施并且颗粒物实施倍量替代的情况下，不会影响当地环境质量持续改善，对周边环境保护目标及环境空气质量影响较小，环境影响可以接受。</w:t>
            </w:r>
          </w:p>
          <w:p w14:paraId="0A0124FB">
            <w:pPr>
              <w:spacing w:line="360" w:lineRule="auto"/>
              <w:ind w:firstLine="482"/>
              <w:rPr>
                <w:rFonts w:hint="default" w:ascii="Times New Roman" w:hAnsi="Times New Roman" w:cs="Times New Roman"/>
                <w:b/>
                <w:bCs/>
                <w:color w:val="auto"/>
                <w:sz w:val="24"/>
                <w:highlight w:val="none"/>
              </w:rPr>
            </w:pPr>
            <w:r>
              <w:rPr>
                <w:rFonts w:hint="default" w:ascii="Times New Roman" w:hAnsi="Times New Roman" w:cs="Times New Roman"/>
                <w:color w:val="auto"/>
                <w:sz w:val="24"/>
                <w:szCs w:val="24"/>
                <w:highlight w:val="none"/>
              </w:rPr>
              <w:t>5、</w:t>
            </w:r>
            <w:r>
              <w:rPr>
                <w:rFonts w:hint="default" w:ascii="Times New Roman" w:hAnsi="Times New Roman" w:cs="Times New Roman"/>
                <w:b/>
                <w:bCs/>
                <w:color w:val="auto"/>
                <w:sz w:val="24"/>
                <w:highlight w:val="none"/>
              </w:rPr>
              <w:t>监测计划</w:t>
            </w:r>
          </w:p>
          <w:p w14:paraId="0427A531">
            <w:pPr>
              <w:keepNext w:val="0"/>
              <w:keepLines w:val="0"/>
              <w:widowControl/>
              <w:numPr>
                <w:ilvl w:val="0"/>
                <w:numId w:val="0"/>
              </w:numPr>
              <w:suppressLineNumbers w:val="0"/>
              <w:spacing w:line="360" w:lineRule="auto"/>
              <w:ind w:firstLine="480" w:firstLineChars="200"/>
              <w:jc w:val="left"/>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根据《排污单位自行监测技术指南 总则》（HJ819-2017）</w:t>
            </w:r>
            <w:r>
              <w:rPr>
                <w:rFonts w:hint="eastAsia" w:cs="Times New Roman"/>
                <w:bCs/>
                <w:color w:val="auto"/>
                <w:spacing w:val="0"/>
                <w:sz w:val="24"/>
                <w:szCs w:val="24"/>
                <w:highlight w:val="none"/>
                <w:lang w:val="en-US" w:eastAsia="zh-CN"/>
              </w:rPr>
              <w:t>及</w:t>
            </w:r>
            <w:r>
              <w:rPr>
                <w:rFonts w:hint="default" w:ascii="Times New Roman" w:hAnsi="Times New Roman" w:cs="Times New Roman"/>
                <w:color w:val="auto"/>
                <w:sz w:val="24"/>
                <w:szCs w:val="24"/>
                <w:highlight w:val="none"/>
              </w:rPr>
              <w:t>《排污许可证申请与核发技术规范 石墨及其他非金属矿物制品制造》（HJ1119</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2020）</w:t>
            </w:r>
            <w:r>
              <w:rPr>
                <w:rFonts w:hint="default" w:ascii="Times New Roman" w:hAnsi="Times New Roman" w:eastAsia="宋体" w:cs="Times New Roman"/>
                <w:bCs/>
                <w:color w:val="auto"/>
                <w:spacing w:val="0"/>
                <w:sz w:val="24"/>
                <w:szCs w:val="24"/>
                <w:highlight w:val="none"/>
                <w:lang w:val="en-US" w:eastAsia="zh-CN"/>
              </w:rPr>
              <w:t>，并针对项目生产情况，制定项目自行监测方案，委托有相关监测资质单位进行监测。排污单位自行监测信息公开内容及方式按照《企业环境信息依法披露管理办法》（生态环境部部令第24号）执行。废气监测计划如下表所示：</w:t>
            </w:r>
          </w:p>
          <w:p w14:paraId="2BCB725B">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en-US" w:eastAsia="zh-CN"/>
              </w:rPr>
              <w:t>项目废气污染源监测计划</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624"/>
              <w:gridCol w:w="3172"/>
              <w:gridCol w:w="2180"/>
              <w:gridCol w:w="2358"/>
            </w:tblGrid>
            <w:tr w14:paraId="66C6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03" w:type="dxa"/>
                  <w:tcBorders>
                    <w:tl2br w:val="nil"/>
                    <w:tr2bl w:val="nil"/>
                  </w:tcBorders>
                  <w:noWrap w:val="0"/>
                  <w:vAlign w:val="center"/>
                </w:tcPr>
                <w:p w14:paraId="23463238">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环境要素</w:t>
                  </w:r>
                </w:p>
              </w:tc>
              <w:tc>
                <w:tcPr>
                  <w:tcW w:w="3796" w:type="dxa"/>
                  <w:gridSpan w:val="2"/>
                  <w:tcBorders>
                    <w:tl2br w:val="nil"/>
                    <w:tr2bl w:val="nil"/>
                  </w:tcBorders>
                  <w:noWrap w:val="0"/>
                  <w:vAlign w:val="center"/>
                </w:tcPr>
                <w:p w14:paraId="40AC57F1">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监测位置</w:t>
                  </w:r>
                </w:p>
              </w:tc>
              <w:tc>
                <w:tcPr>
                  <w:tcW w:w="2180" w:type="dxa"/>
                  <w:tcBorders>
                    <w:tl2br w:val="nil"/>
                    <w:tr2bl w:val="nil"/>
                  </w:tcBorders>
                  <w:noWrap w:val="0"/>
                  <w:vAlign w:val="center"/>
                </w:tcPr>
                <w:p w14:paraId="0DAC1408">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监测项目</w:t>
                  </w:r>
                </w:p>
              </w:tc>
              <w:tc>
                <w:tcPr>
                  <w:tcW w:w="2358" w:type="dxa"/>
                  <w:tcBorders>
                    <w:tl2br w:val="nil"/>
                    <w:tr2bl w:val="nil"/>
                  </w:tcBorders>
                  <w:noWrap w:val="0"/>
                  <w:vAlign w:val="center"/>
                </w:tcPr>
                <w:p w14:paraId="49002F86">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监测频率</w:t>
                  </w:r>
                </w:p>
              </w:tc>
            </w:tr>
            <w:tr w14:paraId="21D7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03" w:type="dxa"/>
                  <w:vMerge w:val="restart"/>
                  <w:tcBorders>
                    <w:tl2br w:val="nil"/>
                    <w:tr2bl w:val="nil"/>
                  </w:tcBorders>
                  <w:noWrap w:val="0"/>
                  <w:vAlign w:val="center"/>
                </w:tcPr>
                <w:p w14:paraId="07674B0E">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废气</w:t>
                  </w:r>
                </w:p>
              </w:tc>
              <w:tc>
                <w:tcPr>
                  <w:tcW w:w="3796" w:type="dxa"/>
                  <w:gridSpan w:val="2"/>
                  <w:tcBorders>
                    <w:tl2br w:val="nil"/>
                    <w:tr2bl w:val="nil"/>
                  </w:tcBorders>
                  <w:noWrap w:val="0"/>
                  <w:vAlign w:val="center"/>
                </w:tcPr>
                <w:p w14:paraId="3995C40E">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DA001排气筒</w:t>
                  </w:r>
                </w:p>
              </w:tc>
              <w:tc>
                <w:tcPr>
                  <w:tcW w:w="2180" w:type="dxa"/>
                  <w:tcBorders>
                    <w:tl2br w:val="nil"/>
                    <w:tr2bl w:val="nil"/>
                  </w:tcBorders>
                  <w:noWrap w:val="0"/>
                  <w:vAlign w:val="center"/>
                </w:tcPr>
                <w:p w14:paraId="14F8BA28">
                  <w:pPr>
                    <w:pStyle w:val="4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颗粒物</w:t>
                  </w:r>
                </w:p>
              </w:tc>
              <w:tc>
                <w:tcPr>
                  <w:tcW w:w="2358" w:type="dxa"/>
                  <w:tcBorders>
                    <w:tl2br w:val="nil"/>
                    <w:tr2bl w:val="nil"/>
                  </w:tcBorders>
                  <w:noWrap w:val="0"/>
                  <w:vAlign w:val="center"/>
                </w:tcPr>
                <w:p w14:paraId="2F243ED9">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1次</w:t>
                  </w:r>
                  <w:r>
                    <w:rPr>
                      <w:rFonts w:hint="eastAsia" w:ascii="Times New Roman" w:hAnsi="Times New Roman" w:eastAsia="宋体" w:cs="Times New Roman"/>
                      <w:b w:val="0"/>
                      <w:bCs/>
                      <w:snapToGrid w:val="0"/>
                      <w:color w:val="auto"/>
                      <w:kern w:val="0"/>
                      <w:sz w:val="21"/>
                      <w:szCs w:val="21"/>
                      <w:highlight w:val="none"/>
                      <w:vertAlign w:val="baseline"/>
                      <w:lang w:val="en-US" w:eastAsia="zh-CN" w:bidi="ar-SA"/>
                    </w:rPr>
                    <w:t>/年</w:t>
                  </w:r>
                </w:p>
              </w:tc>
            </w:tr>
            <w:tr w14:paraId="6991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03" w:type="dxa"/>
                  <w:vMerge w:val="continue"/>
                  <w:tcBorders>
                    <w:tl2br w:val="nil"/>
                    <w:tr2bl w:val="nil"/>
                  </w:tcBorders>
                  <w:noWrap w:val="0"/>
                  <w:vAlign w:val="center"/>
                </w:tcPr>
                <w:p w14:paraId="4D2477F3">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3796" w:type="dxa"/>
                  <w:gridSpan w:val="2"/>
                  <w:vMerge w:val="restart"/>
                  <w:tcBorders>
                    <w:tl2br w:val="nil"/>
                    <w:tr2bl w:val="nil"/>
                  </w:tcBorders>
                  <w:noWrap w:val="0"/>
                  <w:vAlign w:val="center"/>
                </w:tcPr>
                <w:p w14:paraId="5C2D3B44">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DA00</w:t>
                  </w:r>
                  <w:r>
                    <w:rPr>
                      <w:rFonts w:hint="eastAsia" w:ascii="Times New Roman" w:hAnsi="Times New Roman" w:eastAsia="宋体"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rPr>
                    <w:t>排气筒</w:t>
                  </w:r>
                </w:p>
              </w:tc>
              <w:tc>
                <w:tcPr>
                  <w:tcW w:w="2180" w:type="dxa"/>
                  <w:tcBorders>
                    <w:tl2br w:val="nil"/>
                    <w:tr2bl w:val="nil"/>
                  </w:tcBorders>
                  <w:noWrap w:val="0"/>
                  <w:vAlign w:val="center"/>
                </w:tcPr>
                <w:p w14:paraId="441F1200">
                  <w:pPr>
                    <w:pStyle w:val="4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颗粒物</w:t>
                  </w:r>
                </w:p>
              </w:tc>
              <w:tc>
                <w:tcPr>
                  <w:tcW w:w="2358" w:type="dxa"/>
                  <w:tcBorders>
                    <w:tl2br w:val="nil"/>
                    <w:tr2bl w:val="nil"/>
                  </w:tcBorders>
                  <w:noWrap w:val="0"/>
                  <w:vAlign w:val="center"/>
                </w:tcPr>
                <w:p w14:paraId="696A2EEF">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1次</w:t>
                  </w:r>
                  <w:r>
                    <w:rPr>
                      <w:rFonts w:hint="eastAsia" w:ascii="Times New Roman" w:hAnsi="Times New Roman" w:eastAsia="宋体" w:cs="Times New Roman"/>
                      <w:b w:val="0"/>
                      <w:bCs/>
                      <w:snapToGrid w:val="0"/>
                      <w:color w:val="auto"/>
                      <w:kern w:val="0"/>
                      <w:sz w:val="21"/>
                      <w:szCs w:val="21"/>
                      <w:highlight w:val="none"/>
                      <w:vertAlign w:val="baseline"/>
                      <w:lang w:val="en-US" w:eastAsia="zh-CN" w:bidi="ar-SA"/>
                    </w:rPr>
                    <w:t>/年</w:t>
                  </w:r>
                </w:p>
              </w:tc>
            </w:tr>
            <w:tr w14:paraId="5BD1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203" w:type="dxa"/>
                  <w:vMerge w:val="continue"/>
                  <w:tcBorders>
                    <w:tl2br w:val="nil"/>
                    <w:tr2bl w:val="nil"/>
                  </w:tcBorders>
                  <w:noWrap w:val="0"/>
                  <w:vAlign w:val="center"/>
                </w:tcPr>
                <w:p w14:paraId="7E5CDFD6">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3796" w:type="dxa"/>
                  <w:gridSpan w:val="2"/>
                  <w:vMerge w:val="continue"/>
                  <w:tcBorders>
                    <w:tl2br w:val="nil"/>
                    <w:tr2bl w:val="nil"/>
                  </w:tcBorders>
                  <w:noWrap w:val="0"/>
                  <w:vAlign w:val="center"/>
                </w:tcPr>
                <w:p w14:paraId="3BA14FD8">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2180" w:type="dxa"/>
                  <w:tcBorders>
                    <w:tl2br w:val="nil"/>
                    <w:tr2bl w:val="nil"/>
                  </w:tcBorders>
                  <w:noWrap w:val="0"/>
                  <w:vAlign w:val="center"/>
                </w:tcPr>
                <w:p w14:paraId="285200FE">
                  <w:pPr>
                    <w:pStyle w:val="4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VOCs</w:t>
                  </w:r>
                </w:p>
              </w:tc>
              <w:tc>
                <w:tcPr>
                  <w:tcW w:w="2358" w:type="dxa"/>
                  <w:tcBorders>
                    <w:tl2br w:val="nil"/>
                    <w:tr2bl w:val="nil"/>
                  </w:tcBorders>
                  <w:noWrap w:val="0"/>
                  <w:vAlign w:val="center"/>
                </w:tcPr>
                <w:p w14:paraId="4FEDBF97">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1次</w:t>
                  </w:r>
                  <w:r>
                    <w:rPr>
                      <w:rFonts w:hint="eastAsia" w:ascii="Times New Roman" w:hAnsi="Times New Roman" w:eastAsia="宋体" w:cs="Times New Roman"/>
                      <w:b w:val="0"/>
                      <w:bCs/>
                      <w:snapToGrid w:val="0"/>
                      <w:color w:val="auto"/>
                      <w:kern w:val="0"/>
                      <w:sz w:val="21"/>
                      <w:szCs w:val="21"/>
                      <w:highlight w:val="none"/>
                      <w:vertAlign w:val="baseline"/>
                      <w:lang w:val="en-US" w:eastAsia="zh-CN" w:bidi="ar-SA"/>
                    </w:rPr>
                    <w:t>/年</w:t>
                  </w:r>
                </w:p>
              </w:tc>
            </w:tr>
            <w:tr w14:paraId="3505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203" w:type="dxa"/>
                  <w:vMerge w:val="continue"/>
                  <w:tcBorders>
                    <w:tl2br w:val="nil"/>
                    <w:tr2bl w:val="nil"/>
                  </w:tcBorders>
                  <w:noWrap w:val="0"/>
                  <w:vAlign w:val="center"/>
                </w:tcPr>
                <w:p w14:paraId="716428DD">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3796" w:type="dxa"/>
                  <w:gridSpan w:val="2"/>
                  <w:vMerge w:val="restart"/>
                  <w:tcBorders>
                    <w:tl2br w:val="nil"/>
                    <w:tr2bl w:val="nil"/>
                  </w:tcBorders>
                  <w:noWrap w:val="0"/>
                  <w:vAlign w:val="center"/>
                </w:tcPr>
                <w:p w14:paraId="14E4EFC6">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厂界（上风向1个点，下风向3个点）</w:t>
                  </w:r>
                </w:p>
              </w:tc>
              <w:tc>
                <w:tcPr>
                  <w:tcW w:w="2180" w:type="dxa"/>
                  <w:tcBorders>
                    <w:tl2br w:val="nil"/>
                    <w:tr2bl w:val="nil"/>
                  </w:tcBorders>
                  <w:noWrap w:val="0"/>
                  <w:vAlign w:val="center"/>
                </w:tcPr>
                <w:p w14:paraId="6C799208">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颗粒物</w:t>
                  </w:r>
                </w:p>
              </w:tc>
              <w:tc>
                <w:tcPr>
                  <w:tcW w:w="2358" w:type="dxa"/>
                  <w:tcBorders>
                    <w:tl2br w:val="nil"/>
                    <w:tr2bl w:val="nil"/>
                  </w:tcBorders>
                  <w:noWrap w:val="0"/>
                  <w:vAlign w:val="center"/>
                </w:tcPr>
                <w:p w14:paraId="7EDD955A">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1次/年</w:t>
                  </w:r>
                </w:p>
              </w:tc>
            </w:tr>
            <w:tr w14:paraId="4DE3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03" w:type="dxa"/>
                  <w:vMerge w:val="continue"/>
                  <w:tcBorders>
                    <w:tl2br w:val="nil"/>
                    <w:tr2bl w:val="nil"/>
                  </w:tcBorders>
                  <w:noWrap w:val="0"/>
                  <w:vAlign w:val="center"/>
                </w:tcPr>
                <w:p w14:paraId="06BD9DB4">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3796" w:type="dxa"/>
                  <w:gridSpan w:val="2"/>
                  <w:vMerge w:val="continue"/>
                  <w:tcBorders>
                    <w:tl2br w:val="nil"/>
                    <w:tr2bl w:val="nil"/>
                  </w:tcBorders>
                  <w:noWrap w:val="0"/>
                  <w:vAlign w:val="center"/>
                </w:tcPr>
                <w:p w14:paraId="2DFE890A">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2180" w:type="dxa"/>
                  <w:tcBorders>
                    <w:tl2br w:val="nil"/>
                    <w:tr2bl w:val="nil"/>
                  </w:tcBorders>
                  <w:noWrap w:val="0"/>
                  <w:vAlign w:val="center"/>
                </w:tcPr>
                <w:p w14:paraId="66AF619D">
                  <w:pPr>
                    <w:pStyle w:val="49"/>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VOCs</w:t>
                  </w:r>
                </w:p>
              </w:tc>
              <w:tc>
                <w:tcPr>
                  <w:tcW w:w="2358" w:type="dxa"/>
                  <w:tcBorders>
                    <w:tl2br w:val="nil"/>
                    <w:tr2bl w:val="nil"/>
                  </w:tcBorders>
                  <w:noWrap w:val="0"/>
                  <w:vAlign w:val="center"/>
                </w:tcPr>
                <w:p w14:paraId="148EB871">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1次</w:t>
                  </w:r>
                  <w:r>
                    <w:rPr>
                      <w:rFonts w:hint="eastAsia" w:ascii="Times New Roman" w:hAnsi="Times New Roman" w:eastAsia="宋体" w:cs="Times New Roman"/>
                      <w:b w:val="0"/>
                      <w:bCs/>
                      <w:snapToGrid w:val="0"/>
                      <w:color w:val="auto"/>
                      <w:kern w:val="0"/>
                      <w:sz w:val="21"/>
                      <w:szCs w:val="21"/>
                      <w:highlight w:val="none"/>
                      <w:vertAlign w:val="baseline"/>
                      <w:lang w:val="en-US" w:eastAsia="zh-CN" w:bidi="ar-SA"/>
                    </w:rPr>
                    <w:t>/年</w:t>
                  </w:r>
                </w:p>
              </w:tc>
            </w:tr>
            <w:tr w14:paraId="4819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03" w:type="dxa"/>
                  <w:vMerge w:val="continue"/>
                  <w:tcBorders>
                    <w:tl2br w:val="nil"/>
                    <w:tr2bl w:val="nil"/>
                  </w:tcBorders>
                  <w:noWrap w:val="0"/>
                  <w:vAlign w:val="center"/>
                </w:tcPr>
                <w:p w14:paraId="1E0A8958">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624" w:type="dxa"/>
                  <w:vMerge w:val="restart"/>
                  <w:tcBorders>
                    <w:tl2br w:val="nil"/>
                    <w:tr2bl w:val="nil"/>
                  </w:tcBorders>
                  <w:noWrap w:val="0"/>
                  <w:vAlign w:val="center"/>
                </w:tcPr>
                <w:p w14:paraId="44428E8F">
                  <w:pPr>
                    <w:pStyle w:val="103"/>
                    <w:keepNext w:val="0"/>
                    <w:keepLines w:val="0"/>
                    <w:pageBreakBefore w:val="0"/>
                    <w:widowControl w:val="0"/>
                    <w:kinsoku/>
                    <w:wordWrap/>
                    <w:overflowPunct/>
                    <w:topLinePunct w:val="0"/>
                    <w:bidi w:val="0"/>
                    <w:spacing w:line="240" w:lineRule="auto"/>
                    <w:ind w:firstLine="0" w:firstLineChars="0"/>
                    <w:textAlignment w:val="auto"/>
                    <w:rPr>
                      <w:rFonts w:hint="eastAsia"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厂内</w:t>
                  </w:r>
                </w:p>
              </w:tc>
              <w:tc>
                <w:tcPr>
                  <w:tcW w:w="3172" w:type="dxa"/>
                  <w:tcBorders>
                    <w:tl2br w:val="nil"/>
                    <w:tr2bl w:val="nil"/>
                  </w:tcBorders>
                  <w:noWrap w:val="0"/>
                  <w:vAlign w:val="center"/>
                </w:tcPr>
                <w:p w14:paraId="714C7140">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监控点处1h平均浓度值</w:t>
                  </w:r>
                </w:p>
              </w:tc>
              <w:tc>
                <w:tcPr>
                  <w:tcW w:w="2180" w:type="dxa"/>
                  <w:tcBorders>
                    <w:tl2br w:val="nil"/>
                    <w:tr2bl w:val="nil"/>
                  </w:tcBorders>
                  <w:noWrap w:val="0"/>
                  <w:vAlign w:val="center"/>
                </w:tcPr>
                <w:p w14:paraId="7BCD58F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VOCs</w:t>
                  </w:r>
                </w:p>
              </w:tc>
              <w:tc>
                <w:tcPr>
                  <w:tcW w:w="2358" w:type="dxa"/>
                  <w:tcBorders>
                    <w:tl2br w:val="nil"/>
                    <w:tr2bl w:val="nil"/>
                  </w:tcBorders>
                  <w:noWrap w:val="0"/>
                  <w:vAlign w:val="center"/>
                </w:tcPr>
                <w:p w14:paraId="451AACB8">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1次</w:t>
                  </w:r>
                  <w:r>
                    <w:rPr>
                      <w:rFonts w:hint="eastAsia" w:ascii="Times New Roman" w:hAnsi="Times New Roman" w:eastAsia="宋体" w:cs="Times New Roman"/>
                      <w:b w:val="0"/>
                      <w:bCs/>
                      <w:snapToGrid w:val="0"/>
                      <w:color w:val="auto"/>
                      <w:kern w:val="0"/>
                      <w:sz w:val="21"/>
                      <w:szCs w:val="21"/>
                      <w:highlight w:val="none"/>
                      <w:vertAlign w:val="baseline"/>
                      <w:lang w:val="en-US" w:eastAsia="zh-CN" w:bidi="ar-SA"/>
                    </w:rPr>
                    <w:t>/年</w:t>
                  </w:r>
                </w:p>
              </w:tc>
            </w:tr>
            <w:tr w14:paraId="710F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203" w:type="dxa"/>
                  <w:vMerge w:val="continue"/>
                  <w:tcBorders>
                    <w:tl2br w:val="nil"/>
                    <w:tr2bl w:val="nil"/>
                  </w:tcBorders>
                  <w:noWrap w:val="0"/>
                  <w:vAlign w:val="center"/>
                </w:tcPr>
                <w:p w14:paraId="2080ACE5">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624" w:type="dxa"/>
                  <w:vMerge w:val="continue"/>
                  <w:tcBorders>
                    <w:tl2br w:val="nil"/>
                    <w:tr2bl w:val="nil"/>
                  </w:tcBorders>
                  <w:noWrap w:val="0"/>
                  <w:vAlign w:val="center"/>
                </w:tcPr>
                <w:p w14:paraId="4347FC2F">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p>
              </w:tc>
              <w:tc>
                <w:tcPr>
                  <w:tcW w:w="3172" w:type="dxa"/>
                  <w:tcBorders>
                    <w:tl2br w:val="nil"/>
                    <w:tr2bl w:val="nil"/>
                  </w:tcBorders>
                  <w:noWrap w:val="0"/>
                  <w:vAlign w:val="center"/>
                </w:tcPr>
                <w:p w14:paraId="01830D7F">
                  <w:pPr>
                    <w:pStyle w:val="103"/>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监控点处任意一次浓度值</w:t>
                  </w:r>
                </w:p>
              </w:tc>
              <w:tc>
                <w:tcPr>
                  <w:tcW w:w="2180" w:type="dxa"/>
                  <w:tcBorders>
                    <w:tl2br w:val="nil"/>
                    <w:tr2bl w:val="nil"/>
                  </w:tcBorders>
                  <w:noWrap w:val="0"/>
                  <w:vAlign w:val="center"/>
                </w:tcPr>
                <w:p w14:paraId="0FEFA726">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VOCs</w:t>
                  </w:r>
                </w:p>
              </w:tc>
              <w:tc>
                <w:tcPr>
                  <w:tcW w:w="2358" w:type="dxa"/>
                  <w:tcBorders>
                    <w:tl2br w:val="nil"/>
                    <w:tr2bl w:val="nil"/>
                  </w:tcBorders>
                  <w:noWrap w:val="0"/>
                  <w:vAlign w:val="center"/>
                </w:tcPr>
                <w:p w14:paraId="08BCC8FD">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1次</w:t>
                  </w:r>
                  <w:r>
                    <w:rPr>
                      <w:rFonts w:hint="eastAsia" w:ascii="Times New Roman" w:hAnsi="Times New Roman" w:eastAsia="宋体" w:cs="Times New Roman"/>
                      <w:b w:val="0"/>
                      <w:bCs/>
                      <w:snapToGrid w:val="0"/>
                      <w:color w:val="auto"/>
                      <w:kern w:val="0"/>
                      <w:sz w:val="21"/>
                      <w:szCs w:val="21"/>
                      <w:highlight w:val="none"/>
                      <w:vertAlign w:val="baseline"/>
                      <w:lang w:val="en-US" w:eastAsia="zh-CN" w:bidi="ar-SA"/>
                    </w:rPr>
                    <w:t>/年</w:t>
                  </w:r>
                </w:p>
              </w:tc>
            </w:tr>
          </w:tbl>
          <w:p w14:paraId="46B1FC56">
            <w:pPr>
              <w:pStyle w:val="94"/>
              <w:numPr>
                <w:ilvl w:val="0"/>
                <w:numId w:val="0"/>
              </w:numPr>
              <w:ind w:left="480" w:left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二、废水</w:t>
            </w:r>
          </w:p>
          <w:p w14:paraId="2DCB4229">
            <w:pPr>
              <w:pStyle w:val="104"/>
              <w:spacing w:line="360" w:lineRule="auto"/>
              <w:ind w:firstLine="482" w:firstLineChars="20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1、废水排放情况</w:t>
            </w:r>
          </w:p>
          <w:p w14:paraId="2FC1C267">
            <w:pPr>
              <w:spacing w:line="360" w:lineRule="auto"/>
              <w:ind w:firstLine="480" w:firstLineChars="200"/>
              <w:rPr>
                <w:rFonts w:hint="eastAsia" w:cs="Times New Roman"/>
                <w:color w:val="auto"/>
                <w:sz w:val="24"/>
                <w:highlight w:val="none"/>
                <w:lang w:eastAsia="zh-CN"/>
              </w:rPr>
            </w:pPr>
            <w:r>
              <w:rPr>
                <w:rFonts w:hint="default" w:ascii="Times New Roman" w:hAnsi="Times New Roman" w:eastAsia="宋体" w:cs="Times New Roman"/>
                <w:b w:val="0"/>
                <w:bCs w:val="0"/>
                <w:color w:val="auto"/>
                <w:kern w:val="2"/>
                <w:sz w:val="24"/>
                <w:szCs w:val="20"/>
                <w:highlight w:val="none"/>
                <w:lang w:val="en-US" w:eastAsia="zh-CN" w:bidi="ar-SA"/>
              </w:rPr>
              <w:t>根据工程分析可知，</w:t>
            </w:r>
            <w:r>
              <w:rPr>
                <w:rFonts w:hint="eastAsia" w:ascii="Times New Roman" w:eastAsia="宋体"/>
                <w:color w:val="auto"/>
                <w:highlight w:val="none"/>
                <w:lang w:val="en-US" w:eastAsia="zh-CN"/>
              </w:rPr>
              <w:t>改扩建项目不新增员工，因此不新增生活污水，现有生活污水产生量为2.4</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/d，720m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/a，经化粪池处理后定期外运沤制农肥，不外排</w:t>
            </w:r>
            <w:r>
              <w:rPr>
                <w:rFonts w:hint="eastAsia" w:ascii="Times New Roman" w:eastAsia="宋体"/>
                <w:color w:val="auto"/>
                <w:highlight w:val="none"/>
                <w:lang w:val="en-US" w:eastAsia="zh-CN"/>
              </w:rPr>
              <w:t>；生产工序不用水，无生产废水产生及排放。</w:t>
            </w:r>
            <w:r>
              <w:rPr>
                <w:rFonts w:hint="eastAsia" w:cs="Times New Roman"/>
                <w:color w:val="auto"/>
                <w:sz w:val="24"/>
                <w:highlight w:val="none"/>
                <w:lang w:eastAsia="zh-CN"/>
              </w:rPr>
              <w:t>。</w:t>
            </w:r>
          </w:p>
          <w:p w14:paraId="1E6593EF">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w:t>
            </w: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en-US" w:eastAsia="zh-CN"/>
              </w:rPr>
              <w:t>污染物产排污汇总表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80"/>
              <w:gridCol w:w="964"/>
              <w:gridCol w:w="1029"/>
              <w:gridCol w:w="1461"/>
              <w:gridCol w:w="978"/>
              <w:gridCol w:w="911"/>
              <w:gridCol w:w="873"/>
              <w:gridCol w:w="991"/>
              <w:gridCol w:w="834"/>
            </w:tblGrid>
            <w:tr w14:paraId="630A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28" w:type="pct"/>
                  <w:noWrap w:val="0"/>
                  <w:vAlign w:val="center"/>
                </w:tcPr>
                <w:p w14:paraId="192FBD7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产排污环节</w:t>
                  </w:r>
                </w:p>
              </w:tc>
              <w:tc>
                <w:tcPr>
                  <w:tcW w:w="356" w:type="pct"/>
                  <w:noWrap w:val="0"/>
                  <w:vAlign w:val="center"/>
                </w:tcPr>
                <w:p w14:paraId="618C75F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类别</w:t>
                  </w:r>
                </w:p>
              </w:tc>
              <w:tc>
                <w:tcPr>
                  <w:tcW w:w="505" w:type="pct"/>
                  <w:noWrap w:val="0"/>
                  <w:vAlign w:val="center"/>
                </w:tcPr>
                <w:p w14:paraId="76E1A8B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废水产生量t/a</w:t>
                  </w:r>
                </w:p>
              </w:tc>
              <w:tc>
                <w:tcPr>
                  <w:tcW w:w="539" w:type="pct"/>
                  <w:noWrap w:val="0"/>
                  <w:vAlign w:val="center"/>
                </w:tcPr>
                <w:p w14:paraId="5DC9D3E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污染物种类</w:t>
                  </w:r>
                </w:p>
              </w:tc>
              <w:tc>
                <w:tcPr>
                  <w:tcW w:w="765" w:type="pct"/>
                  <w:noWrap w:val="0"/>
                  <w:vAlign w:val="center"/>
                </w:tcPr>
                <w:p w14:paraId="4179D67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产生量/浓度</w:t>
                  </w:r>
                </w:p>
              </w:tc>
              <w:tc>
                <w:tcPr>
                  <w:tcW w:w="512" w:type="pct"/>
                  <w:noWrap w:val="0"/>
                  <w:vAlign w:val="center"/>
                </w:tcPr>
                <w:p w14:paraId="7A1270C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废水排放量t/a</w:t>
                  </w:r>
                </w:p>
              </w:tc>
              <w:tc>
                <w:tcPr>
                  <w:tcW w:w="477" w:type="pct"/>
                  <w:noWrap w:val="0"/>
                  <w:vAlign w:val="center"/>
                </w:tcPr>
                <w:p w14:paraId="631FD04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排放量/浓度</w:t>
                  </w:r>
                </w:p>
              </w:tc>
              <w:tc>
                <w:tcPr>
                  <w:tcW w:w="457" w:type="pct"/>
                  <w:noWrap w:val="0"/>
                  <w:vAlign w:val="center"/>
                </w:tcPr>
                <w:p w14:paraId="7C5C087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排放方式</w:t>
                  </w:r>
                </w:p>
              </w:tc>
              <w:tc>
                <w:tcPr>
                  <w:tcW w:w="519" w:type="pct"/>
                  <w:noWrap w:val="0"/>
                  <w:vAlign w:val="center"/>
                </w:tcPr>
                <w:p w14:paraId="2157CEC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排放去向</w:t>
                  </w:r>
                </w:p>
              </w:tc>
              <w:tc>
                <w:tcPr>
                  <w:tcW w:w="437" w:type="pct"/>
                  <w:noWrap w:val="0"/>
                  <w:vAlign w:val="center"/>
                </w:tcPr>
                <w:p w14:paraId="0092309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排放规律</w:t>
                  </w:r>
                </w:p>
              </w:tc>
            </w:tr>
            <w:tr w14:paraId="65AE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28" w:type="pct"/>
                  <w:vMerge w:val="restart"/>
                  <w:noWrap w:val="0"/>
                  <w:vAlign w:val="center"/>
                </w:tcPr>
                <w:p w14:paraId="24F3418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职工生活</w:t>
                  </w:r>
                </w:p>
              </w:tc>
              <w:tc>
                <w:tcPr>
                  <w:tcW w:w="356" w:type="pct"/>
                  <w:vMerge w:val="restart"/>
                  <w:noWrap w:val="0"/>
                  <w:vAlign w:val="center"/>
                </w:tcPr>
                <w:p w14:paraId="2A2BA6D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生活污水</w:t>
                  </w:r>
                </w:p>
              </w:tc>
              <w:tc>
                <w:tcPr>
                  <w:tcW w:w="505" w:type="pct"/>
                  <w:vMerge w:val="restart"/>
                  <w:noWrap w:val="0"/>
                  <w:vAlign w:val="center"/>
                </w:tcPr>
                <w:p w14:paraId="30DD0ED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720</w:t>
                  </w:r>
                </w:p>
              </w:tc>
              <w:tc>
                <w:tcPr>
                  <w:tcW w:w="539" w:type="pct"/>
                  <w:noWrap w:val="0"/>
                  <w:vAlign w:val="center"/>
                </w:tcPr>
                <w:p w14:paraId="5FF32C1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CODcr</w:t>
                  </w:r>
                </w:p>
              </w:tc>
              <w:tc>
                <w:tcPr>
                  <w:tcW w:w="765" w:type="pct"/>
                  <w:noWrap w:val="0"/>
                  <w:vAlign w:val="center"/>
                </w:tcPr>
                <w:p w14:paraId="78B38DC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eastAsia="zh-CN"/>
                    </w:rPr>
                    <w:t>310</w:t>
                  </w:r>
                  <w:r>
                    <w:rPr>
                      <w:rFonts w:hint="default" w:ascii="Times New Roman" w:hAnsi="Times New Roman" w:cs="Times New Roman"/>
                      <w:b w:val="0"/>
                      <w:bCs w:val="0"/>
                      <w:color w:val="auto"/>
                      <w:sz w:val="21"/>
                      <w:szCs w:val="21"/>
                      <w:highlight w:val="none"/>
                    </w:rPr>
                    <w:t>mg/L、</w:t>
                  </w:r>
                  <w:r>
                    <w:rPr>
                      <w:rFonts w:hint="default" w:ascii="Times New Roman" w:hAnsi="Times New Roman"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223</w:t>
                  </w:r>
                  <w:r>
                    <w:rPr>
                      <w:rFonts w:hint="default" w:ascii="Times New Roman" w:hAnsi="Times New Roman" w:cs="Times New Roman"/>
                      <w:b w:val="0"/>
                      <w:bCs w:val="0"/>
                      <w:color w:val="auto"/>
                      <w:sz w:val="21"/>
                      <w:szCs w:val="21"/>
                      <w:highlight w:val="none"/>
                    </w:rPr>
                    <w:t>t/a</w:t>
                  </w:r>
                </w:p>
              </w:tc>
              <w:tc>
                <w:tcPr>
                  <w:tcW w:w="512" w:type="pct"/>
                  <w:vMerge w:val="restart"/>
                  <w:noWrap w:val="0"/>
                  <w:vAlign w:val="center"/>
                </w:tcPr>
                <w:p w14:paraId="293ED6D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477" w:type="pct"/>
                  <w:noWrap w:val="0"/>
                  <w:vAlign w:val="center"/>
                </w:tcPr>
                <w:p w14:paraId="246D14D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457" w:type="pct"/>
                  <w:vMerge w:val="restart"/>
                  <w:noWrap w:val="0"/>
                  <w:vAlign w:val="center"/>
                </w:tcPr>
                <w:p w14:paraId="01C573A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不外排</w:t>
                  </w:r>
                </w:p>
              </w:tc>
              <w:tc>
                <w:tcPr>
                  <w:tcW w:w="519" w:type="pct"/>
                  <w:vMerge w:val="restart"/>
                  <w:noWrap w:val="0"/>
                  <w:vAlign w:val="center"/>
                </w:tcPr>
                <w:p w14:paraId="5814C3D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437" w:type="pct"/>
                  <w:vMerge w:val="restart"/>
                  <w:noWrap w:val="0"/>
                  <w:vAlign w:val="center"/>
                </w:tcPr>
                <w:p w14:paraId="3138D88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r>
            <w:tr w14:paraId="7EFE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8" w:type="pct"/>
                  <w:vMerge w:val="continue"/>
                  <w:noWrap w:val="0"/>
                  <w:vAlign w:val="center"/>
                </w:tcPr>
                <w:p w14:paraId="791A011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p>
              </w:tc>
              <w:tc>
                <w:tcPr>
                  <w:tcW w:w="356" w:type="pct"/>
                  <w:vMerge w:val="continue"/>
                  <w:noWrap w:val="0"/>
                  <w:vAlign w:val="center"/>
                </w:tcPr>
                <w:p w14:paraId="6C47DC3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p>
              </w:tc>
              <w:tc>
                <w:tcPr>
                  <w:tcW w:w="505" w:type="pct"/>
                  <w:vMerge w:val="continue"/>
                  <w:noWrap w:val="0"/>
                  <w:vAlign w:val="center"/>
                </w:tcPr>
                <w:p w14:paraId="6F0F60C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p>
              </w:tc>
              <w:tc>
                <w:tcPr>
                  <w:tcW w:w="539" w:type="pct"/>
                  <w:noWrap w:val="0"/>
                  <w:vAlign w:val="center"/>
                </w:tcPr>
                <w:p w14:paraId="55C7C03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NH</w:t>
                  </w:r>
                  <w:r>
                    <w:rPr>
                      <w:rFonts w:hint="default" w:ascii="Times New Roman" w:hAnsi="Times New Roman" w:cs="Times New Roman"/>
                      <w:b w:val="0"/>
                      <w:bCs w:val="0"/>
                      <w:color w:val="auto"/>
                      <w:sz w:val="21"/>
                      <w:szCs w:val="21"/>
                      <w:highlight w:val="none"/>
                      <w:vertAlign w:val="subscript"/>
                    </w:rPr>
                    <w:t>3</w:t>
                  </w:r>
                  <w:r>
                    <w:rPr>
                      <w:rFonts w:hint="default" w:ascii="Times New Roman" w:hAnsi="Times New Roman" w:cs="Times New Roman"/>
                      <w:b w:val="0"/>
                      <w:bCs w:val="0"/>
                      <w:color w:val="auto"/>
                      <w:sz w:val="21"/>
                      <w:szCs w:val="21"/>
                      <w:highlight w:val="none"/>
                    </w:rPr>
                    <w:t>-N</w:t>
                  </w:r>
                </w:p>
              </w:tc>
              <w:tc>
                <w:tcPr>
                  <w:tcW w:w="765" w:type="pct"/>
                  <w:noWrap w:val="0"/>
                  <w:vAlign w:val="center"/>
                </w:tcPr>
                <w:p w14:paraId="689B85A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30mg/L、0.0</w:t>
                  </w:r>
                  <w:r>
                    <w:rPr>
                      <w:rFonts w:hint="eastAsia" w:ascii="Times New Roman" w:hAnsi="Times New Roman" w:cs="Times New Roman"/>
                      <w:b w:val="0"/>
                      <w:bCs w:val="0"/>
                      <w:color w:val="auto"/>
                      <w:sz w:val="21"/>
                      <w:szCs w:val="21"/>
                      <w:highlight w:val="none"/>
                      <w:lang w:val="en-US" w:eastAsia="zh-CN"/>
                    </w:rPr>
                    <w:t>22</w:t>
                  </w:r>
                  <w:r>
                    <w:rPr>
                      <w:rFonts w:hint="default" w:ascii="Times New Roman" w:hAnsi="Times New Roman" w:cs="Times New Roman"/>
                      <w:b w:val="0"/>
                      <w:bCs w:val="0"/>
                      <w:color w:val="auto"/>
                      <w:sz w:val="21"/>
                      <w:szCs w:val="21"/>
                      <w:highlight w:val="none"/>
                    </w:rPr>
                    <w:t>t/a</w:t>
                  </w:r>
                </w:p>
              </w:tc>
              <w:tc>
                <w:tcPr>
                  <w:tcW w:w="512" w:type="pct"/>
                  <w:vMerge w:val="continue"/>
                  <w:noWrap w:val="0"/>
                  <w:vAlign w:val="center"/>
                </w:tcPr>
                <w:p w14:paraId="2A64DEC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p>
              </w:tc>
              <w:tc>
                <w:tcPr>
                  <w:tcW w:w="477" w:type="pct"/>
                  <w:noWrap w:val="0"/>
                  <w:vAlign w:val="center"/>
                </w:tcPr>
                <w:p w14:paraId="6817F8B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457" w:type="pct"/>
                  <w:vMerge w:val="continue"/>
                  <w:noWrap w:val="0"/>
                  <w:vAlign w:val="center"/>
                </w:tcPr>
                <w:p w14:paraId="5FDD2F4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p>
              </w:tc>
              <w:tc>
                <w:tcPr>
                  <w:tcW w:w="519" w:type="pct"/>
                  <w:vMerge w:val="continue"/>
                  <w:noWrap w:val="0"/>
                  <w:vAlign w:val="center"/>
                </w:tcPr>
                <w:p w14:paraId="7F41224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p>
              </w:tc>
              <w:tc>
                <w:tcPr>
                  <w:tcW w:w="437" w:type="pct"/>
                  <w:vMerge w:val="continue"/>
                  <w:noWrap w:val="0"/>
                  <w:vAlign w:val="center"/>
                </w:tcPr>
                <w:p w14:paraId="1CF5342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rPr>
                  </w:pPr>
                </w:p>
              </w:tc>
            </w:tr>
          </w:tbl>
          <w:p w14:paraId="1C21162B">
            <w:pPr>
              <w:pStyle w:val="104"/>
              <w:spacing w:line="360" w:lineRule="auto"/>
              <w:ind w:firstLine="482" w:firstLineChars="20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2、废水处理环保设施</w:t>
            </w:r>
          </w:p>
          <w:p w14:paraId="2150DBB0">
            <w:pPr>
              <w:pStyle w:val="92"/>
              <w:ind w:firstLine="480"/>
              <w:rPr>
                <w:rFonts w:hint="default" w:ascii="Times New Roman" w:hAnsi="Times New Roman" w:cs="Times New Roman"/>
                <w:color w:val="auto"/>
                <w:kern w:val="2"/>
                <w:szCs w:val="24"/>
                <w:highlight w:val="none"/>
              </w:rPr>
            </w:pPr>
            <w:r>
              <w:rPr>
                <w:rFonts w:hint="default" w:ascii="Times New Roman" w:hAnsi="Times New Roman" w:cs="Times New Roman"/>
                <w:color w:val="auto"/>
                <w:szCs w:val="24"/>
                <w:highlight w:val="none"/>
              </w:rPr>
              <w:t>生活污水预处理措施</w:t>
            </w:r>
            <w:r>
              <w:rPr>
                <w:rFonts w:hint="eastAsia" w:ascii="Times New Roman" w:hAnsi="Times New Roman" w:cs="Times New Roman"/>
                <w:color w:val="auto"/>
                <w:szCs w:val="24"/>
                <w:highlight w:val="none"/>
                <w:lang w:val="en-US" w:eastAsia="zh-CN"/>
              </w:rPr>
              <w:t>采用化粪池，</w:t>
            </w:r>
            <w:r>
              <w:rPr>
                <w:rFonts w:hint="default" w:ascii="Times New Roman" w:hAnsi="Times New Roman" w:cs="Times New Roman"/>
                <w:color w:val="auto"/>
                <w:spacing w:val="-6"/>
                <w:kern w:val="2"/>
                <w:szCs w:val="24"/>
                <w:highlight w:val="none"/>
              </w:rPr>
              <w:t>化粪池：</w:t>
            </w:r>
            <w:r>
              <w:rPr>
                <w:rFonts w:hint="default" w:ascii="Times New Roman" w:hAnsi="Times New Roman" w:cs="Times New Roman"/>
                <w:color w:val="auto"/>
                <w:kern w:val="2"/>
                <w:szCs w:val="24"/>
                <w:highlight w:val="none"/>
              </w:rPr>
              <w:t>化粪池是一种利用沉淀和厌氧发酵的原理，去除污水中悬浮性有机物的处理设施，属于初级的过渡性污水处理构筑物。根据排污许可技术规范，项目使用化粪池预处理生活污水是有效的，</w:t>
            </w:r>
            <w:r>
              <w:rPr>
                <w:rFonts w:hint="eastAsia" w:ascii="Times New Roman" w:hAnsi="Times New Roman" w:eastAsia="宋体" w:cs="Times New Roman"/>
                <w:b w:val="0"/>
                <w:bCs w:val="0"/>
                <w:color w:val="auto"/>
                <w:sz w:val="24"/>
                <w:szCs w:val="24"/>
                <w:highlight w:val="none"/>
                <w:lang w:val="en-US" w:eastAsia="zh-CN"/>
              </w:rPr>
              <w:t>根据《排污许可证申请与核发技术规范 石墨及其他非金属矿物制品制造》（HJ1119—2020），</w:t>
            </w:r>
            <w:r>
              <w:rPr>
                <w:rFonts w:hint="default" w:ascii="Times New Roman" w:hAnsi="Times New Roman" w:cs="Times New Roman"/>
                <w:color w:val="auto"/>
                <w:kern w:val="2"/>
                <w:szCs w:val="24"/>
                <w:highlight w:val="none"/>
              </w:rPr>
              <w:t>属于水污染防治可行技术。</w:t>
            </w:r>
          </w:p>
          <w:p w14:paraId="72EA3862">
            <w:pPr>
              <w:pStyle w:val="92"/>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3、废水监测要求</w:t>
            </w:r>
          </w:p>
          <w:p w14:paraId="39DBA782">
            <w:pPr>
              <w:pStyle w:val="92"/>
              <w:ind w:firstLine="480"/>
              <w:rPr>
                <w:rFonts w:hint="default"/>
                <w:color w:val="auto"/>
                <w:highlight w:val="none"/>
                <w:lang w:val="en-US" w:eastAsia="zh-CN"/>
              </w:rPr>
            </w:pPr>
            <w:r>
              <w:rPr>
                <w:rFonts w:hint="eastAsia" w:ascii="Times New Roman" w:hAnsi="Times New Roman" w:eastAsia="宋体" w:cs="Times New Roman"/>
                <w:color w:val="auto"/>
                <w:szCs w:val="24"/>
                <w:highlight w:val="none"/>
                <w:lang w:val="en-US" w:eastAsia="zh-CN"/>
              </w:rPr>
              <w:t>项目无废水外排，因此不再制定废水监测计划。</w:t>
            </w:r>
          </w:p>
          <w:p w14:paraId="72588753">
            <w:pPr>
              <w:pStyle w:val="94"/>
              <w:numPr>
                <w:ilvl w:val="0"/>
                <w:numId w:val="0"/>
              </w:numPr>
              <w:ind w:left="480" w:left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三、噪声</w:t>
            </w:r>
          </w:p>
          <w:p w14:paraId="332E93BE">
            <w:pPr>
              <w:spacing w:line="360" w:lineRule="auto"/>
              <w:ind w:firstLine="482" w:firstLineChars="200"/>
              <w:jc w:val="left"/>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1、噪声源</w:t>
            </w:r>
          </w:p>
          <w:p w14:paraId="705026C3">
            <w:pPr>
              <w:adjustRightInd w:val="0"/>
              <w:snapToGrid w:val="0"/>
              <w:spacing w:line="360" w:lineRule="auto"/>
              <w:ind w:firstLine="480" w:firstLineChars="200"/>
              <w:rPr>
                <w:rFonts w:hint="default" w:ascii="Times New Roman" w:hAnsi="Times New Roman" w:eastAsia="宋体" w:cs="Times New Roman"/>
                <w:color w:val="FF0000"/>
                <w:sz w:val="24"/>
                <w:highlight w:val="none"/>
                <w:lang w:val="en-US" w:eastAsia="zh-CN"/>
              </w:rPr>
            </w:pPr>
            <w:r>
              <w:rPr>
                <w:rFonts w:hint="default" w:ascii="Times New Roman" w:hAnsi="Times New Roman" w:cs="Times New Roman"/>
                <w:color w:val="FF0000"/>
                <w:sz w:val="24"/>
                <w:highlight w:val="none"/>
                <w:lang w:val="en-US" w:eastAsia="zh-CN"/>
              </w:rPr>
              <w:t>项目的噪声源主要为机械设备运行时产生的噪声，</w:t>
            </w:r>
            <w:r>
              <w:rPr>
                <w:rFonts w:hint="default" w:ascii="Times New Roman" w:hAnsi="Times New Roman" w:cs="Times New Roman"/>
                <w:color w:val="FF0000"/>
                <w:sz w:val="24"/>
                <w:highlight w:val="none"/>
              </w:rPr>
              <w:t>噪声类型主要是机械设备噪声，以中、低频为主。</w:t>
            </w:r>
            <w:r>
              <w:rPr>
                <w:rFonts w:hint="eastAsia" w:ascii="Times New Roman" w:hAnsi="Times New Roman" w:cs="Times New Roman"/>
                <w:color w:val="FF0000"/>
                <w:sz w:val="24"/>
                <w:highlight w:val="none"/>
                <w:lang w:val="en-US" w:eastAsia="zh-CN"/>
              </w:rPr>
              <w:t>本项目噪声源以改扩建项目建成后全厂设备</w:t>
            </w:r>
            <w:r>
              <w:rPr>
                <w:rFonts w:hint="default" w:ascii="Times New Roman" w:hAnsi="Times New Roman" w:cs="Times New Roman"/>
                <w:color w:val="FF0000"/>
                <w:sz w:val="24"/>
                <w:highlight w:val="none"/>
                <w:lang w:val="en-US" w:eastAsia="zh-CN"/>
              </w:rPr>
              <w:t>运行时产生的噪声</w:t>
            </w:r>
            <w:r>
              <w:rPr>
                <w:rFonts w:hint="eastAsia" w:ascii="Times New Roman" w:hAnsi="Times New Roman" w:cs="Times New Roman"/>
                <w:color w:val="FF0000"/>
                <w:sz w:val="24"/>
                <w:highlight w:val="none"/>
                <w:lang w:val="en-US" w:eastAsia="zh-CN"/>
              </w:rPr>
              <w:t>进行预测，具体见表4-</w:t>
            </w:r>
            <w:r>
              <w:rPr>
                <w:rFonts w:hint="eastAsia" w:cs="Times New Roman"/>
                <w:color w:val="FF0000"/>
                <w:sz w:val="24"/>
                <w:highlight w:val="none"/>
                <w:lang w:val="en-US" w:eastAsia="zh-CN"/>
              </w:rPr>
              <w:t>10</w:t>
            </w:r>
            <w:r>
              <w:rPr>
                <w:rFonts w:hint="eastAsia" w:ascii="Times New Roman" w:hAnsi="Times New Roman" w:cs="Times New Roman"/>
                <w:color w:val="FF0000"/>
                <w:sz w:val="24"/>
                <w:highlight w:val="none"/>
                <w:lang w:val="en-US" w:eastAsia="zh-CN"/>
              </w:rPr>
              <w:t>、表4-</w:t>
            </w:r>
            <w:r>
              <w:rPr>
                <w:rFonts w:hint="eastAsia" w:cs="Times New Roman"/>
                <w:color w:val="FF0000"/>
                <w:sz w:val="24"/>
                <w:highlight w:val="none"/>
                <w:lang w:val="en-US" w:eastAsia="zh-CN"/>
              </w:rPr>
              <w:t>11</w:t>
            </w:r>
            <w:r>
              <w:rPr>
                <w:rFonts w:hint="eastAsia" w:ascii="Times New Roman" w:hAnsi="Times New Roman" w:cs="Times New Roman"/>
                <w:color w:val="FF0000"/>
                <w:sz w:val="24"/>
                <w:highlight w:val="none"/>
                <w:lang w:val="en-US" w:eastAsia="zh-CN"/>
              </w:rPr>
              <w:t>所示。</w:t>
            </w:r>
          </w:p>
          <w:p w14:paraId="60ACFF91">
            <w:pPr>
              <w:spacing w:line="360" w:lineRule="auto"/>
              <w:ind w:firstLine="482" w:firstLineChars="200"/>
              <w:jc w:val="left"/>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、降噪措施</w:t>
            </w:r>
          </w:p>
          <w:p w14:paraId="5CFF491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针对各类主要声源的特点，项目采取隔声、消音、减振等治理措施，对设备产生的机械噪声，在采用提高安装精度，减小声源噪声的同时，主要对厂房等建筑物的隔声、距离衰减等途径进行控制。同时，为进一步降低噪声影响采取如下措施：</w:t>
            </w:r>
          </w:p>
          <w:p w14:paraId="16438F8F">
            <w:pPr>
              <w:numPr>
                <w:ilvl w:val="0"/>
                <w:numId w:val="13"/>
              </w:num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在满足工作性能条件下，尽量选用低噪声、振动小的机械动力设备；</w:t>
            </w:r>
          </w:p>
          <w:p w14:paraId="34DB7510">
            <w:pPr>
              <w:numPr>
                <w:ilvl w:val="0"/>
                <w:numId w:val="13"/>
              </w:num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主要建筑设计中根据需要采取相应的吸声措施；</w:t>
            </w:r>
          </w:p>
          <w:p w14:paraId="6EB8D89F">
            <w:pPr>
              <w:numPr>
                <w:ilvl w:val="0"/>
                <w:numId w:val="13"/>
              </w:num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振动较大的设备采用单独基础，在其基础上采取相应的减振措施；</w:t>
            </w:r>
          </w:p>
          <w:p w14:paraId="579FE3A8">
            <w:pPr>
              <w:numPr>
                <w:ilvl w:val="0"/>
                <w:numId w:val="13"/>
              </w:num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各辅助设备本体与供连接管采用软接头连接，管道与墙体接触的地方采用弹性支承，穿墙管道安装弹性垫层；</w:t>
            </w:r>
          </w:p>
          <w:p w14:paraId="563627EB">
            <w:pPr>
              <w:numPr>
                <w:ilvl w:val="0"/>
                <w:numId w:val="13"/>
              </w:num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对各生产线设备运行产生的噪声，采用厂房隔声、设置隔声操作室等措施降噪</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降噪效果约15</w:t>
            </w:r>
            <w:r>
              <w:rPr>
                <w:rFonts w:hint="default" w:ascii="Times New Roman" w:hAnsi="Times New Roman" w:eastAsia="宋体" w:cs="Times New Roman"/>
                <w:color w:val="auto"/>
                <w:highlight w:val="none"/>
              </w:rPr>
              <w:t>dB（A）</w:t>
            </w:r>
            <w:r>
              <w:rPr>
                <w:rFonts w:hint="default" w:ascii="Times New Roman" w:hAnsi="Times New Roman" w:cs="Times New Roman"/>
                <w:color w:val="auto"/>
                <w:sz w:val="24"/>
                <w:highlight w:val="none"/>
              </w:rPr>
              <w:t>。</w:t>
            </w:r>
          </w:p>
          <w:p w14:paraId="13619AF6">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left"/>
              <w:textAlignment w:val="auto"/>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、噪声影响预测分析</w:t>
            </w:r>
          </w:p>
          <w:p w14:paraId="314FDF2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本次评价采用《环境影响评价技术导则</w:t>
            </w:r>
            <w:r>
              <w:rPr>
                <w:rFonts w:hint="default" w:ascii="Times New Roman" w:hAnsi="Times New Roman" w:eastAsia="Times New Roman" w:cs="Times New Roman"/>
                <w:color w:val="auto"/>
                <w:kern w:val="0"/>
                <w:sz w:val="24"/>
                <w:highlight w:val="none"/>
              </w:rPr>
              <w:t>—</w:t>
            </w:r>
            <w:r>
              <w:rPr>
                <w:rFonts w:hint="default" w:ascii="Times New Roman" w:hAnsi="Times New Roman" w:cs="Times New Roman"/>
                <w:color w:val="auto"/>
                <w:kern w:val="0"/>
                <w:sz w:val="24"/>
                <w:highlight w:val="none"/>
              </w:rPr>
              <w:t>声环境》</w:t>
            </w:r>
            <w:r>
              <w:rPr>
                <w:rFonts w:hint="default" w:ascii="Times New Roman" w:hAnsi="Times New Roman" w:eastAsia="Times New Roman" w:cs="Times New Roman"/>
                <w:color w:val="auto"/>
                <w:kern w:val="0"/>
                <w:sz w:val="24"/>
                <w:highlight w:val="none"/>
              </w:rPr>
              <w:t>(HJ2.4-2021)</w:t>
            </w:r>
            <w:r>
              <w:rPr>
                <w:rFonts w:hint="default" w:ascii="Times New Roman" w:hAnsi="Times New Roman" w:cs="Times New Roman"/>
                <w:color w:val="auto"/>
                <w:kern w:val="0"/>
                <w:sz w:val="24"/>
                <w:highlight w:val="none"/>
              </w:rPr>
              <w:t>中推荐模式进行预测，用</w:t>
            </w:r>
            <w:r>
              <w:rPr>
                <w:rFonts w:hint="default" w:ascii="Times New Roman" w:hAnsi="Times New Roman" w:eastAsia="Times New Roman" w:cs="Times New Roman"/>
                <w:color w:val="auto"/>
                <w:kern w:val="0"/>
                <w:sz w:val="24"/>
                <w:highlight w:val="none"/>
              </w:rPr>
              <w:t>A</w:t>
            </w:r>
            <w:r>
              <w:rPr>
                <w:rFonts w:hint="default" w:ascii="Times New Roman" w:hAnsi="Times New Roman" w:cs="Times New Roman"/>
                <w:color w:val="auto"/>
                <w:kern w:val="0"/>
                <w:sz w:val="24"/>
                <w:highlight w:val="none"/>
              </w:rPr>
              <w:t>声级计算，模式如下：</w:t>
            </w:r>
          </w:p>
          <w:p w14:paraId="4ABE2F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（1）室内声源等效为室外声源的计算</w:t>
            </w:r>
          </w:p>
          <w:p w14:paraId="35D678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①首先计算出某个室内靠近围护结构处的倍频带声压级</w:t>
            </w:r>
          </w:p>
          <w:p w14:paraId="5491A0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1704975" cy="428625"/>
                  <wp:effectExtent l="0" t="0" r="952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2"/>
                          <a:stretch>
                            <a:fillRect/>
                          </a:stretch>
                        </pic:blipFill>
                        <pic:spPr>
                          <a:xfrm>
                            <a:off x="0" y="0"/>
                            <a:ext cx="1704975" cy="428625"/>
                          </a:xfrm>
                          <a:prstGeom prst="rect">
                            <a:avLst/>
                          </a:prstGeom>
                          <a:noFill/>
                          <a:ln>
                            <a:noFill/>
                          </a:ln>
                        </pic:spPr>
                      </pic:pic>
                    </a:graphicData>
                  </a:graphic>
                </wp:inline>
              </w:drawing>
            </w:r>
          </w:p>
          <w:p w14:paraId="147718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w:t>
            </w:r>
          </w:p>
          <w:p w14:paraId="579C7E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LP1—某个室内声源在靠近围护结构处产生的倍频带声压级；</w:t>
            </w:r>
          </w:p>
          <w:p w14:paraId="6402C4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Lw—某个声源的倍频带声功率级，dB（A）；</w:t>
            </w:r>
          </w:p>
          <w:p w14:paraId="3F19A3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r—某个声源与靠近围护结构处的距离，m；</w:t>
            </w:r>
          </w:p>
          <w:p w14:paraId="3CFCB9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R—房间常数，R=Sα/（1-α），S为房间内表面面积，m2；α为平均吸声系数；</w:t>
            </w:r>
          </w:p>
          <w:p w14:paraId="43A119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Q—指向性因子，通常对无指向性声源，当声源</w:t>
            </w:r>
            <w:r>
              <w:rPr>
                <w:rFonts w:hint="default" w:ascii="Times New Roman" w:hAnsi="Times New Roman" w:eastAsia="宋体" w:cs="Times New Roman"/>
                <w:color w:val="auto"/>
                <w:highlight w:val="none"/>
                <w:lang w:val="en-US" w:eastAsia="zh-CN"/>
              </w:rPr>
              <w:t>放在</w:t>
            </w:r>
            <w:r>
              <w:rPr>
                <w:rFonts w:hint="default" w:ascii="Times New Roman" w:hAnsi="Times New Roman" w:eastAsia="宋体" w:cs="Times New Roman"/>
                <w:color w:val="auto"/>
                <w:highlight w:val="none"/>
              </w:rPr>
              <w:t>房间中心时，Q=1；当放在一面墙的中心时，Q=2；当放在两面墙夹角处时，Q=4；当放在三面墙夹角处时，Q=8；</w:t>
            </w:r>
          </w:p>
          <w:p w14:paraId="6116E5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②计算出所有室内声源在围护结构处产生的i倍频带叠加声压级</w:t>
            </w:r>
          </w:p>
          <w:p w14:paraId="7F8EEE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anchor distT="0" distB="0" distL="114300" distR="114300" simplePos="0" relativeHeight="251661312" behindDoc="0" locked="0" layoutInCell="1" allowOverlap="1">
                  <wp:simplePos x="0" y="0"/>
                  <wp:positionH relativeFrom="column">
                    <wp:posOffset>1557655</wp:posOffset>
                  </wp:positionH>
                  <wp:positionV relativeFrom="paragraph">
                    <wp:posOffset>46990</wp:posOffset>
                  </wp:positionV>
                  <wp:extent cx="1638300" cy="485775"/>
                  <wp:effectExtent l="0" t="0" r="0" b="889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tretch>
                            <a:fillRect/>
                          </a:stretch>
                        </pic:blipFill>
                        <pic:spPr>
                          <a:xfrm>
                            <a:off x="0" y="0"/>
                            <a:ext cx="1638300" cy="485775"/>
                          </a:xfrm>
                          <a:prstGeom prst="rect">
                            <a:avLst/>
                          </a:prstGeom>
                          <a:noFill/>
                          <a:ln>
                            <a:noFill/>
                          </a:ln>
                        </pic:spPr>
                      </pic:pic>
                    </a:graphicData>
                  </a:graphic>
                </wp:anchor>
              </w:drawing>
            </w:r>
          </w:p>
          <w:p w14:paraId="1F7169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p>
          <w:p w14:paraId="6554F1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式中：LP1i（T）—靠近围护结构处N个室内声源产生的i倍频带的叠加声压级，dB（A）；</w:t>
            </w:r>
          </w:p>
          <w:p w14:paraId="7F78CC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LP1ij—室内j声源i倍频带的声压级，dB（A）；</w:t>
            </w:r>
          </w:p>
          <w:p w14:paraId="0E4D9B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N—室内声源总数；</w:t>
            </w:r>
          </w:p>
          <w:p w14:paraId="2AE792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③计算出室外靠近围护结构处的声压级</w:t>
            </w:r>
          </w:p>
          <w:p w14:paraId="60CD45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1685925" cy="228600"/>
                  <wp:effectExtent l="0" t="0" r="9525"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4"/>
                          <a:stretch>
                            <a:fillRect/>
                          </a:stretch>
                        </pic:blipFill>
                        <pic:spPr>
                          <a:xfrm>
                            <a:off x="0" y="0"/>
                            <a:ext cx="1685925" cy="228600"/>
                          </a:xfrm>
                          <a:prstGeom prst="rect">
                            <a:avLst/>
                          </a:prstGeom>
                          <a:noFill/>
                          <a:ln>
                            <a:noFill/>
                          </a:ln>
                        </pic:spPr>
                      </pic:pic>
                    </a:graphicData>
                  </a:graphic>
                </wp:inline>
              </w:drawing>
            </w:r>
          </w:p>
          <w:p w14:paraId="2E4B7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式中：LP2i（T）—靠近围护结构处N个室外声源产生的i倍频带的叠加声压级，dB（A）；</w:t>
            </w:r>
            <w:bookmarkStart w:id="4" w:name="_Toc458177329"/>
          </w:p>
          <w:p w14:paraId="294EEC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TLi—围护结构i倍频带的隔声量，dB（A）；</w:t>
            </w:r>
            <w:bookmarkEnd w:id="4"/>
          </w:p>
          <w:p w14:paraId="6526BB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④将室外声源的声压级和透声面积换算成等效的室外声源，计算出中心位置位于透声面积（S）处的等效声源的倍频带声功率级</w:t>
            </w:r>
          </w:p>
          <w:p w14:paraId="0C1A3E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1285875" cy="228600"/>
                  <wp:effectExtent l="0" t="0" r="9525"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5"/>
                          <a:stretch>
                            <a:fillRect/>
                          </a:stretch>
                        </pic:blipFill>
                        <pic:spPr>
                          <a:xfrm>
                            <a:off x="0" y="0"/>
                            <a:ext cx="1285875" cy="228600"/>
                          </a:xfrm>
                          <a:prstGeom prst="rect">
                            <a:avLst/>
                          </a:prstGeom>
                          <a:noFill/>
                          <a:ln>
                            <a:noFill/>
                          </a:ln>
                        </pic:spPr>
                      </pic:pic>
                    </a:graphicData>
                  </a:graphic>
                </wp:inline>
              </w:drawing>
            </w:r>
          </w:p>
          <w:p w14:paraId="17B4A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式中：S—透声面积，m2。</w:t>
            </w:r>
          </w:p>
          <w:p w14:paraId="74DBF7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⑤然后按照室外声源预测方法计算预测点处的A声级。</w:t>
            </w:r>
          </w:p>
          <w:p w14:paraId="17A1DC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（2）参数的确定</w:t>
            </w:r>
          </w:p>
          <w:p w14:paraId="34843A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①声波几何发散引起的A声级衰减量（工业噪声源）：</w:t>
            </w:r>
          </w:p>
          <w:p w14:paraId="697265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a、点声源      Adiv＝20Lg（r/ro）</w:t>
            </w:r>
          </w:p>
          <w:p w14:paraId="6DF26A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b、有限长（Lo）线声源</w:t>
            </w:r>
          </w:p>
          <w:p w14:paraId="560D0A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当r＞Lo且ro＞Lo时               Adiv＝20lg（r/ro）</w:t>
            </w:r>
          </w:p>
          <w:p w14:paraId="2E9D8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当r＜Lo/3且ro＜Lo/3时           Adiv＝10lg（r/ro）</w:t>
            </w:r>
          </w:p>
          <w:p w14:paraId="1DEF0D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当Lo/3＜r＜Lo且Lo/3＜ro＜Lo时    Adiv＝15lg（r/ro）</w:t>
            </w:r>
          </w:p>
          <w:p w14:paraId="16E558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②空气吸收引起的衰减量Aatm</w:t>
            </w:r>
          </w:p>
          <w:p w14:paraId="384FEF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本工程噪声以中低频为主，空气吸收性衰减很少。</w:t>
            </w:r>
          </w:p>
          <w:p w14:paraId="406308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③地面效应引起的衰减量Agr</w:t>
            </w:r>
          </w:p>
          <w:p w14:paraId="4A57D2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本工程地面为水泥硬化路面，地面效应引起的衰减量很小。</w:t>
            </w:r>
          </w:p>
          <w:p w14:paraId="1A30BB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④屏障引起的衰减Abar</w:t>
            </w:r>
          </w:p>
          <w:p w14:paraId="150739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噪声在向外传播过程中将受到厂房或其它车间的阻挡影响，从而引起声能量的衰减，具体衰减根据不同声级的传播途径而定。</w:t>
            </w:r>
          </w:p>
          <w:p w14:paraId="1E8723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⑤其他多方面原因引起的衰减量Amisc</w:t>
            </w:r>
          </w:p>
          <w:p w14:paraId="7551D8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主要考虑工业场所的衰减；通过房屋群的衰减等。</w:t>
            </w:r>
          </w:p>
        </w:tc>
      </w:tr>
    </w:tbl>
    <w:p w14:paraId="1676BBA1">
      <w:pPr>
        <w:pStyle w:val="26"/>
        <w:numPr>
          <w:ilvl w:val="0"/>
          <w:numId w:val="0"/>
        </w:numPr>
        <w:jc w:val="both"/>
        <w:outlineLvl w:val="0"/>
        <w:rPr>
          <w:rFonts w:hint="eastAsia" w:ascii="黑体" w:hAnsi="黑体" w:eastAsia="黑体"/>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5"/>
        <w:gridCol w:w="13347"/>
      </w:tblGrid>
      <w:tr w14:paraId="30043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240" w:type="dxa"/>
            <w:noWrap w:val="0"/>
            <w:tcMar>
              <w:left w:w="28" w:type="dxa"/>
              <w:right w:w="28" w:type="dxa"/>
            </w:tcMar>
            <w:vAlign w:val="center"/>
          </w:tcPr>
          <w:p w14:paraId="235221CF">
            <w:pPr>
              <w:pStyle w:val="26"/>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hint="default" w:ascii="Times New Roman" w:hAnsi="Times New Roman" w:eastAsia="宋体" w:cs="Times New Roman"/>
                <w:bCs/>
                <w:color w:val="auto"/>
                <w:kern w:val="2"/>
                <w:sz w:val="21"/>
                <w:szCs w:val="21"/>
                <w:highlight w:val="none"/>
              </w:rPr>
            </w:pPr>
          </w:p>
        </w:tc>
        <w:tc>
          <w:tcPr>
            <w:tcW w:w="14545" w:type="dxa"/>
            <w:noWrap w:val="0"/>
            <w:vAlign w:val="center"/>
          </w:tcPr>
          <w:p w14:paraId="666DBDFF">
            <w:pPr>
              <w:pStyle w:val="101"/>
              <w:bidi w:val="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w:t>
            </w:r>
            <w:r>
              <w:rPr>
                <w:rFonts w:hint="eastAsia" w:cs="Times New Roman"/>
                <w:color w:val="auto"/>
                <w:highlight w:val="none"/>
                <w:lang w:val="en-US" w:eastAsia="zh-CN"/>
              </w:rPr>
              <w:t>10</w:t>
            </w:r>
            <w:r>
              <w:rPr>
                <w:rFonts w:hint="default" w:ascii="Times New Roman" w:hAnsi="Times New Roman" w:cs="Times New Roman"/>
                <w:color w:val="auto"/>
                <w:highlight w:val="none"/>
                <w:lang w:val="en-US" w:eastAsia="zh-CN"/>
              </w:rPr>
              <w:t>工业企业噪声源强调查清单（室内声源）</w:t>
            </w:r>
          </w:p>
          <w:tbl>
            <w:tblPr>
              <w:tblStyle w:val="3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
              <w:gridCol w:w="574"/>
              <w:gridCol w:w="624"/>
              <w:gridCol w:w="591"/>
              <w:gridCol w:w="1336"/>
              <w:gridCol w:w="613"/>
              <w:gridCol w:w="625"/>
              <w:gridCol w:w="399"/>
              <w:gridCol w:w="410"/>
              <w:gridCol w:w="579"/>
              <w:gridCol w:w="433"/>
              <w:gridCol w:w="534"/>
              <w:gridCol w:w="455"/>
              <w:gridCol w:w="444"/>
              <w:gridCol w:w="444"/>
              <w:gridCol w:w="376"/>
              <w:gridCol w:w="557"/>
              <w:gridCol w:w="439"/>
              <w:gridCol w:w="318"/>
              <w:gridCol w:w="286"/>
              <w:gridCol w:w="296"/>
              <w:gridCol w:w="276"/>
              <w:gridCol w:w="349"/>
              <w:gridCol w:w="486"/>
              <w:gridCol w:w="349"/>
              <w:gridCol w:w="349"/>
              <w:gridCol w:w="466"/>
            </w:tblGrid>
            <w:tr w14:paraId="4E1B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9963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序号</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BBA9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建筑物名称</w:t>
                  </w: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14:paraId="2000706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声源名称</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D6D06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声源源强</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B3ABC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声源控制措施</w:t>
                  </w:r>
                </w:p>
              </w:tc>
              <w:tc>
                <w:tcPr>
                  <w:tcW w:w="1596" w:type="dxa"/>
                  <w:gridSpan w:val="3"/>
                  <w:tcBorders>
                    <w:top w:val="single" w:color="000000" w:sz="4" w:space="0"/>
                    <w:left w:val="single" w:color="000000" w:sz="4" w:space="0"/>
                    <w:bottom w:val="single" w:color="000000" w:sz="4" w:space="0"/>
                    <w:right w:val="single" w:color="000000" w:sz="4" w:space="0"/>
                  </w:tcBorders>
                  <w:noWrap w:val="0"/>
                  <w:vAlign w:val="center"/>
                </w:tcPr>
                <w:p w14:paraId="4888F2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空间相对位置</w:t>
                  </w:r>
                  <w:r>
                    <w:rPr>
                      <w:rStyle w:val="120"/>
                      <w:rFonts w:ascii="Times New Roman" w:hAnsi="Times New Roman" w:eastAsia="宋体"/>
                      <w:b w:val="0"/>
                      <w:bCs w:val="0"/>
                      <w:color w:val="auto"/>
                      <w:sz w:val="21"/>
                      <w:szCs w:val="21"/>
                      <w:highlight w:val="none"/>
                      <w:lang w:val="en-US" w:eastAsia="zh-CN" w:bidi="ar"/>
                    </w:rPr>
                    <w:t>/m</w:t>
                  </w:r>
                </w:p>
              </w:tc>
              <w:tc>
                <w:tcPr>
                  <w:tcW w:w="2236" w:type="dxa"/>
                  <w:gridSpan w:val="4"/>
                  <w:tcBorders>
                    <w:top w:val="single" w:color="000000" w:sz="4" w:space="0"/>
                    <w:left w:val="single" w:color="000000" w:sz="4" w:space="0"/>
                    <w:bottom w:val="single" w:color="000000" w:sz="4" w:space="0"/>
                    <w:right w:val="single" w:color="000000" w:sz="4" w:space="0"/>
                  </w:tcBorders>
                  <w:noWrap w:val="0"/>
                  <w:vAlign w:val="center"/>
                </w:tcPr>
                <w:p w14:paraId="4B88E74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距室内边界距离</w:t>
                  </w:r>
                  <w:r>
                    <w:rPr>
                      <w:rStyle w:val="120"/>
                      <w:rFonts w:ascii="Times New Roman" w:hAnsi="Times New Roman" w:eastAsia="宋体"/>
                      <w:b w:val="0"/>
                      <w:bCs w:val="0"/>
                      <w:color w:val="auto"/>
                      <w:sz w:val="21"/>
                      <w:szCs w:val="21"/>
                      <w:highlight w:val="none"/>
                      <w:lang w:val="en-US" w:eastAsia="zh-CN" w:bidi="ar"/>
                    </w:rPr>
                    <w:t>/m</w:t>
                  </w:r>
                </w:p>
              </w:tc>
              <w:tc>
                <w:tcPr>
                  <w:tcW w:w="2019" w:type="dxa"/>
                  <w:gridSpan w:val="4"/>
                  <w:tcBorders>
                    <w:top w:val="single" w:color="000000" w:sz="4" w:space="0"/>
                    <w:left w:val="single" w:color="000000" w:sz="4" w:space="0"/>
                    <w:bottom w:val="single" w:color="000000" w:sz="4" w:space="0"/>
                    <w:right w:val="single" w:color="000000" w:sz="4" w:space="0"/>
                  </w:tcBorders>
                  <w:noWrap w:val="0"/>
                  <w:vAlign w:val="center"/>
                </w:tcPr>
                <w:p w14:paraId="44C3234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室内边界声级</w:t>
                  </w:r>
                  <w:r>
                    <w:rPr>
                      <w:rStyle w:val="120"/>
                      <w:rFonts w:ascii="Times New Roman" w:hAnsi="Times New Roman" w:eastAsia="宋体"/>
                      <w:b w:val="0"/>
                      <w:bCs w:val="0"/>
                      <w:color w:val="auto"/>
                      <w:sz w:val="21"/>
                      <w:szCs w:val="21"/>
                      <w:highlight w:val="none"/>
                      <w:lang w:val="en-US" w:eastAsia="zh-CN" w:bidi="ar"/>
                    </w:rPr>
                    <w:t>/dB(A)</w:t>
                  </w:r>
                </w:p>
              </w:tc>
              <w:tc>
                <w:tcPr>
                  <w:tcW w:w="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43A04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运行时段</w:t>
                  </w:r>
                </w:p>
              </w:tc>
              <w:tc>
                <w:tcPr>
                  <w:tcW w:w="1237" w:type="dxa"/>
                  <w:gridSpan w:val="4"/>
                  <w:tcBorders>
                    <w:top w:val="single" w:color="000000" w:sz="4" w:space="0"/>
                    <w:left w:val="single" w:color="000000" w:sz="4" w:space="0"/>
                    <w:bottom w:val="single" w:color="000000" w:sz="4" w:space="0"/>
                    <w:right w:val="single" w:color="000000" w:sz="4" w:space="0"/>
                  </w:tcBorders>
                  <w:noWrap w:val="0"/>
                  <w:vAlign w:val="center"/>
                </w:tcPr>
                <w:p w14:paraId="6F9860B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建筑物插入损失</w:t>
                  </w:r>
                  <w:r>
                    <w:rPr>
                      <w:rStyle w:val="120"/>
                      <w:rFonts w:ascii="Times New Roman" w:hAnsi="Times New Roman" w:eastAsia="宋体"/>
                      <w:b w:val="0"/>
                      <w:bCs w:val="0"/>
                      <w:color w:val="auto"/>
                      <w:sz w:val="21"/>
                      <w:szCs w:val="21"/>
                      <w:highlight w:val="none"/>
                      <w:lang w:val="en-US" w:eastAsia="zh-CN" w:bidi="ar"/>
                    </w:rPr>
                    <w:t>/dB(A)</w:t>
                  </w:r>
                </w:p>
              </w:tc>
              <w:tc>
                <w:tcPr>
                  <w:tcW w:w="2186" w:type="dxa"/>
                  <w:gridSpan w:val="5"/>
                  <w:tcBorders>
                    <w:top w:val="single" w:color="000000" w:sz="4" w:space="0"/>
                    <w:left w:val="single" w:color="000000" w:sz="4" w:space="0"/>
                    <w:bottom w:val="single" w:color="000000" w:sz="4" w:space="0"/>
                    <w:right w:val="single" w:color="000000" w:sz="4" w:space="0"/>
                  </w:tcBorders>
                  <w:noWrap w:val="0"/>
                  <w:vAlign w:val="center"/>
                </w:tcPr>
                <w:p w14:paraId="11FD3C6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建筑物外噪声声压级</w:t>
                  </w:r>
                  <w:r>
                    <w:rPr>
                      <w:rStyle w:val="120"/>
                      <w:rFonts w:ascii="Times New Roman" w:hAnsi="Times New Roman" w:eastAsia="宋体"/>
                      <w:b w:val="0"/>
                      <w:bCs w:val="0"/>
                      <w:color w:val="auto"/>
                      <w:sz w:val="21"/>
                      <w:szCs w:val="21"/>
                      <w:highlight w:val="none"/>
                      <w:lang w:val="en-US" w:eastAsia="zh-CN" w:bidi="ar"/>
                    </w:rPr>
                    <w:t>/dB(A)</w:t>
                  </w:r>
                </w:p>
              </w:tc>
            </w:tr>
            <w:tr w14:paraId="50E9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6A0EA">
                  <w:pPr>
                    <w:jc w:val="center"/>
                    <w:rPr>
                      <w:rFonts w:hint="default" w:ascii="Times New Roman" w:hAnsi="Times New Roman" w:eastAsia="宋体" w:cs="Times New Roman"/>
                      <w:b w:val="0"/>
                      <w:bCs w:val="0"/>
                      <w:i w:val="0"/>
                      <w:iCs w:val="0"/>
                      <w:color w:val="auto"/>
                      <w:sz w:val="21"/>
                      <w:szCs w:val="21"/>
                      <w:highlight w:val="none"/>
                      <w:u w:val="none"/>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EDA93">
                  <w:pPr>
                    <w:jc w:val="center"/>
                    <w:rPr>
                      <w:rFonts w:hint="default" w:ascii="Times New Roman" w:hAnsi="Times New Roman" w:eastAsia="宋体" w:cs="Times New Roman"/>
                      <w:b w:val="0"/>
                      <w:bCs w:val="0"/>
                      <w:i w:val="0"/>
                      <w:iCs w:val="0"/>
                      <w:color w:val="auto"/>
                      <w:sz w:val="21"/>
                      <w:szCs w:val="21"/>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BEDEB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设备名称</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659019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数量</w:t>
                  </w:r>
                  <w:r>
                    <w:rPr>
                      <w:rStyle w:val="120"/>
                      <w:rFonts w:ascii="Times New Roman" w:hAnsi="Times New Roman" w:eastAsia="宋体"/>
                      <w:b w:val="0"/>
                      <w:bCs w:val="0"/>
                      <w:color w:val="auto"/>
                      <w:sz w:val="21"/>
                      <w:szCs w:val="21"/>
                      <w:highlight w:val="none"/>
                      <w:lang w:val="en-US" w:eastAsia="zh-CN" w:bidi="ar"/>
                    </w:rPr>
                    <w:t>(</w:t>
                  </w:r>
                  <w:r>
                    <w:rPr>
                      <w:rStyle w:val="119"/>
                      <w:rFonts w:ascii="Times New Roman" w:hAnsi="Times New Roman" w:eastAsia="宋体"/>
                      <w:b w:val="0"/>
                      <w:bCs w:val="0"/>
                      <w:color w:val="auto"/>
                      <w:sz w:val="21"/>
                      <w:szCs w:val="21"/>
                      <w:highlight w:val="none"/>
                      <w:lang w:val="en-US" w:eastAsia="zh-CN" w:bidi="ar"/>
                    </w:rPr>
                    <w:t>台</w:t>
                  </w:r>
                  <w:r>
                    <w:rPr>
                      <w:rStyle w:val="120"/>
                      <w:rFonts w:ascii="Times New Roman" w:hAnsi="Times New Roman" w:eastAsia="宋体"/>
                      <w:b w:val="0"/>
                      <w:bCs w:val="0"/>
                      <w:color w:val="auto"/>
                      <w:sz w:val="21"/>
                      <w:szCs w:val="21"/>
                      <w:highlight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4EE3012">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Style w:val="119"/>
                      <w:rFonts w:ascii="Times New Roman" w:hAnsi="Times New Roman" w:eastAsia="宋体"/>
                      <w:b w:val="0"/>
                      <w:bCs w:val="0"/>
                      <w:color w:val="auto"/>
                      <w:sz w:val="21"/>
                      <w:szCs w:val="21"/>
                      <w:highlight w:val="none"/>
                      <w:lang w:val="en-US" w:eastAsia="zh-CN" w:bidi="ar"/>
                    </w:rPr>
                    <w:t>声功率级</w:t>
                  </w:r>
                  <w:r>
                    <w:rPr>
                      <w:rStyle w:val="120"/>
                      <w:rFonts w:ascii="Times New Roman" w:hAnsi="Times New Roman" w:eastAsia="宋体"/>
                      <w:b w:val="0"/>
                      <w:bCs w:val="0"/>
                      <w:color w:val="auto"/>
                      <w:sz w:val="21"/>
                      <w:szCs w:val="21"/>
                      <w:highlight w:val="none"/>
                      <w:lang w:val="en-US" w:eastAsia="zh-CN" w:bidi="ar"/>
                    </w:rPr>
                    <w:t>/dB(A)</w:t>
                  </w: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5C02F">
                  <w:pPr>
                    <w:jc w:val="center"/>
                    <w:rPr>
                      <w:rFonts w:hint="default" w:ascii="Times New Roman" w:hAnsi="Times New Roman" w:eastAsia="宋体" w:cs="Times New Roman"/>
                      <w:b w:val="0"/>
                      <w:bCs w:val="0"/>
                      <w:i w:val="0"/>
                      <w:iCs w:val="0"/>
                      <w:color w:val="auto"/>
                      <w:sz w:val="21"/>
                      <w:szCs w:val="21"/>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DB3FF3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X</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C9E3F5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Y</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597C5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Z</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385306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东</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FB7A18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1341F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西</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2B0B59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北</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17BFF8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东</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102EB02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南</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C6BD57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西</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6AD343F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北</w:t>
                  </w:r>
                </w:p>
              </w:tc>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39AC5">
                  <w:pPr>
                    <w:jc w:val="center"/>
                    <w:rPr>
                      <w:rFonts w:hint="default" w:ascii="Times New Roman" w:hAnsi="Times New Roman" w:eastAsia="宋体" w:cs="Times New Roman"/>
                      <w:b w:val="0"/>
                      <w:bCs w:val="0"/>
                      <w:i w:val="0"/>
                      <w:iCs w:val="0"/>
                      <w:color w:val="auto"/>
                      <w:sz w:val="21"/>
                      <w:szCs w:val="21"/>
                      <w:highlight w:val="none"/>
                      <w:u w:val="none"/>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14:paraId="63870ED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东</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F15E26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南</w:t>
                  </w:r>
                </w:p>
              </w:tc>
              <w:tc>
                <w:tcPr>
                  <w:tcW w:w="312" w:type="dxa"/>
                  <w:tcBorders>
                    <w:top w:val="single" w:color="000000" w:sz="4" w:space="0"/>
                    <w:left w:val="single" w:color="000000" w:sz="4" w:space="0"/>
                    <w:bottom w:val="single" w:color="000000" w:sz="4" w:space="0"/>
                    <w:right w:val="single" w:color="000000" w:sz="4" w:space="0"/>
                  </w:tcBorders>
                  <w:noWrap w:val="0"/>
                  <w:vAlign w:val="center"/>
                </w:tcPr>
                <w:p w14:paraId="7C77833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西</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1EA418E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北</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2406820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东</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75F758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南</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63371F6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西</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26D363D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北</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B6A4A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建筑物外距离</w:t>
                  </w:r>
                </w:p>
              </w:tc>
            </w:tr>
            <w:tr w14:paraId="071A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4CFA024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8F190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ascii="Times New Roman" w:hAnsi="Times New Roman" w:eastAsia="宋体" w:cs="宋体"/>
                      <w:b w:val="0"/>
                      <w:bCs w:val="0"/>
                      <w:i w:val="0"/>
                      <w:iCs w:val="0"/>
                      <w:color w:val="auto"/>
                      <w:kern w:val="0"/>
                      <w:sz w:val="21"/>
                      <w:szCs w:val="21"/>
                      <w:highlight w:val="none"/>
                      <w:u w:val="none"/>
                      <w:lang w:val="en-US" w:eastAsia="zh-CN" w:bidi="ar"/>
                    </w:rPr>
                    <w:t>生产车间1#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04C649">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打磨机</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0F63468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844AE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21"/>
                      <w:rFonts w:ascii="Times New Roman" w:hAnsi="Times New Roman" w:eastAsia="宋体"/>
                      <w:b w:val="0"/>
                      <w:bCs w:val="0"/>
                      <w:color w:val="auto"/>
                      <w:sz w:val="21"/>
                      <w:szCs w:val="21"/>
                      <w:highlight w:val="none"/>
                      <w:lang w:val="en-US" w:eastAsia="zh-CN" w:bidi="ar"/>
                    </w:rPr>
                    <w:t>75</w:t>
                  </w:r>
                  <w:r>
                    <w:rPr>
                      <w:rFonts w:hint="eastAsia" w:ascii="Times New Roman" w:hAnsi="Times New Roman" w:eastAsia="宋体" w:cs="宋体"/>
                      <w:b w:val="0"/>
                      <w:bCs w:val="0"/>
                      <w:i w:val="0"/>
                      <w:iCs w:val="0"/>
                      <w:color w:val="auto"/>
                      <w:kern w:val="0"/>
                      <w:sz w:val="21"/>
                      <w:szCs w:val="21"/>
                      <w:highlight w:val="none"/>
                      <w:u w:val="none"/>
                      <w:lang w:val="en-US" w:eastAsia="zh-CN" w:bidi="ar"/>
                    </w:rPr>
                    <w:t>（等效后：</w:t>
                  </w:r>
                  <w:r>
                    <w:rPr>
                      <w:rStyle w:val="121"/>
                      <w:rFonts w:ascii="Times New Roman" w:hAnsi="Times New Roman" w:eastAsia="宋体"/>
                      <w:b w:val="0"/>
                      <w:bCs w:val="0"/>
                      <w:color w:val="auto"/>
                      <w:sz w:val="21"/>
                      <w:szCs w:val="21"/>
                      <w:highlight w:val="none"/>
                      <w:lang w:val="en-US" w:eastAsia="zh-CN" w:bidi="ar"/>
                    </w:rPr>
                    <w:t>82.8)</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01C4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设备减振，车间隔声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FC7EF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-25</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78D7C77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864550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FE0BA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66.8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A98601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32.5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B923E3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28053E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2.5</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246136E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46.3</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DC54C3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52.6</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A959D1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72.7</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756175E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74.8</w:t>
                  </w:r>
                </w:p>
              </w:tc>
              <w:tc>
                <w:tcPr>
                  <w:tcW w:w="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327ED">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营运期，</w:t>
                  </w:r>
                  <w:r>
                    <w:rPr>
                      <w:rStyle w:val="121"/>
                      <w:rFonts w:ascii="Times New Roman" w:hAnsi="Times New Roman" w:eastAsia="宋体"/>
                      <w:b w:val="0"/>
                      <w:bCs w:val="0"/>
                      <w:color w:val="auto"/>
                      <w:sz w:val="21"/>
                      <w:szCs w:val="21"/>
                      <w:highlight w:val="none"/>
                      <w:lang w:val="en-US" w:eastAsia="zh-CN" w:bidi="ar"/>
                    </w:rPr>
                    <w:t>7200h/a</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14:paraId="1FE14F8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F360C6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12" w:type="dxa"/>
                  <w:tcBorders>
                    <w:top w:val="single" w:color="000000" w:sz="4" w:space="0"/>
                    <w:left w:val="single" w:color="000000" w:sz="4" w:space="0"/>
                    <w:bottom w:val="single" w:color="000000" w:sz="4" w:space="0"/>
                    <w:right w:val="single" w:color="000000" w:sz="4" w:space="0"/>
                  </w:tcBorders>
                  <w:noWrap w:val="0"/>
                  <w:vAlign w:val="center"/>
                </w:tcPr>
                <w:p w14:paraId="0472D50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58EFE8A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E700CD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25.3</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B59345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31.6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49C61A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51.7</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0203162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53.8</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F2BF69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r>
            <w:tr w14:paraId="4E58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045A8B5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125F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ascii="Times New Roman" w:hAnsi="Times New Roman" w:eastAsia="宋体" w:cs="宋体"/>
                      <w:b w:val="0"/>
                      <w:bCs w:val="0"/>
                      <w:i w:val="0"/>
                      <w:iCs w:val="0"/>
                      <w:color w:val="auto"/>
                      <w:kern w:val="0"/>
                      <w:sz w:val="21"/>
                      <w:szCs w:val="21"/>
                      <w:highlight w:val="none"/>
                      <w:u w:val="none"/>
                      <w:lang w:val="en-US" w:eastAsia="zh-CN" w:bidi="ar"/>
                    </w:rPr>
                    <w:t>生产车间2#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4FE81C">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烧结炉</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4FB45A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A65900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21"/>
                      <w:rFonts w:ascii="Times New Roman" w:hAnsi="Times New Roman" w:eastAsia="宋体"/>
                      <w:b w:val="0"/>
                      <w:bCs w:val="0"/>
                      <w:color w:val="auto"/>
                      <w:sz w:val="21"/>
                      <w:szCs w:val="21"/>
                      <w:highlight w:val="none"/>
                      <w:lang w:val="en-US" w:eastAsia="zh-CN" w:bidi="ar"/>
                    </w:rPr>
                    <w:t>75</w:t>
                  </w:r>
                  <w:r>
                    <w:rPr>
                      <w:rFonts w:hint="eastAsia" w:ascii="Times New Roman" w:hAnsi="Times New Roman" w:eastAsia="宋体" w:cs="宋体"/>
                      <w:b w:val="0"/>
                      <w:bCs w:val="0"/>
                      <w:i w:val="0"/>
                      <w:iCs w:val="0"/>
                      <w:color w:val="auto"/>
                      <w:kern w:val="0"/>
                      <w:sz w:val="21"/>
                      <w:szCs w:val="21"/>
                      <w:highlight w:val="none"/>
                      <w:u w:val="none"/>
                      <w:lang w:val="en-US" w:eastAsia="zh-CN" w:bidi="ar"/>
                    </w:rPr>
                    <w:t>（等效后：</w:t>
                  </w:r>
                  <w:r>
                    <w:rPr>
                      <w:rStyle w:val="121"/>
                      <w:rFonts w:ascii="Times New Roman" w:hAnsi="Times New Roman" w:eastAsia="宋体"/>
                      <w:b w:val="0"/>
                      <w:bCs w:val="0"/>
                      <w:color w:val="auto"/>
                      <w:sz w:val="21"/>
                      <w:szCs w:val="21"/>
                      <w:highlight w:val="none"/>
                      <w:lang w:val="en-US" w:eastAsia="zh-CN" w:bidi="ar"/>
                    </w:rPr>
                    <w:t>78)</w:t>
                  </w: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A0F3C">
                  <w:pPr>
                    <w:jc w:val="center"/>
                    <w:rPr>
                      <w:rFonts w:hint="default" w:ascii="Times New Roman" w:hAnsi="Times New Roman" w:eastAsia="宋体" w:cs="Times New Roman"/>
                      <w:b w:val="0"/>
                      <w:bCs w:val="0"/>
                      <w:i w:val="0"/>
                      <w:iCs w:val="0"/>
                      <w:color w:val="auto"/>
                      <w:sz w:val="21"/>
                      <w:szCs w:val="21"/>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5E17D9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35175D2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BFC59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4732F3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A2E56C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FE8DC0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C1D6FD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5.5</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2788D51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64.1</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506507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64.9</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54C1C7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45.9 </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57932BF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63.1</w:t>
                  </w:r>
                </w:p>
              </w:tc>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1A4D8">
                  <w:pPr>
                    <w:jc w:val="center"/>
                    <w:rPr>
                      <w:rFonts w:hint="eastAsia" w:ascii="Times New Roman" w:hAnsi="Times New Roman" w:eastAsia="宋体" w:cs="宋体"/>
                      <w:b w:val="0"/>
                      <w:bCs w:val="0"/>
                      <w:i w:val="0"/>
                      <w:iCs w:val="0"/>
                      <w:color w:val="auto"/>
                      <w:sz w:val="21"/>
                      <w:szCs w:val="21"/>
                      <w:highlight w:val="none"/>
                      <w:u w:val="none"/>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14:paraId="27C55AA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F30239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12" w:type="dxa"/>
                  <w:tcBorders>
                    <w:top w:val="single" w:color="000000" w:sz="4" w:space="0"/>
                    <w:left w:val="single" w:color="000000" w:sz="4" w:space="0"/>
                    <w:bottom w:val="single" w:color="000000" w:sz="4" w:space="0"/>
                    <w:right w:val="single" w:color="000000" w:sz="4" w:space="0"/>
                  </w:tcBorders>
                  <w:noWrap w:val="0"/>
                  <w:vAlign w:val="center"/>
                </w:tcPr>
                <w:p w14:paraId="498A7B3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578AAAB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6E2CE1D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43.1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028720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43.9</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2F10046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24.9</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284CC0A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42.1</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00B4878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r>
            <w:tr w14:paraId="4488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336245B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2A2F8">
                  <w:pPr>
                    <w:jc w:val="center"/>
                    <w:rPr>
                      <w:rFonts w:hint="default" w:ascii="Times New Roman" w:hAnsi="Times New Roman" w:eastAsia="宋体" w:cs="Times New Roman"/>
                      <w:b w:val="0"/>
                      <w:bCs w:val="0"/>
                      <w:i w:val="0"/>
                      <w:iCs w:val="0"/>
                      <w:color w:val="auto"/>
                      <w:sz w:val="21"/>
                      <w:szCs w:val="21"/>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DC3205">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磁选机</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E19597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29BF97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21"/>
                      <w:rFonts w:ascii="Times New Roman" w:hAnsi="Times New Roman" w:eastAsia="宋体"/>
                      <w:b w:val="0"/>
                      <w:bCs w:val="0"/>
                      <w:color w:val="auto"/>
                      <w:sz w:val="21"/>
                      <w:szCs w:val="21"/>
                      <w:highlight w:val="none"/>
                      <w:lang w:val="en-US" w:eastAsia="zh-CN" w:bidi="ar"/>
                    </w:rPr>
                    <w:t>80</w:t>
                  </w:r>
                  <w:r>
                    <w:rPr>
                      <w:rFonts w:hint="eastAsia" w:ascii="Times New Roman" w:hAnsi="Times New Roman" w:eastAsia="宋体" w:cs="宋体"/>
                      <w:b w:val="0"/>
                      <w:bCs w:val="0"/>
                      <w:i w:val="0"/>
                      <w:iCs w:val="0"/>
                      <w:color w:val="auto"/>
                      <w:kern w:val="0"/>
                      <w:sz w:val="21"/>
                      <w:szCs w:val="21"/>
                      <w:highlight w:val="none"/>
                      <w:u w:val="none"/>
                      <w:lang w:val="en-US" w:eastAsia="zh-CN" w:bidi="ar"/>
                    </w:rPr>
                    <w:t>（等效后：</w:t>
                  </w:r>
                  <w:r>
                    <w:rPr>
                      <w:rStyle w:val="121"/>
                      <w:rFonts w:ascii="Times New Roman" w:hAnsi="Times New Roman" w:eastAsia="宋体"/>
                      <w:b w:val="0"/>
                      <w:bCs w:val="0"/>
                      <w:color w:val="auto"/>
                      <w:sz w:val="21"/>
                      <w:szCs w:val="21"/>
                      <w:highlight w:val="none"/>
                      <w:lang w:val="en-US" w:eastAsia="zh-CN" w:bidi="ar"/>
                    </w:rPr>
                    <w:t>84.8)</w:t>
                  </w: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8FADD">
                  <w:pPr>
                    <w:jc w:val="center"/>
                    <w:rPr>
                      <w:rFonts w:hint="default" w:ascii="Times New Roman" w:hAnsi="Times New Roman" w:eastAsia="宋体" w:cs="Times New Roman"/>
                      <w:b w:val="0"/>
                      <w:bCs w:val="0"/>
                      <w:i w:val="0"/>
                      <w:iCs w:val="0"/>
                      <w:color w:val="auto"/>
                      <w:sz w:val="21"/>
                      <w:szCs w:val="21"/>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135135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0035A2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24</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361F2E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ABC0D9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378340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00CD9F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EAE6DB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4.8</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3812FF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61.3</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36824DB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70.4</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A9E95B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55.2 </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093022B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71.2</w:t>
                  </w:r>
                </w:p>
              </w:tc>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821F4">
                  <w:pPr>
                    <w:jc w:val="center"/>
                    <w:rPr>
                      <w:rFonts w:hint="eastAsia" w:ascii="Times New Roman" w:hAnsi="Times New Roman" w:eastAsia="宋体" w:cs="宋体"/>
                      <w:b w:val="0"/>
                      <w:bCs w:val="0"/>
                      <w:i w:val="0"/>
                      <w:iCs w:val="0"/>
                      <w:color w:val="auto"/>
                      <w:sz w:val="21"/>
                      <w:szCs w:val="21"/>
                      <w:highlight w:val="none"/>
                      <w:u w:val="none"/>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14:paraId="011FAB4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808C94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12" w:type="dxa"/>
                  <w:tcBorders>
                    <w:top w:val="single" w:color="000000" w:sz="4" w:space="0"/>
                    <w:left w:val="single" w:color="000000" w:sz="4" w:space="0"/>
                    <w:bottom w:val="single" w:color="000000" w:sz="4" w:space="0"/>
                    <w:right w:val="single" w:color="000000" w:sz="4" w:space="0"/>
                  </w:tcBorders>
                  <w:noWrap w:val="0"/>
                  <w:vAlign w:val="center"/>
                </w:tcPr>
                <w:p w14:paraId="1B1A088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172D9E5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1C19DF9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40.3</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E94592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49.4</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66D0496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34.2</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52AA56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50.2</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D1247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r>
            <w:tr w14:paraId="7902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23FEFFF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DB91F">
                  <w:pPr>
                    <w:jc w:val="center"/>
                    <w:rPr>
                      <w:rFonts w:hint="default" w:ascii="Times New Roman" w:hAnsi="Times New Roman" w:eastAsia="宋体" w:cs="Times New Roman"/>
                      <w:b w:val="0"/>
                      <w:bCs w:val="0"/>
                      <w:i w:val="0"/>
                      <w:iCs w:val="0"/>
                      <w:color w:val="auto"/>
                      <w:sz w:val="21"/>
                      <w:szCs w:val="21"/>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295BE8">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振动筛</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C623A6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AE1370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Style w:val="121"/>
                      <w:rFonts w:ascii="Times New Roman" w:hAnsi="Times New Roman" w:eastAsia="宋体"/>
                      <w:b w:val="0"/>
                      <w:bCs w:val="0"/>
                      <w:color w:val="auto"/>
                      <w:sz w:val="21"/>
                      <w:szCs w:val="21"/>
                      <w:highlight w:val="none"/>
                      <w:lang w:val="en-US" w:eastAsia="zh-CN" w:bidi="ar"/>
                    </w:rPr>
                    <w:t>85</w:t>
                  </w:r>
                  <w:r>
                    <w:rPr>
                      <w:rFonts w:hint="eastAsia" w:ascii="Times New Roman" w:hAnsi="Times New Roman" w:eastAsia="宋体" w:cs="宋体"/>
                      <w:b w:val="0"/>
                      <w:bCs w:val="0"/>
                      <w:i w:val="0"/>
                      <w:iCs w:val="0"/>
                      <w:color w:val="auto"/>
                      <w:kern w:val="0"/>
                      <w:sz w:val="21"/>
                      <w:szCs w:val="21"/>
                      <w:highlight w:val="none"/>
                      <w:u w:val="none"/>
                      <w:lang w:val="en-US" w:eastAsia="zh-CN" w:bidi="ar"/>
                    </w:rPr>
                    <w:t>（等效后：</w:t>
                  </w:r>
                  <w:r>
                    <w:rPr>
                      <w:rStyle w:val="121"/>
                      <w:rFonts w:ascii="Times New Roman" w:hAnsi="Times New Roman" w:eastAsia="宋体"/>
                      <w:b w:val="0"/>
                      <w:bCs w:val="0"/>
                      <w:color w:val="auto"/>
                      <w:sz w:val="21"/>
                      <w:szCs w:val="21"/>
                      <w:highlight w:val="none"/>
                      <w:lang w:val="en-US" w:eastAsia="zh-CN" w:bidi="ar"/>
                    </w:rPr>
                    <w:t>89.8)</w:t>
                  </w: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A02D6">
                  <w:pPr>
                    <w:jc w:val="center"/>
                    <w:rPr>
                      <w:rFonts w:hint="default" w:ascii="Times New Roman" w:hAnsi="Times New Roman" w:eastAsia="宋体" w:cs="Times New Roman"/>
                      <w:b w:val="0"/>
                      <w:bCs w:val="0"/>
                      <w:i w:val="0"/>
                      <w:iCs w:val="0"/>
                      <w:color w:val="auto"/>
                      <w:sz w:val="21"/>
                      <w:szCs w:val="21"/>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6DE3BF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3EC44FE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D78850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A1F14B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0B12F0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CCE794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8C8E74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4.5</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2DB22BC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61.8</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9E215A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74.9</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BAB4BF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63.8 </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5CC2857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76.7</w:t>
                  </w:r>
                </w:p>
              </w:tc>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4C144">
                  <w:pPr>
                    <w:jc w:val="center"/>
                    <w:rPr>
                      <w:rFonts w:hint="eastAsia" w:ascii="Times New Roman" w:hAnsi="Times New Roman" w:eastAsia="宋体" w:cs="宋体"/>
                      <w:b w:val="0"/>
                      <w:bCs w:val="0"/>
                      <w:i w:val="0"/>
                      <w:iCs w:val="0"/>
                      <w:color w:val="auto"/>
                      <w:sz w:val="21"/>
                      <w:szCs w:val="21"/>
                      <w:highlight w:val="none"/>
                      <w:u w:val="none"/>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14:paraId="5EA52BA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02C1F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12" w:type="dxa"/>
                  <w:tcBorders>
                    <w:top w:val="single" w:color="000000" w:sz="4" w:space="0"/>
                    <w:left w:val="single" w:color="000000" w:sz="4" w:space="0"/>
                    <w:bottom w:val="single" w:color="000000" w:sz="4" w:space="0"/>
                    <w:right w:val="single" w:color="000000" w:sz="4" w:space="0"/>
                  </w:tcBorders>
                  <w:noWrap w:val="0"/>
                  <w:vAlign w:val="center"/>
                </w:tcPr>
                <w:p w14:paraId="2CA23CC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678A98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FE5A54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40.8</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0ED2C6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53.9</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541474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42.8</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0C7864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55.7</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1120F0A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r>
            <w:tr w14:paraId="75B5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436974B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98BC0">
                  <w:pPr>
                    <w:jc w:val="center"/>
                    <w:rPr>
                      <w:rFonts w:hint="default" w:ascii="Times New Roman" w:hAnsi="Times New Roman" w:eastAsia="宋体" w:cs="Times New Roman"/>
                      <w:b w:val="0"/>
                      <w:bCs w:val="0"/>
                      <w:i w:val="0"/>
                      <w:iCs w:val="0"/>
                      <w:color w:val="auto"/>
                      <w:sz w:val="21"/>
                      <w:szCs w:val="21"/>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0A886A">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色选机</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FED51D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141E01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80</w:t>
                  </w: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9BE93">
                  <w:pPr>
                    <w:jc w:val="center"/>
                    <w:rPr>
                      <w:rFonts w:hint="default" w:ascii="Times New Roman" w:hAnsi="Times New Roman" w:eastAsia="宋体" w:cs="Times New Roman"/>
                      <w:b w:val="0"/>
                      <w:bCs w:val="0"/>
                      <w:i w:val="0"/>
                      <w:iCs w:val="0"/>
                      <w:color w:val="auto"/>
                      <w:sz w:val="21"/>
                      <w:szCs w:val="21"/>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C97D41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16</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6E891CC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267127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D11C9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98BD4D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8.5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D17A6F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24702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1.5</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36F6483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51.1</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155F49F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61.4</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217CD2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55.4 </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5F87D40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76.5</w:t>
                  </w:r>
                </w:p>
              </w:tc>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0CA7C">
                  <w:pPr>
                    <w:jc w:val="center"/>
                    <w:rPr>
                      <w:rFonts w:hint="eastAsia" w:ascii="Times New Roman" w:hAnsi="Times New Roman" w:eastAsia="宋体" w:cs="宋体"/>
                      <w:b w:val="0"/>
                      <w:bCs w:val="0"/>
                      <w:i w:val="0"/>
                      <w:iCs w:val="0"/>
                      <w:color w:val="auto"/>
                      <w:sz w:val="21"/>
                      <w:szCs w:val="21"/>
                      <w:highlight w:val="none"/>
                      <w:u w:val="none"/>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14:paraId="0E19D6B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24B324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12" w:type="dxa"/>
                  <w:tcBorders>
                    <w:top w:val="single" w:color="000000" w:sz="4" w:space="0"/>
                    <w:left w:val="single" w:color="000000" w:sz="4" w:space="0"/>
                    <w:bottom w:val="single" w:color="000000" w:sz="4" w:space="0"/>
                    <w:right w:val="single" w:color="000000" w:sz="4" w:space="0"/>
                  </w:tcBorders>
                  <w:noWrap w:val="0"/>
                  <w:vAlign w:val="center"/>
                </w:tcPr>
                <w:p w14:paraId="28065B0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287" w:type="dxa"/>
                  <w:tcBorders>
                    <w:top w:val="single" w:color="000000" w:sz="4" w:space="0"/>
                    <w:left w:val="single" w:color="000000" w:sz="4" w:space="0"/>
                    <w:bottom w:val="single" w:color="000000" w:sz="4" w:space="0"/>
                    <w:right w:val="single" w:color="000000" w:sz="4" w:space="0"/>
                  </w:tcBorders>
                  <w:noWrap w:val="0"/>
                  <w:vAlign w:val="center"/>
                </w:tcPr>
                <w:p w14:paraId="5DE8B24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21</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0C4D8B3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30.1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DD1E5E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40.4</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23B76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34.4</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CE3CD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55.5</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6B22103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p>
              </w:tc>
            </w:tr>
          </w:tbl>
          <w:p w14:paraId="32AF0150">
            <w:pPr>
              <w:pStyle w:val="101"/>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w:t>
            </w:r>
            <w:r>
              <w:rPr>
                <w:rFonts w:hint="eastAsia" w:cs="Times New Roman"/>
                <w:color w:val="auto"/>
                <w:highlight w:val="none"/>
                <w:lang w:val="en-US" w:eastAsia="zh-CN"/>
              </w:rPr>
              <w:t>11</w:t>
            </w:r>
            <w:r>
              <w:rPr>
                <w:rFonts w:hint="default" w:ascii="Times New Roman" w:hAnsi="Times New Roman" w:cs="Times New Roman"/>
                <w:color w:val="auto"/>
                <w:highlight w:val="none"/>
                <w:lang w:val="en-US" w:eastAsia="zh-CN"/>
              </w:rPr>
              <w:t>工业企业噪声源强调查清单（室</w:t>
            </w:r>
            <w:r>
              <w:rPr>
                <w:rFonts w:hint="eastAsia" w:ascii="Times New Roman" w:hAnsi="Times New Roman" w:cs="Times New Roman"/>
                <w:color w:val="auto"/>
                <w:highlight w:val="none"/>
                <w:lang w:val="en-US" w:eastAsia="zh-CN"/>
              </w:rPr>
              <w:t>外</w:t>
            </w:r>
            <w:r>
              <w:rPr>
                <w:rFonts w:hint="default" w:ascii="Times New Roman" w:hAnsi="Times New Roman" w:cs="Times New Roman"/>
                <w:color w:val="auto"/>
                <w:highlight w:val="none"/>
                <w:lang w:val="en-US" w:eastAsia="zh-CN"/>
              </w:rPr>
              <w:t>声源）</w:t>
            </w:r>
          </w:p>
          <w:tbl>
            <w:tblPr>
              <w:tblStyle w:val="3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0"/>
              <w:gridCol w:w="1796"/>
              <w:gridCol w:w="1044"/>
              <w:gridCol w:w="2355"/>
              <w:gridCol w:w="1429"/>
              <w:gridCol w:w="1120"/>
              <w:gridCol w:w="1256"/>
              <w:gridCol w:w="1390"/>
              <w:gridCol w:w="1101"/>
            </w:tblGrid>
            <w:tr w14:paraId="6290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4F73F">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2D6B8">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声源名称</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44942">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数量（台</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r>
                    <w:rPr>
                      <w:rFonts w:hint="eastAsia" w:ascii="Times New Roman" w:hAnsi="Times New Roman" w:eastAsia="宋体" w:cs="宋体"/>
                      <w:b w:val="0"/>
                      <w:bCs w:val="0"/>
                      <w:i w:val="0"/>
                      <w:iCs w:val="0"/>
                      <w:color w:val="auto"/>
                      <w:kern w:val="0"/>
                      <w:sz w:val="21"/>
                      <w:szCs w:val="21"/>
                      <w:highlight w:val="none"/>
                      <w:u w:val="none"/>
                      <w:lang w:val="en-US" w:eastAsia="zh-CN" w:bidi="ar"/>
                    </w:rPr>
                    <w:t>套）</w:t>
                  </w:r>
                </w:p>
              </w:tc>
              <w:tc>
                <w:tcPr>
                  <w:tcW w:w="5360" w:type="dxa"/>
                  <w:gridSpan w:val="3"/>
                  <w:tcBorders>
                    <w:top w:val="single" w:color="000000" w:sz="4" w:space="0"/>
                    <w:left w:val="single" w:color="000000" w:sz="4" w:space="0"/>
                    <w:bottom w:val="single" w:color="000000" w:sz="4" w:space="0"/>
                    <w:right w:val="single" w:color="000000" w:sz="4" w:space="0"/>
                  </w:tcBorders>
                  <w:noWrap w:val="0"/>
                  <w:vAlign w:val="center"/>
                </w:tcPr>
                <w:p w14:paraId="17C593E3">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空间相对位置</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4F8BA3A">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声源源强</w:t>
                  </w:r>
                </w:p>
              </w:tc>
              <w:tc>
                <w:tcPr>
                  <w:tcW w:w="1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A3AC8E">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声源控制措施</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16637">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运行时段</w:t>
                  </w:r>
                </w:p>
              </w:tc>
            </w:tr>
            <w:tr w14:paraId="51F3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8A145">
                  <w:pPr>
                    <w:jc w:val="center"/>
                    <w:rPr>
                      <w:rFonts w:hint="eastAsia" w:ascii="Times New Roman" w:hAnsi="Times New Roman" w:eastAsia="宋体" w:cs="宋体"/>
                      <w:b w:val="0"/>
                      <w:bCs w:val="0"/>
                      <w:i w:val="0"/>
                      <w:iCs w:val="0"/>
                      <w:color w:val="auto"/>
                      <w:sz w:val="21"/>
                      <w:szCs w:val="21"/>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D7320">
                  <w:pPr>
                    <w:jc w:val="center"/>
                    <w:rPr>
                      <w:rFonts w:hint="eastAsia" w:ascii="Times New Roman" w:hAnsi="Times New Roman" w:eastAsia="宋体" w:cs="宋体"/>
                      <w:b w:val="0"/>
                      <w:bCs w:val="0"/>
                      <w:i w:val="0"/>
                      <w:iCs w:val="0"/>
                      <w:color w:val="auto"/>
                      <w:sz w:val="21"/>
                      <w:szCs w:val="21"/>
                      <w:highlight w:val="none"/>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411F8">
                  <w:pPr>
                    <w:jc w:val="center"/>
                    <w:rPr>
                      <w:rFonts w:hint="eastAsia" w:ascii="Times New Roman" w:hAnsi="Times New Roman" w:eastAsia="宋体" w:cs="宋体"/>
                      <w:b w:val="0"/>
                      <w:bCs w:val="0"/>
                      <w:i w:val="0"/>
                      <w:iCs w:val="0"/>
                      <w:color w:val="auto"/>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3E5247C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X</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8D7AD9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Y</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7268B8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Z</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733FA54">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声级功率</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/(dB(A))</w:t>
                  </w:r>
                </w:p>
              </w:tc>
              <w:tc>
                <w:tcPr>
                  <w:tcW w:w="1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F8D20">
                  <w:pPr>
                    <w:jc w:val="center"/>
                    <w:rPr>
                      <w:rFonts w:hint="eastAsia" w:ascii="Times New Roman" w:hAnsi="Times New Roman" w:eastAsia="宋体" w:cs="宋体"/>
                      <w:b w:val="0"/>
                      <w:bCs w:val="0"/>
                      <w:i w:val="0"/>
                      <w:iCs w:val="0"/>
                      <w:color w:val="auto"/>
                      <w:sz w:val="21"/>
                      <w:szCs w:val="21"/>
                      <w:highlight w:val="none"/>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B0CCE">
                  <w:pPr>
                    <w:jc w:val="center"/>
                    <w:rPr>
                      <w:rFonts w:hint="eastAsia" w:ascii="Times New Roman" w:hAnsi="Times New Roman" w:eastAsia="宋体" w:cs="宋体"/>
                      <w:b w:val="0"/>
                      <w:bCs w:val="0"/>
                      <w:i w:val="0"/>
                      <w:iCs w:val="0"/>
                      <w:color w:val="auto"/>
                      <w:sz w:val="21"/>
                      <w:szCs w:val="21"/>
                      <w:highlight w:val="none"/>
                      <w:u w:val="none"/>
                    </w:rPr>
                  </w:pPr>
                </w:p>
              </w:tc>
            </w:tr>
            <w:tr w14:paraId="1CD6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3" w:type="dxa"/>
                  <w:tcBorders>
                    <w:top w:val="single" w:color="000000" w:sz="4" w:space="0"/>
                    <w:left w:val="single" w:color="000000" w:sz="4" w:space="0"/>
                    <w:bottom w:val="single" w:color="000000" w:sz="4" w:space="0"/>
                    <w:right w:val="single" w:color="000000" w:sz="4" w:space="0"/>
                  </w:tcBorders>
                  <w:noWrap w:val="0"/>
                  <w:vAlign w:val="center"/>
                </w:tcPr>
                <w:p w14:paraId="5525BB0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787905B">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风机1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12C82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1CE8A6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-8</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0F0621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4C12E1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9834F4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75</w:t>
                  </w:r>
                </w:p>
              </w:tc>
              <w:tc>
                <w:tcPr>
                  <w:tcW w:w="1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A81FE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减震距离衰减</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DC0F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昼夜间</w:t>
                  </w:r>
                </w:p>
              </w:tc>
            </w:tr>
            <w:tr w14:paraId="41E6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3" w:type="dxa"/>
                  <w:tcBorders>
                    <w:top w:val="single" w:color="000000" w:sz="4" w:space="0"/>
                    <w:left w:val="single" w:color="000000" w:sz="4" w:space="0"/>
                    <w:bottom w:val="single" w:color="000000" w:sz="4" w:space="0"/>
                    <w:right w:val="single" w:color="000000" w:sz="4" w:space="0"/>
                  </w:tcBorders>
                  <w:noWrap w:val="0"/>
                  <w:vAlign w:val="center"/>
                </w:tcPr>
                <w:p w14:paraId="5C0A497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2BF3DB">
                  <w:pPr>
                    <w:keepNext w:val="0"/>
                    <w:keepLines w:val="0"/>
                    <w:widowControl/>
                    <w:suppressLineNumbers w:val="0"/>
                    <w:jc w:val="center"/>
                    <w:textAlignment w:val="center"/>
                    <w:rPr>
                      <w:rFonts w:hint="eastAsia" w:ascii="Times New Roman" w:hAnsi="Times New Roman" w:eastAsia="宋体" w:cs="宋体"/>
                      <w:b w:val="0"/>
                      <w:bCs w:val="0"/>
                      <w:i w:val="0"/>
                      <w:iCs w:val="0"/>
                      <w:color w:val="auto"/>
                      <w:sz w:val="21"/>
                      <w:szCs w:val="21"/>
                      <w:highlight w:val="none"/>
                      <w:u w:val="none"/>
                    </w:rPr>
                  </w:pPr>
                  <w:r>
                    <w:rPr>
                      <w:rFonts w:hint="eastAsia" w:ascii="Times New Roman" w:hAnsi="Times New Roman" w:eastAsia="宋体" w:cs="宋体"/>
                      <w:b w:val="0"/>
                      <w:bCs w:val="0"/>
                      <w:i w:val="0"/>
                      <w:iCs w:val="0"/>
                      <w:color w:val="auto"/>
                      <w:kern w:val="0"/>
                      <w:sz w:val="21"/>
                      <w:szCs w:val="21"/>
                      <w:highlight w:val="none"/>
                      <w:u w:val="none"/>
                      <w:lang w:val="en-US" w:eastAsia="zh-CN" w:bidi="ar"/>
                    </w:rPr>
                    <w:t>风机2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4F787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79E67F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-38</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09F20D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4D32688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664B6F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75</w:t>
                  </w:r>
                </w:p>
              </w:tc>
              <w:tc>
                <w:tcPr>
                  <w:tcW w:w="1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F8A15">
                  <w:pPr>
                    <w:jc w:val="center"/>
                    <w:rPr>
                      <w:rFonts w:hint="default" w:ascii="Times New Roman" w:hAnsi="Times New Roman" w:eastAsia="宋体" w:cs="Times New Roman"/>
                      <w:b w:val="0"/>
                      <w:bCs w:val="0"/>
                      <w:i w:val="0"/>
                      <w:iCs w:val="0"/>
                      <w:color w:val="auto"/>
                      <w:sz w:val="21"/>
                      <w:szCs w:val="21"/>
                      <w:highlight w:val="none"/>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8FD5C">
                  <w:pPr>
                    <w:jc w:val="center"/>
                    <w:rPr>
                      <w:rFonts w:hint="default" w:ascii="Times New Roman" w:hAnsi="Times New Roman" w:eastAsia="宋体" w:cs="Times New Roman"/>
                      <w:b w:val="0"/>
                      <w:bCs w:val="0"/>
                      <w:i w:val="0"/>
                      <w:iCs w:val="0"/>
                      <w:color w:val="auto"/>
                      <w:sz w:val="21"/>
                      <w:szCs w:val="21"/>
                      <w:highlight w:val="none"/>
                      <w:u w:val="none"/>
                    </w:rPr>
                  </w:pPr>
                </w:p>
              </w:tc>
            </w:tr>
          </w:tbl>
          <w:p w14:paraId="2090BF8F">
            <w:pPr>
              <w:pStyle w:val="77"/>
              <w:keepNext w:val="0"/>
              <w:keepLines w:val="0"/>
              <w:pageBreakBefore w:val="0"/>
              <w:widowControl w:val="0"/>
              <w:kinsoku/>
              <w:wordWrap/>
              <w:overflowPunct/>
              <w:topLinePunct w:val="0"/>
              <w:autoSpaceDE w:val="0"/>
              <w:autoSpaceDN w:val="0"/>
              <w:bidi w:val="0"/>
              <w:adjustRightInd w:val="0"/>
              <w:snapToGrid w:val="0"/>
              <w:spacing w:beforeLines="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表4-1</w:t>
            </w: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厂界噪声预测达标</w:t>
            </w:r>
            <w:r>
              <w:rPr>
                <w:rFonts w:hint="eastAsia" w:ascii="Times New Roman" w:hAnsi="Times New Roman" w:eastAsia="宋体" w:cs="Times New Roman"/>
                <w:b/>
                <w:bCs/>
                <w:color w:val="auto"/>
                <w:sz w:val="24"/>
                <w:szCs w:val="24"/>
                <w:highlight w:val="none"/>
                <w:lang w:val="en-US" w:eastAsia="zh-CN"/>
              </w:rPr>
              <w:t>情况</w:t>
            </w:r>
            <w:r>
              <w:rPr>
                <w:rFonts w:hint="default" w:ascii="Times New Roman" w:hAnsi="Times New Roman" w:eastAsia="宋体" w:cs="Times New Roman"/>
                <w:b/>
                <w:bCs/>
                <w:color w:val="auto"/>
                <w:sz w:val="24"/>
                <w:szCs w:val="24"/>
                <w:highlight w:val="none"/>
                <w:lang w:val="en-US" w:eastAsia="zh-CN"/>
              </w:rPr>
              <w:t>表</w:t>
            </w:r>
          </w:p>
          <w:tbl>
            <w:tblPr>
              <w:tblStyle w:val="3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1"/>
              <w:gridCol w:w="1961"/>
              <w:gridCol w:w="1138"/>
              <w:gridCol w:w="1499"/>
              <w:gridCol w:w="2632"/>
              <w:gridCol w:w="1222"/>
              <w:gridCol w:w="1370"/>
              <w:gridCol w:w="1518"/>
            </w:tblGrid>
            <w:tr w14:paraId="7681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restart"/>
                  <w:tcBorders>
                    <w:top w:val="single" w:color="000000" w:sz="4" w:space="0"/>
                    <w:left w:val="single" w:color="000000" w:sz="4" w:space="0"/>
                    <w:right w:val="single" w:color="000000" w:sz="4" w:space="0"/>
                  </w:tcBorders>
                  <w:noWrap w:val="0"/>
                  <w:vAlign w:val="center"/>
                </w:tcPr>
                <w:p w14:paraId="6F8B013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预测方位</w:t>
                  </w:r>
                </w:p>
              </w:tc>
              <w:tc>
                <w:tcPr>
                  <w:tcW w:w="5013" w:type="dxa"/>
                  <w:gridSpan w:val="3"/>
                  <w:tcBorders>
                    <w:top w:val="single" w:color="000000" w:sz="4" w:space="0"/>
                    <w:left w:val="single" w:color="000000" w:sz="4" w:space="0"/>
                    <w:bottom w:val="single" w:color="000000" w:sz="4" w:space="0"/>
                    <w:right w:val="single" w:color="000000" w:sz="4" w:space="0"/>
                  </w:tcBorders>
                  <w:noWrap w:val="0"/>
                  <w:vAlign w:val="center"/>
                </w:tcPr>
                <w:p w14:paraId="540D5CF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最大值点空间相对位置/m</w:t>
                  </w:r>
                </w:p>
              </w:tc>
              <w:tc>
                <w:tcPr>
                  <w:tcW w:w="2886" w:type="dxa"/>
                  <w:vMerge w:val="restart"/>
                  <w:tcBorders>
                    <w:top w:val="single" w:color="000000" w:sz="4" w:space="0"/>
                    <w:left w:val="single" w:color="000000" w:sz="4" w:space="0"/>
                    <w:right w:val="single" w:color="000000" w:sz="4" w:space="0"/>
                  </w:tcBorders>
                  <w:noWrap w:val="0"/>
                  <w:vAlign w:val="center"/>
                </w:tcPr>
                <w:p w14:paraId="2363807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时段</w:t>
                  </w:r>
                </w:p>
              </w:tc>
              <w:tc>
                <w:tcPr>
                  <w:tcW w:w="1328" w:type="dxa"/>
                  <w:vMerge w:val="restart"/>
                  <w:tcBorders>
                    <w:top w:val="single" w:color="000000" w:sz="4" w:space="0"/>
                    <w:left w:val="single" w:color="000000" w:sz="4" w:space="0"/>
                    <w:right w:val="single" w:color="000000" w:sz="4" w:space="0"/>
                  </w:tcBorders>
                  <w:noWrap w:val="0"/>
                  <w:vAlign w:val="center"/>
                </w:tcPr>
                <w:p w14:paraId="4B0656E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贡献值（dB(A)</w:t>
                  </w:r>
                  <w:r>
                    <w:rPr>
                      <w:rFonts w:hint="eastAsia" w:ascii="Times New Roman" w:hAnsi="Times New Roman" w:eastAsia="宋体" w:cs="宋体"/>
                      <w:b w:val="0"/>
                      <w:bCs w:val="0"/>
                      <w:i w:val="0"/>
                      <w:iCs w:val="0"/>
                      <w:color w:val="auto"/>
                      <w:kern w:val="0"/>
                      <w:sz w:val="21"/>
                      <w:szCs w:val="21"/>
                      <w:highlight w:val="none"/>
                      <w:u w:val="none"/>
                      <w:lang w:val="en-US" w:eastAsia="zh-CN" w:bidi="ar"/>
                    </w:rPr>
                    <w:t>）</w:t>
                  </w:r>
                </w:p>
              </w:tc>
              <w:tc>
                <w:tcPr>
                  <w:tcW w:w="1491" w:type="dxa"/>
                  <w:vMerge w:val="restart"/>
                  <w:tcBorders>
                    <w:top w:val="single" w:color="000000" w:sz="4" w:space="0"/>
                    <w:left w:val="single" w:color="000000" w:sz="4" w:space="0"/>
                    <w:right w:val="single" w:color="000000" w:sz="4" w:space="0"/>
                  </w:tcBorders>
                  <w:noWrap w:val="0"/>
                  <w:vAlign w:val="center"/>
                </w:tcPr>
                <w:p w14:paraId="0163DD1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标准限值（dB(A)</w:t>
                  </w:r>
                  <w:r>
                    <w:rPr>
                      <w:rFonts w:hint="eastAsia" w:ascii="Times New Roman" w:hAnsi="Times New Roman" w:eastAsia="宋体" w:cs="宋体"/>
                      <w:b w:val="0"/>
                      <w:bCs w:val="0"/>
                      <w:i w:val="0"/>
                      <w:iCs w:val="0"/>
                      <w:color w:val="auto"/>
                      <w:kern w:val="0"/>
                      <w:sz w:val="21"/>
                      <w:szCs w:val="21"/>
                      <w:highlight w:val="none"/>
                      <w:u w:val="none"/>
                      <w:lang w:val="en-US" w:eastAsia="zh-CN" w:bidi="ar"/>
                    </w:rPr>
                    <w:t>）</w:t>
                  </w:r>
                </w:p>
              </w:tc>
              <w:tc>
                <w:tcPr>
                  <w:tcW w:w="1654" w:type="dxa"/>
                  <w:vMerge w:val="restart"/>
                  <w:tcBorders>
                    <w:top w:val="single" w:color="000000" w:sz="4" w:space="0"/>
                    <w:left w:val="single" w:color="000000" w:sz="4" w:space="0"/>
                    <w:right w:val="single" w:color="000000" w:sz="4" w:space="0"/>
                  </w:tcBorders>
                  <w:noWrap w:val="0"/>
                  <w:vAlign w:val="center"/>
                </w:tcPr>
                <w:p w14:paraId="76B4348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达标情况</w:t>
                  </w:r>
                </w:p>
              </w:tc>
            </w:tr>
            <w:tr w14:paraId="14DE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continue"/>
                  <w:tcBorders>
                    <w:left w:val="single" w:color="000000" w:sz="4" w:space="0"/>
                    <w:bottom w:val="single" w:color="000000" w:sz="4" w:space="0"/>
                    <w:right w:val="single" w:color="000000" w:sz="4" w:space="0"/>
                  </w:tcBorders>
                  <w:noWrap w:val="0"/>
                  <w:vAlign w:val="center"/>
                </w:tcPr>
                <w:p w14:paraId="7611B108">
                  <w:pPr>
                    <w:jc w:val="center"/>
                    <w:rPr>
                      <w:rFonts w:hint="default" w:ascii="Times New Roman" w:hAnsi="Times New Roman" w:eastAsia="宋体" w:cs="Times New Roman"/>
                      <w:b w:val="0"/>
                      <w:bCs w:val="0"/>
                      <w:i w:val="0"/>
                      <w:iCs w:val="0"/>
                      <w:color w:val="auto"/>
                      <w:sz w:val="21"/>
                      <w:szCs w:val="21"/>
                      <w:highlight w:val="none"/>
                      <w:u w:val="none"/>
                    </w:rPr>
                  </w:pPr>
                </w:p>
              </w:tc>
              <w:tc>
                <w:tcPr>
                  <w:tcW w:w="2144" w:type="dxa"/>
                  <w:tcBorders>
                    <w:top w:val="single" w:color="000000" w:sz="4" w:space="0"/>
                    <w:left w:val="single" w:color="000000" w:sz="4" w:space="0"/>
                    <w:bottom w:val="single" w:color="000000" w:sz="4" w:space="0"/>
                    <w:right w:val="single" w:color="000000" w:sz="4" w:space="0"/>
                  </w:tcBorders>
                  <w:noWrap w:val="0"/>
                  <w:vAlign w:val="center"/>
                </w:tcPr>
                <w:p w14:paraId="637430C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X</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406699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Y</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4CC4474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Z</w:t>
                  </w:r>
                </w:p>
              </w:tc>
              <w:tc>
                <w:tcPr>
                  <w:tcW w:w="2886" w:type="dxa"/>
                  <w:vMerge w:val="continue"/>
                  <w:tcBorders>
                    <w:left w:val="single" w:color="000000" w:sz="4" w:space="0"/>
                    <w:bottom w:val="single" w:color="000000" w:sz="4" w:space="0"/>
                    <w:right w:val="single" w:color="000000" w:sz="4" w:space="0"/>
                  </w:tcBorders>
                  <w:noWrap w:val="0"/>
                  <w:vAlign w:val="center"/>
                </w:tcPr>
                <w:p w14:paraId="27AF3B35">
                  <w:pPr>
                    <w:jc w:val="center"/>
                    <w:rPr>
                      <w:rFonts w:hint="default" w:ascii="Times New Roman" w:hAnsi="Times New Roman" w:eastAsia="宋体" w:cs="Times New Roman"/>
                      <w:b w:val="0"/>
                      <w:bCs w:val="0"/>
                      <w:i w:val="0"/>
                      <w:iCs w:val="0"/>
                      <w:color w:val="auto"/>
                      <w:sz w:val="21"/>
                      <w:szCs w:val="21"/>
                      <w:highlight w:val="none"/>
                      <w:u w:val="none"/>
                    </w:rPr>
                  </w:pPr>
                </w:p>
              </w:tc>
              <w:tc>
                <w:tcPr>
                  <w:tcW w:w="1328" w:type="dxa"/>
                  <w:vMerge w:val="continue"/>
                  <w:tcBorders>
                    <w:left w:val="single" w:color="000000" w:sz="4" w:space="0"/>
                    <w:bottom w:val="single" w:color="000000" w:sz="4" w:space="0"/>
                    <w:right w:val="single" w:color="000000" w:sz="4" w:space="0"/>
                  </w:tcBorders>
                  <w:noWrap w:val="0"/>
                  <w:vAlign w:val="center"/>
                </w:tcPr>
                <w:p w14:paraId="36BFC5CB">
                  <w:pPr>
                    <w:jc w:val="center"/>
                    <w:rPr>
                      <w:rFonts w:hint="default" w:ascii="Times New Roman" w:hAnsi="Times New Roman" w:eastAsia="宋体" w:cs="Times New Roman"/>
                      <w:b w:val="0"/>
                      <w:bCs w:val="0"/>
                      <w:i w:val="0"/>
                      <w:iCs w:val="0"/>
                      <w:color w:val="auto"/>
                      <w:sz w:val="21"/>
                      <w:szCs w:val="21"/>
                      <w:highlight w:val="none"/>
                      <w:u w:val="none"/>
                    </w:rPr>
                  </w:pPr>
                </w:p>
              </w:tc>
              <w:tc>
                <w:tcPr>
                  <w:tcW w:w="1491" w:type="dxa"/>
                  <w:vMerge w:val="continue"/>
                  <w:tcBorders>
                    <w:left w:val="single" w:color="000000" w:sz="4" w:space="0"/>
                    <w:bottom w:val="single" w:color="000000" w:sz="4" w:space="0"/>
                    <w:right w:val="single" w:color="000000" w:sz="4" w:space="0"/>
                  </w:tcBorders>
                  <w:noWrap w:val="0"/>
                  <w:vAlign w:val="center"/>
                </w:tcPr>
                <w:p w14:paraId="0F0D885D">
                  <w:pPr>
                    <w:jc w:val="center"/>
                    <w:rPr>
                      <w:rFonts w:hint="default" w:ascii="Times New Roman" w:hAnsi="Times New Roman" w:eastAsia="宋体" w:cs="Times New Roman"/>
                      <w:b w:val="0"/>
                      <w:bCs w:val="0"/>
                      <w:i w:val="0"/>
                      <w:iCs w:val="0"/>
                      <w:color w:val="auto"/>
                      <w:sz w:val="21"/>
                      <w:szCs w:val="21"/>
                      <w:highlight w:val="none"/>
                      <w:u w:val="none"/>
                    </w:rPr>
                  </w:pPr>
                </w:p>
              </w:tc>
              <w:tc>
                <w:tcPr>
                  <w:tcW w:w="1654" w:type="dxa"/>
                  <w:vMerge w:val="continue"/>
                  <w:tcBorders>
                    <w:left w:val="single" w:color="000000" w:sz="4" w:space="0"/>
                    <w:bottom w:val="single" w:color="000000" w:sz="4" w:space="0"/>
                    <w:right w:val="single" w:color="000000" w:sz="4" w:space="0"/>
                  </w:tcBorders>
                  <w:noWrap w:val="0"/>
                  <w:vAlign w:val="center"/>
                </w:tcPr>
                <w:p w14:paraId="282644EC">
                  <w:pPr>
                    <w:jc w:val="center"/>
                    <w:rPr>
                      <w:rFonts w:hint="default" w:ascii="Times New Roman" w:hAnsi="Times New Roman" w:eastAsia="宋体" w:cs="Times New Roman"/>
                      <w:b w:val="0"/>
                      <w:bCs w:val="0"/>
                      <w:i w:val="0"/>
                      <w:iCs w:val="0"/>
                      <w:color w:val="auto"/>
                      <w:sz w:val="21"/>
                      <w:szCs w:val="21"/>
                      <w:highlight w:val="none"/>
                      <w:u w:val="none"/>
                    </w:rPr>
                  </w:pPr>
                </w:p>
              </w:tc>
            </w:tr>
            <w:tr w14:paraId="064E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restart"/>
                  <w:tcBorders>
                    <w:top w:val="single" w:color="000000" w:sz="4" w:space="0"/>
                    <w:left w:val="single" w:color="000000" w:sz="4" w:space="0"/>
                    <w:right w:val="single" w:color="000000" w:sz="4" w:space="0"/>
                  </w:tcBorders>
                  <w:noWrap w:val="0"/>
                  <w:vAlign w:val="center"/>
                </w:tcPr>
                <w:p w14:paraId="4C67D9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东侧</w:t>
                  </w:r>
                </w:p>
              </w:tc>
              <w:tc>
                <w:tcPr>
                  <w:tcW w:w="2144" w:type="dxa"/>
                  <w:vMerge w:val="restart"/>
                  <w:tcBorders>
                    <w:top w:val="single" w:color="000000" w:sz="4" w:space="0"/>
                    <w:left w:val="single" w:color="000000" w:sz="4" w:space="0"/>
                    <w:right w:val="single" w:color="000000" w:sz="4" w:space="0"/>
                  </w:tcBorders>
                  <w:noWrap w:val="0"/>
                  <w:vAlign w:val="center"/>
                </w:tcPr>
                <w:p w14:paraId="4024172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46</w:t>
                  </w:r>
                </w:p>
              </w:tc>
              <w:tc>
                <w:tcPr>
                  <w:tcW w:w="1235" w:type="dxa"/>
                  <w:vMerge w:val="restart"/>
                  <w:tcBorders>
                    <w:top w:val="single" w:color="000000" w:sz="4" w:space="0"/>
                    <w:left w:val="single" w:color="000000" w:sz="4" w:space="0"/>
                    <w:right w:val="single" w:color="000000" w:sz="4" w:space="0"/>
                  </w:tcBorders>
                  <w:noWrap w:val="0"/>
                  <w:vAlign w:val="center"/>
                </w:tcPr>
                <w:p w14:paraId="6EF046D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9</w:t>
                  </w:r>
                </w:p>
              </w:tc>
              <w:tc>
                <w:tcPr>
                  <w:tcW w:w="1634" w:type="dxa"/>
                  <w:vMerge w:val="restart"/>
                  <w:tcBorders>
                    <w:top w:val="single" w:color="000000" w:sz="4" w:space="0"/>
                    <w:left w:val="single" w:color="000000" w:sz="4" w:space="0"/>
                    <w:right w:val="single" w:color="000000" w:sz="4" w:space="0"/>
                  </w:tcBorders>
                  <w:noWrap w:val="0"/>
                  <w:vAlign w:val="center"/>
                </w:tcPr>
                <w:p w14:paraId="73F9F4F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2886" w:type="dxa"/>
                  <w:tcBorders>
                    <w:top w:val="single" w:color="000000" w:sz="4" w:space="0"/>
                    <w:left w:val="single" w:color="000000" w:sz="4" w:space="0"/>
                    <w:bottom w:val="single" w:color="auto" w:sz="4" w:space="0"/>
                    <w:right w:val="single" w:color="000000" w:sz="4" w:space="0"/>
                  </w:tcBorders>
                  <w:noWrap w:val="0"/>
                  <w:vAlign w:val="center"/>
                </w:tcPr>
                <w:p w14:paraId="36EC45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昼间</w:t>
                  </w:r>
                </w:p>
              </w:tc>
              <w:tc>
                <w:tcPr>
                  <w:tcW w:w="1328" w:type="dxa"/>
                  <w:tcBorders>
                    <w:top w:val="single" w:color="000000" w:sz="4" w:space="0"/>
                    <w:left w:val="single" w:color="000000" w:sz="4" w:space="0"/>
                    <w:bottom w:val="single" w:color="auto" w:sz="4" w:space="0"/>
                    <w:right w:val="single" w:color="000000" w:sz="4" w:space="0"/>
                  </w:tcBorders>
                  <w:noWrap w:val="0"/>
                  <w:vAlign w:val="center"/>
                </w:tcPr>
                <w:p w14:paraId="2F42E64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42.1</w:t>
                  </w:r>
                </w:p>
              </w:tc>
              <w:tc>
                <w:tcPr>
                  <w:tcW w:w="1491" w:type="dxa"/>
                  <w:tcBorders>
                    <w:top w:val="single" w:color="000000" w:sz="4" w:space="0"/>
                    <w:left w:val="single" w:color="000000" w:sz="4" w:space="0"/>
                    <w:bottom w:val="single" w:color="auto" w:sz="4" w:space="0"/>
                    <w:right w:val="single" w:color="000000" w:sz="4" w:space="0"/>
                  </w:tcBorders>
                  <w:noWrap w:val="0"/>
                  <w:vAlign w:val="center"/>
                </w:tcPr>
                <w:p w14:paraId="3621FC2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60</w:t>
                  </w:r>
                </w:p>
              </w:tc>
              <w:tc>
                <w:tcPr>
                  <w:tcW w:w="1654" w:type="dxa"/>
                  <w:tcBorders>
                    <w:top w:val="single" w:color="000000" w:sz="4" w:space="0"/>
                    <w:left w:val="single" w:color="000000" w:sz="4" w:space="0"/>
                    <w:bottom w:val="single" w:color="auto" w:sz="4" w:space="0"/>
                    <w:right w:val="single" w:color="000000" w:sz="4" w:space="0"/>
                  </w:tcBorders>
                  <w:noWrap w:val="0"/>
                  <w:vAlign w:val="center"/>
                </w:tcPr>
                <w:p w14:paraId="163BD44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r w14:paraId="345D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continue"/>
                  <w:tcBorders>
                    <w:left w:val="single" w:color="000000" w:sz="4" w:space="0"/>
                    <w:bottom w:val="single" w:color="000000" w:sz="4" w:space="0"/>
                    <w:right w:val="single" w:color="000000" w:sz="4" w:space="0"/>
                  </w:tcBorders>
                  <w:noWrap w:val="0"/>
                  <w:vAlign w:val="center"/>
                </w:tcPr>
                <w:p w14:paraId="330FB2A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44" w:type="dxa"/>
                  <w:vMerge w:val="continue"/>
                  <w:tcBorders>
                    <w:left w:val="single" w:color="000000" w:sz="4" w:space="0"/>
                    <w:bottom w:val="single" w:color="000000" w:sz="4" w:space="0"/>
                    <w:right w:val="single" w:color="000000" w:sz="4" w:space="0"/>
                  </w:tcBorders>
                  <w:noWrap w:val="0"/>
                  <w:vAlign w:val="center"/>
                </w:tcPr>
                <w:p w14:paraId="0CDCD86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235" w:type="dxa"/>
                  <w:vMerge w:val="continue"/>
                  <w:tcBorders>
                    <w:left w:val="single" w:color="000000" w:sz="4" w:space="0"/>
                    <w:bottom w:val="single" w:color="000000" w:sz="4" w:space="0"/>
                    <w:right w:val="single" w:color="000000" w:sz="4" w:space="0"/>
                  </w:tcBorders>
                  <w:noWrap w:val="0"/>
                  <w:vAlign w:val="center"/>
                </w:tcPr>
                <w:p w14:paraId="288D29C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634" w:type="dxa"/>
                  <w:vMerge w:val="continue"/>
                  <w:tcBorders>
                    <w:left w:val="single" w:color="000000" w:sz="4" w:space="0"/>
                    <w:bottom w:val="single" w:color="000000" w:sz="4" w:space="0"/>
                    <w:right w:val="single" w:color="000000" w:sz="4" w:space="0"/>
                  </w:tcBorders>
                  <w:noWrap w:val="0"/>
                  <w:vAlign w:val="center"/>
                </w:tcPr>
                <w:p w14:paraId="33FF2EA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886" w:type="dxa"/>
                  <w:tcBorders>
                    <w:top w:val="single" w:color="auto" w:sz="4" w:space="0"/>
                    <w:left w:val="single" w:color="000000" w:sz="4" w:space="0"/>
                    <w:bottom w:val="single" w:color="000000" w:sz="4" w:space="0"/>
                    <w:right w:val="single" w:color="000000" w:sz="4" w:space="0"/>
                  </w:tcBorders>
                  <w:noWrap w:val="0"/>
                  <w:vAlign w:val="center"/>
                </w:tcPr>
                <w:p w14:paraId="32541D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auto"/>
                      <w:sz w:val="21"/>
                      <w:szCs w:val="21"/>
                      <w:highlight w:val="none"/>
                      <w:lang w:val="en-US" w:eastAsia="zh-CN"/>
                    </w:rPr>
                    <w:t>夜间</w:t>
                  </w:r>
                </w:p>
              </w:tc>
              <w:tc>
                <w:tcPr>
                  <w:tcW w:w="1328" w:type="dxa"/>
                  <w:tcBorders>
                    <w:top w:val="single" w:color="auto" w:sz="4" w:space="0"/>
                    <w:left w:val="single" w:color="000000" w:sz="4" w:space="0"/>
                    <w:bottom w:val="single" w:color="000000" w:sz="4" w:space="0"/>
                    <w:right w:val="single" w:color="000000" w:sz="4" w:space="0"/>
                  </w:tcBorders>
                  <w:noWrap w:val="0"/>
                  <w:vAlign w:val="center"/>
                </w:tcPr>
                <w:p w14:paraId="679D7FD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42.1</w:t>
                  </w:r>
                </w:p>
              </w:tc>
              <w:tc>
                <w:tcPr>
                  <w:tcW w:w="1491" w:type="dxa"/>
                  <w:tcBorders>
                    <w:top w:val="single" w:color="auto" w:sz="4" w:space="0"/>
                    <w:left w:val="single" w:color="000000" w:sz="4" w:space="0"/>
                    <w:bottom w:val="single" w:color="000000" w:sz="4" w:space="0"/>
                    <w:right w:val="single" w:color="000000" w:sz="4" w:space="0"/>
                  </w:tcBorders>
                  <w:noWrap w:val="0"/>
                  <w:vAlign w:val="center"/>
                </w:tcPr>
                <w:p w14:paraId="7E52C9C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55</w:t>
                  </w:r>
                </w:p>
              </w:tc>
              <w:tc>
                <w:tcPr>
                  <w:tcW w:w="1654" w:type="dxa"/>
                  <w:tcBorders>
                    <w:top w:val="single" w:color="auto" w:sz="4" w:space="0"/>
                    <w:left w:val="single" w:color="000000" w:sz="4" w:space="0"/>
                    <w:bottom w:val="single" w:color="000000" w:sz="4" w:space="0"/>
                    <w:right w:val="single" w:color="000000" w:sz="4" w:space="0"/>
                  </w:tcBorders>
                  <w:noWrap w:val="0"/>
                  <w:vAlign w:val="center"/>
                </w:tcPr>
                <w:p w14:paraId="61B46B2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r w14:paraId="7BFF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restart"/>
                  <w:tcBorders>
                    <w:top w:val="single" w:color="000000" w:sz="4" w:space="0"/>
                    <w:left w:val="single" w:color="000000" w:sz="4" w:space="0"/>
                    <w:right w:val="single" w:color="000000" w:sz="4" w:space="0"/>
                  </w:tcBorders>
                  <w:noWrap w:val="0"/>
                  <w:vAlign w:val="center"/>
                </w:tcPr>
                <w:p w14:paraId="164FC2C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南侧</w:t>
                  </w:r>
                </w:p>
              </w:tc>
              <w:tc>
                <w:tcPr>
                  <w:tcW w:w="2144" w:type="dxa"/>
                  <w:vMerge w:val="restart"/>
                  <w:tcBorders>
                    <w:top w:val="single" w:color="000000" w:sz="4" w:space="0"/>
                    <w:left w:val="single" w:color="000000" w:sz="4" w:space="0"/>
                    <w:right w:val="single" w:color="000000" w:sz="4" w:space="0"/>
                  </w:tcBorders>
                  <w:noWrap w:val="0"/>
                  <w:vAlign w:val="center"/>
                </w:tcPr>
                <w:p w14:paraId="1E780F4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w:t>
                  </w:r>
                </w:p>
              </w:tc>
              <w:tc>
                <w:tcPr>
                  <w:tcW w:w="1235" w:type="dxa"/>
                  <w:vMerge w:val="restart"/>
                  <w:tcBorders>
                    <w:top w:val="single" w:color="000000" w:sz="4" w:space="0"/>
                    <w:left w:val="single" w:color="000000" w:sz="4" w:space="0"/>
                    <w:right w:val="single" w:color="000000" w:sz="4" w:space="0"/>
                  </w:tcBorders>
                  <w:noWrap w:val="0"/>
                  <w:vAlign w:val="center"/>
                </w:tcPr>
                <w:p w14:paraId="3E88885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-18</w:t>
                  </w:r>
                </w:p>
              </w:tc>
              <w:tc>
                <w:tcPr>
                  <w:tcW w:w="1634" w:type="dxa"/>
                  <w:vMerge w:val="restart"/>
                  <w:tcBorders>
                    <w:top w:val="single" w:color="000000" w:sz="4" w:space="0"/>
                    <w:left w:val="single" w:color="000000" w:sz="4" w:space="0"/>
                    <w:right w:val="single" w:color="000000" w:sz="4" w:space="0"/>
                  </w:tcBorders>
                  <w:noWrap w:val="0"/>
                  <w:vAlign w:val="center"/>
                </w:tcPr>
                <w:p w14:paraId="5DDD27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2886" w:type="dxa"/>
                  <w:tcBorders>
                    <w:top w:val="single" w:color="000000" w:sz="4" w:space="0"/>
                    <w:left w:val="single" w:color="000000" w:sz="4" w:space="0"/>
                    <w:bottom w:val="single" w:color="auto" w:sz="4" w:space="0"/>
                    <w:right w:val="single" w:color="000000" w:sz="4" w:space="0"/>
                  </w:tcBorders>
                  <w:noWrap w:val="0"/>
                  <w:vAlign w:val="center"/>
                </w:tcPr>
                <w:p w14:paraId="44D16B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昼间</w:t>
                  </w:r>
                </w:p>
              </w:tc>
              <w:tc>
                <w:tcPr>
                  <w:tcW w:w="1328" w:type="dxa"/>
                  <w:tcBorders>
                    <w:top w:val="single" w:color="000000" w:sz="4" w:space="0"/>
                    <w:left w:val="single" w:color="000000" w:sz="4" w:space="0"/>
                    <w:bottom w:val="single" w:color="auto" w:sz="4" w:space="0"/>
                    <w:right w:val="single" w:color="000000" w:sz="4" w:space="0"/>
                  </w:tcBorders>
                  <w:noWrap w:val="0"/>
                  <w:vAlign w:val="center"/>
                </w:tcPr>
                <w:p w14:paraId="0E66E56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52.3</w:t>
                  </w:r>
                </w:p>
              </w:tc>
              <w:tc>
                <w:tcPr>
                  <w:tcW w:w="1491" w:type="dxa"/>
                  <w:tcBorders>
                    <w:top w:val="single" w:color="000000" w:sz="4" w:space="0"/>
                    <w:left w:val="single" w:color="000000" w:sz="4" w:space="0"/>
                    <w:bottom w:val="single" w:color="auto" w:sz="4" w:space="0"/>
                    <w:right w:val="single" w:color="000000" w:sz="4" w:space="0"/>
                  </w:tcBorders>
                  <w:noWrap w:val="0"/>
                  <w:vAlign w:val="center"/>
                </w:tcPr>
                <w:p w14:paraId="3925D2B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60</w:t>
                  </w:r>
                </w:p>
              </w:tc>
              <w:tc>
                <w:tcPr>
                  <w:tcW w:w="1654" w:type="dxa"/>
                  <w:tcBorders>
                    <w:top w:val="single" w:color="000000" w:sz="4" w:space="0"/>
                    <w:left w:val="single" w:color="000000" w:sz="4" w:space="0"/>
                    <w:bottom w:val="single" w:color="auto" w:sz="4" w:space="0"/>
                    <w:right w:val="single" w:color="000000" w:sz="4" w:space="0"/>
                  </w:tcBorders>
                  <w:noWrap w:val="0"/>
                  <w:vAlign w:val="center"/>
                </w:tcPr>
                <w:p w14:paraId="42588F5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r w14:paraId="1D64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continue"/>
                  <w:tcBorders>
                    <w:left w:val="single" w:color="000000" w:sz="4" w:space="0"/>
                    <w:bottom w:val="single" w:color="000000" w:sz="4" w:space="0"/>
                    <w:right w:val="single" w:color="000000" w:sz="4" w:space="0"/>
                  </w:tcBorders>
                  <w:noWrap w:val="0"/>
                  <w:vAlign w:val="center"/>
                </w:tcPr>
                <w:p w14:paraId="330D4AD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44" w:type="dxa"/>
                  <w:vMerge w:val="continue"/>
                  <w:tcBorders>
                    <w:left w:val="single" w:color="000000" w:sz="4" w:space="0"/>
                    <w:bottom w:val="single" w:color="000000" w:sz="4" w:space="0"/>
                    <w:right w:val="single" w:color="000000" w:sz="4" w:space="0"/>
                  </w:tcBorders>
                  <w:noWrap w:val="0"/>
                  <w:vAlign w:val="center"/>
                </w:tcPr>
                <w:p w14:paraId="44B24DB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235" w:type="dxa"/>
                  <w:vMerge w:val="continue"/>
                  <w:tcBorders>
                    <w:left w:val="single" w:color="000000" w:sz="4" w:space="0"/>
                    <w:bottom w:val="single" w:color="000000" w:sz="4" w:space="0"/>
                    <w:right w:val="single" w:color="000000" w:sz="4" w:space="0"/>
                  </w:tcBorders>
                  <w:noWrap w:val="0"/>
                  <w:vAlign w:val="center"/>
                </w:tcPr>
                <w:p w14:paraId="73FE1B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634" w:type="dxa"/>
                  <w:vMerge w:val="continue"/>
                  <w:tcBorders>
                    <w:left w:val="single" w:color="000000" w:sz="4" w:space="0"/>
                    <w:bottom w:val="single" w:color="000000" w:sz="4" w:space="0"/>
                    <w:right w:val="single" w:color="000000" w:sz="4" w:space="0"/>
                  </w:tcBorders>
                  <w:noWrap w:val="0"/>
                  <w:vAlign w:val="center"/>
                </w:tcPr>
                <w:p w14:paraId="2B34F90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886" w:type="dxa"/>
                  <w:tcBorders>
                    <w:top w:val="single" w:color="auto" w:sz="4" w:space="0"/>
                    <w:left w:val="single" w:color="000000" w:sz="4" w:space="0"/>
                    <w:bottom w:val="single" w:color="000000" w:sz="4" w:space="0"/>
                    <w:right w:val="single" w:color="000000" w:sz="4" w:space="0"/>
                  </w:tcBorders>
                  <w:noWrap w:val="0"/>
                  <w:vAlign w:val="center"/>
                </w:tcPr>
                <w:p w14:paraId="4770F3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auto"/>
                      <w:sz w:val="21"/>
                      <w:szCs w:val="21"/>
                      <w:highlight w:val="none"/>
                      <w:lang w:val="en-US" w:eastAsia="zh-CN"/>
                    </w:rPr>
                    <w:t>夜间</w:t>
                  </w:r>
                </w:p>
              </w:tc>
              <w:tc>
                <w:tcPr>
                  <w:tcW w:w="1328" w:type="dxa"/>
                  <w:tcBorders>
                    <w:top w:val="single" w:color="auto" w:sz="4" w:space="0"/>
                    <w:left w:val="single" w:color="000000" w:sz="4" w:space="0"/>
                    <w:bottom w:val="single" w:color="000000" w:sz="4" w:space="0"/>
                    <w:right w:val="single" w:color="000000" w:sz="4" w:space="0"/>
                  </w:tcBorders>
                  <w:noWrap w:val="0"/>
                  <w:vAlign w:val="center"/>
                </w:tcPr>
                <w:p w14:paraId="6C77D4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52.3</w:t>
                  </w:r>
                </w:p>
              </w:tc>
              <w:tc>
                <w:tcPr>
                  <w:tcW w:w="1491" w:type="dxa"/>
                  <w:tcBorders>
                    <w:top w:val="single" w:color="auto" w:sz="4" w:space="0"/>
                    <w:left w:val="single" w:color="000000" w:sz="4" w:space="0"/>
                    <w:bottom w:val="single" w:color="000000" w:sz="4" w:space="0"/>
                    <w:right w:val="single" w:color="000000" w:sz="4" w:space="0"/>
                  </w:tcBorders>
                  <w:noWrap w:val="0"/>
                  <w:vAlign w:val="center"/>
                </w:tcPr>
                <w:p w14:paraId="16A6C0E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55</w:t>
                  </w:r>
                </w:p>
              </w:tc>
              <w:tc>
                <w:tcPr>
                  <w:tcW w:w="1654" w:type="dxa"/>
                  <w:tcBorders>
                    <w:top w:val="single" w:color="auto" w:sz="4" w:space="0"/>
                    <w:left w:val="single" w:color="000000" w:sz="4" w:space="0"/>
                    <w:bottom w:val="single" w:color="000000" w:sz="4" w:space="0"/>
                    <w:right w:val="single" w:color="000000" w:sz="4" w:space="0"/>
                  </w:tcBorders>
                  <w:noWrap w:val="0"/>
                  <w:vAlign w:val="center"/>
                </w:tcPr>
                <w:p w14:paraId="13ED747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r w14:paraId="002A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restart"/>
                  <w:tcBorders>
                    <w:top w:val="single" w:color="000000" w:sz="4" w:space="0"/>
                    <w:left w:val="single" w:color="000000" w:sz="4" w:space="0"/>
                    <w:right w:val="single" w:color="000000" w:sz="4" w:space="0"/>
                  </w:tcBorders>
                  <w:noWrap w:val="0"/>
                  <w:vAlign w:val="center"/>
                </w:tcPr>
                <w:p w14:paraId="02C645A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西侧</w:t>
                  </w:r>
                </w:p>
              </w:tc>
              <w:tc>
                <w:tcPr>
                  <w:tcW w:w="2144" w:type="dxa"/>
                  <w:vMerge w:val="restart"/>
                  <w:tcBorders>
                    <w:top w:val="single" w:color="000000" w:sz="4" w:space="0"/>
                    <w:left w:val="single" w:color="000000" w:sz="4" w:space="0"/>
                    <w:right w:val="single" w:color="000000" w:sz="4" w:space="0"/>
                  </w:tcBorders>
                  <w:noWrap w:val="0"/>
                  <w:vAlign w:val="center"/>
                </w:tcPr>
                <w:p w14:paraId="3C7E692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-41</w:t>
                  </w:r>
                </w:p>
              </w:tc>
              <w:tc>
                <w:tcPr>
                  <w:tcW w:w="1235" w:type="dxa"/>
                  <w:vMerge w:val="restart"/>
                  <w:tcBorders>
                    <w:top w:val="single" w:color="000000" w:sz="4" w:space="0"/>
                    <w:left w:val="single" w:color="000000" w:sz="4" w:space="0"/>
                    <w:right w:val="single" w:color="000000" w:sz="4" w:space="0"/>
                  </w:tcBorders>
                  <w:noWrap w:val="0"/>
                  <w:vAlign w:val="center"/>
                </w:tcPr>
                <w:p w14:paraId="44D211D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29</w:t>
                  </w:r>
                </w:p>
              </w:tc>
              <w:tc>
                <w:tcPr>
                  <w:tcW w:w="1634" w:type="dxa"/>
                  <w:vMerge w:val="restart"/>
                  <w:tcBorders>
                    <w:top w:val="single" w:color="000000" w:sz="4" w:space="0"/>
                    <w:left w:val="single" w:color="000000" w:sz="4" w:space="0"/>
                    <w:right w:val="single" w:color="000000" w:sz="4" w:space="0"/>
                  </w:tcBorders>
                  <w:noWrap w:val="0"/>
                  <w:vAlign w:val="center"/>
                </w:tcPr>
                <w:p w14:paraId="0A77D5F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2886" w:type="dxa"/>
                  <w:tcBorders>
                    <w:top w:val="single" w:color="000000" w:sz="4" w:space="0"/>
                    <w:left w:val="single" w:color="000000" w:sz="4" w:space="0"/>
                    <w:bottom w:val="single" w:color="auto" w:sz="4" w:space="0"/>
                    <w:right w:val="single" w:color="000000" w:sz="4" w:space="0"/>
                  </w:tcBorders>
                  <w:noWrap w:val="0"/>
                  <w:vAlign w:val="center"/>
                </w:tcPr>
                <w:p w14:paraId="694DD2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昼间</w:t>
                  </w:r>
                </w:p>
              </w:tc>
              <w:tc>
                <w:tcPr>
                  <w:tcW w:w="1328" w:type="dxa"/>
                  <w:tcBorders>
                    <w:top w:val="single" w:color="000000" w:sz="4" w:space="0"/>
                    <w:left w:val="single" w:color="000000" w:sz="4" w:space="0"/>
                    <w:bottom w:val="single" w:color="auto" w:sz="4" w:space="0"/>
                    <w:right w:val="single" w:color="000000" w:sz="4" w:space="0"/>
                  </w:tcBorders>
                  <w:noWrap w:val="0"/>
                  <w:vAlign w:val="center"/>
                </w:tcPr>
                <w:p w14:paraId="05CBD4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50.4</w:t>
                  </w:r>
                </w:p>
              </w:tc>
              <w:tc>
                <w:tcPr>
                  <w:tcW w:w="1491" w:type="dxa"/>
                  <w:tcBorders>
                    <w:top w:val="single" w:color="000000" w:sz="4" w:space="0"/>
                    <w:left w:val="single" w:color="000000" w:sz="4" w:space="0"/>
                    <w:bottom w:val="single" w:color="auto" w:sz="4" w:space="0"/>
                    <w:right w:val="single" w:color="000000" w:sz="4" w:space="0"/>
                  </w:tcBorders>
                  <w:noWrap w:val="0"/>
                  <w:vAlign w:val="center"/>
                </w:tcPr>
                <w:p w14:paraId="7E48583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60</w:t>
                  </w:r>
                </w:p>
              </w:tc>
              <w:tc>
                <w:tcPr>
                  <w:tcW w:w="1654" w:type="dxa"/>
                  <w:tcBorders>
                    <w:top w:val="single" w:color="000000" w:sz="4" w:space="0"/>
                    <w:left w:val="single" w:color="000000" w:sz="4" w:space="0"/>
                    <w:bottom w:val="single" w:color="auto" w:sz="4" w:space="0"/>
                    <w:right w:val="single" w:color="000000" w:sz="4" w:space="0"/>
                  </w:tcBorders>
                  <w:noWrap w:val="0"/>
                  <w:vAlign w:val="center"/>
                </w:tcPr>
                <w:p w14:paraId="77E2EBF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r w14:paraId="4C17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continue"/>
                  <w:tcBorders>
                    <w:left w:val="single" w:color="000000" w:sz="4" w:space="0"/>
                    <w:bottom w:val="single" w:color="000000" w:sz="4" w:space="0"/>
                    <w:right w:val="single" w:color="000000" w:sz="4" w:space="0"/>
                  </w:tcBorders>
                  <w:noWrap w:val="0"/>
                  <w:vAlign w:val="center"/>
                </w:tcPr>
                <w:p w14:paraId="3571A88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44" w:type="dxa"/>
                  <w:vMerge w:val="continue"/>
                  <w:tcBorders>
                    <w:left w:val="single" w:color="000000" w:sz="4" w:space="0"/>
                    <w:bottom w:val="single" w:color="000000" w:sz="4" w:space="0"/>
                    <w:right w:val="single" w:color="000000" w:sz="4" w:space="0"/>
                  </w:tcBorders>
                  <w:noWrap w:val="0"/>
                  <w:vAlign w:val="center"/>
                </w:tcPr>
                <w:p w14:paraId="6554D35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235" w:type="dxa"/>
                  <w:vMerge w:val="continue"/>
                  <w:tcBorders>
                    <w:left w:val="single" w:color="000000" w:sz="4" w:space="0"/>
                    <w:bottom w:val="single" w:color="000000" w:sz="4" w:space="0"/>
                    <w:right w:val="single" w:color="000000" w:sz="4" w:space="0"/>
                  </w:tcBorders>
                  <w:noWrap w:val="0"/>
                  <w:vAlign w:val="center"/>
                </w:tcPr>
                <w:p w14:paraId="4511BD3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634" w:type="dxa"/>
                  <w:vMerge w:val="continue"/>
                  <w:tcBorders>
                    <w:left w:val="single" w:color="000000" w:sz="4" w:space="0"/>
                    <w:bottom w:val="single" w:color="000000" w:sz="4" w:space="0"/>
                    <w:right w:val="single" w:color="000000" w:sz="4" w:space="0"/>
                  </w:tcBorders>
                  <w:noWrap w:val="0"/>
                  <w:vAlign w:val="center"/>
                </w:tcPr>
                <w:p w14:paraId="6638F35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886" w:type="dxa"/>
                  <w:tcBorders>
                    <w:top w:val="single" w:color="auto" w:sz="4" w:space="0"/>
                    <w:left w:val="single" w:color="000000" w:sz="4" w:space="0"/>
                    <w:bottom w:val="single" w:color="000000" w:sz="4" w:space="0"/>
                    <w:right w:val="single" w:color="000000" w:sz="4" w:space="0"/>
                  </w:tcBorders>
                  <w:noWrap w:val="0"/>
                  <w:vAlign w:val="center"/>
                </w:tcPr>
                <w:p w14:paraId="6BEDDB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auto"/>
                      <w:sz w:val="21"/>
                      <w:szCs w:val="21"/>
                      <w:highlight w:val="none"/>
                      <w:lang w:val="en-US" w:eastAsia="zh-CN"/>
                    </w:rPr>
                    <w:t>夜间</w:t>
                  </w:r>
                </w:p>
              </w:tc>
              <w:tc>
                <w:tcPr>
                  <w:tcW w:w="1328" w:type="dxa"/>
                  <w:tcBorders>
                    <w:top w:val="single" w:color="auto" w:sz="4" w:space="0"/>
                    <w:left w:val="single" w:color="000000" w:sz="4" w:space="0"/>
                    <w:bottom w:val="single" w:color="000000" w:sz="4" w:space="0"/>
                    <w:right w:val="single" w:color="000000" w:sz="4" w:space="0"/>
                  </w:tcBorders>
                  <w:noWrap w:val="0"/>
                  <w:vAlign w:val="center"/>
                </w:tcPr>
                <w:p w14:paraId="4E8C79D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50.4</w:t>
                  </w:r>
                </w:p>
              </w:tc>
              <w:tc>
                <w:tcPr>
                  <w:tcW w:w="1491" w:type="dxa"/>
                  <w:tcBorders>
                    <w:top w:val="single" w:color="auto" w:sz="4" w:space="0"/>
                    <w:left w:val="single" w:color="000000" w:sz="4" w:space="0"/>
                    <w:bottom w:val="single" w:color="000000" w:sz="4" w:space="0"/>
                    <w:right w:val="single" w:color="000000" w:sz="4" w:space="0"/>
                  </w:tcBorders>
                  <w:noWrap w:val="0"/>
                  <w:vAlign w:val="center"/>
                </w:tcPr>
                <w:p w14:paraId="51171C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55</w:t>
                  </w:r>
                </w:p>
              </w:tc>
              <w:tc>
                <w:tcPr>
                  <w:tcW w:w="1654" w:type="dxa"/>
                  <w:tcBorders>
                    <w:top w:val="single" w:color="auto" w:sz="4" w:space="0"/>
                    <w:left w:val="single" w:color="000000" w:sz="4" w:space="0"/>
                    <w:bottom w:val="single" w:color="000000" w:sz="4" w:space="0"/>
                    <w:right w:val="single" w:color="000000" w:sz="4" w:space="0"/>
                  </w:tcBorders>
                  <w:noWrap w:val="0"/>
                  <w:vAlign w:val="center"/>
                </w:tcPr>
                <w:p w14:paraId="3512086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r w14:paraId="55F6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restart"/>
                  <w:tcBorders>
                    <w:top w:val="single" w:color="000000" w:sz="4" w:space="0"/>
                    <w:left w:val="single" w:color="000000" w:sz="4" w:space="0"/>
                    <w:right w:val="single" w:color="000000" w:sz="4" w:space="0"/>
                  </w:tcBorders>
                  <w:noWrap w:val="0"/>
                  <w:vAlign w:val="center"/>
                </w:tcPr>
                <w:p w14:paraId="601C91F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北侧</w:t>
                  </w:r>
                </w:p>
              </w:tc>
              <w:tc>
                <w:tcPr>
                  <w:tcW w:w="2144" w:type="dxa"/>
                  <w:vMerge w:val="restart"/>
                  <w:tcBorders>
                    <w:top w:val="single" w:color="000000" w:sz="4" w:space="0"/>
                    <w:left w:val="single" w:color="000000" w:sz="4" w:space="0"/>
                    <w:right w:val="single" w:color="000000" w:sz="4" w:space="0"/>
                  </w:tcBorders>
                  <w:noWrap w:val="0"/>
                  <w:vAlign w:val="center"/>
                </w:tcPr>
                <w:p w14:paraId="3FEAFB0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11</w:t>
                  </w:r>
                </w:p>
              </w:tc>
              <w:tc>
                <w:tcPr>
                  <w:tcW w:w="1235" w:type="dxa"/>
                  <w:vMerge w:val="restart"/>
                  <w:tcBorders>
                    <w:top w:val="single" w:color="000000" w:sz="4" w:space="0"/>
                    <w:left w:val="single" w:color="000000" w:sz="4" w:space="0"/>
                    <w:right w:val="single" w:color="000000" w:sz="4" w:space="0"/>
                  </w:tcBorders>
                  <w:noWrap w:val="0"/>
                  <w:vAlign w:val="center"/>
                </w:tcPr>
                <w:p w14:paraId="4E2252F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32</w:t>
                  </w:r>
                </w:p>
              </w:tc>
              <w:tc>
                <w:tcPr>
                  <w:tcW w:w="1634" w:type="dxa"/>
                  <w:vMerge w:val="restart"/>
                  <w:tcBorders>
                    <w:top w:val="single" w:color="000000" w:sz="4" w:space="0"/>
                    <w:left w:val="single" w:color="000000" w:sz="4" w:space="0"/>
                    <w:right w:val="single" w:color="000000" w:sz="4" w:space="0"/>
                  </w:tcBorders>
                  <w:noWrap w:val="0"/>
                  <w:vAlign w:val="center"/>
                </w:tcPr>
                <w:p w14:paraId="7839C7E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2886" w:type="dxa"/>
                  <w:tcBorders>
                    <w:top w:val="single" w:color="000000" w:sz="4" w:space="0"/>
                    <w:left w:val="single" w:color="000000" w:sz="4" w:space="0"/>
                    <w:bottom w:val="single" w:color="auto" w:sz="4" w:space="0"/>
                    <w:right w:val="single" w:color="000000" w:sz="4" w:space="0"/>
                  </w:tcBorders>
                  <w:noWrap w:val="0"/>
                  <w:vAlign w:val="center"/>
                </w:tcPr>
                <w:p w14:paraId="767307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昼间</w:t>
                  </w:r>
                </w:p>
              </w:tc>
              <w:tc>
                <w:tcPr>
                  <w:tcW w:w="1328" w:type="dxa"/>
                  <w:tcBorders>
                    <w:top w:val="single" w:color="000000" w:sz="4" w:space="0"/>
                    <w:left w:val="single" w:color="000000" w:sz="4" w:space="0"/>
                    <w:bottom w:val="single" w:color="auto" w:sz="4" w:space="0"/>
                    <w:right w:val="single" w:color="000000" w:sz="4" w:space="0"/>
                  </w:tcBorders>
                  <w:noWrap w:val="0"/>
                  <w:vAlign w:val="center"/>
                </w:tcPr>
                <w:p w14:paraId="69D11E7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54.2</w:t>
                  </w:r>
                </w:p>
              </w:tc>
              <w:tc>
                <w:tcPr>
                  <w:tcW w:w="1491" w:type="dxa"/>
                  <w:tcBorders>
                    <w:top w:val="single" w:color="000000" w:sz="4" w:space="0"/>
                    <w:left w:val="single" w:color="000000" w:sz="4" w:space="0"/>
                    <w:bottom w:val="single" w:color="auto" w:sz="4" w:space="0"/>
                    <w:right w:val="single" w:color="000000" w:sz="4" w:space="0"/>
                  </w:tcBorders>
                  <w:noWrap w:val="0"/>
                  <w:vAlign w:val="center"/>
                </w:tcPr>
                <w:p w14:paraId="039AB16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60</w:t>
                  </w:r>
                </w:p>
              </w:tc>
              <w:tc>
                <w:tcPr>
                  <w:tcW w:w="1654" w:type="dxa"/>
                  <w:tcBorders>
                    <w:top w:val="single" w:color="000000" w:sz="4" w:space="0"/>
                    <w:left w:val="single" w:color="000000" w:sz="4" w:space="0"/>
                    <w:bottom w:val="single" w:color="auto" w:sz="4" w:space="0"/>
                    <w:right w:val="single" w:color="000000" w:sz="4" w:space="0"/>
                  </w:tcBorders>
                  <w:noWrap w:val="0"/>
                  <w:vAlign w:val="center"/>
                </w:tcPr>
                <w:p w14:paraId="358C89C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r w14:paraId="081B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57" w:type="dxa"/>
                  <w:vMerge w:val="continue"/>
                  <w:tcBorders>
                    <w:left w:val="single" w:color="000000" w:sz="4" w:space="0"/>
                    <w:bottom w:val="single" w:color="000000" w:sz="4" w:space="0"/>
                    <w:right w:val="single" w:color="000000" w:sz="4" w:space="0"/>
                  </w:tcBorders>
                  <w:noWrap w:val="0"/>
                  <w:vAlign w:val="center"/>
                </w:tcPr>
                <w:p w14:paraId="231FF62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144" w:type="dxa"/>
                  <w:vMerge w:val="continue"/>
                  <w:tcBorders>
                    <w:left w:val="single" w:color="000000" w:sz="4" w:space="0"/>
                    <w:bottom w:val="single" w:color="000000" w:sz="4" w:space="0"/>
                    <w:right w:val="single" w:color="000000" w:sz="4" w:space="0"/>
                  </w:tcBorders>
                  <w:noWrap w:val="0"/>
                  <w:vAlign w:val="center"/>
                </w:tcPr>
                <w:p w14:paraId="54720BD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235" w:type="dxa"/>
                  <w:vMerge w:val="continue"/>
                  <w:tcBorders>
                    <w:left w:val="single" w:color="000000" w:sz="4" w:space="0"/>
                    <w:bottom w:val="single" w:color="000000" w:sz="4" w:space="0"/>
                    <w:right w:val="single" w:color="000000" w:sz="4" w:space="0"/>
                  </w:tcBorders>
                  <w:noWrap w:val="0"/>
                  <w:vAlign w:val="center"/>
                </w:tcPr>
                <w:p w14:paraId="26A4AB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1634" w:type="dxa"/>
                  <w:vMerge w:val="continue"/>
                  <w:tcBorders>
                    <w:left w:val="single" w:color="000000" w:sz="4" w:space="0"/>
                    <w:bottom w:val="single" w:color="000000" w:sz="4" w:space="0"/>
                    <w:right w:val="single" w:color="000000" w:sz="4" w:space="0"/>
                  </w:tcBorders>
                  <w:noWrap w:val="0"/>
                  <w:vAlign w:val="center"/>
                </w:tcPr>
                <w:p w14:paraId="0B6FBCD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2886" w:type="dxa"/>
                  <w:tcBorders>
                    <w:top w:val="single" w:color="auto" w:sz="4" w:space="0"/>
                    <w:left w:val="single" w:color="000000" w:sz="4" w:space="0"/>
                    <w:bottom w:val="single" w:color="000000" w:sz="4" w:space="0"/>
                    <w:right w:val="single" w:color="000000" w:sz="4" w:space="0"/>
                  </w:tcBorders>
                  <w:noWrap w:val="0"/>
                  <w:vAlign w:val="center"/>
                </w:tcPr>
                <w:p w14:paraId="19AF4E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auto"/>
                      <w:sz w:val="21"/>
                      <w:szCs w:val="21"/>
                      <w:highlight w:val="none"/>
                      <w:lang w:val="en-US" w:eastAsia="zh-CN"/>
                    </w:rPr>
                    <w:t>夜间</w:t>
                  </w:r>
                </w:p>
              </w:tc>
              <w:tc>
                <w:tcPr>
                  <w:tcW w:w="1328" w:type="dxa"/>
                  <w:tcBorders>
                    <w:top w:val="single" w:color="auto" w:sz="4" w:space="0"/>
                    <w:left w:val="single" w:color="000000" w:sz="4" w:space="0"/>
                    <w:bottom w:val="single" w:color="000000" w:sz="4" w:space="0"/>
                    <w:right w:val="single" w:color="000000" w:sz="4" w:space="0"/>
                  </w:tcBorders>
                  <w:noWrap w:val="0"/>
                  <w:vAlign w:val="center"/>
                </w:tcPr>
                <w:p w14:paraId="2574566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54.2</w:t>
                  </w:r>
                </w:p>
              </w:tc>
              <w:tc>
                <w:tcPr>
                  <w:tcW w:w="1491" w:type="dxa"/>
                  <w:tcBorders>
                    <w:top w:val="single" w:color="auto" w:sz="4" w:space="0"/>
                    <w:left w:val="single" w:color="000000" w:sz="4" w:space="0"/>
                    <w:bottom w:val="single" w:color="000000" w:sz="4" w:space="0"/>
                    <w:right w:val="single" w:color="000000" w:sz="4" w:space="0"/>
                  </w:tcBorders>
                  <w:noWrap w:val="0"/>
                  <w:vAlign w:val="center"/>
                </w:tcPr>
                <w:p w14:paraId="63AD8E4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55</w:t>
                  </w:r>
                </w:p>
              </w:tc>
              <w:tc>
                <w:tcPr>
                  <w:tcW w:w="1654" w:type="dxa"/>
                  <w:tcBorders>
                    <w:top w:val="single" w:color="auto" w:sz="4" w:space="0"/>
                    <w:left w:val="single" w:color="000000" w:sz="4" w:space="0"/>
                    <w:bottom w:val="single" w:color="000000" w:sz="4" w:space="0"/>
                    <w:right w:val="single" w:color="000000" w:sz="4" w:space="0"/>
                  </w:tcBorders>
                  <w:noWrap w:val="0"/>
                  <w:vAlign w:val="center"/>
                </w:tcPr>
                <w:p w14:paraId="264AC8E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达标</w:t>
                  </w:r>
                </w:p>
              </w:tc>
            </w:tr>
          </w:tbl>
          <w:p w14:paraId="2EEA9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w:t>
            </w:r>
            <w:r>
              <w:rPr>
                <w:rFonts w:hint="default" w:ascii="Times New Roman" w:hAnsi="Times New Roman" w:eastAsia="宋体" w:cs="Times New Roman"/>
                <w:b/>
                <w:bCs/>
                <w:color w:val="auto"/>
                <w:sz w:val="24"/>
                <w:szCs w:val="24"/>
                <w:highlight w:val="none"/>
                <w:lang w:val="en-US" w:eastAsia="zh-CN"/>
              </w:rPr>
              <w:t>达标分析</w:t>
            </w:r>
          </w:p>
          <w:p w14:paraId="49FDF932">
            <w:pPr>
              <w:pStyle w:val="29"/>
              <w:keepNext w:val="0"/>
              <w:keepLines w:val="0"/>
              <w:pageBreakBefore w:val="0"/>
              <w:kinsoku/>
              <w:wordWrap/>
              <w:overflowPunct/>
              <w:topLinePunct w:val="0"/>
              <w:bidi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4"/>
                <w:szCs w:val="24"/>
                <w:highlight w:val="none"/>
                <w:lang w:val="en-US" w:eastAsia="zh-CN"/>
              </w:rPr>
              <w:t>经预测，本项目建成后厂界噪声满足《工业企业厂界环境噪声排放标准》（GB12348-2008）</w:t>
            </w:r>
            <w:r>
              <w:rPr>
                <w:rFonts w:hint="eastAsia"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en-US" w:eastAsia="zh-CN"/>
              </w:rPr>
              <w:t>类功能区标准要求。</w:t>
            </w:r>
          </w:p>
        </w:tc>
      </w:tr>
    </w:tbl>
    <w:p w14:paraId="0B3A4918">
      <w:pPr>
        <w:pStyle w:val="26"/>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hint="default" w:ascii="Times New Roman" w:hAnsi="Times New Roman" w:eastAsia="宋体" w:cs="Times New Roman"/>
          <w:bCs/>
          <w:color w:val="auto"/>
          <w:kern w:val="2"/>
          <w:sz w:val="21"/>
          <w:szCs w:val="21"/>
          <w:highlight w:val="none"/>
        </w:rPr>
      </w:pPr>
    </w:p>
    <w:p w14:paraId="421E4501">
      <w:pPr>
        <w:pStyle w:val="29"/>
        <w:rPr>
          <w:rFonts w:hint="default"/>
          <w:color w:val="auto"/>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497"/>
      </w:tblGrid>
      <w:tr w14:paraId="7071C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dxa"/>
            <w:noWrap w:val="0"/>
            <w:tcMar>
              <w:left w:w="28" w:type="dxa"/>
              <w:right w:w="28" w:type="dxa"/>
            </w:tcMar>
            <w:vAlign w:val="center"/>
          </w:tcPr>
          <w:p w14:paraId="7F8F4BED">
            <w:pPr>
              <w:pStyle w:val="26"/>
              <w:adjustRightInd w:val="0"/>
              <w:snapToGrid w:val="0"/>
              <w:spacing w:before="240" w:beforeAutospacing="0" w:after="0" w:afterAutospacing="0"/>
              <w:jc w:val="center"/>
              <w:rPr>
                <w:rFonts w:hint="default" w:ascii="Times New Roman" w:hAnsi="Times New Roman" w:eastAsia="宋体" w:cs="Times New Roman"/>
                <w:bCs/>
                <w:color w:val="auto"/>
                <w:kern w:val="2"/>
                <w:sz w:val="21"/>
                <w:szCs w:val="21"/>
                <w:highlight w:val="none"/>
              </w:rPr>
            </w:pPr>
          </w:p>
        </w:tc>
        <w:tc>
          <w:tcPr>
            <w:tcW w:w="9763" w:type="dxa"/>
            <w:noWrap w:val="0"/>
            <w:vAlign w:val="center"/>
          </w:tcPr>
          <w:p w14:paraId="7314FE1D">
            <w:pPr>
              <w:pStyle w:val="94"/>
              <w:numPr>
                <w:ilvl w:val="0"/>
                <w:numId w:val="0"/>
              </w:numPr>
              <w:ind w:left="42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自行监测要求：</w:t>
            </w:r>
          </w:p>
          <w:p w14:paraId="65C82DCE">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排污许可证申请与核发技术规范 工业噪声</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HJ1301—2023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和《排污单位自行监测技术指南 总则》（HJ 819-2017），项目噪声污染源监测计划见下表：</w:t>
            </w:r>
          </w:p>
          <w:p w14:paraId="07EB86A9">
            <w:pPr>
              <w:pStyle w:val="101"/>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表4-</w:t>
            </w:r>
            <w:r>
              <w:rPr>
                <w:rFonts w:hint="eastAsia" w:ascii="Times New Roman" w:hAnsi="Times New Roman" w:eastAsia="宋体" w:cs="Times New Roman"/>
                <w:color w:val="auto"/>
                <w:highlight w:val="none"/>
                <w:lang w:val="en-US" w:eastAsia="zh-CN"/>
              </w:rPr>
              <w:t>13</w:t>
            </w:r>
            <w:r>
              <w:rPr>
                <w:rFonts w:hint="default" w:ascii="Times New Roman" w:hAnsi="Times New Roman" w:eastAsia="宋体" w:cs="Times New Roman"/>
                <w:color w:val="auto"/>
                <w:highlight w:val="none"/>
                <w:lang w:val="en-US" w:eastAsia="zh-CN"/>
              </w:rPr>
              <w:t>项目噪声监测计划</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26"/>
              <w:gridCol w:w="1188"/>
              <w:gridCol w:w="1241"/>
              <w:gridCol w:w="1166"/>
              <w:gridCol w:w="2576"/>
              <w:gridCol w:w="1471"/>
            </w:tblGrid>
            <w:tr w14:paraId="00AFF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94" w:hRule="atLeast"/>
                <w:jc w:val="center"/>
              </w:trPr>
              <w:tc>
                <w:tcPr>
                  <w:tcW w:w="379" w:type="pct"/>
                  <w:tcBorders>
                    <w:tl2br w:val="nil"/>
                    <w:tr2bl w:val="nil"/>
                  </w:tcBorders>
                  <w:noWrap w:val="0"/>
                  <w:vAlign w:val="center"/>
                </w:tcPr>
                <w:p w14:paraId="571BC74D">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highlight w:val="none"/>
                    </w:rPr>
                    <w:t>类型</w:t>
                  </w:r>
                </w:p>
              </w:tc>
              <w:tc>
                <w:tcPr>
                  <w:tcW w:w="718" w:type="pct"/>
                  <w:tcBorders>
                    <w:tl2br w:val="nil"/>
                    <w:tr2bl w:val="nil"/>
                  </w:tcBorders>
                  <w:noWrap w:val="0"/>
                  <w:vAlign w:val="center"/>
                </w:tcPr>
                <w:p w14:paraId="01F5C2AC">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highlight w:val="none"/>
                    </w:rPr>
                    <w:t>监测位置</w:t>
                  </w:r>
                </w:p>
              </w:tc>
              <w:tc>
                <w:tcPr>
                  <w:tcW w:w="750" w:type="pct"/>
                  <w:tcBorders>
                    <w:tl2br w:val="nil"/>
                    <w:tr2bl w:val="nil"/>
                  </w:tcBorders>
                  <w:noWrap w:val="0"/>
                  <w:vAlign w:val="center"/>
                </w:tcPr>
                <w:p w14:paraId="36B4927B">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highlight w:val="none"/>
                    </w:rPr>
                    <w:t>监测项目</w:t>
                  </w:r>
                </w:p>
              </w:tc>
              <w:tc>
                <w:tcPr>
                  <w:tcW w:w="705" w:type="pct"/>
                  <w:tcBorders>
                    <w:tl2br w:val="nil"/>
                    <w:tr2bl w:val="nil"/>
                  </w:tcBorders>
                  <w:noWrap w:val="0"/>
                  <w:vAlign w:val="center"/>
                </w:tcPr>
                <w:p w14:paraId="756EEF1D">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highlight w:val="none"/>
                    </w:rPr>
                    <w:t>监测频次</w:t>
                  </w:r>
                </w:p>
              </w:tc>
              <w:tc>
                <w:tcPr>
                  <w:tcW w:w="1557" w:type="pct"/>
                  <w:tcBorders>
                    <w:tl2br w:val="nil"/>
                    <w:tr2bl w:val="nil"/>
                  </w:tcBorders>
                  <w:noWrap w:val="0"/>
                  <w:vAlign w:val="center"/>
                </w:tcPr>
                <w:p w14:paraId="0ADB0C2E">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highlight w:val="none"/>
                    </w:rPr>
                    <w:t>执行标准</w:t>
                  </w:r>
                </w:p>
              </w:tc>
              <w:tc>
                <w:tcPr>
                  <w:tcW w:w="889" w:type="pct"/>
                  <w:tcBorders>
                    <w:tl2br w:val="nil"/>
                    <w:tr2bl w:val="nil"/>
                  </w:tcBorders>
                  <w:noWrap w:val="0"/>
                  <w:vAlign w:val="center"/>
                </w:tcPr>
                <w:p w14:paraId="19327190">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highlight w:val="none"/>
                    </w:rPr>
                    <w:t>备注</w:t>
                  </w:r>
                </w:p>
              </w:tc>
            </w:tr>
            <w:tr w14:paraId="1C38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722" w:type="dxa"/>
                  <w:tcBorders>
                    <w:tl2br w:val="nil"/>
                    <w:tr2bl w:val="nil"/>
                  </w:tcBorders>
                  <w:noWrap w:val="0"/>
                  <w:vAlign w:val="center"/>
                </w:tcPr>
                <w:p w14:paraId="22CFFCEC">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sz w:val="21"/>
                      <w:szCs w:val="21"/>
                      <w:highlight w:val="none"/>
                    </w:rPr>
                    <w:t>噪声</w:t>
                  </w:r>
                </w:p>
              </w:tc>
              <w:tc>
                <w:tcPr>
                  <w:tcW w:w="1371" w:type="dxa"/>
                  <w:tcBorders>
                    <w:tl2br w:val="nil"/>
                    <w:tr2bl w:val="nil"/>
                  </w:tcBorders>
                  <w:noWrap w:val="0"/>
                  <w:vAlign w:val="center"/>
                </w:tcPr>
                <w:p w14:paraId="0BBA2A14">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sz w:val="21"/>
                      <w:szCs w:val="21"/>
                      <w:highlight w:val="none"/>
                    </w:rPr>
                    <w:t>厂界外1m处</w:t>
                  </w:r>
                </w:p>
              </w:tc>
              <w:tc>
                <w:tcPr>
                  <w:tcW w:w="1430" w:type="dxa"/>
                  <w:tcBorders>
                    <w:tl2br w:val="nil"/>
                    <w:tr2bl w:val="nil"/>
                  </w:tcBorders>
                  <w:noWrap w:val="0"/>
                  <w:vAlign w:val="center"/>
                </w:tcPr>
                <w:p w14:paraId="01F24F95">
                  <w:pPr>
                    <w:pStyle w:val="7"/>
                    <w:rPr>
                      <w:rFonts w:hint="default" w:ascii="Times New Roman" w:hAnsi="Times New Roman" w:eastAsia="宋体" w:cs="Times New Roman"/>
                      <w:b w:val="0"/>
                      <w:bCs w:val="0"/>
                      <w:color w:val="auto"/>
                      <w:spacing w:val="0"/>
                      <w:position w:val="0"/>
                      <w:highlight w:val="none"/>
                    </w:rPr>
                  </w:pPr>
                  <w:r>
                    <w:rPr>
                      <w:rFonts w:hint="eastAsia" w:ascii="Times New Roman" w:hAnsi="Times New Roman" w:eastAsia="宋体" w:cs="宋体"/>
                      <w:color w:val="auto"/>
                      <w:kern w:val="0"/>
                      <w:sz w:val="21"/>
                      <w:szCs w:val="21"/>
                      <w:highlight w:val="none"/>
                      <w:lang w:val="en-US" w:eastAsia="zh-CN" w:bidi="ar"/>
                    </w:rPr>
                    <w:t>等效连续</w:t>
                  </w:r>
                  <w:r>
                    <w:rPr>
                      <w:rFonts w:hint="default" w:ascii="Times New Roman" w:hAnsi="Times New Roman" w:eastAsia="宋体" w:cs="Times New Roman"/>
                      <w:color w:val="auto"/>
                      <w:kern w:val="0"/>
                      <w:sz w:val="21"/>
                      <w:szCs w:val="21"/>
                      <w:highlight w:val="none"/>
                      <w:lang w:val="en-US" w:eastAsia="zh-CN" w:bidi="ar"/>
                    </w:rPr>
                    <w:t>A</w:t>
                  </w:r>
                  <w:r>
                    <w:rPr>
                      <w:rFonts w:hint="eastAsia" w:ascii="Times New Roman" w:hAnsi="Times New Roman" w:eastAsia="宋体" w:cs="宋体"/>
                      <w:color w:val="auto"/>
                      <w:kern w:val="0"/>
                      <w:sz w:val="21"/>
                      <w:szCs w:val="21"/>
                      <w:highlight w:val="none"/>
                      <w:lang w:val="en-US" w:eastAsia="zh-CN" w:bidi="ar"/>
                    </w:rPr>
                    <w:t>声级</w:t>
                  </w:r>
                  <w:r>
                    <w:rPr>
                      <w:rFonts w:hint="eastAsia" w:ascii="Times New Roman" w:hAnsi="Times New Roman" w:eastAsia="宋体"/>
                      <w:color w:val="auto"/>
                      <w:highlight w:val="none"/>
                      <w:lang w:eastAsia="zh-CN"/>
                    </w:rPr>
                    <w:t>、</w:t>
                  </w:r>
                  <w:r>
                    <w:rPr>
                      <w:rFonts w:hint="eastAsia" w:ascii="Times New Roman" w:hAnsi="Times New Roman" w:eastAsia="宋体"/>
                      <w:color w:val="auto"/>
                      <w:sz w:val="21"/>
                      <w:szCs w:val="21"/>
                      <w:highlight w:val="none"/>
                      <w:lang w:val="en-US" w:eastAsia="zh-CN"/>
                    </w:rPr>
                    <w:t>夜间最大声级Lmax</w:t>
                  </w:r>
                </w:p>
              </w:tc>
              <w:tc>
                <w:tcPr>
                  <w:tcW w:w="1345" w:type="dxa"/>
                  <w:tcBorders>
                    <w:tl2br w:val="nil"/>
                    <w:tr2bl w:val="nil"/>
                  </w:tcBorders>
                  <w:noWrap w:val="0"/>
                  <w:vAlign w:val="center"/>
                </w:tcPr>
                <w:p w14:paraId="3FB00E5E">
                  <w:pPr>
                    <w:keepNext w:val="0"/>
                    <w:keepLines w:val="0"/>
                    <w:widowControl/>
                    <w:suppressLineNumbers w:val="0"/>
                    <w:jc w:val="center"/>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sz w:val="21"/>
                      <w:szCs w:val="21"/>
                      <w:highlight w:val="none"/>
                    </w:rPr>
                    <w:t>每季度一次</w:t>
                  </w:r>
                  <w:r>
                    <w:rPr>
                      <w:rFonts w:hint="eastAsia" w:ascii="Times New Roman" w:hAnsi="Times New Roman" w:eastAsia="宋体" w:cs="Times New Roman"/>
                      <w:b w:val="0"/>
                      <w:bCs w:val="0"/>
                      <w:color w:val="auto"/>
                      <w:spacing w:val="0"/>
                      <w:position w:val="0"/>
                      <w:sz w:val="21"/>
                      <w:szCs w:val="21"/>
                      <w:highlight w:val="none"/>
                      <w:lang w:eastAsia="zh-CN"/>
                    </w:rPr>
                    <w:t>，</w:t>
                  </w:r>
                  <w:r>
                    <w:rPr>
                      <w:rFonts w:hint="eastAsia" w:ascii="Times New Roman" w:hAnsi="Times New Roman" w:eastAsia="宋体" w:cs="宋体"/>
                      <w:color w:val="auto"/>
                      <w:kern w:val="0"/>
                      <w:sz w:val="21"/>
                      <w:szCs w:val="21"/>
                      <w:highlight w:val="none"/>
                      <w:lang w:val="en-US" w:eastAsia="zh-CN" w:bidi="ar"/>
                    </w:rPr>
                    <w:t>昼间和夜间监测</w:t>
                  </w:r>
                </w:p>
              </w:tc>
              <w:tc>
                <w:tcPr>
                  <w:tcW w:w="2970" w:type="dxa"/>
                  <w:tcBorders>
                    <w:tl2br w:val="nil"/>
                    <w:tr2bl w:val="nil"/>
                  </w:tcBorders>
                  <w:noWrap w:val="0"/>
                  <w:vAlign w:val="center"/>
                </w:tcPr>
                <w:p w14:paraId="57E26A4E">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sz w:val="21"/>
                      <w:szCs w:val="21"/>
                      <w:highlight w:val="none"/>
                    </w:rPr>
                    <w:t>《工业企业厂界环境噪声排放标准》（GB12348-2008）</w:t>
                  </w:r>
                  <w:r>
                    <w:rPr>
                      <w:rFonts w:hint="eastAsia" w:ascii="Times New Roman" w:hAnsi="Times New Roman" w:eastAsia="宋体" w:cs="Times New Roman"/>
                      <w:b w:val="0"/>
                      <w:bCs w:val="0"/>
                      <w:color w:val="auto"/>
                      <w:spacing w:val="0"/>
                      <w:position w:val="0"/>
                      <w:sz w:val="21"/>
                      <w:szCs w:val="21"/>
                      <w:highlight w:val="none"/>
                      <w:lang w:val="en-US" w:eastAsia="zh-CN"/>
                    </w:rPr>
                    <w:t>2</w:t>
                  </w:r>
                  <w:r>
                    <w:rPr>
                      <w:rFonts w:hint="default" w:ascii="Times New Roman" w:hAnsi="Times New Roman" w:eastAsia="宋体" w:cs="Times New Roman"/>
                      <w:b w:val="0"/>
                      <w:bCs w:val="0"/>
                      <w:color w:val="auto"/>
                      <w:spacing w:val="0"/>
                      <w:position w:val="0"/>
                      <w:sz w:val="21"/>
                      <w:szCs w:val="21"/>
                      <w:highlight w:val="none"/>
                    </w:rPr>
                    <w:t>类标准</w:t>
                  </w:r>
                </w:p>
              </w:tc>
              <w:tc>
                <w:tcPr>
                  <w:tcW w:w="1696" w:type="dxa"/>
                  <w:tcBorders>
                    <w:tl2br w:val="nil"/>
                    <w:tr2bl w:val="nil"/>
                  </w:tcBorders>
                  <w:noWrap w:val="0"/>
                  <w:vAlign w:val="center"/>
                </w:tcPr>
                <w:p w14:paraId="7A0586EC">
                  <w:pPr>
                    <w:pStyle w:val="84"/>
                    <w:rPr>
                      <w:rFonts w:hint="default" w:ascii="Times New Roman" w:hAnsi="Times New Roman" w:eastAsia="宋体" w:cs="Times New Roman"/>
                      <w:b w:val="0"/>
                      <w:bCs w:val="0"/>
                      <w:color w:val="auto"/>
                      <w:spacing w:val="0"/>
                      <w:position w:val="0"/>
                      <w:highlight w:val="none"/>
                    </w:rPr>
                  </w:pPr>
                  <w:r>
                    <w:rPr>
                      <w:rFonts w:hint="default" w:ascii="Times New Roman" w:hAnsi="Times New Roman" w:eastAsia="宋体" w:cs="Times New Roman"/>
                      <w:b w:val="0"/>
                      <w:bCs w:val="0"/>
                      <w:color w:val="auto"/>
                      <w:spacing w:val="0"/>
                      <w:position w:val="0"/>
                      <w:sz w:val="21"/>
                      <w:szCs w:val="21"/>
                      <w:highlight w:val="none"/>
                    </w:rPr>
                    <w:t>委托有资质的第三方进行</w:t>
                  </w:r>
                </w:p>
              </w:tc>
            </w:tr>
          </w:tbl>
          <w:p w14:paraId="7721649C">
            <w:pPr>
              <w:pStyle w:val="94"/>
              <w:keepNext w:val="0"/>
              <w:keepLines w:val="0"/>
              <w:pageBreakBefore w:val="0"/>
              <w:widowControl w:val="0"/>
              <w:numPr>
                <w:ilvl w:val="0"/>
                <w:numId w:val="0"/>
              </w:numPr>
              <w:kinsoku/>
              <w:wordWrap/>
              <w:overflowPunct/>
              <w:topLinePunct w:val="0"/>
              <w:bidi w:val="0"/>
              <w:ind w:left="0" w:leftChars="0" w:firstLine="482"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四、固体废物</w:t>
            </w:r>
          </w:p>
          <w:p w14:paraId="0AC98994">
            <w:pPr>
              <w:adjustRightInd w:val="0"/>
              <w:snapToGrid w:val="0"/>
              <w:spacing w:line="360" w:lineRule="auto"/>
              <w:ind w:firstLine="482" w:firstLineChars="200"/>
              <w:jc w:val="left"/>
              <w:rPr>
                <w:rFonts w:hint="default" w:ascii="Times New Roman" w:hAnsi="Times New Roman" w:eastAsia="宋体"/>
                <w:b/>
                <w:bCs/>
                <w:color w:val="auto"/>
                <w:sz w:val="24"/>
                <w:highlight w:val="none"/>
                <w:lang w:val="en-US" w:eastAsia="zh-CN"/>
              </w:rPr>
            </w:pPr>
            <w:r>
              <w:rPr>
                <w:rFonts w:hint="eastAsia" w:ascii="Times New Roman" w:hAnsi="Times New Roman" w:eastAsia="宋体"/>
                <w:b/>
                <w:bCs/>
                <w:color w:val="auto"/>
                <w:sz w:val="24"/>
                <w:highlight w:val="none"/>
                <w:lang w:val="en-US" w:eastAsia="zh-CN"/>
              </w:rPr>
              <w:t>1、产生量分析</w:t>
            </w:r>
          </w:p>
          <w:p w14:paraId="5CD6F01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ascii="Times New Roman" w:hAnsi="Times New Roman" w:eastAsia="宋体"/>
                <w:color w:val="auto"/>
                <w:sz w:val="24"/>
                <w:highlight w:val="none"/>
              </w:rPr>
            </w:pPr>
            <w:r>
              <w:rPr>
                <w:rFonts w:ascii="Times New Roman" w:hAnsi="Times New Roman" w:eastAsia="宋体"/>
                <w:color w:val="auto"/>
                <w:sz w:val="24"/>
                <w:highlight w:val="none"/>
              </w:rPr>
              <w:t>项目营运期固废主要是</w:t>
            </w:r>
            <w:r>
              <w:rPr>
                <w:rFonts w:hint="eastAsia" w:ascii="Times New Roman" w:hAnsi="Times New Roman" w:eastAsia="宋体"/>
                <w:color w:val="auto"/>
                <w:sz w:val="24"/>
                <w:highlight w:val="none"/>
              </w:rPr>
              <w:t>废包装材料</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人工分拣废渣</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不合格粗料</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含铁杂质</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布袋除尘</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器收集粉尘</w:t>
            </w:r>
            <w:r>
              <w:rPr>
                <w:rFonts w:hint="eastAsia" w:ascii="Times New Roman" w:hAnsi="Times New Roman" w:eastAsia="宋体"/>
                <w:color w:val="auto"/>
                <w:sz w:val="24"/>
                <w:highlight w:val="none"/>
                <w:lang w:val="en-US" w:eastAsia="zh-CN"/>
              </w:rPr>
              <w:t>及废布袋、设备维修产生的废机油及油桶。</w:t>
            </w:r>
          </w:p>
          <w:p w14:paraId="5DA7CCD7">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lang w:val="en-US" w:eastAsia="zh-CN"/>
              </w:rPr>
              <w:t>1）</w:t>
            </w:r>
            <w:r>
              <w:rPr>
                <w:rFonts w:hint="default" w:ascii="Times New Roman" w:hAnsi="Times New Roman" w:eastAsia="宋体" w:cs="Times New Roman"/>
                <w:color w:val="auto"/>
                <w:kern w:val="0"/>
                <w:sz w:val="24"/>
                <w:szCs w:val="24"/>
                <w:highlight w:val="none"/>
                <w:lang w:val="en-US" w:eastAsia="zh-CN" w:bidi="ar-SA"/>
              </w:rPr>
              <w:t>废包装材料</w:t>
            </w:r>
            <w:r>
              <w:rPr>
                <w:rFonts w:hint="eastAsia" w:ascii="Times New Roman" w:hAnsi="Times New Roman" w:eastAsia="宋体"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主要是</w:t>
            </w:r>
            <w:r>
              <w:rPr>
                <w:rFonts w:hint="eastAsia" w:ascii="Times New Roman" w:hAnsi="Times New Roman" w:eastAsia="宋体" w:cs="Times New Roman"/>
                <w:color w:val="auto"/>
                <w:kern w:val="0"/>
                <w:sz w:val="24"/>
                <w:szCs w:val="24"/>
                <w:highlight w:val="none"/>
                <w:lang w:val="en-US" w:eastAsia="zh-CN" w:bidi="ar-SA"/>
              </w:rPr>
              <w:t>收集的废硅原料进厂时产生的</w:t>
            </w:r>
            <w:r>
              <w:rPr>
                <w:rFonts w:hint="default" w:ascii="Times New Roman" w:hAnsi="Times New Roman" w:eastAsia="宋体" w:cs="Times New Roman"/>
                <w:color w:val="auto"/>
                <w:kern w:val="0"/>
                <w:sz w:val="24"/>
                <w:szCs w:val="24"/>
                <w:highlight w:val="none"/>
                <w:lang w:val="en-US" w:eastAsia="zh-CN" w:bidi="ar-SA"/>
              </w:rPr>
              <w:t>废包装袋，产生量0.</w:t>
            </w:r>
            <w:r>
              <w:rPr>
                <w:rFonts w:hint="eastAsia" w:ascii="Times New Roman" w:hAnsi="Times New Roman" w:eastAsia="宋体" w:cs="Times New Roman"/>
                <w:color w:val="auto"/>
                <w:kern w:val="0"/>
                <w:sz w:val="24"/>
                <w:szCs w:val="24"/>
                <w:highlight w:val="none"/>
                <w:lang w:val="en-US" w:eastAsia="zh-CN" w:bidi="ar-SA"/>
              </w:rPr>
              <w:t>5</w:t>
            </w:r>
            <w:r>
              <w:rPr>
                <w:rFonts w:hint="default" w:ascii="Times New Roman" w:hAnsi="Times New Roman" w:eastAsia="宋体" w:cs="Times New Roman"/>
                <w:color w:val="auto"/>
                <w:kern w:val="0"/>
                <w:sz w:val="24"/>
                <w:szCs w:val="24"/>
                <w:highlight w:val="none"/>
                <w:lang w:val="en-US" w:eastAsia="zh-CN" w:bidi="ar-SA"/>
              </w:rPr>
              <w:t>t/a，收集后</w:t>
            </w:r>
            <w:r>
              <w:rPr>
                <w:rFonts w:hint="default" w:ascii="Times New Roman" w:hAnsi="Times New Roman" w:eastAsia="宋体" w:cs="Times New Roman"/>
                <w:color w:val="auto"/>
                <w:sz w:val="24"/>
                <w:szCs w:val="24"/>
                <w:highlight w:val="none"/>
                <w:lang w:val="en-US" w:eastAsia="zh-CN"/>
              </w:rPr>
              <w:t>外售</w:t>
            </w:r>
            <w:r>
              <w:rPr>
                <w:rFonts w:hint="default" w:ascii="Times New Roman" w:hAnsi="Times New Roman" w:eastAsia="宋体" w:cs="Times New Roman"/>
                <w:color w:val="auto"/>
                <w:kern w:val="0"/>
                <w:sz w:val="24"/>
                <w:szCs w:val="24"/>
                <w:highlight w:val="none"/>
                <w:lang w:val="en-US" w:eastAsia="zh-CN" w:bidi="ar-SA"/>
              </w:rPr>
              <w:t>；</w:t>
            </w:r>
          </w:p>
          <w:p w14:paraId="590DD33D">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olor w:val="auto"/>
                <w:sz w:val="24"/>
                <w:highlight w:val="none"/>
                <w:lang w:val="en-US" w:eastAsia="zh-CN"/>
              </w:rPr>
              <w:t>2）</w:t>
            </w:r>
            <w:r>
              <w:rPr>
                <w:rFonts w:hint="eastAsia" w:ascii="Times New Roman" w:hAnsi="Times New Roman" w:eastAsia="宋体"/>
                <w:color w:val="auto"/>
                <w:sz w:val="24"/>
                <w:highlight w:val="none"/>
                <w:lang w:eastAsia="zh-CN"/>
              </w:rPr>
              <w:t>分拣废渣</w:t>
            </w:r>
          </w:p>
          <w:p w14:paraId="71ED68FA">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default" w:ascii="Times New Roman" w:hAnsi="Times New Roman" w:eastAsia="宋体" w:cs="Times New Roman"/>
                <w:color w:val="FF0000"/>
                <w:sz w:val="24"/>
                <w:szCs w:val="22"/>
                <w:highlight w:val="none"/>
                <w:lang w:val="en-US" w:eastAsia="zh-CN"/>
              </w:rPr>
            </w:pPr>
            <w:r>
              <w:rPr>
                <w:rFonts w:hint="default" w:ascii="Times New Roman" w:hAnsi="Times New Roman" w:eastAsia="宋体" w:cs="Times New Roman"/>
                <w:color w:val="FF0000"/>
                <w:sz w:val="24"/>
                <w:szCs w:val="22"/>
                <w:highlight w:val="none"/>
                <w:lang w:val="en-US" w:eastAsia="zh-CN"/>
              </w:rPr>
              <w:t>根据建设单位提供资料，参考行业最大</w:t>
            </w:r>
            <w:r>
              <w:rPr>
                <w:rFonts w:hint="eastAsia" w:ascii="Times New Roman" w:hAnsi="Times New Roman" w:eastAsia="宋体" w:cs="Times New Roman"/>
                <w:color w:val="FF0000"/>
                <w:sz w:val="24"/>
                <w:szCs w:val="22"/>
                <w:highlight w:val="none"/>
                <w:lang w:val="en-US" w:eastAsia="zh-CN"/>
              </w:rPr>
              <w:t>杂质含量</w:t>
            </w:r>
            <w:r>
              <w:rPr>
                <w:rFonts w:hint="default" w:ascii="Times New Roman" w:hAnsi="Times New Roman" w:eastAsia="宋体" w:cs="Times New Roman"/>
                <w:color w:val="FF0000"/>
                <w:sz w:val="24"/>
                <w:szCs w:val="22"/>
                <w:highlight w:val="none"/>
                <w:lang w:val="en-US" w:eastAsia="zh-CN"/>
              </w:rPr>
              <w:t>约为2%，</w:t>
            </w:r>
            <w:r>
              <w:rPr>
                <w:rFonts w:hint="eastAsia" w:ascii="Times New Roman" w:hAnsi="Times New Roman" w:eastAsia="宋体" w:cs="Times New Roman"/>
                <w:color w:val="FF0000"/>
                <w:sz w:val="24"/>
                <w:szCs w:val="22"/>
                <w:highlight w:val="none"/>
                <w:lang w:val="en-US" w:eastAsia="zh-CN"/>
              </w:rPr>
              <w:t>人工及分选机</w:t>
            </w:r>
            <w:r>
              <w:rPr>
                <w:rFonts w:hint="eastAsia" w:ascii="Times New Roman" w:hAnsi="Times New Roman" w:eastAsia="宋体"/>
                <w:color w:val="FF0000"/>
                <w:sz w:val="24"/>
                <w:highlight w:val="none"/>
                <w:lang w:eastAsia="zh-CN"/>
              </w:rPr>
              <w:t>分拣废渣</w:t>
            </w:r>
            <w:r>
              <w:rPr>
                <w:rFonts w:hint="default" w:ascii="Times New Roman" w:hAnsi="Times New Roman" w:eastAsia="宋体" w:cs="Times New Roman"/>
                <w:color w:val="FF0000"/>
                <w:sz w:val="24"/>
                <w:szCs w:val="22"/>
                <w:highlight w:val="none"/>
                <w:lang w:val="en-US" w:eastAsia="zh-CN"/>
              </w:rPr>
              <w:t>约为</w:t>
            </w:r>
            <w:r>
              <w:rPr>
                <w:rFonts w:hint="eastAsia" w:ascii="Times New Roman" w:hAnsi="Times New Roman" w:eastAsia="宋体" w:cs="Times New Roman"/>
                <w:color w:val="FF0000"/>
                <w:sz w:val="24"/>
                <w:szCs w:val="22"/>
                <w:highlight w:val="none"/>
                <w:lang w:val="en-US" w:eastAsia="zh-CN"/>
              </w:rPr>
              <w:t>120</w:t>
            </w:r>
            <w:r>
              <w:rPr>
                <w:rFonts w:hint="default" w:ascii="Times New Roman" w:hAnsi="Times New Roman" w:eastAsia="宋体" w:cs="Times New Roman"/>
                <w:color w:val="FF0000"/>
                <w:sz w:val="24"/>
                <w:szCs w:val="22"/>
                <w:highlight w:val="none"/>
                <w:lang w:val="en-US" w:eastAsia="zh-CN"/>
              </w:rPr>
              <w:t>t，收集后，</w:t>
            </w:r>
            <w:r>
              <w:rPr>
                <w:rFonts w:hint="eastAsia" w:ascii="Times New Roman" w:hAnsi="Times New Roman" w:eastAsia="宋体" w:cs="Times New Roman"/>
                <w:color w:val="FF0000"/>
                <w:sz w:val="24"/>
                <w:szCs w:val="22"/>
                <w:highlight w:val="none"/>
                <w:lang w:val="en-US" w:eastAsia="zh-CN"/>
              </w:rPr>
              <w:t>外售</w:t>
            </w:r>
            <w:r>
              <w:rPr>
                <w:rFonts w:hint="default" w:ascii="Times New Roman" w:hAnsi="Times New Roman" w:eastAsia="宋体" w:cs="Times New Roman"/>
                <w:color w:val="FF0000"/>
                <w:sz w:val="24"/>
                <w:szCs w:val="22"/>
                <w:highlight w:val="none"/>
                <w:lang w:val="en-US" w:eastAsia="zh-CN"/>
              </w:rPr>
              <w:t>处理。</w:t>
            </w:r>
            <w:r>
              <w:rPr>
                <w:rFonts w:hint="eastAsia" w:cs="Times New Roman"/>
                <w:color w:val="FF0000"/>
                <w:sz w:val="24"/>
                <w:szCs w:val="22"/>
                <w:highlight w:val="none"/>
                <w:lang w:val="en-US" w:eastAsia="zh-CN"/>
              </w:rPr>
              <w:t>分拣废渣主要成分为废塑料、废纸片及掺杂在废硅材料中的木屑，石子等</w:t>
            </w:r>
            <w:r>
              <w:rPr>
                <w:rFonts w:hint="eastAsia" w:ascii="Times New Roman" w:hAnsi="Times New Roman" w:eastAsia="宋体"/>
                <w:color w:val="FF0000"/>
                <w:sz w:val="24"/>
                <w:highlight w:val="none"/>
                <w:lang w:eastAsia="zh-CN"/>
              </w:rPr>
              <w:t>废渣。</w:t>
            </w:r>
          </w:p>
          <w:p w14:paraId="2C0B5614">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default"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3）不合格粗料</w:t>
            </w:r>
          </w:p>
          <w:p w14:paraId="45174AE1">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筛分工序产生不合格料，根据业主提供信息，不合格品产生量极少，本环评取</w:t>
            </w:r>
            <w:r>
              <w:rPr>
                <w:rFonts w:hint="default" w:ascii="Times New Roman" w:hAnsi="Times New Roman" w:eastAsia="宋体" w:cs="Times New Roman"/>
                <w:color w:val="auto"/>
                <w:sz w:val="24"/>
                <w:szCs w:val="22"/>
                <w:highlight w:val="none"/>
                <w:lang w:val="en-US" w:eastAsia="zh-CN"/>
              </w:rPr>
              <w:t>0.</w:t>
            </w:r>
            <w:r>
              <w:rPr>
                <w:rFonts w:hint="eastAsia" w:ascii="Times New Roman" w:hAnsi="Times New Roman" w:eastAsia="宋体" w:cs="Times New Roman"/>
                <w:color w:val="auto"/>
                <w:sz w:val="24"/>
                <w:szCs w:val="22"/>
                <w:highlight w:val="none"/>
                <w:lang w:val="en-US" w:eastAsia="zh-CN"/>
              </w:rPr>
              <w:t>0</w:t>
            </w:r>
            <w:r>
              <w:rPr>
                <w:rFonts w:hint="default" w:ascii="Times New Roman" w:hAnsi="Times New Roman" w:eastAsia="宋体" w:cs="Times New Roman"/>
                <w:color w:val="auto"/>
                <w:sz w:val="24"/>
                <w:szCs w:val="22"/>
                <w:highlight w:val="none"/>
                <w:lang w:val="en-US" w:eastAsia="zh-CN"/>
              </w:rPr>
              <w:t>1%</w:t>
            </w:r>
            <w:r>
              <w:rPr>
                <w:rFonts w:hint="eastAsia" w:ascii="Times New Roman" w:hAnsi="Times New Roman" w:eastAsia="宋体" w:cs="Times New Roman"/>
                <w:color w:val="auto"/>
                <w:sz w:val="24"/>
                <w:szCs w:val="22"/>
                <w:highlight w:val="none"/>
                <w:lang w:val="en-US" w:eastAsia="zh-CN"/>
              </w:rPr>
              <w:t>计算，经计算为0.2吨</w:t>
            </w:r>
            <w:r>
              <w:rPr>
                <w:rFonts w:hint="default" w:ascii="Times New Roman" w:hAnsi="Times New Roman" w:eastAsia="宋体" w:cs="Times New Roman"/>
                <w:color w:val="auto"/>
                <w:sz w:val="24"/>
                <w:szCs w:val="22"/>
                <w:highlight w:val="none"/>
                <w:lang w:val="en-US" w:eastAsia="zh-CN"/>
              </w:rPr>
              <w:t>/</w:t>
            </w:r>
            <w:r>
              <w:rPr>
                <w:rFonts w:hint="eastAsia" w:ascii="Times New Roman" w:hAnsi="Times New Roman" w:eastAsia="宋体" w:cs="Times New Roman"/>
                <w:color w:val="auto"/>
                <w:sz w:val="24"/>
                <w:szCs w:val="22"/>
                <w:highlight w:val="none"/>
                <w:lang w:val="en-US" w:eastAsia="zh-CN"/>
              </w:rPr>
              <w:t>年，</w:t>
            </w:r>
            <w:r>
              <w:rPr>
                <w:rFonts w:hint="default" w:ascii="Times New Roman" w:hAnsi="Times New Roman" w:eastAsia="宋体" w:cs="Times New Roman"/>
                <w:color w:val="auto"/>
                <w:sz w:val="24"/>
                <w:szCs w:val="22"/>
                <w:highlight w:val="none"/>
                <w:lang w:val="en-US" w:eastAsia="zh-CN"/>
              </w:rPr>
              <w:t>收集后，</w:t>
            </w:r>
            <w:r>
              <w:rPr>
                <w:rFonts w:hint="eastAsia" w:ascii="Times New Roman" w:hAnsi="Times New Roman" w:eastAsia="宋体" w:cs="Times New Roman"/>
                <w:color w:val="auto"/>
                <w:sz w:val="24"/>
                <w:szCs w:val="22"/>
                <w:highlight w:val="none"/>
                <w:lang w:val="en-US" w:eastAsia="zh-CN"/>
              </w:rPr>
              <w:t>外售</w:t>
            </w:r>
            <w:r>
              <w:rPr>
                <w:rFonts w:hint="default" w:ascii="Times New Roman" w:hAnsi="Times New Roman" w:eastAsia="宋体" w:cs="Times New Roman"/>
                <w:color w:val="auto"/>
                <w:sz w:val="24"/>
                <w:szCs w:val="22"/>
                <w:highlight w:val="none"/>
                <w:lang w:val="en-US" w:eastAsia="zh-CN"/>
              </w:rPr>
              <w:t>处理。</w:t>
            </w:r>
          </w:p>
          <w:p w14:paraId="0035D46B">
            <w:pPr>
              <w:keepNext w:val="0"/>
              <w:keepLines w:val="0"/>
              <w:pageBreakBefore w:val="0"/>
              <w:numPr>
                <w:ilvl w:val="0"/>
                <w:numId w:val="0"/>
              </w:numPr>
              <w:kinsoku/>
              <w:wordWrap/>
              <w:overflowPunct/>
              <w:topLinePunct w:val="0"/>
              <w:autoSpaceDE/>
              <w:autoSpaceDN/>
              <w:bidi w:val="0"/>
              <w:spacing w:line="360" w:lineRule="auto"/>
              <w:ind w:left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4）含铁杂质</w:t>
            </w:r>
          </w:p>
          <w:p w14:paraId="35B9A593">
            <w:pPr>
              <w:keepNext w:val="0"/>
              <w:keepLines w:val="0"/>
              <w:pageBreakBefore w:val="0"/>
              <w:widowControl/>
              <w:numPr>
                <w:ilvl w:val="0"/>
                <w:numId w:val="0"/>
              </w:numPr>
              <w:kinsoku/>
              <w:wordWrap/>
              <w:overflowPunct/>
              <w:topLinePunct w:val="0"/>
              <w:autoSpaceDE/>
              <w:autoSpaceDN/>
              <w:bidi w:val="0"/>
              <w:spacing w:line="360" w:lineRule="auto"/>
              <w:ind w:left="0" w:leftChars="0" w:firstLine="480" w:firstLineChars="200"/>
              <w:jc w:val="left"/>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项目磁选后会产生含铁物质，根据建设单位提供资料，项目磁选出的含铁物质约占原料量的3.0%，产生量约为180t/a，外售废品回收站。</w:t>
            </w:r>
          </w:p>
          <w:p w14:paraId="04521804">
            <w:pPr>
              <w:keepNext w:val="0"/>
              <w:keepLines w:val="0"/>
              <w:pageBreakBefore w:val="0"/>
              <w:numPr>
                <w:ilvl w:val="0"/>
                <w:numId w:val="0"/>
              </w:numPr>
              <w:kinsoku/>
              <w:wordWrap/>
              <w:overflowPunct/>
              <w:topLinePunct w:val="0"/>
              <w:autoSpaceDE/>
              <w:autoSpaceDN/>
              <w:bidi w:val="0"/>
              <w:spacing w:line="360" w:lineRule="auto"/>
              <w:ind w:leftChars="200"/>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5）布袋除尘器收集粉尘</w:t>
            </w:r>
          </w:p>
          <w:p w14:paraId="044F221F">
            <w:pPr>
              <w:keepNext w:val="0"/>
              <w:keepLines w:val="0"/>
              <w:pageBreakBefore w:val="0"/>
              <w:widowControl/>
              <w:numPr>
                <w:ilvl w:val="0"/>
                <w:numId w:val="0"/>
              </w:numPr>
              <w:kinsoku/>
              <w:wordWrap/>
              <w:overflowPunct/>
              <w:topLinePunct w:val="0"/>
              <w:autoSpaceDE/>
              <w:autoSpaceDN/>
              <w:bidi w:val="0"/>
              <w:spacing w:line="360" w:lineRule="auto"/>
              <w:ind w:left="0" w:leftChars="0" w:firstLine="480" w:firstLineChars="200"/>
              <w:jc w:val="left"/>
              <w:textAlignment w:val="auto"/>
              <w:rPr>
                <w:rFonts w:hint="eastAsia" w:ascii="Times New Roman" w:hAnsi="Times New Roman" w:eastAsia="宋体" w:cs="仿宋"/>
                <w:color w:val="auto"/>
                <w:kern w:val="0"/>
                <w:sz w:val="24"/>
                <w:highlight w:val="none"/>
                <w:lang w:eastAsia="zh-CN" w:bidi="ar"/>
              </w:rPr>
            </w:pPr>
            <w:r>
              <w:rPr>
                <w:rFonts w:hint="eastAsia" w:ascii="Times New Roman" w:hAnsi="Times New Roman" w:eastAsia="宋体" w:cs="Times New Roman"/>
                <w:bCs/>
                <w:color w:val="auto"/>
                <w:sz w:val="24"/>
                <w:highlight w:val="none"/>
                <w:lang w:val="en-US" w:eastAsia="zh-CN"/>
              </w:rPr>
              <w:t>根据物料平衡计算，项目袋式除尘器拦截粉尘量为10.279t/a，</w:t>
            </w:r>
            <w:r>
              <w:rPr>
                <w:rFonts w:hint="eastAsia" w:ascii="Times New Roman" w:hAnsi="Times New Roman" w:eastAsia="宋体" w:cs="宋体"/>
                <w:color w:val="auto"/>
                <w:kern w:val="0"/>
                <w:sz w:val="24"/>
                <w:highlight w:val="none"/>
                <w:lang w:bidi="ar"/>
              </w:rPr>
              <w:t>经</w:t>
            </w:r>
            <w:r>
              <w:rPr>
                <w:rFonts w:hint="eastAsia" w:ascii="Times New Roman" w:hAnsi="Times New Roman" w:eastAsia="宋体" w:cs="宋体"/>
                <w:color w:val="auto"/>
                <w:kern w:val="0"/>
                <w:sz w:val="24"/>
                <w:highlight w:val="none"/>
                <w:lang w:val="en-US" w:eastAsia="zh-CN" w:bidi="ar"/>
              </w:rPr>
              <w:t>统一</w:t>
            </w:r>
            <w:r>
              <w:rPr>
                <w:rFonts w:hint="eastAsia" w:ascii="Times New Roman" w:hAnsi="Times New Roman" w:eastAsia="宋体" w:cs="宋体"/>
                <w:color w:val="auto"/>
                <w:kern w:val="0"/>
                <w:sz w:val="24"/>
                <w:highlight w:val="none"/>
                <w:lang w:bidi="ar"/>
              </w:rPr>
              <w:t>收集后</w:t>
            </w:r>
            <w:r>
              <w:rPr>
                <w:rFonts w:hint="eastAsia" w:ascii="Times New Roman" w:hAnsi="Times New Roman" w:eastAsia="宋体" w:cs="仿宋"/>
                <w:color w:val="auto"/>
                <w:kern w:val="0"/>
                <w:sz w:val="24"/>
                <w:highlight w:val="none"/>
                <w:lang w:eastAsia="zh-CN" w:bidi="ar"/>
              </w:rPr>
              <w:t>外售。</w:t>
            </w:r>
          </w:p>
          <w:p w14:paraId="250EFD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2"/>
                <w:highlight w:val="none"/>
                <w:lang w:val="en-US" w:eastAsia="zh-CN"/>
              </w:rPr>
            </w:pPr>
            <w:r>
              <w:rPr>
                <w:rFonts w:hint="eastAsia" w:ascii="Times New Roman" w:hAnsi="Times New Roman" w:eastAsia="宋体"/>
                <w:color w:val="auto"/>
                <w:highlight w:val="none"/>
                <w:lang w:val="en-US" w:eastAsia="zh-CN"/>
              </w:rPr>
              <w:t>6）除尘产生的废布袋：</w:t>
            </w:r>
            <w:r>
              <w:rPr>
                <w:rFonts w:hint="eastAsia" w:ascii="Times New Roman" w:hAnsi="Times New Roman" w:eastAsia="宋体" w:cs="Times New Roman"/>
                <w:color w:val="auto"/>
                <w:kern w:val="0"/>
                <w:sz w:val="24"/>
                <w:szCs w:val="24"/>
                <w:highlight w:val="none"/>
                <w:lang w:val="en-US" w:eastAsia="zh-CN" w:bidi="ar-SA"/>
              </w:rPr>
              <w:t>除尘所用的布袋定期更换</w:t>
            </w:r>
            <w:r>
              <w:rPr>
                <w:rFonts w:hint="default" w:ascii="Times New Roman" w:hAnsi="Times New Roman" w:eastAsia="宋体" w:cs="Times New Roman"/>
                <w:color w:val="auto"/>
                <w:kern w:val="0"/>
                <w:sz w:val="24"/>
                <w:szCs w:val="24"/>
                <w:highlight w:val="none"/>
                <w:lang w:val="en-US" w:eastAsia="zh-CN" w:bidi="ar-SA"/>
              </w:rPr>
              <w:t>，产生量</w:t>
            </w:r>
            <w:r>
              <w:rPr>
                <w:rFonts w:hint="eastAsia" w:ascii="Times New Roman" w:hAnsi="Times New Roman" w:eastAsia="宋体" w:cs="Times New Roman"/>
                <w:color w:val="auto"/>
                <w:kern w:val="0"/>
                <w:sz w:val="24"/>
                <w:szCs w:val="24"/>
                <w:highlight w:val="none"/>
                <w:lang w:val="en-US" w:eastAsia="zh-CN" w:bidi="ar-SA"/>
              </w:rPr>
              <w:t>约0.1</w:t>
            </w:r>
            <w:r>
              <w:rPr>
                <w:rFonts w:hint="default" w:ascii="Times New Roman" w:hAnsi="Times New Roman" w:eastAsia="宋体" w:cs="Times New Roman"/>
                <w:color w:val="auto"/>
                <w:kern w:val="0"/>
                <w:sz w:val="24"/>
                <w:szCs w:val="24"/>
                <w:highlight w:val="none"/>
                <w:lang w:val="en-US" w:eastAsia="zh-CN" w:bidi="ar-SA"/>
              </w:rPr>
              <w:t>t/a</w:t>
            </w:r>
            <w:r>
              <w:rPr>
                <w:rFonts w:hint="eastAsia" w:ascii="Times New Roman" w:hAnsi="Times New Roman" w:eastAsia="宋体" w:cs="Times New Roman"/>
                <w:color w:val="auto"/>
                <w:kern w:val="0"/>
                <w:sz w:val="24"/>
                <w:szCs w:val="24"/>
                <w:highlight w:val="none"/>
                <w:lang w:val="en-US" w:eastAsia="zh-CN" w:bidi="ar-SA"/>
              </w:rPr>
              <w:t>。</w:t>
            </w:r>
            <w:r>
              <w:rPr>
                <w:rFonts w:hint="eastAsia" w:ascii="Times New Roman" w:hAnsi="Times New Roman" w:eastAsia="宋体" w:cs="Times New Roman"/>
                <w:color w:val="FF0000"/>
                <w:sz w:val="24"/>
                <w:szCs w:val="24"/>
                <w:highlight w:val="none"/>
                <w:lang w:val="en-US" w:eastAsia="zh-CN"/>
              </w:rPr>
              <w:t>根据《国家危险废物名录》（</w:t>
            </w:r>
            <w:r>
              <w:rPr>
                <w:rFonts w:hint="default" w:ascii="Times New Roman" w:hAnsi="Times New Roman" w:eastAsia="宋体" w:cs="Times New Roman"/>
                <w:color w:val="FF0000"/>
                <w:sz w:val="24"/>
                <w:szCs w:val="24"/>
                <w:highlight w:val="none"/>
                <w:lang w:val="en-US" w:eastAsia="zh-CN"/>
              </w:rPr>
              <w:t>202</w:t>
            </w:r>
            <w:r>
              <w:rPr>
                <w:rFonts w:hint="eastAsia" w:ascii="Times New Roman" w:hAnsi="Times New Roman" w:eastAsia="宋体" w:cs="Times New Roman"/>
                <w:color w:val="FF0000"/>
                <w:sz w:val="24"/>
                <w:szCs w:val="24"/>
                <w:highlight w:val="none"/>
                <w:lang w:val="en-US" w:eastAsia="zh-CN"/>
              </w:rPr>
              <w:t>5年</w:t>
            </w:r>
            <w:r>
              <w:rPr>
                <w:rFonts w:hint="default" w:ascii="Times New Roman" w:hAnsi="Times New Roman" w:eastAsia="宋体" w:cs="Times New Roman"/>
                <w:color w:val="FF0000"/>
                <w:sz w:val="24"/>
                <w:szCs w:val="24"/>
                <w:highlight w:val="none"/>
                <w:lang w:val="en-US" w:eastAsia="zh-CN"/>
              </w:rPr>
              <w:t>版</w:t>
            </w:r>
            <w:r>
              <w:rPr>
                <w:rFonts w:hint="eastAsia" w:ascii="Times New Roman" w:hAnsi="Times New Roman" w:eastAsia="宋体" w:cs="Times New Roman"/>
                <w:color w:val="FF0000"/>
                <w:sz w:val="24"/>
                <w:szCs w:val="24"/>
                <w:highlight w:val="none"/>
                <w:lang w:val="en-US" w:eastAsia="zh-CN"/>
              </w:rPr>
              <w:t>），废布袋属于HW49 其他废物，</w:t>
            </w:r>
            <w:r>
              <w:rPr>
                <w:rFonts w:hint="default" w:ascii="Times New Roman" w:hAnsi="Times New Roman" w:eastAsia="宋体" w:cs="Times New Roman"/>
                <w:color w:val="auto"/>
                <w:sz w:val="24"/>
                <w:szCs w:val="24"/>
                <w:highlight w:val="none"/>
                <w:lang w:val="en-US" w:eastAsia="zh-CN"/>
              </w:rPr>
              <w:t>，废物代码 900-041-49</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FF0000"/>
                <w:sz w:val="24"/>
                <w:szCs w:val="24"/>
                <w:highlight w:val="none"/>
                <w:lang w:val="en-US" w:eastAsia="zh-CN"/>
              </w:rPr>
              <w:t>含有或者沾染毒性、感染性危险废物的废弃的包装物、容器、过滤吸附介质。，暂存于危险废物暂存间，定期交由有资质单位处理。</w:t>
            </w:r>
          </w:p>
          <w:p w14:paraId="657E40E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7）废活性炭：</w:t>
            </w:r>
          </w:p>
          <w:p w14:paraId="36266D5A">
            <w:pPr>
              <w:pStyle w:val="2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imes New Roman" w:hAnsi="Times New Roman" w:eastAsia="宋体" w:cs="Times New Roman"/>
                <w:color w:val="FF0000"/>
                <w:sz w:val="24"/>
                <w:szCs w:val="22"/>
                <w:highlight w:val="none"/>
                <w:lang w:val="en-US" w:eastAsia="zh-CN"/>
              </w:rPr>
            </w:pPr>
            <w:r>
              <w:rPr>
                <w:rFonts w:hint="eastAsia" w:ascii="Times New Roman" w:hAnsi="Times New Roman" w:eastAsia="宋体" w:cs="Times New Roman"/>
                <w:color w:val="FF0000"/>
                <w:sz w:val="24"/>
                <w:szCs w:val="24"/>
                <w:highlight w:val="none"/>
                <w:lang w:val="en-US" w:eastAsia="zh-CN"/>
              </w:rPr>
              <w:t>本项目产生的饱和活性炭主要产生于废气处理过程中，废气处理中活性炭吸附的主要为各种有机物，活性炭吸附装置工作量达到饱和后需要更换活性炭。本项目废气处理设施</w:t>
            </w:r>
            <w:r>
              <w:rPr>
                <w:rFonts w:hint="default" w:ascii="Times New Roman" w:hAnsi="Times New Roman" w:eastAsia="宋体" w:cs="Times New Roman"/>
                <w:color w:val="FF0000"/>
                <w:sz w:val="24"/>
                <w:szCs w:val="24"/>
                <w:highlight w:val="none"/>
                <w:lang w:val="en-US" w:eastAsia="zh-CN"/>
              </w:rPr>
              <w:t>VOC</w:t>
            </w:r>
            <w:r>
              <w:rPr>
                <w:rFonts w:hint="default" w:ascii="Times New Roman" w:hAnsi="Times New Roman" w:eastAsia="宋体" w:cs="Times New Roman"/>
                <w:color w:val="FF0000"/>
                <w:sz w:val="24"/>
                <w:szCs w:val="24"/>
                <w:highlight w:val="none"/>
                <w:vertAlign w:val="subscript"/>
                <w:lang w:val="en-US" w:eastAsia="zh-CN"/>
              </w:rPr>
              <w:t>S</w:t>
            </w:r>
            <w:r>
              <w:rPr>
                <w:rFonts w:hint="eastAsia" w:ascii="Times New Roman" w:hAnsi="Times New Roman" w:eastAsia="宋体" w:cs="Times New Roman"/>
                <w:color w:val="FF0000"/>
                <w:sz w:val="24"/>
                <w:szCs w:val="24"/>
                <w:highlight w:val="none"/>
                <w:vertAlign w:val="baseline"/>
                <w:lang w:val="en-US" w:eastAsia="zh-CN"/>
              </w:rPr>
              <w:t>总</w:t>
            </w:r>
            <w:r>
              <w:rPr>
                <w:rFonts w:hint="eastAsia" w:ascii="Times New Roman" w:hAnsi="Times New Roman" w:eastAsia="宋体" w:cs="Times New Roman"/>
                <w:color w:val="FF0000"/>
                <w:sz w:val="24"/>
                <w:szCs w:val="24"/>
                <w:highlight w:val="none"/>
                <w:lang w:val="en-US" w:eastAsia="zh-CN"/>
              </w:rPr>
              <w:t>削减量为</w:t>
            </w:r>
            <w:r>
              <w:rPr>
                <w:rFonts w:hint="eastAsia" w:cs="Times New Roman"/>
                <w:color w:val="FF0000"/>
                <w:sz w:val="24"/>
                <w:szCs w:val="24"/>
                <w:highlight w:val="none"/>
                <w:lang w:val="en-US" w:eastAsia="zh-CN"/>
              </w:rPr>
              <w:t>2.836</w:t>
            </w:r>
            <w:r>
              <w:rPr>
                <w:rFonts w:hint="default" w:ascii="Times New Roman" w:hAnsi="Times New Roman" w:eastAsia="宋体" w:cs="Times New Roman"/>
                <w:color w:val="FF0000"/>
                <w:sz w:val="24"/>
                <w:szCs w:val="24"/>
                <w:highlight w:val="none"/>
                <w:lang w:val="en-US" w:eastAsia="zh-CN"/>
              </w:rPr>
              <w:t>t/a</w:t>
            </w:r>
            <w:r>
              <w:rPr>
                <w:rFonts w:hint="eastAsia" w:ascii="Times New Roman" w:hAnsi="Times New Roman" w:eastAsia="宋体" w:cs="Times New Roman"/>
                <w:color w:val="FF0000"/>
                <w:sz w:val="24"/>
                <w:szCs w:val="24"/>
                <w:highlight w:val="none"/>
                <w:lang w:val="en-US" w:eastAsia="zh-CN"/>
              </w:rPr>
              <w:t>，</w:t>
            </w:r>
            <w:r>
              <w:rPr>
                <w:rFonts w:hint="eastAsia" w:ascii="Times New Roman" w:hAnsi="Times New Roman" w:eastAsia="宋体" w:cs="Times New Roman"/>
                <w:color w:val="FF0000"/>
                <w:sz w:val="24"/>
                <w:szCs w:val="22"/>
                <w:highlight w:val="none"/>
                <w:lang w:val="en-US" w:eastAsia="zh-CN"/>
              </w:rPr>
              <w:t>活性炭吸附废气的吸附量取最大值30kg/100kgC，所需活性炭总用量约为</w:t>
            </w:r>
            <w:r>
              <w:rPr>
                <w:rFonts w:hint="eastAsia" w:cs="Times New Roman"/>
                <w:color w:val="FF0000"/>
                <w:sz w:val="24"/>
                <w:szCs w:val="22"/>
                <w:highlight w:val="none"/>
                <w:lang w:val="en-US" w:eastAsia="zh-CN"/>
              </w:rPr>
              <w:t>8.51</w:t>
            </w:r>
            <w:r>
              <w:rPr>
                <w:rFonts w:hint="eastAsia" w:ascii="Times New Roman" w:hAnsi="Times New Roman" w:eastAsia="宋体" w:cs="Times New Roman"/>
                <w:color w:val="FF0000"/>
                <w:sz w:val="24"/>
                <w:szCs w:val="22"/>
                <w:highlight w:val="none"/>
                <w:lang w:val="en-US" w:eastAsia="zh-CN"/>
              </w:rPr>
              <w:t>t/a。</w:t>
            </w:r>
          </w:p>
          <w:p w14:paraId="62F7600E">
            <w:pPr>
              <w:pStyle w:val="2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imes New Roman" w:hAnsi="Times New Roman" w:eastAsia="宋体" w:cs="Times New Roman"/>
                <w:color w:val="FF0000"/>
                <w:sz w:val="24"/>
                <w:szCs w:val="24"/>
                <w:highlight w:val="none"/>
                <w:lang w:val="en-US" w:eastAsia="zh-CN"/>
              </w:rPr>
            </w:pPr>
            <w:r>
              <w:rPr>
                <w:rFonts w:hint="eastAsia" w:ascii="Times New Roman" w:hAnsi="Times New Roman" w:eastAsia="宋体" w:cs="宋体"/>
                <w:color w:val="FF0000"/>
                <w:kern w:val="0"/>
                <w:sz w:val="24"/>
                <w:szCs w:val="24"/>
                <w:highlight w:val="none"/>
                <w:lang w:val="en-US" w:eastAsia="zh-CN" w:bidi="ar"/>
              </w:rPr>
              <w:t>项目废气活性炭吸附装置设计为</w:t>
            </w:r>
            <w:r>
              <w:rPr>
                <w:rFonts w:hint="eastAsia" w:ascii="Times New Roman" w:hAnsi="Times New Roman" w:eastAsia="宋体" w:cs="Times New Roman"/>
                <w:color w:val="FF0000"/>
                <w:kern w:val="0"/>
                <w:sz w:val="24"/>
                <w:szCs w:val="24"/>
                <w:highlight w:val="none"/>
                <w:lang w:val="en-US" w:eastAsia="zh-CN" w:bidi="ar"/>
              </w:rPr>
              <w:t>1.1</w:t>
            </w:r>
            <w:r>
              <w:rPr>
                <w:rFonts w:hint="default" w:ascii="Times New Roman" w:hAnsi="Times New Roman" w:eastAsia="宋体" w:cs="Times New Roman"/>
                <w:color w:val="FF0000"/>
                <w:kern w:val="0"/>
                <w:sz w:val="24"/>
                <w:szCs w:val="24"/>
                <w:highlight w:val="none"/>
                <w:lang w:val="en-US" w:eastAsia="zh-CN" w:bidi="ar"/>
              </w:rPr>
              <w:t>m×</w:t>
            </w:r>
            <w:r>
              <w:rPr>
                <w:rFonts w:hint="eastAsia" w:ascii="Times New Roman" w:hAnsi="Times New Roman" w:eastAsia="宋体" w:cs="Times New Roman"/>
                <w:color w:val="FF0000"/>
                <w:kern w:val="0"/>
                <w:sz w:val="24"/>
                <w:szCs w:val="24"/>
                <w:highlight w:val="none"/>
                <w:lang w:val="en-US" w:eastAsia="zh-CN" w:bidi="ar"/>
              </w:rPr>
              <w:t>0.8</w:t>
            </w:r>
            <w:r>
              <w:rPr>
                <w:rFonts w:hint="default" w:ascii="Times New Roman" w:hAnsi="Times New Roman" w:eastAsia="宋体" w:cs="Times New Roman"/>
                <w:color w:val="FF0000"/>
                <w:kern w:val="0"/>
                <w:sz w:val="24"/>
                <w:szCs w:val="24"/>
                <w:highlight w:val="none"/>
                <w:lang w:val="en-US" w:eastAsia="zh-CN" w:bidi="ar"/>
              </w:rPr>
              <w:t>m</w:t>
            </w:r>
            <w:r>
              <w:rPr>
                <w:rFonts w:hint="eastAsia" w:ascii="Times New Roman" w:hAnsi="Times New Roman" w:eastAsia="宋体" w:cs="宋体"/>
                <w:color w:val="FF0000"/>
                <w:kern w:val="0"/>
                <w:sz w:val="24"/>
                <w:szCs w:val="24"/>
                <w:highlight w:val="none"/>
                <w:lang w:val="en-US" w:eastAsia="zh-CN" w:bidi="ar"/>
              </w:rPr>
              <w:t>，吸附面积为</w:t>
            </w:r>
            <w:r>
              <w:rPr>
                <w:rFonts w:hint="eastAsia" w:ascii="Times New Roman" w:hAnsi="Times New Roman" w:eastAsia="宋体" w:cs="Times New Roman"/>
                <w:color w:val="FF0000"/>
                <w:kern w:val="0"/>
                <w:sz w:val="24"/>
                <w:szCs w:val="24"/>
                <w:highlight w:val="none"/>
                <w:lang w:val="en-US" w:eastAsia="zh-CN" w:bidi="ar"/>
              </w:rPr>
              <w:t>3.9</w:t>
            </w:r>
            <w:r>
              <w:rPr>
                <w:rFonts w:hint="default" w:ascii="Times New Roman" w:hAnsi="Times New Roman" w:eastAsia="宋体" w:cs="Times New Roman"/>
                <w:color w:val="FF0000"/>
                <w:kern w:val="0"/>
                <w:sz w:val="24"/>
                <w:szCs w:val="24"/>
                <w:highlight w:val="none"/>
                <w:lang w:val="en-US" w:eastAsia="zh-CN" w:bidi="ar"/>
              </w:rPr>
              <w:t>m</w:t>
            </w:r>
            <w:r>
              <w:rPr>
                <w:rFonts w:hint="default" w:ascii="Times New Roman" w:hAnsi="Times New Roman" w:eastAsia="宋体" w:cs="Times New Roman"/>
                <w:color w:val="FF0000"/>
                <w:kern w:val="0"/>
                <w:sz w:val="24"/>
                <w:szCs w:val="24"/>
                <w:highlight w:val="none"/>
                <w:vertAlign w:val="superscript"/>
                <w:lang w:val="en-US" w:eastAsia="zh-CN" w:bidi="ar"/>
              </w:rPr>
              <w:t>2</w:t>
            </w:r>
            <w:r>
              <w:rPr>
                <w:rFonts w:hint="eastAsia" w:ascii="Times New Roman" w:hAnsi="Times New Roman" w:eastAsia="宋体" w:cs="宋体"/>
                <w:color w:val="FF0000"/>
                <w:kern w:val="0"/>
                <w:sz w:val="24"/>
                <w:szCs w:val="24"/>
                <w:highlight w:val="none"/>
                <w:lang w:val="en-US" w:eastAsia="zh-CN" w:bidi="ar"/>
              </w:rPr>
              <w:t>，活性炭厚度为</w:t>
            </w:r>
            <w:r>
              <w:rPr>
                <w:rFonts w:hint="eastAsia" w:ascii="Times New Roman" w:hAnsi="Times New Roman" w:eastAsia="宋体" w:cs="Times New Roman"/>
                <w:color w:val="FF0000"/>
                <w:kern w:val="0"/>
                <w:sz w:val="24"/>
                <w:szCs w:val="24"/>
                <w:highlight w:val="none"/>
                <w:lang w:val="en-US" w:eastAsia="zh-CN" w:bidi="ar"/>
              </w:rPr>
              <w:t>1.3</w:t>
            </w:r>
            <w:r>
              <w:rPr>
                <w:rFonts w:hint="default" w:ascii="Times New Roman" w:hAnsi="Times New Roman" w:eastAsia="宋体" w:cs="Times New Roman"/>
                <w:color w:val="FF0000"/>
                <w:kern w:val="0"/>
                <w:sz w:val="24"/>
                <w:szCs w:val="24"/>
                <w:highlight w:val="none"/>
                <w:lang w:val="en-US" w:eastAsia="zh-CN" w:bidi="ar"/>
              </w:rPr>
              <w:t>m</w:t>
            </w:r>
            <w:r>
              <w:rPr>
                <w:rFonts w:hint="eastAsia" w:ascii="Times New Roman" w:hAnsi="Times New Roman" w:eastAsia="宋体" w:cs="宋体"/>
                <w:color w:val="FF0000"/>
                <w:kern w:val="0"/>
                <w:sz w:val="24"/>
                <w:szCs w:val="24"/>
                <w:highlight w:val="none"/>
                <w:lang w:val="en-US" w:eastAsia="zh-CN" w:bidi="ar"/>
              </w:rPr>
              <w:t>，活性炭层数为</w:t>
            </w:r>
            <w:r>
              <w:rPr>
                <w:rFonts w:hint="default" w:ascii="Times New Roman" w:hAnsi="Times New Roman" w:eastAsia="宋体" w:cs="Times New Roman"/>
                <w:color w:val="FF0000"/>
                <w:kern w:val="0"/>
                <w:sz w:val="24"/>
                <w:szCs w:val="24"/>
                <w:highlight w:val="none"/>
                <w:lang w:val="en-US" w:eastAsia="zh-CN" w:bidi="ar"/>
              </w:rPr>
              <w:t>2</w:t>
            </w:r>
            <w:r>
              <w:rPr>
                <w:rFonts w:hint="eastAsia" w:ascii="Times New Roman" w:hAnsi="Times New Roman" w:eastAsia="宋体" w:cs="宋体"/>
                <w:color w:val="FF0000"/>
                <w:kern w:val="0"/>
                <w:sz w:val="24"/>
                <w:szCs w:val="24"/>
                <w:highlight w:val="none"/>
                <w:lang w:val="en-US" w:eastAsia="zh-CN" w:bidi="ar"/>
              </w:rPr>
              <w:t>层，即活性炭吸附箱内需放置活性炭约</w:t>
            </w:r>
            <w:r>
              <w:rPr>
                <w:rFonts w:hint="eastAsia" w:ascii="Times New Roman" w:hAnsi="Times New Roman" w:eastAsia="宋体" w:cs="Times New Roman"/>
                <w:color w:val="FF0000"/>
                <w:kern w:val="0"/>
                <w:sz w:val="24"/>
                <w:szCs w:val="24"/>
                <w:highlight w:val="none"/>
                <w:lang w:val="en-US" w:eastAsia="zh-CN" w:bidi="ar"/>
              </w:rPr>
              <w:t>2.288</w:t>
            </w:r>
            <w:r>
              <w:rPr>
                <w:rFonts w:hint="default" w:ascii="Times New Roman" w:hAnsi="Times New Roman" w:eastAsia="宋体" w:cs="Times New Roman"/>
                <w:color w:val="FF0000"/>
                <w:kern w:val="0"/>
                <w:sz w:val="24"/>
                <w:szCs w:val="24"/>
                <w:highlight w:val="none"/>
                <w:lang w:val="en-US" w:eastAsia="zh-CN" w:bidi="ar"/>
              </w:rPr>
              <w:t>m</w:t>
            </w:r>
            <w:r>
              <w:rPr>
                <w:rFonts w:hint="default" w:ascii="Times New Roman" w:hAnsi="Times New Roman" w:eastAsia="宋体" w:cs="Times New Roman"/>
                <w:color w:val="FF0000"/>
                <w:kern w:val="0"/>
                <w:sz w:val="24"/>
                <w:szCs w:val="24"/>
                <w:highlight w:val="none"/>
                <w:vertAlign w:val="superscript"/>
                <w:lang w:val="en-US" w:eastAsia="zh-CN" w:bidi="ar"/>
              </w:rPr>
              <w:t>3</w:t>
            </w:r>
            <w:r>
              <w:rPr>
                <w:rFonts w:hint="eastAsia" w:ascii="Times New Roman" w:hAnsi="Times New Roman" w:eastAsia="宋体" w:cs="宋体"/>
                <w:color w:val="FF0000"/>
                <w:kern w:val="0"/>
                <w:sz w:val="24"/>
                <w:szCs w:val="24"/>
                <w:highlight w:val="none"/>
                <w:lang w:val="en-US" w:eastAsia="zh-CN" w:bidi="ar"/>
              </w:rPr>
              <w:t>，蜂窝状活性炭的密度为</w:t>
            </w:r>
            <w:r>
              <w:rPr>
                <w:rFonts w:hint="default" w:ascii="Times New Roman" w:hAnsi="Times New Roman" w:eastAsia="宋体" w:cs="Times New Roman"/>
                <w:color w:val="FF0000"/>
                <w:kern w:val="0"/>
                <w:sz w:val="24"/>
                <w:szCs w:val="24"/>
                <w:highlight w:val="none"/>
                <w:lang w:val="en-US" w:eastAsia="zh-CN" w:bidi="ar"/>
              </w:rPr>
              <w:t>0.40-0.55t/m</w:t>
            </w:r>
            <w:r>
              <w:rPr>
                <w:rFonts w:hint="default" w:ascii="Times New Roman" w:hAnsi="Times New Roman" w:eastAsia="宋体" w:cs="Times New Roman"/>
                <w:color w:val="FF0000"/>
                <w:kern w:val="0"/>
                <w:sz w:val="24"/>
                <w:szCs w:val="24"/>
                <w:highlight w:val="none"/>
                <w:vertAlign w:val="superscript"/>
                <w:lang w:val="en-US" w:eastAsia="zh-CN" w:bidi="ar"/>
              </w:rPr>
              <w:t>3</w:t>
            </w:r>
            <w:r>
              <w:rPr>
                <w:rFonts w:hint="eastAsia" w:ascii="Times New Roman" w:hAnsi="Times New Roman" w:eastAsia="宋体" w:cs="宋体"/>
                <w:color w:val="FF0000"/>
                <w:kern w:val="0"/>
                <w:sz w:val="24"/>
                <w:szCs w:val="24"/>
                <w:highlight w:val="none"/>
                <w:lang w:val="en-US" w:eastAsia="zh-CN" w:bidi="ar"/>
              </w:rPr>
              <w:t>（本环评取</w:t>
            </w:r>
            <w:r>
              <w:rPr>
                <w:rFonts w:hint="default" w:ascii="Times New Roman" w:hAnsi="Times New Roman" w:eastAsia="宋体" w:cs="Times New Roman"/>
                <w:color w:val="FF0000"/>
                <w:kern w:val="0"/>
                <w:sz w:val="24"/>
                <w:szCs w:val="24"/>
                <w:highlight w:val="none"/>
                <w:lang w:val="en-US" w:eastAsia="zh-CN" w:bidi="ar"/>
              </w:rPr>
              <w:t>0.45t/m</w:t>
            </w:r>
            <w:r>
              <w:rPr>
                <w:rFonts w:hint="default" w:ascii="Times New Roman" w:hAnsi="Times New Roman" w:eastAsia="宋体" w:cs="Times New Roman"/>
                <w:color w:val="FF0000"/>
                <w:kern w:val="0"/>
                <w:sz w:val="24"/>
                <w:szCs w:val="24"/>
                <w:highlight w:val="none"/>
                <w:vertAlign w:val="superscript"/>
                <w:lang w:val="en-US" w:eastAsia="zh-CN" w:bidi="ar"/>
              </w:rPr>
              <w:t>3</w:t>
            </w:r>
            <w:r>
              <w:rPr>
                <w:rFonts w:hint="eastAsia" w:ascii="Times New Roman" w:hAnsi="Times New Roman" w:eastAsia="宋体" w:cs="宋体"/>
                <w:color w:val="FF0000"/>
                <w:kern w:val="0"/>
                <w:sz w:val="24"/>
                <w:szCs w:val="24"/>
                <w:highlight w:val="none"/>
                <w:lang w:val="en-US" w:eastAsia="zh-CN" w:bidi="ar"/>
              </w:rPr>
              <w:t>），则活性炭约</w:t>
            </w:r>
            <w:r>
              <w:rPr>
                <w:rFonts w:hint="eastAsia" w:ascii="Times New Roman" w:hAnsi="Times New Roman" w:eastAsia="宋体" w:cs="Times New Roman"/>
                <w:color w:val="FF0000"/>
                <w:kern w:val="0"/>
                <w:sz w:val="24"/>
                <w:szCs w:val="24"/>
                <w:highlight w:val="none"/>
                <w:lang w:val="en-US" w:eastAsia="zh-CN" w:bidi="ar"/>
              </w:rPr>
              <w:t>1.03</w:t>
            </w:r>
            <w:r>
              <w:rPr>
                <w:rFonts w:hint="default" w:ascii="Times New Roman" w:hAnsi="Times New Roman" w:eastAsia="宋体" w:cs="Times New Roman"/>
                <w:color w:val="FF0000"/>
                <w:kern w:val="0"/>
                <w:sz w:val="24"/>
                <w:szCs w:val="24"/>
                <w:highlight w:val="none"/>
                <w:lang w:val="en-US" w:eastAsia="zh-CN" w:bidi="ar"/>
              </w:rPr>
              <w:t>t</w:t>
            </w:r>
            <w:r>
              <w:rPr>
                <w:rFonts w:hint="eastAsia" w:ascii="Times New Roman" w:hAnsi="Times New Roman" w:eastAsia="宋体" w:cs="Times New Roman"/>
                <w:color w:val="FF0000"/>
                <w:sz w:val="24"/>
                <w:szCs w:val="24"/>
                <w:highlight w:val="none"/>
                <w:lang w:val="en-US" w:eastAsia="zh-CN"/>
              </w:rPr>
              <w:t>，一年更换</w:t>
            </w:r>
            <w:r>
              <w:rPr>
                <w:rFonts w:hint="eastAsia" w:cs="Times New Roman"/>
                <w:color w:val="FF0000"/>
                <w:sz w:val="24"/>
                <w:szCs w:val="24"/>
                <w:highlight w:val="none"/>
                <w:lang w:val="en-US" w:eastAsia="zh-CN"/>
              </w:rPr>
              <w:t>9</w:t>
            </w:r>
            <w:r>
              <w:rPr>
                <w:rFonts w:hint="eastAsia" w:ascii="Times New Roman" w:hAnsi="Times New Roman" w:eastAsia="宋体" w:cs="Times New Roman"/>
                <w:color w:val="FF0000"/>
                <w:sz w:val="24"/>
                <w:szCs w:val="24"/>
                <w:highlight w:val="none"/>
                <w:lang w:val="en-US" w:eastAsia="zh-CN"/>
              </w:rPr>
              <w:t>次，总计约</w:t>
            </w:r>
            <w:r>
              <w:rPr>
                <w:rFonts w:hint="eastAsia" w:cs="Times New Roman"/>
                <w:color w:val="FF0000"/>
                <w:sz w:val="24"/>
                <w:szCs w:val="24"/>
                <w:highlight w:val="none"/>
                <w:lang w:val="en-US" w:eastAsia="zh-CN"/>
              </w:rPr>
              <w:t>9.27</w:t>
            </w:r>
            <w:r>
              <w:rPr>
                <w:rFonts w:hint="default" w:ascii="Times New Roman" w:hAnsi="Times New Roman" w:eastAsia="宋体" w:cs="Times New Roman"/>
                <w:color w:val="FF0000"/>
                <w:kern w:val="0"/>
                <w:sz w:val="24"/>
                <w:szCs w:val="24"/>
                <w:highlight w:val="none"/>
                <w:lang w:val="en-US" w:eastAsia="zh-CN" w:bidi="ar"/>
              </w:rPr>
              <w:t>t</w:t>
            </w:r>
            <w:r>
              <w:rPr>
                <w:rFonts w:hint="eastAsia" w:ascii="Times New Roman" w:hAnsi="Times New Roman" w:eastAsia="宋体" w:cs="宋体"/>
                <w:color w:val="FF0000"/>
                <w:kern w:val="0"/>
                <w:sz w:val="24"/>
                <w:szCs w:val="24"/>
                <w:highlight w:val="none"/>
                <w:lang w:val="en-US" w:eastAsia="zh-CN" w:bidi="ar"/>
              </w:rPr>
              <w:t>，大于理论所需活性炭使用量，可满足有机废气的去除。</w:t>
            </w:r>
            <w:r>
              <w:rPr>
                <w:rFonts w:hint="eastAsia" w:ascii="Times New Roman" w:hAnsi="Times New Roman" w:eastAsia="宋体" w:cs="Times New Roman"/>
                <w:color w:val="FF0000"/>
                <w:sz w:val="24"/>
                <w:szCs w:val="24"/>
                <w:highlight w:val="none"/>
                <w:lang w:val="en-US" w:eastAsia="zh-CN"/>
              </w:rPr>
              <w:t>活性炭吸附有机废气产生的废饱和活性炭量为：</w:t>
            </w:r>
            <w:r>
              <w:rPr>
                <w:rFonts w:hint="eastAsia" w:ascii="Times New Roman" w:hAnsi="Times New Roman" w:eastAsia="宋体" w:cs="Times New Roman"/>
                <w:color w:val="FF0000"/>
                <w:kern w:val="0"/>
                <w:sz w:val="24"/>
                <w:szCs w:val="24"/>
                <w:highlight w:val="none"/>
                <w:lang w:val="en-US" w:eastAsia="zh-CN" w:bidi="ar"/>
              </w:rPr>
              <w:t>1.03</w:t>
            </w:r>
            <w:r>
              <w:rPr>
                <w:rFonts w:hint="default" w:ascii="Times New Roman" w:hAnsi="Times New Roman" w:eastAsia="宋体" w:cs="Times New Roman"/>
                <w:color w:val="FF0000"/>
                <w:sz w:val="24"/>
                <w:szCs w:val="24"/>
                <w:highlight w:val="none"/>
                <w:lang w:val="en-US" w:eastAsia="zh-CN"/>
              </w:rPr>
              <w:t>t/a×</w:t>
            </w:r>
            <w:r>
              <w:rPr>
                <w:rFonts w:hint="eastAsia" w:cs="Times New Roman"/>
                <w:color w:val="FF0000"/>
                <w:sz w:val="24"/>
                <w:szCs w:val="24"/>
                <w:highlight w:val="none"/>
                <w:lang w:val="en-US" w:eastAsia="zh-CN"/>
              </w:rPr>
              <w:t>9</w:t>
            </w:r>
            <w:r>
              <w:rPr>
                <w:rFonts w:hint="default" w:ascii="Times New Roman" w:hAnsi="Times New Roman" w:eastAsia="宋体" w:cs="Times New Roman"/>
                <w:color w:val="FF0000"/>
                <w:sz w:val="24"/>
                <w:szCs w:val="24"/>
                <w:highlight w:val="none"/>
                <w:lang w:val="en-US" w:eastAsia="zh-CN"/>
              </w:rPr>
              <w:t>+</w:t>
            </w:r>
            <w:r>
              <w:rPr>
                <w:rFonts w:hint="eastAsia" w:cs="Times New Roman"/>
                <w:color w:val="FF0000"/>
                <w:sz w:val="24"/>
                <w:szCs w:val="24"/>
                <w:highlight w:val="none"/>
                <w:lang w:val="en-US" w:eastAsia="zh-CN"/>
              </w:rPr>
              <w:t>2.836</w:t>
            </w:r>
            <w:r>
              <w:rPr>
                <w:rFonts w:hint="default" w:ascii="Times New Roman" w:hAnsi="Times New Roman" w:eastAsia="宋体" w:cs="Times New Roman"/>
                <w:color w:val="FF0000"/>
                <w:sz w:val="24"/>
                <w:szCs w:val="24"/>
                <w:highlight w:val="none"/>
                <w:lang w:val="en-US" w:eastAsia="zh-CN"/>
              </w:rPr>
              <w:t>t/a=</w:t>
            </w:r>
            <w:r>
              <w:rPr>
                <w:rFonts w:hint="eastAsia" w:cs="Times New Roman"/>
                <w:color w:val="FF0000"/>
                <w:sz w:val="24"/>
                <w:szCs w:val="24"/>
                <w:highlight w:val="none"/>
                <w:lang w:val="en-US" w:eastAsia="zh-CN"/>
              </w:rPr>
              <w:t>12.1</w:t>
            </w:r>
            <w:r>
              <w:rPr>
                <w:rFonts w:hint="default" w:ascii="Times New Roman" w:hAnsi="Times New Roman" w:eastAsia="宋体" w:cs="Times New Roman"/>
                <w:color w:val="FF0000"/>
                <w:sz w:val="24"/>
                <w:szCs w:val="24"/>
                <w:highlight w:val="none"/>
                <w:lang w:val="en-US" w:eastAsia="zh-CN"/>
              </w:rPr>
              <w:t>t/a</w:t>
            </w:r>
            <w:r>
              <w:rPr>
                <w:rFonts w:hint="eastAsia" w:ascii="Times New Roman" w:hAnsi="Times New Roman" w:eastAsia="宋体" w:cs="Times New Roman"/>
                <w:color w:val="FF0000"/>
                <w:sz w:val="24"/>
                <w:szCs w:val="24"/>
                <w:highlight w:val="none"/>
                <w:lang w:val="en-US" w:eastAsia="zh-CN"/>
              </w:rPr>
              <w:t>。</w:t>
            </w:r>
          </w:p>
          <w:p w14:paraId="07D59E2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both"/>
              <w:textAlignment w:val="auto"/>
              <w:outlineLvl w:val="9"/>
              <w:rPr>
                <w:rFonts w:hint="default" w:ascii="Times New Roman" w:hAnsi="Times New Roman" w:eastAsia="宋体" w:cs="Times New Roman"/>
                <w:color w:val="FF0000"/>
                <w:sz w:val="24"/>
                <w:szCs w:val="24"/>
                <w:highlight w:val="none"/>
                <w:lang w:eastAsia="zh-CN"/>
              </w:rPr>
            </w:pPr>
            <w:r>
              <w:rPr>
                <w:rFonts w:hint="eastAsia" w:ascii="Times New Roman" w:hAnsi="Times New Roman" w:eastAsia="宋体" w:cs="Times New Roman"/>
                <w:color w:val="FF0000"/>
                <w:sz w:val="24"/>
                <w:szCs w:val="24"/>
                <w:highlight w:val="none"/>
                <w:lang w:val="en-US" w:eastAsia="zh-CN"/>
              </w:rPr>
              <w:t>根据《国家危险废物名录》（</w:t>
            </w:r>
            <w:r>
              <w:rPr>
                <w:rFonts w:hint="default" w:ascii="Times New Roman" w:hAnsi="Times New Roman" w:eastAsia="宋体" w:cs="Times New Roman"/>
                <w:color w:val="FF0000"/>
                <w:sz w:val="24"/>
                <w:szCs w:val="24"/>
                <w:highlight w:val="none"/>
                <w:lang w:val="en-US" w:eastAsia="zh-CN"/>
              </w:rPr>
              <w:t>202</w:t>
            </w:r>
            <w:r>
              <w:rPr>
                <w:rFonts w:hint="eastAsia" w:ascii="Times New Roman" w:hAnsi="Times New Roman" w:eastAsia="宋体" w:cs="Times New Roman"/>
                <w:color w:val="FF0000"/>
                <w:sz w:val="24"/>
                <w:szCs w:val="24"/>
                <w:highlight w:val="none"/>
                <w:lang w:val="en-US" w:eastAsia="zh-CN"/>
              </w:rPr>
              <w:t>5年</w:t>
            </w:r>
            <w:r>
              <w:rPr>
                <w:rFonts w:hint="default" w:ascii="Times New Roman" w:hAnsi="Times New Roman" w:eastAsia="宋体" w:cs="Times New Roman"/>
                <w:color w:val="FF0000"/>
                <w:sz w:val="24"/>
                <w:szCs w:val="24"/>
                <w:highlight w:val="none"/>
                <w:lang w:val="en-US" w:eastAsia="zh-CN"/>
              </w:rPr>
              <w:t>版</w:t>
            </w:r>
            <w:r>
              <w:rPr>
                <w:rFonts w:hint="eastAsia" w:ascii="Times New Roman" w:hAnsi="Times New Roman" w:eastAsia="宋体" w:cs="Times New Roman"/>
                <w:color w:val="FF0000"/>
                <w:sz w:val="24"/>
                <w:szCs w:val="24"/>
                <w:highlight w:val="none"/>
                <w:lang w:val="en-US" w:eastAsia="zh-CN"/>
              </w:rPr>
              <w:t>），废活性炭属于危险废物（</w:t>
            </w:r>
            <w:r>
              <w:rPr>
                <w:rFonts w:hint="default" w:ascii="Times New Roman" w:hAnsi="Times New Roman" w:eastAsia="宋体" w:cs="Times New Roman"/>
                <w:color w:val="FF0000"/>
                <w:sz w:val="24"/>
                <w:szCs w:val="24"/>
                <w:highlight w:val="none"/>
                <w:lang w:val="en-US" w:eastAsia="zh-CN"/>
              </w:rPr>
              <w:t>HW49</w:t>
            </w:r>
            <w:r>
              <w:rPr>
                <w:rFonts w:hint="eastAsia" w:ascii="Times New Roman" w:hAnsi="Times New Roman" w:eastAsia="宋体" w:cs="Times New Roman"/>
                <w:color w:val="FF0000"/>
                <w:sz w:val="24"/>
                <w:szCs w:val="24"/>
                <w:highlight w:val="none"/>
                <w:lang w:val="en-US" w:eastAsia="zh-CN"/>
              </w:rPr>
              <w:t xml:space="preserve">），危废代码为 </w:t>
            </w:r>
            <w:r>
              <w:rPr>
                <w:rFonts w:hint="default" w:ascii="Times New Roman" w:hAnsi="Times New Roman" w:eastAsia="宋体" w:cs="Times New Roman"/>
                <w:color w:val="FF0000"/>
                <w:sz w:val="24"/>
                <w:szCs w:val="24"/>
                <w:highlight w:val="none"/>
                <w:lang w:val="en-US" w:eastAsia="zh-CN"/>
              </w:rPr>
              <w:t>900-039-49</w:t>
            </w:r>
            <w:r>
              <w:rPr>
                <w:rFonts w:hint="default" w:ascii="Times New Roman" w:hAnsi="Times New Roman" w:eastAsia="宋体" w:cs="Times New Roman"/>
                <w:color w:val="FF0000"/>
                <w:sz w:val="24"/>
                <w:szCs w:val="24"/>
                <w:highlight w:val="none"/>
              </w:rPr>
              <w:t>（烟气、VOCs 治理过程（不包括餐饮行业油烟治理过程）产生的废活性炭，化学原料和化学制品脱色（不包括有机合成食品添加剂脱色）、除杂、净化过程产生的废活性炭（不包括900-405-06、772-005-18、261-053-29、265-002-29、384-003-29、387-001-29类废物））</w:t>
            </w:r>
            <w:r>
              <w:rPr>
                <w:rFonts w:hint="default" w:ascii="Times New Roman" w:hAnsi="Times New Roman" w:eastAsia="宋体" w:cs="Times New Roman"/>
                <w:color w:val="FF0000"/>
                <w:sz w:val="24"/>
                <w:szCs w:val="24"/>
                <w:highlight w:val="none"/>
                <w:lang w:eastAsia="zh-CN"/>
              </w:rPr>
              <w:t>，</w:t>
            </w:r>
            <w:r>
              <w:rPr>
                <w:rFonts w:hint="default" w:ascii="Times New Roman" w:hAnsi="Times New Roman" w:eastAsia="宋体" w:cs="Times New Roman"/>
                <w:b w:val="0"/>
                <w:bCs/>
                <w:color w:val="FF0000"/>
                <w:sz w:val="24"/>
                <w:szCs w:val="24"/>
                <w:highlight w:val="none"/>
                <w:lang w:val="en-US" w:eastAsia="zh-CN"/>
              </w:rPr>
              <w:t>委托有危废处置资质单位进行处置</w:t>
            </w:r>
            <w:r>
              <w:rPr>
                <w:rFonts w:hint="default" w:ascii="Times New Roman" w:hAnsi="Times New Roman" w:eastAsia="宋体" w:cs="Times New Roman"/>
                <w:color w:val="FF0000"/>
                <w:sz w:val="24"/>
                <w:szCs w:val="24"/>
                <w:highlight w:val="none"/>
                <w:lang w:eastAsia="zh-CN"/>
              </w:rPr>
              <w:t>。</w:t>
            </w:r>
          </w:p>
          <w:p w14:paraId="64BD784C">
            <w:pPr>
              <w:pStyle w:val="29"/>
              <w:numPr>
                <w:ilvl w:val="0"/>
                <w:numId w:val="14"/>
              </w:numP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废机油及机油桶</w:t>
            </w:r>
          </w:p>
          <w:p w14:paraId="1DBDDE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根据企业提供资料，本项目</w:t>
            </w:r>
            <w:r>
              <w:rPr>
                <w:rFonts w:hint="eastAsia" w:ascii="Times New Roman" w:hAnsi="Times New Roman" w:eastAsia="宋体" w:cs="Times New Roman"/>
                <w:color w:val="auto"/>
                <w:sz w:val="24"/>
                <w:szCs w:val="24"/>
                <w:highlight w:val="none"/>
                <w:lang w:val="en-US" w:eastAsia="zh-CN"/>
              </w:rPr>
              <w:t>设备维修产生的</w:t>
            </w:r>
            <w:r>
              <w:rPr>
                <w:rFonts w:hint="default" w:ascii="Times New Roman" w:hAnsi="Times New Roman" w:eastAsia="宋体" w:cs="Times New Roman"/>
                <w:color w:val="auto"/>
                <w:sz w:val="24"/>
                <w:szCs w:val="24"/>
                <w:highlight w:val="none"/>
                <w:lang w:val="en-US" w:eastAsia="zh-CN"/>
              </w:rPr>
              <w:t>废</w:t>
            </w:r>
            <w:r>
              <w:rPr>
                <w:rFonts w:hint="eastAsia" w:ascii="Times New Roman" w:hAnsi="Times New Roman" w:eastAsia="宋体" w:cs="Times New Roman"/>
                <w:bCs/>
                <w:color w:val="auto"/>
                <w:sz w:val="24"/>
                <w:szCs w:val="24"/>
                <w:highlight w:val="none"/>
                <w:lang w:val="en-US" w:eastAsia="zh-CN"/>
              </w:rPr>
              <w:t>机油及</w:t>
            </w:r>
            <w:r>
              <w:rPr>
                <w:rFonts w:hint="default" w:ascii="Times New Roman" w:hAnsi="Times New Roman" w:eastAsia="宋体" w:cs="Times New Roman"/>
                <w:bCs/>
                <w:color w:val="auto"/>
                <w:sz w:val="24"/>
                <w:szCs w:val="24"/>
                <w:highlight w:val="none"/>
              </w:rPr>
              <w:t>油</w:t>
            </w:r>
            <w:r>
              <w:rPr>
                <w:rFonts w:hint="eastAsia" w:ascii="Times New Roman" w:hAnsi="Times New Roman" w:eastAsia="宋体" w:cs="Times New Roman"/>
                <w:color w:val="auto"/>
                <w:sz w:val="24"/>
                <w:szCs w:val="24"/>
                <w:highlight w:val="none"/>
                <w:lang w:val="en-US" w:eastAsia="zh-CN"/>
              </w:rPr>
              <w:t>桶</w:t>
            </w:r>
            <w:r>
              <w:rPr>
                <w:rFonts w:hint="default" w:ascii="Times New Roman" w:hAnsi="Times New Roman" w:eastAsia="宋体" w:cs="Times New Roman"/>
                <w:color w:val="auto"/>
                <w:sz w:val="24"/>
                <w:szCs w:val="24"/>
                <w:highlight w:val="none"/>
                <w:lang w:val="en-US" w:eastAsia="zh-CN"/>
              </w:rPr>
              <w:t>产生</w:t>
            </w:r>
            <w:r>
              <w:rPr>
                <w:rFonts w:hint="eastAsia" w:ascii="Times New Roman" w:hAnsi="Times New Roman" w:eastAsia="宋体" w:cs="Times New Roman"/>
                <w:color w:val="auto"/>
                <w:sz w:val="24"/>
                <w:szCs w:val="24"/>
                <w:highlight w:val="none"/>
                <w:lang w:val="en-US" w:eastAsia="zh-CN"/>
              </w:rPr>
              <w:t>量约0.1t/a</w:t>
            </w:r>
            <w:r>
              <w:rPr>
                <w:rFonts w:hint="default" w:ascii="Times New Roman" w:hAnsi="Times New Roman" w:eastAsia="宋体" w:cs="Times New Roman"/>
                <w:color w:val="auto"/>
                <w:sz w:val="24"/>
                <w:szCs w:val="24"/>
                <w:highlight w:val="none"/>
                <w:lang w:val="en-US" w:eastAsia="zh-CN"/>
              </w:rPr>
              <w:t>。根据《国家危险废物名录》（202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年版），</w:t>
            </w:r>
            <w:r>
              <w:rPr>
                <w:rFonts w:hint="default" w:ascii="Times New Roman" w:hAnsi="Times New Roman" w:eastAsia="宋体" w:cs="Times New Roman"/>
                <w:color w:val="auto"/>
                <w:sz w:val="24"/>
                <w:highlight w:val="none"/>
                <w:lang w:eastAsia="zh-CN"/>
              </w:rPr>
              <w:t>本</w:t>
            </w:r>
            <w:r>
              <w:rPr>
                <w:rFonts w:hint="default" w:ascii="Times New Roman" w:hAnsi="Times New Roman" w:eastAsia="宋体" w:cs="Times New Roman"/>
                <w:color w:val="auto"/>
                <w:sz w:val="24"/>
                <w:highlight w:val="none"/>
              </w:rPr>
              <w:t>项目设备养护及检修产生的</w:t>
            </w:r>
            <w:r>
              <w:rPr>
                <w:rFonts w:hint="default" w:ascii="Times New Roman" w:hAnsi="Times New Roman" w:eastAsia="宋体" w:cs="Times New Roman"/>
                <w:color w:val="auto"/>
                <w:sz w:val="24"/>
                <w:highlight w:val="none"/>
                <w:lang w:eastAsia="zh-CN"/>
              </w:rPr>
              <w:t>废</w:t>
            </w:r>
            <w:r>
              <w:rPr>
                <w:rFonts w:hint="eastAsia" w:ascii="Times New Roman" w:hAnsi="Times New Roman" w:eastAsia="宋体" w:cs="Times New Roman"/>
                <w:color w:val="auto"/>
                <w:sz w:val="24"/>
                <w:highlight w:val="none"/>
                <w:lang w:val="en-US" w:eastAsia="zh-CN"/>
              </w:rPr>
              <w:t>机</w:t>
            </w:r>
            <w:r>
              <w:rPr>
                <w:rFonts w:hint="default" w:ascii="Times New Roman" w:hAnsi="Times New Roman" w:eastAsia="宋体" w:cs="Times New Roman"/>
                <w:color w:val="auto"/>
                <w:sz w:val="24"/>
                <w:highlight w:val="none"/>
                <w:lang w:eastAsia="zh-CN"/>
              </w:rPr>
              <w:t>油</w:t>
            </w:r>
            <w:r>
              <w:rPr>
                <w:rFonts w:hint="default" w:ascii="Times New Roman" w:hAnsi="Times New Roman" w:eastAsia="宋体" w:cs="Times New Roman"/>
                <w:color w:val="auto"/>
                <w:sz w:val="24"/>
                <w:highlight w:val="none"/>
              </w:rPr>
              <w:t>属于危险废物，危废类别HW08，危废代码900-214-08，收集后采用桶装，暂存于危废暂存间内，定期委托具备相应资质的专业危险废物处置单位处理。</w:t>
            </w:r>
            <w:r>
              <w:rPr>
                <w:rFonts w:hint="default" w:ascii="Times New Roman" w:hAnsi="Times New Roman" w:eastAsia="宋体" w:cs="Times New Roman"/>
                <w:color w:val="auto"/>
                <w:sz w:val="24"/>
                <w:szCs w:val="24"/>
                <w:highlight w:val="none"/>
                <w:lang w:val="en-US" w:eastAsia="zh-CN"/>
              </w:rPr>
              <w:t>废油桶根据《国家危险废物名录》（202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年版），其属于危险废物，属于HW49危险废物，废物代码 900-041-49，暂存于危险废物暂存间，定期交由有资质单位处理。</w:t>
            </w:r>
          </w:p>
          <w:p w14:paraId="7D688B8A">
            <w:pPr>
              <w:keepNext w:val="0"/>
              <w:keepLines w:val="0"/>
              <w:pageBreakBefore w:val="0"/>
              <w:tabs>
                <w:tab w:val="left" w:pos="0"/>
              </w:tabs>
              <w:kinsoku/>
              <w:wordWrap/>
              <w:overflowPunct/>
              <w:topLinePunct w:val="0"/>
              <w:autoSpaceDE/>
              <w:autoSpaceDN/>
              <w:bidi w:val="0"/>
              <w:spacing w:line="360" w:lineRule="auto"/>
              <w:ind w:left="0" w:leftChars="0" w:firstLine="480" w:firstLineChars="200"/>
              <w:jc w:val="left"/>
              <w:textAlignment w:val="auto"/>
              <w:rPr>
                <w:rFonts w:hint="default" w:ascii="Times New Roman" w:hAnsi="Times New Roman" w:eastAsia="宋体"/>
                <w:color w:val="auto"/>
                <w:highlight w:val="none"/>
                <w:lang w:val="zh-CN"/>
              </w:rPr>
            </w:pPr>
            <w:r>
              <w:rPr>
                <w:rFonts w:hint="default" w:ascii="Times New Roman" w:hAnsi="Times New Roman" w:eastAsia="宋体" w:cs="Times New Roman"/>
                <w:color w:val="auto"/>
                <w:sz w:val="24"/>
                <w:highlight w:val="none"/>
                <w:lang w:val="zh-CN"/>
              </w:rPr>
              <w:t>项目固体废物产生量及处理措施见下表：</w:t>
            </w:r>
          </w:p>
          <w:p w14:paraId="79117895">
            <w:pPr>
              <w:pStyle w:val="101"/>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表4-1</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 xml:space="preserve"> 固体废物产生及处置一览表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6"/>
              <w:gridCol w:w="832"/>
              <w:gridCol w:w="833"/>
              <w:gridCol w:w="532"/>
              <w:gridCol w:w="1104"/>
              <w:gridCol w:w="588"/>
              <w:gridCol w:w="1675"/>
              <w:gridCol w:w="1921"/>
            </w:tblGrid>
            <w:tr w14:paraId="7AFC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86" w:type="dxa"/>
                  <w:tcBorders>
                    <w:tl2br w:val="nil"/>
                    <w:tr2bl w:val="nil"/>
                  </w:tcBorders>
                  <w:noWrap w:val="0"/>
                  <w:vAlign w:val="center"/>
                </w:tcPr>
                <w:p w14:paraId="5210AC5B">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产生</w:t>
                  </w:r>
                </w:p>
                <w:p w14:paraId="03FC3F18">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环节</w:t>
                  </w:r>
                </w:p>
              </w:tc>
              <w:tc>
                <w:tcPr>
                  <w:tcW w:w="832" w:type="dxa"/>
                  <w:tcBorders>
                    <w:tl2br w:val="nil"/>
                    <w:tr2bl w:val="nil"/>
                  </w:tcBorders>
                  <w:noWrap w:val="0"/>
                  <w:vAlign w:val="center"/>
                </w:tcPr>
                <w:p w14:paraId="07E234A5">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名称</w:t>
                  </w:r>
                </w:p>
              </w:tc>
              <w:tc>
                <w:tcPr>
                  <w:tcW w:w="833" w:type="dxa"/>
                  <w:tcBorders>
                    <w:tl2br w:val="nil"/>
                    <w:tr2bl w:val="nil"/>
                  </w:tcBorders>
                  <w:noWrap w:val="0"/>
                  <w:vAlign w:val="center"/>
                </w:tcPr>
                <w:p w14:paraId="5B7740A3">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主要有毒有害物质</w:t>
                  </w:r>
                </w:p>
              </w:tc>
              <w:tc>
                <w:tcPr>
                  <w:tcW w:w="532" w:type="dxa"/>
                  <w:tcBorders>
                    <w:tl2br w:val="nil"/>
                    <w:tr2bl w:val="nil"/>
                  </w:tcBorders>
                  <w:noWrap w:val="0"/>
                  <w:vAlign w:val="center"/>
                </w:tcPr>
                <w:p w14:paraId="0E8DF740">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物理性状</w:t>
                  </w:r>
                </w:p>
              </w:tc>
              <w:tc>
                <w:tcPr>
                  <w:tcW w:w="1104" w:type="dxa"/>
                  <w:tcBorders>
                    <w:tl2br w:val="nil"/>
                    <w:tr2bl w:val="nil"/>
                  </w:tcBorders>
                  <w:noWrap w:val="0"/>
                  <w:vAlign w:val="center"/>
                </w:tcPr>
                <w:p w14:paraId="088E8386">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固废</w:t>
                  </w:r>
                  <w:r>
                    <w:rPr>
                      <w:rFonts w:hint="default" w:ascii="Times New Roman" w:hAnsi="Times New Roman" w:eastAsia="宋体" w:cs="Times New Roman"/>
                      <w:b w:val="0"/>
                      <w:bCs w:val="0"/>
                      <w:color w:val="auto"/>
                      <w:sz w:val="21"/>
                      <w:szCs w:val="21"/>
                      <w:highlight w:val="none"/>
                    </w:rPr>
                    <w:t>类别及编码</w:t>
                  </w:r>
                </w:p>
              </w:tc>
              <w:tc>
                <w:tcPr>
                  <w:tcW w:w="588" w:type="dxa"/>
                  <w:tcBorders>
                    <w:tl2br w:val="nil"/>
                    <w:tr2bl w:val="nil"/>
                  </w:tcBorders>
                  <w:noWrap w:val="0"/>
                  <w:vAlign w:val="center"/>
                </w:tcPr>
                <w:p w14:paraId="1567315B">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环境危险特性</w:t>
                  </w:r>
                </w:p>
              </w:tc>
              <w:tc>
                <w:tcPr>
                  <w:tcW w:w="1675" w:type="dxa"/>
                  <w:tcBorders>
                    <w:tl2br w:val="nil"/>
                    <w:tr2bl w:val="nil"/>
                  </w:tcBorders>
                  <w:noWrap w:val="0"/>
                  <w:vAlign w:val="center"/>
                </w:tcPr>
                <w:p w14:paraId="02B662AA">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产生量</w:t>
                  </w:r>
                </w:p>
              </w:tc>
              <w:tc>
                <w:tcPr>
                  <w:tcW w:w="1921" w:type="dxa"/>
                  <w:tcBorders>
                    <w:tl2br w:val="nil"/>
                    <w:tr2bl w:val="nil"/>
                  </w:tcBorders>
                  <w:noWrap w:val="0"/>
                  <w:vAlign w:val="center"/>
                </w:tcPr>
                <w:p w14:paraId="54B39DDD">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处置措施及去向</w:t>
                  </w:r>
                </w:p>
              </w:tc>
            </w:tr>
            <w:tr w14:paraId="1176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71" w:type="dxa"/>
                  <w:gridSpan w:val="8"/>
                  <w:tcBorders>
                    <w:tl2br w:val="nil"/>
                    <w:tr2bl w:val="nil"/>
                  </w:tcBorders>
                  <w:noWrap w:val="0"/>
                  <w:vAlign w:val="center"/>
                </w:tcPr>
                <w:p w14:paraId="1FCB1D10">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一般工业固体废弃物</w:t>
                  </w:r>
                </w:p>
              </w:tc>
            </w:tr>
            <w:tr w14:paraId="5FA5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 w:hRule="atLeast"/>
                <w:jc w:val="center"/>
              </w:trPr>
              <w:tc>
                <w:tcPr>
                  <w:tcW w:w="786" w:type="dxa"/>
                  <w:tcBorders>
                    <w:tl2br w:val="nil"/>
                    <w:tr2bl w:val="nil"/>
                  </w:tcBorders>
                  <w:noWrap w:val="0"/>
                  <w:vAlign w:val="center"/>
                </w:tcPr>
                <w:p w14:paraId="72A72AC0">
                  <w:pPr>
                    <w:autoSpaceDE w:val="0"/>
                    <w:autoSpaceDN w:val="0"/>
                    <w:adjustRightInd w:val="0"/>
                    <w:jc w:val="center"/>
                    <w:rPr>
                      <w:rFonts w:hint="default" w:ascii="Times New Roman" w:hAnsi="Times New Roman" w:eastAsia="宋体" w:cs="Times New Roman"/>
                      <w:b w:val="0"/>
                      <w:bCs w:val="0"/>
                      <w:color w:val="auto"/>
                      <w:sz w:val="21"/>
                      <w:szCs w:val="21"/>
                      <w:highlight w:val="none"/>
                      <w:lang w:val="zh-CN"/>
                    </w:rPr>
                  </w:pPr>
                  <w:r>
                    <w:rPr>
                      <w:rFonts w:hint="default" w:ascii="Times New Roman" w:hAnsi="Times New Roman" w:eastAsia="宋体" w:cs="Times New Roman"/>
                      <w:b w:val="0"/>
                      <w:bCs w:val="0"/>
                      <w:color w:val="auto"/>
                      <w:sz w:val="21"/>
                      <w:szCs w:val="21"/>
                      <w:highlight w:val="none"/>
                    </w:rPr>
                    <w:t>生产</w:t>
                  </w:r>
                </w:p>
              </w:tc>
              <w:tc>
                <w:tcPr>
                  <w:tcW w:w="832" w:type="dxa"/>
                  <w:tcBorders>
                    <w:tl2br w:val="nil"/>
                    <w:tr2bl w:val="nil"/>
                  </w:tcBorders>
                  <w:noWrap w:val="0"/>
                  <w:vAlign w:val="center"/>
                </w:tcPr>
                <w:p w14:paraId="59E4B62D">
                  <w:pPr>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废包装材料</w:t>
                  </w:r>
                </w:p>
              </w:tc>
              <w:tc>
                <w:tcPr>
                  <w:tcW w:w="833" w:type="dxa"/>
                  <w:tcBorders>
                    <w:tl2br w:val="nil"/>
                    <w:tr2bl w:val="nil"/>
                  </w:tcBorders>
                  <w:noWrap w:val="0"/>
                  <w:vAlign w:val="center"/>
                </w:tcPr>
                <w:p w14:paraId="7FF8CE0C">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w:t>
                  </w:r>
                </w:p>
              </w:tc>
              <w:tc>
                <w:tcPr>
                  <w:tcW w:w="532" w:type="dxa"/>
                  <w:tcBorders>
                    <w:tl2br w:val="nil"/>
                    <w:tr2bl w:val="nil"/>
                  </w:tcBorders>
                  <w:noWrap w:val="0"/>
                  <w:vAlign w:val="center"/>
                </w:tcPr>
                <w:p w14:paraId="07579266">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34B1AAF7">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900-003-S17</w:t>
                  </w:r>
                </w:p>
              </w:tc>
              <w:tc>
                <w:tcPr>
                  <w:tcW w:w="588" w:type="dxa"/>
                  <w:tcBorders>
                    <w:tl2br w:val="nil"/>
                    <w:tr2bl w:val="nil"/>
                  </w:tcBorders>
                  <w:noWrap w:val="0"/>
                  <w:vAlign w:val="center"/>
                </w:tcPr>
                <w:p w14:paraId="3C98D2F3">
                  <w:pPr>
                    <w:snapToGrid w:val="0"/>
                    <w:jc w:val="center"/>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w:t>
                  </w:r>
                </w:p>
              </w:tc>
              <w:tc>
                <w:tcPr>
                  <w:tcW w:w="1675" w:type="dxa"/>
                  <w:tcBorders>
                    <w:tl2br w:val="nil"/>
                    <w:tr2bl w:val="nil"/>
                  </w:tcBorders>
                  <w:noWrap w:val="0"/>
                  <w:vAlign w:val="center"/>
                </w:tcPr>
                <w:p w14:paraId="3BC54C51">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0.5</w:t>
                  </w:r>
                  <w:r>
                    <w:rPr>
                      <w:rFonts w:hint="default" w:ascii="Times New Roman" w:hAnsi="Times New Roman" w:eastAsia="宋体" w:cs="Times New Roman"/>
                      <w:b w:val="0"/>
                      <w:bCs w:val="0"/>
                      <w:color w:val="auto"/>
                      <w:sz w:val="21"/>
                      <w:szCs w:val="21"/>
                      <w:highlight w:val="none"/>
                    </w:rPr>
                    <w:t>t/a</w:t>
                  </w:r>
                </w:p>
              </w:tc>
              <w:tc>
                <w:tcPr>
                  <w:tcW w:w="1921" w:type="dxa"/>
                  <w:tcBorders>
                    <w:tl2br w:val="nil"/>
                    <w:tr2bl w:val="nil"/>
                  </w:tcBorders>
                  <w:noWrap w:val="0"/>
                  <w:vAlign w:val="center"/>
                </w:tcPr>
                <w:p w14:paraId="6627B166">
                  <w:pPr>
                    <w:snapToGrid w:val="0"/>
                    <w:spacing w:line="270" w:lineRule="exact"/>
                    <w:jc w:val="center"/>
                    <w:rPr>
                      <w:rFonts w:hint="default" w:ascii="Times New Roman" w:hAnsi="Times New Roman" w:eastAsia="宋体" w:cs="Times New Roman"/>
                      <w:b w:val="0"/>
                      <w:bCs w:val="0"/>
                      <w:color w:val="auto"/>
                      <w:sz w:val="21"/>
                      <w:szCs w:val="21"/>
                      <w:highlight w:val="none"/>
                      <w:lang w:eastAsia="zh-CN"/>
                    </w:rPr>
                  </w:pPr>
                </w:p>
              </w:tc>
            </w:tr>
            <w:tr w14:paraId="6902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2" w:hRule="atLeast"/>
                <w:jc w:val="center"/>
              </w:trPr>
              <w:tc>
                <w:tcPr>
                  <w:tcW w:w="786" w:type="dxa"/>
                  <w:tcBorders>
                    <w:tl2br w:val="nil"/>
                    <w:tr2bl w:val="nil"/>
                  </w:tcBorders>
                  <w:noWrap w:val="0"/>
                  <w:vAlign w:val="center"/>
                </w:tcPr>
                <w:p w14:paraId="7E192816">
                  <w:pPr>
                    <w:autoSpaceDE w:val="0"/>
                    <w:autoSpaceDN w:val="0"/>
                    <w:adjustRightInd w:val="0"/>
                    <w:jc w:val="center"/>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分选</w:t>
                  </w:r>
                </w:p>
              </w:tc>
              <w:tc>
                <w:tcPr>
                  <w:tcW w:w="832" w:type="dxa"/>
                  <w:tcBorders>
                    <w:tl2br w:val="nil"/>
                    <w:tr2bl w:val="nil"/>
                  </w:tcBorders>
                  <w:noWrap w:val="0"/>
                  <w:vAlign w:val="center"/>
                </w:tcPr>
                <w:p w14:paraId="2E8A982D">
                  <w:pPr>
                    <w:adjustRightInd w:val="0"/>
                    <w:snapToGrid w:val="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sz w:val="21"/>
                      <w:szCs w:val="21"/>
                      <w:highlight w:val="none"/>
                      <w:lang w:val="zh-CN" w:eastAsia="zh-CN"/>
                    </w:rPr>
                    <w:t>分拣废渣</w:t>
                  </w:r>
                </w:p>
              </w:tc>
              <w:tc>
                <w:tcPr>
                  <w:tcW w:w="833" w:type="dxa"/>
                  <w:tcBorders>
                    <w:tl2br w:val="nil"/>
                    <w:tr2bl w:val="nil"/>
                  </w:tcBorders>
                  <w:noWrap w:val="0"/>
                  <w:vAlign w:val="center"/>
                </w:tcPr>
                <w:p w14:paraId="13E51DE2">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532" w:type="dxa"/>
                  <w:tcBorders>
                    <w:tl2br w:val="nil"/>
                    <w:tr2bl w:val="nil"/>
                  </w:tcBorders>
                  <w:noWrap w:val="0"/>
                  <w:vAlign w:val="center"/>
                </w:tcPr>
                <w:p w14:paraId="40077D7F">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50426C9D">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900-999-99</w:t>
                  </w:r>
                </w:p>
              </w:tc>
              <w:tc>
                <w:tcPr>
                  <w:tcW w:w="588" w:type="dxa"/>
                  <w:tcBorders>
                    <w:tl2br w:val="nil"/>
                    <w:tr2bl w:val="nil"/>
                  </w:tcBorders>
                  <w:noWrap w:val="0"/>
                  <w:vAlign w:val="center"/>
                </w:tcPr>
                <w:p w14:paraId="22746E8A">
                  <w:pPr>
                    <w:snapToGrid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w:t>
                  </w:r>
                </w:p>
              </w:tc>
              <w:tc>
                <w:tcPr>
                  <w:tcW w:w="1675" w:type="dxa"/>
                  <w:tcBorders>
                    <w:tl2br w:val="nil"/>
                    <w:tr2bl w:val="nil"/>
                  </w:tcBorders>
                  <w:noWrap w:val="0"/>
                  <w:vAlign w:val="center"/>
                </w:tcPr>
                <w:p w14:paraId="1C104C2B">
                  <w:pPr>
                    <w:snapToGrid w:val="0"/>
                    <w:spacing w:line="270" w:lineRule="exact"/>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120</w:t>
                  </w:r>
                  <w:r>
                    <w:rPr>
                      <w:rFonts w:hint="default" w:ascii="Times New Roman" w:hAnsi="Times New Roman" w:eastAsia="宋体" w:cs="Times New Roman"/>
                      <w:b w:val="0"/>
                      <w:bCs w:val="0"/>
                      <w:color w:val="auto"/>
                      <w:sz w:val="21"/>
                      <w:szCs w:val="21"/>
                      <w:highlight w:val="none"/>
                    </w:rPr>
                    <w:t>t/a</w:t>
                  </w:r>
                </w:p>
              </w:tc>
              <w:tc>
                <w:tcPr>
                  <w:tcW w:w="1921" w:type="dxa"/>
                  <w:tcBorders>
                    <w:tl2br w:val="nil"/>
                    <w:tr2bl w:val="nil"/>
                  </w:tcBorders>
                  <w:noWrap w:val="0"/>
                  <w:vAlign w:val="center"/>
                </w:tcPr>
                <w:p w14:paraId="5FDC7878">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集中收集</w:t>
                  </w:r>
                  <w:r>
                    <w:rPr>
                      <w:rFonts w:hint="default" w:ascii="Times New Roman" w:hAnsi="Times New Roman" w:eastAsia="宋体" w:cs="Times New Roman"/>
                      <w:b w:val="0"/>
                      <w:bCs w:val="0"/>
                      <w:color w:val="auto"/>
                      <w:sz w:val="21"/>
                      <w:szCs w:val="21"/>
                      <w:highlight w:val="none"/>
                      <w:lang w:eastAsia="zh-CN"/>
                    </w:rPr>
                    <w:t>外售</w:t>
                  </w:r>
                </w:p>
              </w:tc>
            </w:tr>
            <w:tr w14:paraId="1143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786" w:type="dxa"/>
                  <w:tcBorders>
                    <w:tl2br w:val="nil"/>
                    <w:tr2bl w:val="nil"/>
                  </w:tcBorders>
                  <w:noWrap w:val="0"/>
                  <w:vAlign w:val="center"/>
                </w:tcPr>
                <w:p w14:paraId="44F6D66A">
                  <w:pPr>
                    <w:autoSpaceDE w:val="0"/>
                    <w:autoSpaceDN w:val="0"/>
                    <w:adjustRightIn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筛分</w:t>
                  </w:r>
                </w:p>
              </w:tc>
              <w:tc>
                <w:tcPr>
                  <w:tcW w:w="832" w:type="dxa"/>
                  <w:tcBorders>
                    <w:tl2br w:val="nil"/>
                    <w:tr2bl w:val="nil"/>
                  </w:tcBorders>
                  <w:noWrap w:val="0"/>
                  <w:vAlign w:val="center"/>
                </w:tcPr>
                <w:p w14:paraId="0FD0AE25">
                  <w:pPr>
                    <w:adjustRightInd w:val="0"/>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不合格粗料</w:t>
                  </w:r>
                </w:p>
              </w:tc>
              <w:tc>
                <w:tcPr>
                  <w:tcW w:w="833" w:type="dxa"/>
                  <w:tcBorders>
                    <w:tl2br w:val="nil"/>
                    <w:tr2bl w:val="nil"/>
                  </w:tcBorders>
                  <w:noWrap w:val="0"/>
                  <w:vAlign w:val="center"/>
                </w:tcPr>
                <w:p w14:paraId="298FBA47">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w:t>
                  </w:r>
                </w:p>
              </w:tc>
              <w:tc>
                <w:tcPr>
                  <w:tcW w:w="532" w:type="dxa"/>
                  <w:tcBorders>
                    <w:tl2br w:val="nil"/>
                    <w:tr2bl w:val="nil"/>
                  </w:tcBorders>
                  <w:noWrap w:val="0"/>
                  <w:vAlign w:val="center"/>
                </w:tcPr>
                <w:p w14:paraId="089F4702">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57964C4F">
                  <w:pPr>
                    <w:snapToGrid w:val="0"/>
                    <w:jc w:val="center"/>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b w:val="0"/>
                      <w:bCs/>
                      <w:color w:val="auto"/>
                      <w:sz w:val="21"/>
                      <w:szCs w:val="21"/>
                      <w:highlight w:val="none"/>
                      <w:lang w:val="en-US" w:eastAsia="zh-CN"/>
                    </w:rPr>
                    <w:t>900-999-99</w:t>
                  </w:r>
                </w:p>
              </w:tc>
              <w:tc>
                <w:tcPr>
                  <w:tcW w:w="588" w:type="dxa"/>
                  <w:tcBorders>
                    <w:tl2br w:val="nil"/>
                    <w:tr2bl w:val="nil"/>
                  </w:tcBorders>
                  <w:noWrap w:val="0"/>
                  <w:vAlign w:val="center"/>
                </w:tcPr>
                <w:p w14:paraId="055B1ED8">
                  <w:pPr>
                    <w:snapToGrid w:val="0"/>
                    <w:jc w:val="center"/>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w:t>
                  </w:r>
                </w:p>
              </w:tc>
              <w:tc>
                <w:tcPr>
                  <w:tcW w:w="1675" w:type="dxa"/>
                  <w:tcBorders>
                    <w:tl2br w:val="nil"/>
                    <w:tr2bl w:val="nil"/>
                  </w:tcBorders>
                  <w:noWrap w:val="0"/>
                  <w:vAlign w:val="center"/>
                </w:tcPr>
                <w:p w14:paraId="3CA225F1">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0.2</w:t>
                  </w:r>
                  <w:r>
                    <w:rPr>
                      <w:rFonts w:hint="default" w:ascii="Times New Roman" w:hAnsi="Times New Roman" w:eastAsia="宋体" w:cs="Times New Roman"/>
                      <w:b w:val="0"/>
                      <w:bCs w:val="0"/>
                      <w:color w:val="auto"/>
                      <w:sz w:val="21"/>
                      <w:szCs w:val="21"/>
                      <w:highlight w:val="none"/>
                    </w:rPr>
                    <w:t>t/a</w:t>
                  </w:r>
                </w:p>
              </w:tc>
              <w:tc>
                <w:tcPr>
                  <w:tcW w:w="1921" w:type="dxa"/>
                  <w:tcBorders>
                    <w:tl2br w:val="nil"/>
                    <w:tr2bl w:val="nil"/>
                  </w:tcBorders>
                  <w:noWrap w:val="0"/>
                  <w:vAlign w:val="center"/>
                </w:tcPr>
                <w:p w14:paraId="23C6F769">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集中收集</w:t>
                  </w:r>
                  <w:r>
                    <w:rPr>
                      <w:rFonts w:hint="default" w:ascii="Times New Roman" w:hAnsi="Times New Roman" w:eastAsia="宋体" w:cs="Times New Roman"/>
                      <w:b w:val="0"/>
                      <w:bCs w:val="0"/>
                      <w:color w:val="auto"/>
                      <w:sz w:val="21"/>
                      <w:szCs w:val="21"/>
                      <w:highlight w:val="none"/>
                      <w:lang w:eastAsia="zh-CN"/>
                    </w:rPr>
                    <w:t>外售</w:t>
                  </w:r>
                </w:p>
              </w:tc>
            </w:tr>
            <w:tr w14:paraId="3BA9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786" w:type="dxa"/>
                  <w:tcBorders>
                    <w:tl2br w:val="nil"/>
                    <w:tr2bl w:val="nil"/>
                  </w:tcBorders>
                  <w:noWrap w:val="0"/>
                  <w:vAlign w:val="center"/>
                </w:tcPr>
                <w:p w14:paraId="7F444B34">
                  <w:pPr>
                    <w:autoSpaceDE w:val="0"/>
                    <w:autoSpaceDN w:val="0"/>
                    <w:adjustRightIn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磁选</w:t>
                  </w:r>
                </w:p>
              </w:tc>
              <w:tc>
                <w:tcPr>
                  <w:tcW w:w="832" w:type="dxa"/>
                  <w:tcBorders>
                    <w:tl2br w:val="nil"/>
                    <w:tr2bl w:val="nil"/>
                  </w:tcBorders>
                  <w:noWrap w:val="0"/>
                  <w:vAlign w:val="center"/>
                </w:tcPr>
                <w:p w14:paraId="126127D6">
                  <w:pPr>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含铁杂质</w:t>
                  </w:r>
                </w:p>
              </w:tc>
              <w:tc>
                <w:tcPr>
                  <w:tcW w:w="833" w:type="dxa"/>
                  <w:tcBorders>
                    <w:tl2br w:val="nil"/>
                    <w:tr2bl w:val="nil"/>
                  </w:tcBorders>
                  <w:noWrap w:val="0"/>
                  <w:vAlign w:val="center"/>
                </w:tcPr>
                <w:p w14:paraId="70C2214E">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532" w:type="dxa"/>
                  <w:tcBorders>
                    <w:tl2br w:val="nil"/>
                    <w:tr2bl w:val="nil"/>
                  </w:tcBorders>
                  <w:noWrap w:val="0"/>
                  <w:vAlign w:val="center"/>
                </w:tcPr>
                <w:p w14:paraId="26A906FA">
                  <w:pPr>
                    <w:snapToGrid w:val="0"/>
                    <w:spacing w:line="270" w:lineRule="exact"/>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7175CF27">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b w:val="0"/>
                      <w:bCs/>
                      <w:color w:val="auto"/>
                      <w:sz w:val="21"/>
                      <w:szCs w:val="21"/>
                      <w:highlight w:val="none"/>
                      <w:lang w:val="en-US" w:eastAsia="zh-CN"/>
                    </w:rPr>
                    <w:t>900-999-99</w:t>
                  </w:r>
                </w:p>
              </w:tc>
              <w:tc>
                <w:tcPr>
                  <w:tcW w:w="588" w:type="dxa"/>
                  <w:tcBorders>
                    <w:tl2br w:val="nil"/>
                    <w:tr2bl w:val="nil"/>
                  </w:tcBorders>
                  <w:noWrap w:val="0"/>
                  <w:vAlign w:val="center"/>
                </w:tcPr>
                <w:p w14:paraId="58E767E6">
                  <w:pPr>
                    <w:snapToGrid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w:t>
                  </w:r>
                </w:p>
              </w:tc>
              <w:tc>
                <w:tcPr>
                  <w:tcW w:w="1675" w:type="dxa"/>
                  <w:tcBorders>
                    <w:tl2br w:val="nil"/>
                    <w:tr2bl w:val="nil"/>
                  </w:tcBorders>
                  <w:noWrap w:val="0"/>
                  <w:vAlign w:val="center"/>
                </w:tcPr>
                <w:p w14:paraId="0BF7F8AD">
                  <w:pPr>
                    <w:snapToGrid w:val="0"/>
                    <w:spacing w:line="270" w:lineRule="exact"/>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180</w:t>
                  </w:r>
                  <w:r>
                    <w:rPr>
                      <w:rFonts w:hint="default" w:ascii="Times New Roman" w:hAnsi="Times New Roman" w:eastAsia="宋体" w:cs="Times New Roman"/>
                      <w:b w:val="0"/>
                      <w:bCs w:val="0"/>
                      <w:color w:val="auto"/>
                      <w:sz w:val="21"/>
                      <w:szCs w:val="21"/>
                      <w:highlight w:val="none"/>
                    </w:rPr>
                    <w:t>t/a</w:t>
                  </w:r>
                </w:p>
              </w:tc>
              <w:tc>
                <w:tcPr>
                  <w:tcW w:w="1921" w:type="dxa"/>
                  <w:tcBorders>
                    <w:tl2br w:val="nil"/>
                    <w:tr2bl w:val="nil"/>
                  </w:tcBorders>
                  <w:noWrap w:val="0"/>
                  <w:vAlign w:val="center"/>
                </w:tcPr>
                <w:p w14:paraId="2F59DFC0">
                  <w:pPr>
                    <w:snapToGrid w:val="0"/>
                    <w:spacing w:line="270" w:lineRule="exact"/>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集中收集</w:t>
                  </w:r>
                  <w:r>
                    <w:rPr>
                      <w:rFonts w:hint="default" w:ascii="Times New Roman" w:hAnsi="Times New Roman" w:eastAsia="宋体" w:cs="Times New Roman"/>
                      <w:b w:val="0"/>
                      <w:bCs w:val="0"/>
                      <w:color w:val="auto"/>
                      <w:sz w:val="21"/>
                      <w:szCs w:val="21"/>
                      <w:highlight w:val="none"/>
                      <w:lang w:eastAsia="zh-CN"/>
                    </w:rPr>
                    <w:t>外售</w:t>
                  </w:r>
                </w:p>
              </w:tc>
            </w:tr>
            <w:tr w14:paraId="08DC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6" w:type="dxa"/>
                  <w:tcBorders>
                    <w:tl2br w:val="nil"/>
                    <w:tr2bl w:val="nil"/>
                  </w:tcBorders>
                  <w:noWrap w:val="0"/>
                  <w:vAlign w:val="center"/>
                </w:tcPr>
                <w:p w14:paraId="140F3DB2">
                  <w:pPr>
                    <w:autoSpaceDE w:val="0"/>
                    <w:autoSpaceDN w:val="0"/>
                    <w:adjustRightIn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废气处理</w:t>
                  </w:r>
                </w:p>
              </w:tc>
              <w:tc>
                <w:tcPr>
                  <w:tcW w:w="832" w:type="dxa"/>
                  <w:tcBorders>
                    <w:tl2br w:val="nil"/>
                    <w:tr2bl w:val="nil"/>
                  </w:tcBorders>
                  <w:noWrap w:val="0"/>
                  <w:vAlign w:val="center"/>
                </w:tcPr>
                <w:p w14:paraId="45FA7120">
                  <w:pPr>
                    <w:adjustRightInd w:val="0"/>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布袋除尘器收集粉尘</w:t>
                  </w:r>
                </w:p>
              </w:tc>
              <w:tc>
                <w:tcPr>
                  <w:tcW w:w="833" w:type="dxa"/>
                  <w:tcBorders>
                    <w:tl2br w:val="nil"/>
                    <w:tr2bl w:val="nil"/>
                  </w:tcBorders>
                  <w:noWrap w:val="0"/>
                  <w:vAlign w:val="center"/>
                </w:tcPr>
                <w:p w14:paraId="2FBBDB72">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w:t>
                  </w:r>
                </w:p>
              </w:tc>
              <w:tc>
                <w:tcPr>
                  <w:tcW w:w="532" w:type="dxa"/>
                  <w:tcBorders>
                    <w:tl2br w:val="nil"/>
                    <w:tr2bl w:val="nil"/>
                  </w:tcBorders>
                  <w:noWrap w:val="0"/>
                  <w:vAlign w:val="center"/>
                </w:tcPr>
                <w:p w14:paraId="71B8552D">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39E1B943">
                  <w:pPr>
                    <w:snapToGrid w:val="0"/>
                    <w:jc w:val="center"/>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b w:val="0"/>
                      <w:bCs/>
                      <w:color w:val="auto"/>
                      <w:sz w:val="21"/>
                      <w:szCs w:val="21"/>
                      <w:highlight w:val="none"/>
                      <w:lang w:val="en-US" w:eastAsia="zh-CN"/>
                    </w:rPr>
                    <w:t>900-999-66</w:t>
                  </w:r>
                </w:p>
              </w:tc>
              <w:tc>
                <w:tcPr>
                  <w:tcW w:w="588" w:type="dxa"/>
                  <w:tcBorders>
                    <w:tl2br w:val="nil"/>
                    <w:tr2bl w:val="nil"/>
                  </w:tcBorders>
                  <w:noWrap w:val="0"/>
                  <w:vAlign w:val="center"/>
                </w:tcPr>
                <w:p w14:paraId="41318B82">
                  <w:pPr>
                    <w:snapToGrid w:val="0"/>
                    <w:jc w:val="center"/>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w:t>
                  </w:r>
                </w:p>
              </w:tc>
              <w:tc>
                <w:tcPr>
                  <w:tcW w:w="1675" w:type="dxa"/>
                  <w:tcBorders>
                    <w:tl2br w:val="nil"/>
                    <w:tr2bl w:val="nil"/>
                  </w:tcBorders>
                  <w:noWrap w:val="0"/>
                  <w:vAlign w:val="center"/>
                </w:tcPr>
                <w:p w14:paraId="259036F8">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10.279</w:t>
                  </w:r>
                  <w:r>
                    <w:rPr>
                      <w:rFonts w:hint="default" w:ascii="Times New Roman" w:hAnsi="Times New Roman" w:eastAsia="宋体" w:cs="Times New Roman"/>
                      <w:b w:val="0"/>
                      <w:bCs w:val="0"/>
                      <w:color w:val="auto"/>
                      <w:sz w:val="21"/>
                      <w:szCs w:val="21"/>
                      <w:highlight w:val="none"/>
                    </w:rPr>
                    <w:t>t/a</w:t>
                  </w:r>
                </w:p>
              </w:tc>
              <w:tc>
                <w:tcPr>
                  <w:tcW w:w="1921" w:type="dxa"/>
                  <w:tcBorders>
                    <w:tl2br w:val="nil"/>
                    <w:tr2bl w:val="nil"/>
                  </w:tcBorders>
                  <w:noWrap w:val="0"/>
                  <w:vAlign w:val="center"/>
                </w:tcPr>
                <w:p w14:paraId="04ED3838">
                  <w:pPr>
                    <w:snapToGrid w:val="0"/>
                    <w:spacing w:line="270" w:lineRule="exac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集中收集</w:t>
                  </w:r>
                  <w:r>
                    <w:rPr>
                      <w:rFonts w:hint="default" w:ascii="Times New Roman" w:hAnsi="Times New Roman" w:eastAsia="宋体" w:cs="Times New Roman"/>
                      <w:b w:val="0"/>
                      <w:bCs w:val="0"/>
                      <w:color w:val="auto"/>
                      <w:sz w:val="21"/>
                      <w:szCs w:val="21"/>
                      <w:highlight w:val="none"/>
                      <w:lang w:eastAsia="zh-CN"/>
                    </w:rPr>
                    <w:t>外售</w:t>
                  </w:r>
                </w:p>
              </w:tc>
            </w:tr>
            <w:tr w14:paraId="6FFF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 w:hRule="atLeast"/>
                <w:jc w:val="center"/>
              </w:trPr>
              <w:tc>
                <w:tcPr>
                  <w:tcW w:w="8271" w:type="dxa"/>
                  <w:gridSpan w:val="8"/>
                  <w:tcBorders>
                    <w:tl2br w:val="nil"/>
                    <w:tr2bl w:val="nil"/>
                  </w:tcBorders>
                  <w:noWrap w:val="0"/>
                  <w:vAlign w:val="center"/>
                </w:tcPr>
                <w:p w14:paraId="34A494DA">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危险废物</w:t>
                  </w:r>
                </w:p>
              </w:tc>
            </w:tr>
            <w:tr w14:paraId="2285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 w:hRule="atLeast"/>
                <w:jc w:val="center"/>
              </w:trPr>
              <w:tc>
                <w:tcPr>
                  <w:tcW w:w="786" w:type="dxa"/>
                  <w:vMerge w:val="restart"/>
                  <w:tcBorders>
                    <w:tl2br w:val="nil"/>
                    <w:tr2bl w:val="nil"/>
                  </w:tcBorders>
                  <w:noWrap w:val="0"/>
                  <w:vAlign w:val="center"/>
                </w:tcPr>
                <w:p w14:paraId="1FC99BF0">
                  <w:pPr>
                    <w:autoSpaceDE w:val="0"/>
                    <w:autoSpaceDN w:val="0"/>
                    <w:adjustRightIn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废气处理</w:t>
                  </w:r>
                </w:p>
              </w:tc>
              <w:tc>
                <w:tcPr>
                  <w:tcW w:w="832" w:type="dxa"/>
                  <w:tcBorders>
                    <w:tl2br w:val="nil"/>
                    <w:tr2bl w:val="nil"/>
                  </w:tcBorders>
                  <w:noWrap w:val="0"/>
                  <w:vAlign w:val="center"/>
                </w:tcPr>
                <w:p w14:paraId="15ED1C48">
                  <w:pPr>
                    <w:keepNext w:val="0"/>
                    <w:keepLines w:val="0"/>
                    <w:pageBreakBefore w:val="0"/>
                    <w:widowControl w:val="0"/>
                    <w:kinsoku/>
                    <w:wordWrap/>
                    <w:overflowPunct/>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废活性炭</w:t>
                  </w:r>
                </w:p>
              </w:tc>
              <w:tc>
                <w:tcPr>
                  <w:tcW w:w="833" w:type="dxa"/>
                  <w:tcBorders>
                    <w:tl2br w:val="nil"/>
                    <w:tr2bl w:val="nil"/>
                  </w:tcBorders>
                  <w:noWrap w:val="0"/>
                  <w:vAlign w:val="center"/>
                </w:tcPr>
                <w:p w14:paraId="39B18383">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rPr>
                    <w:t>有机废气</w:t>
                  </w:r>
                </w:p>
              </w:tc>
              <w:tc>
                <w:tcPr>
                  <w:tcW w:w="532" w:type="dxa"/>
                  <w:tcBorders>
                    <w:tl2br w:val="nil"/>
                    <w:tr2bl w:val="nil"/>
                  </w:tcBorders>
                  <w:noWrap w:val="0"/>
                  <w:vAlign w:val="center"/>
                </w:tcPr>
                <w:p w14:paraId="1F3F62BB">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iCs/>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1AD72718">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HW49</w:t>
                  </w:r>
                </w:p>
                <w:p w14:paraId="6CED332F">
                  <w:pPr>
                    <w:keepNext w:val="0"/>
                    <w:keepLines w:val="0"/>
                    <w:pageBreakBefore w:val="0"/>
                    <w:widowControl w:val="0"/>
                    <w:kinsoku/>
                    <w:wordWrap/>
                    <w:overflowPunct/>
                    <w:bidi w:val="0"/>
                    <w:snapToGrid w:val="0"/>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900-039-49</w:t>
                  </w:r>
                </w:p>
              </w:tc>
              <w:tc>
                <w:tcPr>
                  <w:tcW w:w="588" w:type="dxa"/>
                  <w:tcBorders>
                    <w:tl2br w:val="nil"/>
                    <w:tr2bl w:val="nil"/>
                  </w:tcBorders>
                  <w:noWrap w:val="0"/>
                  <w:vAlign w:val="center"/>
                </w:tcPr>
                <w:p w14:paraId="424B563F">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T</w:t>
                  </w:r>
                </w:p>
              </w:tc>
              <w:tc>
                <w:tcPr>
                  <w:tcW w:w="1675" w:type="dxa"/>
                  <w:tcBorders>
                    <w:tl2br w:val="nil"/>
                    <w:tr2bl w:val="nil"/>
                  </w:tcBorders>
                  <w:noWrap w:val="0"/>
                  <w:vAlign w:val="center"/>
                </w:tcPr>
                <w:p w14:paraId="52003419">
                  <w:pPr>
                    <w:keepNext w:val="0"/>
                    <w:keepLines w:val="0"/>
                    <w:pageBreakBefore w:val="0"/>
                    <w:widowControl w:val="0"/>
                    <w:kinsoku/>
                    <w:wordWrap/>
                    <w:overflowPunct/>
                    <w:bidi w:val="0"/>
                    <w:snapToGrid w:val="0"/>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12.1</w:t>
                  </w:r>
                  <w:r>
                    <w:rPr>
                      <w:rFonts w:hint="default" w:ascii="Times New Roman" w:hAnsi="Times New Roman" w:eastAsia="宋体" w:cs="Times New Roman"/>
                      <w:b w:val="0"/>
                      <w:bCs w:val="0"/>
                      <w:color w:val="auto"/>
                      <w:sz w:val="21"/>
                      <w:szCs w:val="21"/>
                      <w:highlight w:val="none"/>
                    </w:rPr>
                    <w:t>t/a</w:t>
                  </w:r>
                </w:p>
              </w:tc>
              <w:tc>
                <w:tcPr>
                  <w:tcW w:w="1921" w:type="dxa"/>
                  <w:vMerge w:val="restart"/>
                  <w:tcBorders>
                    <w:tl2br w:val="nil"/>
                    <w:tr2bl w:val="nil"/>
                  </w:tcBorders>
                  <w:noWrap w:val="0"/>
                  <w:vAlign w:val="center"/>
                </w:tcPr>
                <w:p w14:paraId="7EB5D412">
                  <w:pPr>
                    <w:snapToGrid w:val="0"/>
                    <w:spacing w:line="270" w:lineRule="exact"/>
                    <w:jc w:val="center"/>
                    <w:rPr>
                      <w:rFonts w:hint="eastAsia" w:ascii="Times New Roman" w:hAnsi="Times New Roman" w:eastAsia="宋体"/>
                      <w:b w:val="0"/>
                      <w:bCs/>
                      <w:color w:val="auto"/>
                      <w:sz w:val="21"/>
                      <w:szCs w:val="21"/>
                      <w:highlight w:val="none"/>
                      <w:lang w:eastAsia="zh-CN"/>
                    </w:rPr>
                  </w:pPr>
                  <w:r>
                    <w:rPr>
                      <w:rFonts w:hint="eastAsia" w:ascii="Times New Roman" w:hAnsi="Times New Roman" w:eastAsia="宋体"/>
                      <w:b w:val="0"/>
                      <w:bCs/>
                      <w:color w:val="auto"/>
                      <w:sz w:val="21"/>
                      <w:szCs w:val="21"/>
                      <w:highlight w:val="none"/>
                      <w:lang w:eastAsia="zh-CN"/>
                    </w:rPr>
                    <w:t>委托</w:t>
                  </w:r>
                  <w:r>
                    <w:rPr>
                      <w:rFonts w:hint="eastAsia" w:ascii="Times New Roman" w:hAnsi="Times New Roman" w:eastAsia="宋体"/>
                      <w:b w:val="0"/>
                      <w:bCs/>
                      <w:color w:val="auto"/>
                      <w:sz w:val="21"/>
                      <w:szCs w:val="21"/>
                      <w:highlight w:val="none"/>
                      <w:lang w:val="en-US"/>
                    </w:rPr>
                    <w:t>有资质单位</w:t>
                  </w:r>
                  <w:r>
                    <w:rPr>
                      <w:rFonts w:hint="eastAsia" w:ascii="Times New Roman" w:hAnsi="Times New Roman" w:eastAsia="宋体"/>
                      <w:b w:val="0"/>
                      <w:bCs/>
                      <w:color w:val="auto"/>
                      <w:sz w:val="21"/>
                      <w:szCs w:val="21"/>
                      <w:highlight w:val="none"/>
                      <w:lang w:val="en-US" w:eastAsia="zh-CN"/>
                    </w:rPr>
                    <w:t>处置</w:t>
                  </w:r>
                </w:p>
              </w:tc>
            </w:tr>
            <w:tr w14:paraId="6A2D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786" w:type="dxa"/>
                  <w:vMerge w:val="continue"/>
                  <w:tcBorders>
                    <w:tl2br w:val="nil"/>
                    <w:tr2bl w:val="nil"/>
                  </w:tcBorders>
                  <w:noWrap w:val="0"/>
                  <w:vAlign w:val="center"/>
                </w:tcPr>
                <w:p w14:paraId="18309369">
                  <w:pPr>
                    <w:autoSpaceDE w:val="0"/>
                    <w:autoSpaceDN w:val="0"/>
                    <w:adjustRightInd w:val="0"/>
                    <w:jc w:val="center"/>
                    <w:rPr>
                      <w:rFonts w:hint="eastAsia" w:ascii="Times New Roman" w:hAnsi="Times New Roman" w:eastAsia="宋体" w:cs="Times New Roman"/>
                      <w:b w:val="0"/>
                      <w:bCs w:val="0"/>
                      <w:color w:val="auto"/>
                      <w:sz w:val="21"/>
                      <w:szCs w:val="21"/>
                      <w:highlight w:val="none"/>
                      <w:lang w:val="en-US" w:eastAsia="zh-CN"/>
                    </w:rPr>
                  </w:pPr>
                </w:p>
              </w:tc>
              <w:tc>
                <w:tcPr>
                  <w:tcW w:w="832" w:type="dxa"/>
                  <w:tcBorders>
                    <w:tl2br w:val="nil"/>
                    <w:tr2bl w:val="nil"/>
                  </w:tcBorders>
                  <w:noWrap w:val="0"/>
                  <w:vAlign w:val="center"/>
                </w:tcPr>
                <w:p w14:paraId="1BBB6396">
                  <w:pPr>
                    <w:keepNext w:val="0"/>
                    <w:keepLines w:val="0"/>
                    <w:pageBreakBefore w:val="0"/>
                    <w:widowControl w:val="0"/>
                    <w:kinsoku/>
                    <w:wordWrap/>
                    <w:overflowPunct/>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废布袋</w:t>
                  </w:r>
                </w:p>
              </w:tc>
              <w:tc>
                <w:tcPr>
                  <w:tcW w:w="833" w:type="dxa"/>
                  <w:tcBorders>
                    <w:tl2br w:val="nil"/>
                    <w:tr2bl w:val="nil"/>
                  </w:tcBorders>
                  <w:noWrap w:val="0"/>
                  <w:vAlign w:val="center"/>
                </w:tcPr>
                <w:p w14:paraId="7BDFA174">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有机废气</w:t>
                  </w:r>
                </w:p>
              </w:tc>
              <w:tc>
                <w:tcPr>
                  <w:tcW w:w="532" w:type="dxa"/>
                  <w:tcBorders>
                    <w:tl2br w:val="nil"/>
                    <w:tr2bl w:val="nil"/>
                  </w:tcBorders>
                  <w:noWrap w:val="0"/>
                  <w:vAlign w:val="center"/>
                </w:tcPr>
                <w:p w14:paraId="580981F9">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66DB61F3">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HW49</w:t>
                  </w:r>
                </w:p>
                <w:p w14:paraId="058AD940">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900-0</w:t>
                  </w:r>
                  <w:r>
                    <w:rPr>
                      <w:rFonts w:hint="eastAsia" w:ascii="Times New Roman" w:hAnsi="Times New Roman" w:eastAsia="宋体" w:cs="Times New Roman"/>
                      <w:b w:val="0"/>
                      <w:bCs w:val="0"/>
                      <w:color w:val="auto"/>
                      <w:sz w:val="21"/>
                      <w:szCs w:val="21"/>
                      <w:highlight w:val="none"/>
                      <w:lang w:val="en-US" w:eastAsia="zh-CN"/>
                    </w:rPr>
                    <w:t>41</w:t>
                  </w:r>
                  <w:r>
                    <w:rPr>
                      <w:rFonts w:hint="default" w:ascii="Times New Roman" w:hAnsi="Times New Roman" w:eastAsia="宋体" w:cs="Times New Roman"/>
                      <w:b w:val="0"/>
                      <w:bCs w:val="0"/>
                      <w:color w:val="auto"/>
                      <w:sz w:val="21"/>
                      <w:szCs w:val="21"/>
                      <w:highlight w:val="none"/>
                    </w:rPr>
                    <w:t>-49</w:t>
                  </w:r>
                </w:p>
              </w:tc>
              <w:tc>
                <w:tcPr>
                  <w:tcW w:w="588" w:type="dxa"/>
                  <w:tcBorders>
                    <w:tl2br w:val="nil"/>
                    <w:tr2bl w:val="nil"/>
                  </w:tcBorders>
                  <w:noWrap w:val="0"/>
                  <w:vAlign w:val="center"/>
                </w:tcPr>
                <w:p w14:paraId="77DB6554">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T</w:t>
                  </w:r>
                </w:p>
              </w:tc>
              <w:tc>
                <w:tcPr>
                  <w:tcW w:w="1675" w:type="dxa"/>
                  <w:tcBorders>
                    <w:tl2br w:val="nil"/>
                    <w:tr2bl w:val="nil"/>
                  </w:tcBorders>
                  <w:noWrap w:val="0"/>
                  <w:vAlign w:val="center"/>
                </w:tcPr>
                <w:p w14:paraId="2A94BC4C">
                  <w:pPr>
                    <w:keepNext w:val="0"/>
                    <w:keepLines w:val="0"/>
                    <w:pageBreakBefore w:val="0"/>
                    <w:widowControl w:val="0"/>
                    <w:kinsoku/>
                    <w:wordWrap/>
                    <w:overflowPunct/>
                    <w:bidi w:val="0"/>
                    <w:snapToGrid w:val="0"/>
                    <w:spacing w:line="240" w:lineRule="auto"/>
                    <w:ind w:firstLine="0" w:firstLineChars="0"/>
                    <w:jc w:val="center"/>
                    <w:textAlignment w:val="auto"/>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0.1</w:t>
                  </w:r>
                  <w:r>
                    <w:rPr>
                      <w:rFonts w:hint="default" w:ascii="Times New Roman" w:hAnsi="Times New Roman" w:eastAsia="宋体" w:cs="Times New Roman"/>
                      <w:b w:val="0"/>
                      <w:bCs w:val="0"/>
                      <w:color w:val="auto"/>
                      <w:sz w:val="21"/>
                      <w:szCs w:val="21"/>
                      <w:highlight w:val="none"/>
                    </w:rPr>
                    <w:t>t/a</w:t>
                  </w:r>
                </w:p>
              </w:tc>
              <w:tc>
                <w:tcPr>
                  <w:tcW w:w="1921" w:type="dxa"/>
                  <w:vMerge w:val="continue"/>
                  <w:tcBorders>
                    <w:tl2br w:val="nil"/>
                    <w:tr2bl w:val="nil"/>
                  </w:tcBorders>
                  <w:noWrap w:val="0"/>
                  <w:vAlign w:val="center"/>
                </w:tcPr>
                <w:p w14:paraId="4944698E">
                  <w:pPr>
                    <w:snapToGrid w:val="0"/>
                    <w:spacing w:line="270" w:lineRule="exact"/>
                    <w:jc w:val="center"/>
                    <w:rPr>
                      <w:rFonts w:hint="eastAsia" w:ascii="Times New Roman" w:hAnsi="Times New Roman" w:eastAsia="宋体"/>
                      <w:b w:val="0"/>
                      <w:bCs/>
                      <w:color w:val="auto"/>
                      <w:sz w:val="21"/>
                      <w:szCs w:val="21"/>
                      <w:highlight w:val="none"/>
                      <w:lang w:eastAsia="zh-CN"/>
                    </w:rPr>
                  </w:pPr>
                </w:p>
              </w:tc>
            </w:tr>
            <w:tr w14:paraId="1F7C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786" w:type="dxa"/>
                  <w:vMerge w:val="restart"/>
                  <w:tcBorders>
                    <w:tl2br w:val="nil"/>
                    <w:tr2bl w:val="nil"/>
                  </w:tcBorders>
                  <w:noWrap w:val="0"/>
                  <w:vAlign w:val="center"/>
                </w:tcPr>
                <w:p w14:paraId="74849214">
                  <w:pPr>
                    <w:autoSpaceDE w:val="0"/>
                    <w:autoSpaceDN w:val="0"/>
                    <w:adjustRightIn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设备维修</w:t>
                  </w:r>
                </w:p>
              </w:tc>
              <w:tc>
                <w:tcPr>
                  <w:tcW w:w="832" w:type="dxa"/>
                  <w:tcBorders>
                    <w:tl2br w:val="nil"/>
                    <w:tr2bl w:val="nil"/>
                  </w:tcBorders>
                  <w:noWrap w:val="0"/>
                  <w:vAlign w:val="center"/>
                </w:tcPr>
                <w:p w14:paraId="78859E03">
                  <w:pPr>
                    <w:keepNext w:val="0"/>
                    <w:keepLines w:val="0"/>
                    <w:pageBreakBefore w:val="0"/>
                    <w:widowControl w:val="0"/>
                    <w:kinsoku/>
                    <w:wordWrap/>
                    <w:overflowPunct/>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废机油</w:t>
                  </w:r>
                </w:p>
              </w:tc>
              <w:tc>
                <w:tcPr>
                  <w:tcW w:w="833" w:type="dxa"/>
                  <w:tcBorders>
                    <w:tl2br w:val="nil"/>
                    <w:tr2bl w:val="nil"/>
                  </w:tcBorders>
                  <w:noWrap w:val="0"/>
                  <w:vAlign w:val="center"/>
                </w:tcPr>
                <w:p w14:paraId="5BF29A71">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矿物油类</w:t>
                  </w:r>
                </w:p>
              </w:tc>
              <w:tc>
                <w:tcPr>
                  <w:tcW w:w="532" w:type="dxa"/>
                  <w:tcBorders>
                    <w:tl2br w:val="nil"/>
                    <w:tr2bl w:val="nil"/>
                  </w:tcBorders>
                  <w:noWrap w:val="0"/>
                  <w:vAlign w:val="center"/>
                </w:tcPr>
                <w:p w14:paraId="7F2AC82A">
                  <w:pPr>
                    <w:keepNext w:val="0"/>
                    <w:keepLines w:val="0"/>
                    <w:pageBreakBefore w:val="0"/>
                    <w:widowControl w:val="0"/>
                    <w:kinsoku/>
                    <w:wordWrap/>
                    <w:overflowPunct/>
                    <w:bidi w:val="0"/>
                    <w:snapToGrid w:val="0"/>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液态</w:t>
                  </w:r>
                </w:p>
              </w:tc>
              <w:tc>
                <w:tcPr>
                  <w:tcW w:w="1104" w:type="dxa"/>
                  <w:tcBorders>
                    <w:tl2br w:val="nil"/>
                    <w:tr2bl w:val="nil"/>
                  </w:tcBorders>
                  <w:noWrap w:val="0"/>
                  <w:vAlign w:val="center"/>
                </w:tcPr>
                <w:p w14:paraId="58120E73">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HW08 900-214-08</w:t>
                  </w:r>
                </w:p>
              </w:tc>
              <w:tc>
                <w:tcPr>
                  <w:tcW w:w="588" w:type="dxa"/>
                  <w:tcBorders>
                    <w:tl2br w:val="nil"/>
                    <w:tr2bl w:val="nil"/>
                  </w:tcBorders>
                  <w:noWrap w:val="0"/>
                  <w:vAlign w:val="center"/>
                </w:tcPr>
                <w:p w14:paraId="513999DD">
                  <w:pPr>
                    <w:keepNext w:val="0"/>
                    <w:keepLines w:val="0"/>
                    <w:pageBreakBefore w:val="0"/>
                    <w:widowControl w:val="0"/>
                    <w:kinsoku/>
                    <w:wordWrap/>
                    <w:overflowPunct/>
                    <w:bidi w:val="0"/>
                    <w:snapToGrid/>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sz w:val="21"/>
                      <w:szCs w:val="21"/>
                      <w:highlight w:val="none"/>
                    </w:rPr>
                    <w:t>T/I</w:t>
                  </w:r>
                </w:p>
              </w:tc>
              <w:tc>
                <w:tcPr>
                  <w:tcW w:w="1675" w:type="dxa"/>
                  <w:vMerge w:val="restart"/>
                  <w:tcBorders>
                    <w:tl2br w:val="nil"/>
                    <w:tr2bl w:val="nil"/>
                  </w:tcBorders>
                  <w:noWrap w:val="0"/>
                  <w:vAlign w:val="center"/>
                </w:tcPr>
                <w:p w14:paraId="4F1A13C8">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0.1</w:t>
                  </w:r>
                  <w:r>
                    <w:rPr>
                      <w:rFonts w:hint="default" w:ascii="Times New Roman" w:hAnsi="Times New Roman" w:eastAsia="宋体" w:cs="Times New Roman"/>
                      <w:b w:val="0"/>
                      <w:bCs w:val="0"/>
                      <w:color w:val="auto"/>
                      <w:sz w:val="21"/>
                      <w:szCs w:val="21"/>
                      <w:highlight w:val="none"/>
                    </w:rPr>
                    <w:t>t/a</w:t>
                  </w:r>
                </w:p>
              </w:tc>
              <w:tc>
                <w:tcPr>
                  <w:tcW w:w="1921" w:type="dxa"/>
                  <w:vMerge w:val="continue"/>
                  <w:tcBorders>
                    <w:tl2br w:val="nil"/>
                    <w:tr2bl w:val="nil"/>
                  </w:tcBorders>
                  <w:noWrap w:val="0"/>
                  <w:vAlign w:val="center"/>
                </w:tcPr>
                <w:p w14:paraId="200E0F30">
                  <w:pPr>
                    <w:snapToGrid w:val="0"/>
                    <w:spacing w:line="270" w:lineRule="exact"/>
                    <w:jc w:val="center"/>
                    <w:rPr>
                      <w:rFonts w:hint="eastAsia" w:ascii="Times New Roman" w:hAnsi="Times New Roman" w:eastAsia="宋体"/>
                      <w:b w:val="0"/>
                      <w:bCs/>
                      <w:color w:val="auto"/>
                      <w:sz w:val="21"/>
                      <w:szCs w:val="21"/>
                      <w:highlight w:val="none"/>
                      <w:lang w:eastAsia="zh-CN"/>
                    </w:rPr>
                  </w:pPr>
                </w:p>
              </w:tc>
            </w:tr>
            <w:tr w14:paraId="78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9" w:hRule="atLeast"/>
                <w:jc w:val="center"/>
              </w:trPr>
              <w:tc>
                <w:tcPr>
                  <w:tcW w:w="786" w:type="dxa"/>
                  <w:vMerge w:val="continue"/>
                  <w:tcBorders>
                    <w:tl2br w:val="nil"/>
                    <w:tr2bl w:val="nil"/>
                  </w:tcBorders>
                  <w:noWrap w:val="0"/>
                  <w:vAlign w:val="center"/>
                </w:tcPr>
                <w:p w14:paraId="72D4855E">
                  <w:pPr>
                    <w:autoSpaceDE w:val="0"/>
                    <w:autoSpaceDN w:val="0"/>
                    <w:adjustRightInd w:val="0"/>
                    <w:jc w:val="center"/>
                    <w:rPr>
                      <w:rFonts w:hint="eastAsia" w:ascii="Times New Roman" w:hAnsi="Times New Roman" w:eastAsia="宋体" w:cs="Times New Roman"/>
                      <w:b w:val="0"/>
                      <w:bCs w:val="0"/>
                      <w:color w:val="auto"/>
                      <w:sz w:val="21"/>
                      <w:szCs w:val="21"/>
                      <w:highlight w:val="none"/>
                      <w:lang w:val="en-US" w:eastAsia="zh-CN"/>
                    </w:rPr>
                  </w:pPr>
                </w:p>
              </w:tc>
              <w:tc>
                <w:tcPr>
                  <w:tcW w:w="832" w:type="dxa"/>
                  <w:tcBorders>
                    <w:tl2br w:val="nil"/>
                    <w:tr2bl w:val="nil"/>
                  </w:tcBorders>
                  <w:noWrap w:val="0"/>
                  <w:vAlign w:val="center"/>
                </w:tcPr>
                <w:p w14:paraId="02507170">
                  <w:pPr>
                    <w:keepNext w:val="0"/>
                    <w:keepLines w:val="0"/>
                    <w:pageBreakBefore w:val="0"/>
                    <w:widowControl w:val="0"/>
                    <w:kinsoku/>
                    <w:wordWrap/>
                    <w:overflowPunct/>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废机油桶</w:t>
                  </w:r>
                </w:p>
              </w:tc>
              <w:tc>
                <w:tcPr>
                  <w:tcW w:w="833" w:type="dxa"/>
                  <w:tcBorders>
                    <w:tl2br w:val="nil"/>
                    <w:tr2bl w:val="nil"/>
                  </w:tcBorders>
                  <w:noWrap w:val="0"/>
                  <w:vAlign w:val="center"/>
                </w:tcPr>
                <w:p w14:paraId="294FAA17">
                  <w:pPr>
                    <w:keepNext w:val="0"/>
                    <w:keepLines w:val="0"/>
                    <w:pageBreakBefore w:val="0"/>
                    <w:widowControl w:val="0"/>
                    <w:kinsoku/>
                    <w:wordWrap/>
                    <w:overflowPunct/>
                    <w:bidi w:val="0"/>
                    <w:snapToGrid w:val="0"/>
                    <w:spacing w:line="240" w:lineRule="auto"/>
                    <w:ind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矿物油类</w:t>
                  </w:r>
                </w:p>
              </w:tc>
              <w:tc>
                <w:tcPr>
                  <w:tcW w:w="532" w:type="dxa"/>
                  <w:tcBorders>
                    <w:tl2br w:val="nil"/>
                    <w:tr2bl w:val="nil"/>
                  </w:tcBorders>
                  <w:noWrap w:val="0"/>
                  <w:vAlign w:val="center"/>
                </w:tcPr>
                <w:p w14:paraId="5CF33F9E">
                  <w:pPr>
                    <w:keepNext w:val="0"/>
                    <w:keepLines w:val="0"/>
                    <w:pageBreakBefore w:val="0"/>
                    <w:widowControl w:val="0"/>
                    <w:kinsoku/>
                    <w:wordWrap/>
                    <w:overflowPunct/>
                    <w:bidi w:val="0"/>
                    <w:snapToGrid w:val="0"/>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固态</w:t>
                  </w:r>
                </w:p>
              </w:tc>
              <w:tc>
                <w:tcPr>
                  <w:tcW w:w="1104" w:type="dxa"/>
                  <w:tcBorders>
                    <w:tl2br w:val="nil"/>
                    <w:tr2bl w:val="nil"/>
                  </w:tcBorders>
                  <w:noWrap w:val="0"/>
                  <w:vAlign w:val="center"/>
                </w:tcPr>
                <w:p w14:paraId="77865AFB">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HW49</w:t>
                  </w:r>
                </w:p>
                <w:p w14:paraId="1156B090">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900-041-49</w:t>
                  </w:r>
                </w:p>
              </w:tc>
              <w:tc>
                <w:tcPr>
                  <w:tcW w:w="588" w:type="dxa"/>
                  <w:tcBorders>
                    <w:tl2br w:val="nil"/>
                    <w:tr2bl w:val="nil"/>
                  </w:tcBorders>
                  <w:noWrap w:val="0"/>
                  <w:vAlign w:val="center"/>
                </w:tcPr>
                <w:p w14:paraId="74870AC9">
                  <w:pPr>
                    <w:keepNext w:val="0"/>
                    <w:keepLines w:val="0"/>
                    <w:pageBreakBefore w:val="0"/>
                    <w:widowControl w:val="0"/>
                    <w:kinsoku/>
                    <w:wordWrap/>
                    <w:overflowPunct/>
                    <w:bidi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sz w:val="21"/>
                      <w:szCs w:val="21"/>
                      <w:highlight w:val="none"/>
                    </w:rPr>
                    <w:t>T/I</w:t>
                  </w:r>
                </w:p>
              </w:tc>
              <w:tc>
                <w:tcPr>
                  <w:tcW w:w="1675" w:type="dxa"/>
                  <w:vMerge w:val="continue"/>
                  <w:tcBorders>
                    <w:tl2br w:val="nil"/>
                    <w:tr2bl w:val="nil"/>
                  </w:tcBorders>
                  <w:noWrap w:val="0"/>
                  <w:vAlign w:val="center"/>
                </w:tcPr>
                <w:p w14:paraId="1CE8EBE7">
                  <w:pPr>
                    <w:keepNext w:val="0"/>
                    <w:keepLines w:val="0"/>
                    <w:pageBreakBefore w:val="0"/>
                    <w:widowControl w:val="0"/>
                    <w:kinsoku/>
                    <w:wordWrap/>
                    <w:overflowPunct/>
                    <w:bidi w:val="0"/>
                    <w:snapToGrid w:val="0"/>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p>
              </w:tc>
              <w:tc>
                <w:tcPr>
                  <w:tcW w:w="1921" w:type="dxa"/>
                  <w:vMerge w:val="continue"/>
                  <w:tcBorders>
                    <w:tl2br w:val="nil"/>
                    <w:tr2bl w:val="nil"/>
                  </w:tcBorders>
                  <w:noWrap w:val="0"/>
                  <w:vAlign w:val="center"/>
                </w:tcPr>
                <w:p w14:paraId="35530A67">
                  <w:pPr>
                    <w:snapToGrid w:val="0"/>
                    <w:spacing w:line="270" w:lineRule="exact"/>
                    <w:jc w:val="center"/>
                    <w:rPr>
                      <w:rFonts w:hint="eastAsia" w:ascii="Times New Roman" w:hAnsi="Times New Roman" w:eastAsia="宋体"/>
                      <w:b w:val="0"/>
                      <w:bCs/>
                      <w:color w:val="auto"/>
                      <w:sz w:val="21"/>
                      <w:szCs w:val="21"/>
                      <w:highlight w:val="none"/>
                      <w:lang w:eastAsia="zh-CN"/>
                    </w:rPr>
                  </w:pPr>
                </w:p>
              </w:tc>
            </w:tr>
          </w:tbl>
          <w:p w14:paraId="5032622F">
            <w:pPr>
              <w:pStyle w:val="101"/>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 xml:space="preserve">15 </w:t>
            </w:r>
            <w:r>
              <w:rPr>
                <w:rFonts w:hint="default" w:ascii="Times New Roman" w:hAnsi="Times New Roman" w:eastAsia="宋体" w:cs="Times New Roman"/>
                <w:color w:val="auto"/>
                <w:highlight w:val="none"/>
                <w:lang w:val="en-US" w:eastAsia="zh-CN"/>
              </w:rPr>
              <w:t>危废</w:t>
            </w:r>
            <w:r>
              <w:rPr>
                <w:rFonts w:hint="eastAsia" w:ascii="Times New Roman" w:hAnsi="Times New Roman" w:eastAsia="宋体" w:cs="Times New Roman"/>
                <w:color w:val="auto"/>
                <w:highlight w:val="none"/>
                <w:lang w:val="en-US" w:eastAsia="zh-CN"/>
              </w:rPr>
              <w:t>库</w:t>
            </w:r>
            <w:r>
              <w:rPr>
                <w:rFonts w:hint="default" w:ascii="Times New Roman" w:hAnsi="Times New Roman" w:eastAsia="宋体" w:cs="Times New Roman"/>
                <w:color w:val="auto"/>
                <w:highlight w:val="none"/>
                <w:lang w:val="en-US" w:eastAsia="zh-CN"/>
              </w:rPr>
              <w:t>基本情况表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973"/>
              <w:gridCol w:w="1054"/>
              <w:gridCol w:w="888"/>
              <w:gridCol w:w="1055"/>
              <w:gridCol w:w="1193"/>
              <w:gridCol w:w="793"/>
              <w:gridCol w:w="1033"/>
              <w:gridCol w:w="809"/>
            </w:tblGrid>
            <w:tr w14:paraId="487A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73" w:type="dxa"/>
                  <w:tcBorders>
                    <w:tl2br w:val="nil"/>
                    <w:tr2bl w:val="nil"/>
                  </w:tcBorders>
                  <w:noWrap w:val="0"/>
                  <w:vAlign w:val="center"/>
                </w:tcPr>
                <w:p w14:paraId="07447A3C">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序号</w:t>
                  </w:r>
                </w:p>
              </w:tc>
              <w:tc>
                <w:tcPr>
                  <w:tcW w:w="973" w:type="dxa"/>
                  <w:tcBorders>
                    <w:tl2br w:val="nil"/>
                    <w:tr2bl w:val="nil"/>
                  </w:tcBorders>
                  <w:noWrap w:val="0"/>
                  <w:vAlign w:val="center"/>
                </w:tcPr>
                <w:p w14:paraId="48105ED2">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贮存场所（设施）</w:t>
                  </w:r>
                </w:p>
              </w:tc>
              <w:tc>
                <w:tcPr>
                  <w:tcW w:w="1054" w:type="dxa"/>
                  <w:tcBorders>
                    <w:tl2br w:val="nil"/>
                    <w:tr2bl w:val="nil"/>
                  </w:tcBorders>
                  <w:noWrap w:val="0"/>
                  <w:vAlign w:val="center"/>
                </w:tcPr>
                <w:p w14:paraId="32ECEBC9">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危险废物名称</w:t>
                  </w:r>
                </w:p>
              </w:tc>
              <w:tc>
                <w:tcPr>
                  <w:tcW w:w="888" w:type="dxa"/>
                  <w:tcBorders>
                    <w:tl2br w:val="nil"/>
                    <w:tr2bl w:val="nil"/>
                  </w:tcBorders>
                  <w:noWrap w:val="0"/>
                  <w:vAlign w:val="center"/>
                </w:tcPr>
                <w:p w14:paraId="393855FF">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危险废物类别</w:t>
                  </w:r>
                </w:p>
              </w:tc>
              <w:tc>
                <w:tcPr>
                  <w:tcW w:w="1055" w:type="dxa"/>
                  <w:tcBorders>
                    <w:tl2br w:val="nil"/>
                    <w:tr2bl w:val="nil"/>
                  </w:tcBorders>
                  <w:noWrap w:val="0"/>
                  <w:vAlign w:val="center"/>
                </w:tcPr>
                <w:p w14:paraId="3EF14B51">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危险废物代码</w:t>
                  </w:r>
                </w:p>
              </w:tc>
              <w:tc>
                <w:tcPr>
                  <w:tcW w:w="1193" w:type="dxa"/>
                  <w:tcBorders>
                    <w:tl2br w:val="nil"/>
                    <w:tr2bl w:val="nil"/>
                  </w:tcBorders>
                  <w:noWrap w:val="0"/>
                  <w:vAlign w:val="center"/>
                </w:tcPr>
                <w:p w14:paraId="429AE94B">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位置</w:t>
                  </w:r>
                </w:p>
              </w:tc>
              <w:tc>
                <w:tcPr>
                  <w:tcW w:w="793" w:type="dxa"/>
                  <w:tcBorders>
                    <w:tl2br w:val="nil"/>
                    <w:tr2bl w:val="nil"/>
                  </w:tcBorders>
                  <w:noWrap w:val="0"/>
                  <w:vAlign w:val="center"/>
                </w:tcPr>
                <w:p w14:paraId="75272CAF">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占地面积</w:t>
                  </w:r>
                </w:p>
              </w:tc>
              <w:tc>
                <w:tcPr>
                  <w:tcW w:w="1033" w:type="dxa"/>
                  <w:tcBorders>
                    <w:tl2br w:val="nil"/>
                    <w:tr2bl w:val="nil"/>
                  </w:tcBorders>
                  <w:noWrap w:val="0"/>
                  <w:vAlign w:val="center"/>
                </w:tcPr>
                <w:p w14:paraId="23C1EFC6">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贮存方式</w:t>
                  </w:r>
                </w:p>
              </w:tc>
              <w:tc>
                <w:tcPr>
                  <w:tcW w:w="809" w:type="dxa"/>
                  <w:tcBorders>
                    <w:tl2br w:val="nil"/>
                    <w:tr2bl w:val="nil"/>
                  </w:tcBorders>
                  <w:noWrap w:val="0"/>
                  <w:vAlign w:val="center"/>
                </w:tcPr>
                <w:p w14:paraId="32D753CA">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贮存</w:t>
                  </w:r>
                </w:p>
                <w:p w14:paraId="28A6C969">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周期</w:t>
                  </w:r>
                </w:p>
              </w:tc>
            </w:tr>
            <w:tr w14:paraId="1730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73" w:type="dxa"/>
                  <w:vMerge w:val="restart"/>
                  <w:tcBorders>
                    <w:tl2br w:val="nil"/>
                    <w:tr2bl w:val="nil"/>
                  </w:tcBorders>
                  <w:noWrap w:val="0"/>
                  <w:vAlign w:val="center"/>
                </w:tcPr>
                <w:p w14:paraId="17FC1D4D">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1</w:t>
                  </w:r>
                </w:p>
              </w:tc>
              <w:tc>
                <w:tcPr>
                  <w:tcW w:w="973" w:type="dxa"/>
                  <w:vMerge w:val="restart"/>
                  <w:tcBorders>
                    <w:tl2br w:val="nil"/>
                    <w:tr2bl w:val="nil"/>
                  </w:tcBorders>
                  <w:noWrap w:val="0"/>
                  <w:vAlign w:val="center"/>
                </w:tcPr>
                <w:p w14:paraId="5241F280">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ascii="Times New Roman" w:hAnsi="Times New Roman" w:eastAsia="宋体"/>
                      <w:b w:val="0"/>
                      <w:bCs w:val="0"/>
                      <w:color w:val="auto"/>
                      <w:kern w:val="0"/>
                      <w:sz w:val="21"/>
                      <w:szCs w:val="21"/>
                      <w:highlight w:val="none"/>
                    </w:rPr>
                    <w:t>危废</w:t>
                  </w:r>
                  <w:r>
                    <w:rPr>
                      <w:rFonts w:hint="eastAsia" w:ascii="Times New Roman" w:hAnsi="Times New Roman" w:eastAsia="宋体"/>
                      <w:b w:val="0"/>
                      <w:bCs w:val="0"/>
                      <w:color w:val="auto"/>
                      <w:kern w:val="0"/>
                      <w:sz w:val="21"/>
                      <w:szCs w:val="21"/>
                      <w:highlight w:val="none"/>
                    </w:rPr>
                    <w:t>库</w:t>
                  </w:r>
                </w:p>
              </w:tc>
              <w:tc>
                <w:tcPr>
                  <w:tcW w:w="1054" w:type="dxa"/>
                  <w:vMerge w:val="restart"/>
                  <w:tcBorders>
                    <w:tl2br w:val="nil"/>
                    <w:tr2bl w:val="nil"/>
                  </w:tcBorders>
                  <w:noWrap w:val="0"/>
                  <w:vAlign w:val="center"/>
                </w:tcPr>
                <w:p w14:paraId="512D7705">
                  <w:pPr>
                    <w:jc w:val="center"/>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eastAsia="宋体"/>
                      <w:b w:val="0"/>
                      <w:bCs w:val="0"/>
                      <w:color w:val="auto"/>
                      <w:sz w:val="21"/>
                      <w:szCs w:val="21"/>
                      <w:highlight w:val="none"/>
                      <w:lang w:val="en-US" w:eastAsia="zh-CN"/>
                    </w:rPr>
                    <w:t>废活性炭</w:t>
                  </w:r>
                </w:p>
              </w:tc>
              <w:tc>
                <w:tcPr>
                  <w:tcW w:w="888" w:type="dxa"/>
                  <w:vMerge w:val="restart"/>
                  <w:tcBorders>
                    <w:tl2br w:val="nil"/>
                    <w:tr2bl w:val="nil"/>
                  </w:tcBorders>
                  <w:noWrap w:val="0"/>
                  <w:vAlign w:val="center"/>
                </w:tcPr>
                <w:p w14:paraId="64EE4B17">
                  <w:pPr>
                    <w:jc w:val="center"/>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eastAsia="宋体"/>
                      <w:b w:val="0"/>
                      <w:bCs w:val="0"/>
                      <w:color w:val="auto"/>
                      <w:sz w:val="21"/>
                      <w:szCs w:val="21"/>
                      <w:highlight w:val="none"/>
                    </w:rPr>
                    <w:t>HW</w:t>
                  </w:r>
                  <w:r>
                    <w:rPr>
                      <w:rFonts w:hint="eastAsia" w:ascii="Times New Roman" w:hAnsi="Times New Roman" w:eastAsia="宋体"/>
                      <w:b w:val="0"/>
                      <w:bCs w:val="0"/>
                      <w:color w:val="auto"/>
                      <w:sz w:val="21"/>
                      <w:szCs w:val="21"/>
                      <w:highlight w:val="none"/>
                      <w:lang w:val="en-US" w:eastAsia="zh-CN"/>
                    </w:rPr>
                    <w:t>49</w:t>
                  </w:r>
                </w:p>
              </w:tc>
              <w:tc>
                <w:tcPr>
                  <w:tcW w:w="1055" w:type="dxa"/>
                  <w:vMerge w:val="restart"/>
                  <w:tcBorders>
                    <w:tl2br w:val="nil"/>
                    <w:tr2bl w:val="nil"/>
                  </w:tcBorders>
                  <w:noWrap w:val="0"/>
                  <w:vAlign w:val="center"/>
                </w:tcPr>
                <w:p w14:paraId="3DCA2DB3">
                  <w:pPr>
                    <w:jc w:val="center"/>
                    <w:rPr>
                      <w:rFonts w:ascii="Times New Roman" w:hAnsi="Times New Roman" w:eastAsia="宋体"/>
                      <w:b w:val="0"/>
                      <w:bCs w:val="0"/>
                      <w:color w:val="auto"/>
                      <w:sz w:val="21"/>
                      <w:szCs w:val="21"/>
                      <w:highlight w:val="none"/>
                    </w:rPr>
                  </w:pPr>
                  <w:r>
                    <w:rPr>
                      <w:rFonts w:hint="default" w:ascii="Times New Roman" w:hAnsi="Times New Roman" w:eastAsia="宋体" w:cs="Times New Roman"/>
                      <w:color w:val="auto"/>
                      <w:sz w:val="21"/>
                      <w:szCs w:val="21"/>
                      <w:highlight w:val="none"/>
                    </w:rPr>
                    <w:t>900-0</w:t>
                  </w:r>
                  <w:r>
                    <w:rPr>
                      <w:rFonts w:hint="default" w:ascii="Times New Roman" w:hAnsi="Times New Roman" w:eastAsia="宋体" w:cs="Times New Roman"/>
                      <w:color w:val="auto"/>
                      <w:sz w:val="21"/>
                      <w:szCs w:val="21"/>
                      <w:highlight w:val="none"/>
                      <w:lang w:val="en-US" w:eastAsia="zh-CN"/>
                    </w:rPr>
                    <w:t>39</w:t>
                  </w:r>
                  <w:r>
                    <w:rPr>
                      <w:rFonts w:hint="default" w:ascii="Times New Roman" w:hAnsi="Times New Roman" w:eastAsia="宋体" w:cs="Times New Roman"/>
                      <w:color w:val="auto"/>
                      <w:sz w:val="21"/>
                      <w:szCs w:val="21"/>
                      <w:highlight w:val="none"/>
                    </w:rPr>
                    <w:t>-49</w:t>
                  </w:r>
                </w:p>
              </w:tc>
              <w:tc>
                <w:tcPr>
                  <w:tcW w:w="1193" w:type="dxa"/>
                  <w:vMerge w:val="restart"/>
                  <w:tcBorders>
                    <w:tl2br w:val="nil"/>
                    <w:tr2bl w:val="nil"/>
                  </w:tcBorders>
                  <w:noWrap w:val="0"/>
                  <w:vAlign w:val="center"/>
                </w:tcPr>
                <w:p w14:paraId="1A3C77C6">
                  <w:pPr>
                    <w:autoSpaceDE w:val="0"/>
                    <w:autoSpaceDN w:val="0"/>
                    <w:adjustRightInd w:val="0"/>
                    <w:ind w:right="6"/>
                    <w:jc w:val="center"/>
                    <w:rPr>
                      <w:rFonts w:hint="default" w:ascii="Times New Roman" w:hAnsi="Times New Roman" w:eastAsia="宋体"/>
                      <w:b w:val="0"/>
                      <w:bCs w:val="0"/>
                      <w:color w:val="auto"/>
                      <w:kern w:val="0"/>
                      <w:sz w:val="21"/>
                      <w:szCs w:val="21"/>
                      <w:highlight w:val="none"/>
                      <w:lang w:val="en-US" w:eastAsia="zh-CN"/>
                    </w:rPr>
                  </w:pPr>
                  <w:r>
                    <w:rPr>
                      <w:rFonts w:hint="eastAsia" w:ascii="Times New Roman" w:hAnsi="Times New Roman" w:eastAsia="宋体"/>
                      <w:b w:val="0"/>
                      <w:bCs w:val="0"/>
                      <w:color w:val="auto"/>
                      <w:sz w:val="21"/>
                      <w:szCs w:val="21"/>
                      <w:highlight w:val="none"/>
                    </w:rPr>
                    <w:t>位于</w:t>
                  </w:r>
                  <w:r>
                    <w:rPr>
                      <w:rFonts w:hint="eastAsia" w:ascii="Times New Roman" w:hAnsi="Times New Roman" w:eastAsia="宋体"/>
                      <w:b w:val="0"/>
                      <w:bCs w:val="0"/>
                      <w:color w:val="auto"/>
                      <w:sz w:val="21"/>
                      <w:szCs w:val="21"/>
                      <w:highlight w:val="none"/>
                      <w:lang w:val="en-US" w:eastAsia="zh-CN"/>
                    </w:rPr>
                    <w:t>厂区南部</w:t>
                  </w:r>
                </w:p>
              </w:tc>
              <w:tc>
                <w:tcPr>
                  <w:tcW w:w="793" w:type="dxa"/>
                  <w:vMerge w:val="restart"/>
                  <w:tcBorders>
                    <w:tl2br w:val="nil"/>
                    <w:tr2bl w:val="nil"/>
                  </w:tcBorders>
                  <w:noWrap w:val="0"/>
                  <w:vAlign w:val="center"/>
                </w:tcPr>
                <w:p w14:paraId="3B704AAE">
                  <w:pPr>
                    <w:autoSpaceDE w:val="0"/>
                    <w:autoSpaceDN w:val="0"/>
                    <w:adjustRightInd w:val="0"/>
                    <w:ind w:right="6"/>
                    <w:jc w:val="center"/>
                    <w:rPr>
                      <w:rFonts w:ascii="Times New Roman" w:hAnsi="Times New Roman" w:eastAsia="宋体"/>
                      <w:b w:val="0"/>
                      <w:bCs w:val="0"/>
                      <w:color w:val="auto"/>
                      <w:kern w:val="0"/>
                      <w:sz w:val="21"/>
                      <w:szCs w:val="21"/>
                      <w:highlight w:val="none"/>
                      <w:vertAlign w:val="superscript"/>
                    </w:rPr>
                  </w:pPr>
                  <w:r>
                    <w:rPr>
                      <w:rFonts w:hint="eastAsia" w:ascii="Times New Roman" w:hAnsi="Times New Roman" w:eastAsia="宋体"/>
                      <w:b w:val="0"/>
                      <w:bCs w:val="0"/>
                      <w:color w:val="auto"/>
                      <w:kern w:val="0"/>
                      <w:sz w:val="21"/>
                      <w:szCs w:val="21"/>
                      <w:highlight w:val="none"/>
                      <w:lang w:val="en-US" w:eastAsia="zh-CN"/>
                    </w:rPr>
                    <w:t>10</w:t>
                  </w:r>
                  <w:r>
                    <w:rPr>
                      <w:rFonts w:ascii="Times New Roman" w:hAnsi="Times New Roman" w:eastAsia="宋体"/>
                      <w:b w:val="0"/>
                      <w:bCs w:val="0"/>
                      <w:color w:val="auto"/>
                      <w:kern w:val="0"/>
                      <w:sz w:val="21"/>
                      <w:szCs w:val="21"/>
                      <w:highlight w:val="none"/>
                    </w:rPr>
                    <w:t>m</w:t>
                  </w:r>
                  <w:r>
                    <w:rPr>
                      <w:rFonts w:ascii="Times New Roman" w:hAnsi="Times New Roman" w:eastAsia="宋体"/>
                      <w:b w:val="0"/>
                      <w:bCs w:val="0"/>
                      <w:color w:val="auto"/>
                      <w:kern w:val="0"/>
                      <w:sz w:val="21"/>
                      <w:szCs w:val="21"/>
                      <w:highlight w:val="none"/>
                      <w:vertAlign w:val="superscript"/>
                    </w:rPr>
                    <w:t>2</w:t>
                  </w:r>
                </w:p>
              </w:tc>
              <w:tc>
                <w:tcPr>
                  <w:tcW w:w="1033" w:type="dxa"/>
                  <w:tcBorders>
                    <w:tl2br w:val="nil"/>
                    <w:tr2bl w:val="nil"/>
                  </w:tcBorders>
                  <w:noWrap w:val="0"/>
                  <w:vAlign w:val="center"/>
                </w:tcPr>
                <w:p w14:paraId="66F2BFF3">
                  <w:pPr>
                    <w:autoSpaceDE w:val="0"/>
                    <w:autoSpaceDN w:val="0"/>
                    <w:adjustRightInd w:val="0"/>
                    <w:ind w:right="6"/>
                    <w:jc w:val="center"/>
                    <w:rPr>
                      <w:rFonts w:hint="eastAsia" w:ascii="Times New Roman" w:hAnsi="Times New Roman" w:eastAsia="宋体"/>
                      <w:b w:val="0"/>
                      <w:bCs w:val="0"/>
                      <w:color w:val="auto"/>
                      <w:kern w:val="0"/>
                      <w:sz w:val="21"/>
                      <w:szCs w:val="21"/>
                      <w:highlight w:val="none"/>
                      <w:lang w:eastAsia="zh-CN"/>
                    </w:rPr>
                  </w:pPr>
                  <w:r>
                    <w:rPr>
                      <w:rFonts w:hint="eastAsia" w:ascii="Times New Roman" w:hAnsi="Times New Roman" w:eastAsia="宋体"/>
                      <w:b w:val="0"/>
                      <w:bCs w:val="0"/>
                      <w:color w:val="auto"/>
                      <w:kern w:val="0"/>
                      <w:sz w:val="21"/>
                      <w:szCs w:val="21"/>
                      <w:highlight w:val="none"/>
                    </w:rPr>
                    <w:t>密闭、</w:t>
                  </w:r>
                  <w:r>
                    <w:rPr>
                      <w:rFonts w:hint="eastAsia" w:ascii="Times New Roman" w:hAnsi="Times New Roman" w:eastAsia="宋体"/>
                      <w:b w:val="0"/>
                      <w:bCs w:val="0"/>
                      <w:color w:val="auto"/>
                      <w:kern w:val="0"/>
                      <w:sz w:val="21"/>
                      <w:szCs w:val="21"/>
                      <w:highlight w:val="none"/>
                      <w:lang w:val="en-US" w:eastAsia="zh-CN"/>
                    </w:rPr>
                    <w:t>袋装</w:t>
                  </w:r>
                </w:p>
              </w:tc>
              <w:tc>
                <w:tcPr>
                  <w:tcW w:w="809" w:type="dxa"/>
                  <w:tcBorders>
                    <w:tl2br w:val="nil"/>
                    <w:tr2bl w:val="nil"/>
                  </w:tcBorders>
                  <w:noWrap w:val="0"/>
                  <w:vAlign w:val="center"/>
                </w:tcPr>
                <w:p w14:paraId="2E2D4BA5">
                  <w:pPr>
                    <w:autoSpaceDE w:val="0"/>
                    <w:autoSpaceDN w:val="0"/>
                    <w:adjustRightInd w:val="0"/>
                    <w:ind w:right="6"/>
                    <w:jc w:val="center"/>
                    <w:rPr>
                      <w:rFonts w:ascii="Times New Roman" w:hAnsi="Times New Roman" w:eastAsia="宋体"/>
                      <w:b w:val="0"/>
                      <w:bCs w:val="0"/>
                      <w:color w:val="auto"/>
                      <w:kern w:val="0"/>
                      <w:sz w:val="21"/>
                      <w:szCs w:val="21"/>
                      <w:highlight w:val="none"/>
                    </w:rPr>
                  </w:pPr>
                  <w:r>
                    <w:rPr>
                      <w:rFonts w:hint="eastAsia" w:ascii="Times New Roman" w:hAnsi="Times New Roman" w:eastAsia="宋体"/>
                      <w:b w:val="0"/>
                      <w:bCs w:val="0"/>
                      <w:color w:val="auto"/>
                      <w:kern w:val="0"/>
                      <w:sz w:val="21"/>
                      <w:szCs w:val="21"/>
                      <w:highlight w:val="none"/>
                    </w:rPr>
                    <w:t>1年</w:t>
                  </w:r>
                </w:p>
              </w:tc>
            </w:tr>
            <w:tr w14:paraId="057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3" w:type="dxa"/>
                  <w:vMerge w:val="continue"/>
                  <w:tcBorders>
                    <w:tl2br w:val="nil"/>
                    <w:tr2bl w:val="nil"/>
                  </w:tcBorders>
                  <w:noWrap w:val="0"/>
                  <w:vAlign w:val="center"/>
                </w:tcPr>
                <w:p w14:paraId="1685A45E">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973" w:type="dxa"/>
                  <w:vMerge w:val="continue"/>
                  <w:tcBorders>
                    <w:tl2br w:val="nil"/>
                    <w:tr2bl w:val="nil"/>
                  </w:tcBorders>
                  <w:noWrap w:val="0"/>
                  <w:vAlign w:val="center"/>
                </w:tcPr>
                <w:p w14:paraId="1F4FBDFD">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1054" w:type="dxa"/>
                  <w:vMerge w:val="continue"/>
                  <w:tcBorders>
                    <w:tl2br w:val="nil"/>
                    <w:tr2bl w:val="nil"/>
                  </w:tcBorders>
                  <w:noWrap w:val="0"/>
                  <w:vAlign w:val="center"/>
                </w:tcPr>
                <w:p w14:paraId="3877DD4C">
                  <w:pPr>
                    <w:jc w:val="center"/>
                    <w:rPr>
                      <w:rFonts w:hint="eastAsia" w:ascii="Times New Roman" w:hAnsi="Times New Roman" w:eastAsia="宋体"/>
                      <w:b w:val="0"/>
                      <w:bCs w:val="0"/>
                      <w:color w:val="auto"/>
                      <w:sz w:val="21"/>
                      <w:szCs w:val="21"/>
                      <w:highlight w:val="none"/>
                      <w:lang w:val="en-US" w:eastAsia="zh-CN"/>
                    </w:rPr>
                  </w:pPr>
                </w:p>
              </w:tc>
              <w:tc>
                <w:tcPr>
                  <w:tcW w:w="888" w:type="dxa"/>
                  <w:vMerge w:val="continue"/>
                  <w:tcBorders>
                    <w:tl2br w:val="nil"/>
                    <w:tr2bl w:val="nil"/>
                  </w:tcBorders>
                  <w:noWrap w:val="0"/>
                  <w:vAlign w:val="center"/>
                </w:tcPr>
                <w:p w14:paraId="2542A8C0">
                  <w:pPr>
                    <w:jc w:val="center"/>
                    <w:rPr>
                      <w:rFonts w:hint="eastAsia" w:ascii="Times New Roman" w:hAnsi="Times New Roman" w:eastAsia="宋体"/>
                      <w:b w:val="0"/>
                      <w:bCs w:val="0"/>
                      <w:color w:val="auto"/>
                      <w:sz w:val="21"/>
                      <w:szCs w:val="21"/>
                      <w:highlight w:val="none"/>
                    </w:rPr>
                  </w:pPr>
                </w:p>
              </w:tc>
              <w:tc>
                <w:tcPr>
                  <w:tcW w:w="1055" w:type="dxa"/>
                  <w:vMerge w:val="continue"/>
                  <w:tcBorders>
                    <w:tl2br w:val="nil"/>
                    <w:tr2bl w:val="nil"/>
                  </w:tcBorders>
                  <w:noWrap w:val="0"/>
                  <w:vAlign w:val="center"/>
                </w:tcPr>
                <w:p w14:paraId="555F73F4">
                  <w:pPr>
                    <w:jc w:val="center"/>
                    <w:rPr>
                      <w:rFonts w:hint="default" w:ascii="Times New Roman" w:hAnsi="Times New Roman" w:eastAsia="宋体" w:cs="Times New Roman"/>
                      <w:color w:val="auto"/>
                      <w:sz w:val="21"/>
                      <w:szCs w:val="21"/>
                      <w:highlight w:val="none"/>
                    </w:rPr>
                  </w:pPr>
                </w:p>
              </w:tc>
              <w:tc>
                <w:tcPr>
                  <w:tcW w:w="1193" w:type="dxa"/>
                  <w:vMerge w:val="continue"/>
                  <w:tcBorders>
                    <w:tl2br w:val="nil"/>
                    <w:tr2bl w:val="nil"/>
                  </w:tcBorders>
                  <w:noWrap w:val="0"/>
                  <w:vAlign w:val="center"/>
                </w:tcPr>
                <w:p w14:paraId="1127CEA0">
                  <w:pPr>
                    <w:autoSpaceDE w:val="0"/>
                    <w:autoSpaceDN w:val="0"/>
                    <w:adjustRightInd w:val="0"/>
                    <w:ind w:right="6"/>
                    <w:jc w:val="center"/>
                    <w:rPr>
                      <w:rFonts w:hint="eastAsia" w:ascii="Times New Roman" w:hAnsi="Times New Roman" w:eastAsia="宋体"/>
                      <w:b w:val="0"/>
                      <w:bCs w:val="0"/>
                      <w:color w:val="auto"/>
                      <w:sz w:val="21"/>
                      <w:szCs w:val="21"/>
                      <w:highlight w:val="none"/>
                    </w:rPr>
                  </w:pPr>
                </w:p>
              </w:tc>
              <w:tc>
                <w:tcPr>
                  <w:tcW w:w="793" w:type="dxa"/>
                  <w:vMerge w:val="continue"/>
                  <w:tcBorders>
                    <w:tl2br w:val="nil"/>
                    <w:tr2bl w:val="nil"/>
                  </w:tcBorders>
                  <w:noWrap w:val="0"/>
                  <w:vAlign w:val="center"/>
                </w:tcPr>
                <w:p w14:paraId="1400CF80">
                  <w:pPr>
                    <w:autoSpaceDE w:val="0"/>
                    <w:autoSpaceDN w:val="0"/>
                    <w:adjustRightInd w:val="0"/>
                    <w:ind w:right="6"/>
                    <w:jc w:val="center"/>
                    <w:rPr>
                      <w:rFonts w:hint="eastAsia" w:ascii="Times New Roman" w:hAnsi="Times New Roman" w:eastAsia="宋体"/>
                      <w:b w:val="0"/>
                      <w:bCs w:val="0"/>
                      <w:color w:val="auto"/>
                      <w:kern w:val="0"/>
                      <w:sz w:val="21"/>
                      <w:szCs w:val="21"/>
                      <w:highlight w:val="none"/>
                      <w:lang w:val="en-US" w:eastAsia="zh-CN"/>
                    </w:rPr>
                  </w:pPr>
                </w:p>
              </w:tc>
              <w:tc>
                <w:tcPr>
                  <w:tcW w:w="1033" w:type="dxa"/>
                  <w:vMerge w:val="restart"/>
                  <w:tcBorders>
                    <w:tl2br w:val="nil"/>
                    <w:tr2bl w:val="nil"/>
                  </w:tcBorders>
                  <w:noWrap w:val="0"/>
                  <w:vAlign w:val="center"/>
                </w:tcPr>
                <w:p w14:paraId="564643A5">
                  <w:pPr>
                    <w:autoSpaceDE w:val="0"/>
                    <w:autoSpaceDN w:val="0"/>
                    <w:adjustRightInd w:val="0"/>
                    <w:ind w:right="6" w:rightChars="0"/>
                    <w:jc w:val="center"/>
                    <w:rPr>
                      <w:rFonts w:hint="eastAsia" w:ascii="Times New Roman" w:hAnsi="Times New Roman" w:eastAsia="宋体"/>
                      <w:b w:val="0"/>
                      <w:bCs w:val="0"/>
                      <w:color w:val="auto"/>
                      <w:kern w:val="0"/>
                      <w:sz w:val="21"/>
                      <w:szCs w:val="21"/>
                      <w:highlight w:val="none"/>
                    </w:rPr>
                  </w:pPr>
                  <w:r>
                    <w:rPr>
                      <w:rFonts w:hint="eastAsia" w:ascii="Times New Roman" w:hAnsi="Times New Roman" w:eastAsia="宋体"/>
                      <w:b w:val="0"/>
                      <w:bCs w:val="0"/>
                      <w:color w:val="auto"/>
                      <w:kern w:val="0"/>
                      <w:sz w:val="21"/>
                      <w:szCs w:val="21"/>
                      <w:highlight w:val="none"/>
                    </w:rPr>
                    <w:t>密闭、</w:t>
                  </w:r>
                  <w:r>
                    <w:rPr>
                      <w:rFonts w:hint="eastAsia" w:ascii="Times New Roman" w:hAnsi="Times New Roman" w:eastAsia="宋体"/>
                      <w:b w:val="0"/>
                      <w:bCs w:val="0"/>
                      <w:color w:val="auto"/>
                      <w:kern w:val="0"/>
                      <w:sz w:val="21"/>
                      <w:szCs w:val="21"/>
                      <w:highlight w:val="none"/>
                      <w:lang w:val="en-US" w:eastAsia="zh-CN"/>
                    </w:rPr>
                    <w:t>袋装</w:t>
                  </w:r>
                </w:p>
              </w:tc>
              <w:tc>
                <w:tcPr>
                  <w:tcW w:w="809" w:type="dxa"/>
                  <w:vMerge w:val="restart"/>
                  <w:tcBorders>
                    <w:tl2br w:val="nil"/>
                    <w:tr2bl w:val="nil"/>
                  </w:tcBorders>
                  <w:noWrap w:val="0"/>
                  <w:vAlign w:val="center"/>
                </w:tcPr>
                <w:p w14:paraId="6C121F11">
                  <w:pPr>
                    <w:autoSpaceDE w:val="0"/>
                    <w:autoSpaceDN w:val="0"/>
                    <w:adjustRightInd w:val="0"/>
                    <w:ind w:right="6" w:rightChars="0"/>
                    <w:jc w:val="center"/>
                    <w:rPr>
                      <w:rFonts w:hint="eastAsia" w:ascii="Times New Roman" w:hAnsi="Times New Roman" w:eastAsia="宋体"/>
                      <w:b w:val="0"/>
                      <w:bCs w:val="0"/>
                      <w:color w:val="auto"/>
                      <w:kern w:val="0"/>
                      <w:sz w:val="21"/>
                      <w:szCs w:val="21"/>
                      <w:highlight w:val="none"/>
                    </w:rPr>
                  </w:pPr>
                  <w:r>
                    <w:rPr>
                      <w:rFonts w:hint="eastAsia" w:ascii="Times New Roman" w:hAnsi="Times New Roman" w:eastAsia="宋体"/>
                      <w:b w:val="0"/>
                      <w:bCs w:val="0"/>
                      <w:color w:val="auto"/>
                      <w:kern w:val="0"/>
                      <w:sz w:val="21"/>
                      <w:szCs w:val="21"/>
                      <w:highlight w:val="none"/>
                    </w:rPr>
                    <w:t>1年</w:t>
                  </w:r>
                </w:p>
              </w:tc>
            </w:tr>
            <w:tr w14:paraId="0C5C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73" w:type="dxa"/>
                  <w:vMerge w:val="continue"/>
                  <w:tcBorders>
                    <w:tl2br w:val="nil"/>
                    <w:tr2bl w:val="nil"/>
                  </w:tcBorders>
                  <w:noWrap w:val="0"/>
                  <w:vAlign w:val="center"/>
                </w:tcPr>
                <w:p w14:paraId="5CC1161E">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973" w:type="dxa"/>
                  <w:vMerge w:val="continue"/>
                  <w:tcBorders>
                    <w:tl2br w:val="nil"/>
                    <w:tr2bl w:val="nil"/>
                  </w:tcBorders>
                  <w:noWrap w:val="0"/>
                  <w:vAlign w:val="center"/>
                </w:tcPr>
                <w:p w14:paraId="5CA01406">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1054" w:type="dxa"/>
                  <w:tcBorders>
                    <w:tl2br w:val="nil"/>
                    <w:tr2bl w:val="nil"/>
                  </w:tcBorders>
                  <w:noWrap w:val="0"/>
                  <w:vAlign w:val="center"/>
                </w:tcPr>
                <w:p w14:paraId="63CB916C">
                  <w:pPr>
                    <w:jc w:val="center"/>
                    <w:rPr>
                      <w:rFonts w:hint="default" w:ascii="Times New Roman" w:hAnsi="Times New Roman"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废布袋</w:t>
                  </w:r>
                </w:p>
              </w:tc>
              <w:tc>
                <w:tcPr>
                  <w:tcW w:w="888" w:type="dxa"/>
                  <w:tcBorders>
                    <w:tl2br w:val="nil"/>
                    <w:tr2bl w:val="nil"/>
                  </w:tcBorders>
                  <w:shd w:val="clear" w:color="auto" w:fill="auto"/>
                  <w:noWrap w:val="0"/>
                  <w:vAlign w:val="center"/>
                </w:tcPr>
                <w:p w14:paraId="014ACDDA">
                  <w:pPr>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HW49</w:t>
                  </w:r>
                </w:p>
              </w:tc>
              <w:tc>
                <w:tcPr>
                  <w:tcW w:w="1055" w:type="dxa"/>
                  <w:tcBorders>
                    <w:tl2br w:val="nil"/>
                    <w:tr2bl w:val="nil"/>
                  </w:tcBorders>
                  <w:shd w:val="clear" w:color="auto" w:fill="auto"/>
                  <w:noWrap w:val="0"/>
                  <w:vAlign w:val="center"/>
                </w:tcPr>
                <w:p w14:paraId="1A203ED8">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900-041-49</w:t>
                  </w:r>
                </w:p>
              </w:tc>
              <w:tc>
                <w:tcPr>
                  <w:tcW w:w="1193" w:type="dxa"/>
                  <w:vMerge w:val="continue"/>
                  <w:tcBorders>
                    <w:tl2br w:val="nil"/>
                    <w:tr2bl w:val="nil"/>
                  </w:tcBorders>
                  <w:noWrap w:val="0"/>
                  <w:vAlign w:val="center"/>
                </w:tcPr>
                <w:p w14:paraId="73DE536A">
                  <w:pPr>
                    <w:autoSpaceDE w:val="0"/>
                    <w:autoSpaceDN w:val="0"/>
                    <w:adjustRightInd w:val="0"/>
                    <w:ind w:right="6"/>
                    <w:jc w:val="center"/>
                    <w:rPr>
                      <w:rFonts w:hint="eastAsia" w:ascii="Times New Roman" w:hAnsi="Times New Roman" w:eastAsia="宋体"/>
                      <w:b w:val="0"/>
                      <w:bCs w:val="0"/>
                      <w:color w:val="auto"/>
                      <w:sz w:val="21"/>
                      <w:szCs w:val="21"/>
                      <w:highlight w:val="none"/>
                    </w:rPr>
                  </w:pPr>
                </w:p>
              </w:tc>
              <w:tc>
                <w:tcPr>
                  <w:tcW w:w="793" w:type="dxa"/>
                  <w:vMerge w:val="continue"/>
                  <w:tcBorders>
                    <w:tl2br w:val="nil"/>
                    <w:tr2bl w:val="nil"/>
                  </w:tcBorders>
                  <w:noWrap w:val="0"/>
                  <w:vAlign w:val="center"/>
                </w:tcPr>
                <w:p w14:paraId="09520E2A">
                  <w:pPr>
                    <w:autoSpaceDE w:val="0"/>
                    <w:autoSpaceDN w:val="0"/>
                    <w:adjustRightInd w:val="0"/>
                    <w:ind w:right="6"/>
                    <w:jc w:val="center"/>
                    <w:rPr>
                      <w:rFonts w:hint="eastAsia" w:ascii="Times New Roman" w:hAnsi="Times New Roman" w:eastAsia="宋体"/>
                      <w:b w:val="0"/>
                      <w:bCs w:val="0"/>
                      <w:color w:val="auto"/>
                      <w:kern w:val="0"/>
                      <w:sz w:val="21"/>
                      <w:szCs w:val="21"/>
                      <w:highlight w:val="none"/>
                      <w:lang w:val="en-US" w:eastAsia="zh-CN"/>
                    </w:rPr>
                  </w:pPr>
                </w:p>
              </w:tc>
              <w:tc>
                <w:tcPr>
                  <w:tcW w:w="1033" w:type="dxa"/>
                  <w:vMerge w:val="continue"/>
                  <w:tcBorders>
                    <w:tl2br w:val="nil"/>
                    <w:tr2bl w:val="nil"/>
                  </w:tcBorders>
                  <w:noWrap w:val="0"/>
                  <w:vAlign w:val="center"/>
                </w:tcPr>
                <w:p w14:paraId="451C07C8">
                  <w:pPr>
                    <w:autoSpaceDE w:val="0"/>
                    <w:autoSpaceDN w:val="0"/>
                    <w:adjustRightInd w:val="0"/>
                    <w:ind w:right="6"/>
                    <w:jc w:val="center"/>
                    <w:rPr>
                      <w:rFonts w:hint="eastAsia" w:ascii="Times New Roman" w:hAnsi="Times New Roman" w:eastAsia="宋体"/>
                      <w:b w:val="0"/>
                      <w:bCs w:val="0"/>
                      <w:color w:val="auto"/>
                      <w:kern w:val="0"/>
                      <w:sz w:val="21"/>
                      <w:szCs w:val="21"/>
                      <w:highlight w:val="none"/>
                    </w:rPr>
                  </w:pPr>
                </w:p>
              </w:tc>
              <w:tc>
                <w:tcPr>
                  <w:tcW w:w="809" w:type="dxa"/>
                  <w:vMerge w:val="continue"/>
                  <w:tcBorders>
                    <w:tl2br w:val="nil"/>
                    <w:tr2bl w:val="nil"/>
                  </w:tcBorders>
                  <w:noWrap w:val="0"/>
                  <w:vAlign w:val="center"/>
                </w:tcPr>
                <w:p w14:paraId="7E22F710">
                  <w:pPr>
                    <w:autoSpaceDE w:val="0"/>
                    <w:autoSpaceDN w:val="0"/>
                    <w:adjustRightInd w:val="0"/>
                    <w:ind w:right="6"/>
                    <w:jc w:val="center"/>
                    <w:rPr>
                      <w:rFonts w:hint="eastAsia" w:ascii="Times New Roman" w:hAnsi="Times New Roman" w:eastAsia="宋体"/>
                      <w:b w:val="0"/>
                      <w:bCs w:val="0"/>
                      <w:color w:val="auto"/>
                      <w:kern w:val="0"/>
                      <w:sz w:val="21"/>
                      <w:szCs w:val="21"/>
                      <w:highlight w:val="none"/>
                    </w:rPr>
                  </w:pPr>
                </w:p>
              </w:tc>
            </w:tr>
            <w:tr w14:paraId="0A3F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73" w:type="dxa"/>
                  <w:vMerge w:val="continue"/>
                  <w:tcBorders>
                    <w:tl2br w:val="nil"/>
                    <w:tr2bl w:val="nil"/>
                  </w:tcBorders>
                  <w:noWrap w:val="0"/>
                  <w:vAlign w:val="center"/>
                </w:tcPr>
                <w:p w14:paraId="6E8535A9">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973" w:type="dxa"/>
                  <w:vMerge w:val="continue"/>
                  <w:tcBorders>
                    <w:tl2br w:val="nil"/>
                    <w:tr2bl w:val="nil"/>
                  </w:tcBorders>
                  <w:noWrap w:val="0"/>
                  <w:vAlign w:val="center"/>
                </w:tcPr>
                <w:p w14:paraId="36730D8B">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1054" w:type="dxa"/>
                  <w:tcBorders>
                    <w:tl2br w:val="nil"/>
                    <w:tr2bl w:val="nil"/>
                  </w:tcBorders>
                  <w:noWrap w:val="0"/>
                  <w:vAlign w:val="center"/>
                </w:tcPr>
                <w:p w14:paraId="6A8421F6">
                  <w:pPr>
                    <w:keepNext w:val="0"/>
                    <w:keepLines w:val="0"/>
                    <w:pageBreakBefore w:val="0"/>
                    <w:widowControl w:val="0"/>
                    <w:kinsoku/>
                    <w:wordWrap/>
                    <w:overflowPunct/>
                    <w:bidi w:val="0"/>
                    <w:adjustRightInd w:val="0"/>
                    <w:snapToGrid w:val="0"/>
                    <w:spacing w:line="240" w:lineRule="auto"/>
                    <w:ind w:firstLine="0" w:firstLineChars="0"/>
                    <w:jc w:val="center"/>
                    <w:textAlignment w:val="auto"/>
                    <w:rPr>
                      <w:rFonts w:hint="eastAsia" w:ascii="Times New Roman" w:hAnsi="Times New Roman" w:eastAsia="宋体"/>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废机油</w:t>
                  </w:r>
                </w:p>
              </w:tc>
              <w:tc>
                <w:tcPr>
                  <w:tcW w:w="888" w:type="dxa"/>
                  <w:tcBorders>
                    <w:tl2br w:val="nil"/>
                    <w:tr2bl w:val="nil"/>
                  </w:tcBorders>
                  <w:noWrap w:val="0"/>
                  <w:vAlign w:val="center"/>
                </w:tcPr>
                <w:p w14:paraId="7D486867">
                  <w:pPr>
                    <w:jc w:val="center"/>
                    <w:rPr>
                      <w:rFonts w:hint="eastAsia" w:ascii="Times New Roman" w:hAnsi="Times New Roman" w:eastAsia="宋体"/>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HW08</w:t>
                  </w:r>
                </w:p>
              </w:tc>
              <w:tc>
                <w:tcPr>
                  <w:tcW w:w="1055" w:type="dxa"/>
                  <w:tcBorders>
                    <w:tl2br w:val="nil"/>
                    <w:tr2bl w:val="nil"/>
                  </w:tcBorders>
                  <w:noWrap w:val="0"/>
                  <w:vAlign w:val="center"/>
                </w:tcPr>
                <w:p w14:paraId="7A441DB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900-214-08</w:t>
                  </w:r>
                </w:p>
              </w:tc>
              <w:tc>
                <w:tcPr>
                  <w:tcW w:w="1193" w:type="dxa"/>
                  <w:vMerge w:val="continue"/>
                  <w:tcBorders>
                    <w:tl2br w:val="nil"/>
                    <w:tr2bl w:val="nil"/>
                  </w:tcBorders>
                  <w:noWrap w:val="0"/>
                  <w:vAlign w:val="center"/>
                </w:tcPr>
                <w:p w14:paraId="641E6167">
                  <w:pPr>
                    <w:autoSpaceDE w:val="0"/>
                    <w:autoSpaceDN w:val="0"/>
                    <w:adjustRightInd w:val="0"/>
                    <w:ind w:right="6"/>
                    <w:jc w:val="center"/>
                    <w:rPr>
                      <w:rFonts w:hint="eastAsia" w:ascii="Times New Roman" w:hAnsi="Times New Roman" w:eastAsia="宋体"/>
                      <w:b w:val="0"/>
                      <w:bCs w:val="0"/>
                      <w:color w:val="auto"/>
                      <w:sz w:val="21"/>
                      <w:szCs w:val="21"/>
                      <w:highlight w:val="none"/>
                    </w:rPr>
                  </w:pPr>
                </w:p>
              </w:tc>
              <w:tc>
                <w:tcPr>
                  <w:tcW w:w="793" w:type="dxa"/>
                  <w:vMerge w:val="continue"/>
                  <w:tcBorders>
                    <w:tl2br w:val="nil"/>
                    <w:tr2bl w:val="nil"/>
                  </w:tcBorders>
                  <w:noWrap w:val="0"/>
                  <w:vAlign w:val="center"/>
                </w:tcPr>
                <w:p w14:paraId="44B277A6">
                  <w:pPr>
                    <w:autoSpaceDE w:val="0"/>
                    <w:autoSpaceDN w:val="0"/>
                    <w:adjustRightInd w:val="0"/>
                    <w:ind w:right="6"/>
                    <w:jc w:val="center"/>
                    <w:rPr>
                      <w:rFonts w:hint="eastAsia" w:ascii="Times New Roman" w:hAnsi="Times New Roman" w:eastAsia="宋体"/>
                      <w:b w:val="0"/>
                      <w:bCs w:val="0"/>
                      <w:color w:val="auto"/>
                      <w:kern w:val="0"/>
                      <w:sz w:val="21"/>
                      <w:szCs w:val="21"/>
                      <w:highlight w:val="none"/>
                      <w:lang w:val="en-US" w:eastAsia="zh-CN"/>
                    </w:rPr>
                  </w:pPr>
                </w:p>
              </w:tc>
              <w:tc>
                <w:tcPr>
                  <w:tcW w:w="1033" w:type="dxa"/>
                  <w:vMerge w:val="restart"/>
                  <w:tcBorders>
                    <w:tl2br w:val="nil"/>
                    <w:tr2bl w:val="nil"/>
                  </w:tcBorders>
                  <w:noWrap w:val="0"/>
                  <w:vAlign w:val="center"/>
                </w:tcPr>
                <w:p w14:paraId="1DF562AC">
                  <w:pPr>
                    <w:autoSpaceDE w:val="0"/>
                    <w:autoSpaceDN w:val="0"/>
                    <w:adjustRightInd w:val="0"/>
                    <w:ind w:right="6"/>
                    <w:jc w:val="center"/>
                    <w:rPr>
                      <w:rFonts w:hint="eastAsia" w:ascii="Times New Roman" w:hAnsi="Times New Roman" w:eastAsia="宋体"/>
                      <w:b w:val="0"/>
                      <w:bCs w:val="0"/>
                      <w:color w:val="auto"/>
                      <w:kern w:val="0"/>
                      <w:sz w:val="21"/>
                      <w:szCs w:val="21"/>
                      <w:highlight w:val="none"/>
                      <w:lang w:val="en-US" w:eastAsia="zh-CN"/>
                    </w:rPr>
                  </w:pPr>
                  <w:r>
                    <w:rPr>
                      <w:rFonts w:hint="eastAsia" w:ascii="Times New Roman" w:hAnsi="Times New Roman" w:eastAsia="宋体"/>
                      <w:b w:val="0"/>
                      <w:bCs w:val="0"/>
                      <w:color w:val="auto"/>
                      <w:kern w:val="0"/>
                      <w:sz w:val="21"/>
                      <w:szCs w:val="21"/>
                      <w:highlight w:val="none"/>
                      <w:lang w:val="en-US" w:eastAsia="zh-CN"/>
                    </w:rPr>
                    <w:t>桶装</w:t>
                  </w:r>
                </w:p>
              </w:tc>
              <w:tc>
                <w:tcPr>
                  <w:tcW w:w="809" w:type="dxa"/>
                  <w:vMerge w:val="restart"/>
                  <w:tcBorders>
                    <w:tl2br w:val="nil"/>
                    <w:tr2bl w:val="nil"/>
                  </w:tcBorders>
                  <w:noWrap w:val="0"/>
                  <w:vAlign w:val="center"/>
                </w:tcPr>
                <w:p w14:paraId="30FABCBB">
                  <w:pPr>
                    <w:autoSpaceDE w:val="0"/>
                    <w:autoSpaceDN w:val="0"/>
                    <w:adjustRightInd w:val="0"/>
                    <w:ind w:right="6"/>
                    <w:jc w:val="center"/>
                    <w:rPr>
                      <w:rFonts w:hint="eastAsia" w:ascii="Times New Roman" w:hAnsi="Times New Roman" w:eastAsia="宋体"/>
                      <w:b w:val="0"/>
                      <w:bCs w:val="0"/>
                      <w:color w:val="auto"/>
                      <w:kern w:val="0"/>
                      <w:sz w:val="21"/>
                      <w:szCs w:val="21"/>
                      <w:highlight w:val="none"/>
                    </w:rPr>
                  </w:pPr>
                  <w:r>
                    <w:rPr>
                      <w:rFonts w:hint="eastAsia" w:ascii="Times New Roman" w:hAnsi="Times New Roman" w:eastAsia="宋体"/>
                      <w:b w:val="0"/>
                      <w:bCs w:val="0"/>
                      <w:color w:val="auto"/>
                      <w:kern w:val="0"/>
                      <w:sz w:val="21"/>
                      <w:szCs w:val="21"/>
                      <w:highlight w:val="none"/>
                    </w:rPr>
                    <w:t>1年</w:t>
                  </w:r>
                </w:p>
              </w:tc>
            </w:tr>
            <w:tr w14:paraId="2CF2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73" w:type="dxa"/>
                  <w:vMerge w:val="continue"/>
                  <w:tcBorders>
                    <w:tl2br w:val="nil"/>
                    <w:tr2bl w:val="nil"/>
                  </w:tcBorders>
                  <w:noWrap w:val="0"/>
                  <w:vAlign w:val="center"/>
                </w:tcPr>
                <w:p w14:paraId="57481C96">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973" w:type="dxa"/>
                  <w:vMerge w:val="continue"/>
                  <w:tcBorders>
                    <w:tl2br w:val="nil"/>
                    <w:tr2bl w:val="nil"/>
                  </w:tcBorders>
                  <w:noWrap w:val="0"/>
                  <w:vAlign w:val="center"/>
                </w:tcPr>
                <w:p w14:paraId="701AFCAF">
                  <w:pPr>
                    <w:autoSpaceDE w:val="0"/>
                    <w:autoSpaceDN w:val="0"/>
                    <w:adjustRightInd w:val="0"/>
                    <w:ind w:right="6"/>
                    <w:jc w:val="center"/>
                    <w:rPr>
                      <w:rFonts w:ascii="Times New Roman" w:hAnsi="Times New Roman" w:eastAsia="宋体"/>
                      <w:b w:val="0"/>
                      <w:bCs w:val="0"/>
                      <w:color w:val="auto"/>
                      <w:kern w:val="0"/>
                      <w:sz w:val="21"/>
                      <w:szCs w:val="21"/>
                      <w:highlight w:val="none"/>
                    </w:rPr>
                  </w:pPr>
                </w:p>
              </w:tc>
              <w:tc>
                <w:tcPr>
                  <w:tcW w:w="1054" w:type="dxa"/>
                  <w:tcBorders>
                    <w:tl2br w:val="nil"/>
                    <w:tr2bl w:val="nil"/>
                  </w:tcBorders>
                  <w:noWrap w:val="0"/>
                  <w:vAlign w:val="center"/>
                </w:tcPr>
                <w:p w14:paraId="05656008">
                  <w:pPr>
                    <w:keepNext w:val="0"/>
                    <w:keepLines w:val="0"/>
                    <w:pageBreakBefore w:val="0"/>
                    <w:widowControl w:val="0"/>
                    <w:kinsoku/>
                    <w:wordWrap/>
                    <w:overflowPunct/>
                    <w:bidi w:val="0"/>
                    <w:adjustRightInd w:val="0"/>
                    <w:snapToGrid w:val="0"/>
                    <w:spacing w:line="240" w:lineRule="auto"/>
                    <w:ind w:firstLine="0" w:firstLineChars="0"/>
                    <w:jc w:val="center"/>
                    <w:textAlignment w:val="auto"/>
                    <w:rPr>
                      <w:rFonts w:hint="eastAsia" w:ascii="Times New Roman" w:hAnsi="Times New Roman" w:eastAsia="宋体"/>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废机油桶</w:t>
                  </w:r>
                </w:p>
              </w:tc>
              <w:tc>
                <w:tcPr>
                  <w:tcW w:w="888" w:type="dxa"/>
                  <w:tcBorders>
                    <w:tl2br w:val="nil"/>
                    <w:tr2bl w:val="nil"/>
                  </w:tcBorders>
                  <w:noWrap w:val="0"/>
                  <w:vAlign w:val="center"/>
                </w:tcPr>
                <w:p w14:paraId="56389CDE">
                  <w:pPr>
                    <w:jc w:val="center"/>
                    <w:rPr>
                      <w:rFonts w:hint="eastAsia" w:ascii="Times New Roman" w:hAnsi="Times New Roman" w:eastAsia="宋体"/>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HW49</w:t>
                  </w:r>
                </w:p>
              </w:tc>
              <w:tc>
                <w:tcPr>
                  <w:tcW w:w="1055" w:type="dxa"/>
                  <w:tcBorders>
                    <w:tl2br w:val="nil"/>
                    <w:tr2bl w:val="nil"/>
                  </w:tcBorders>
                  <w:noWrap w:val="0"/>
                  <w:vAlign w:val="center"/>
                </w:tcPr>
                <w:p w14:paraId="287DC5A2">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900-041-49</w:t>
                  </w:r>
                </w:p>
              </w:tc>
              <w:tc>
                <w:tcPr>
                  <w:tcW w:w="1193" w:type="dxa"/>
                  <w:vMerge w:val="continue"/>
                  <w:tcBorders>
                    <w:tl2br w:val="nil"/>
                    <w:tr2bl w:val="nil"/>
                  </w:tcBorders>
                  <w:noWrap w:val="0"/>
                  <w:vAlign w:val="center"/>
                </w:tcPr>
                <w:p w14:paraId="729B59CD">
                  <w:pPr>
                    <w:autoSpaceDE w:val="0"/>
                    <w:autoSpaceDN w:val="0"/>
                    <w:adjustRightInd w:val="0"/>
                    <w:ind w:right="6"/>
                    <w:jc w:val="center"/>
                    <w:rPr>
                      <w:rFonts w:hint="eastAsia" w:ascii="Times New Roman" w:hAnsi="Times New Roman" w:eastAsia="宋体"/>
                      <w:b w:val="0"/>
                      <w:bCs w:val="0"/>
                      <w:color w:val="auto"/>
                      <w:sz w:val="21"/>
                      <w:szCs w:val="21"/>
                      <w:highlight w:val="none"/>
                    </w:rPr>
                  </w:pPr>
                </w:p>
              </w:tc>
              <w:tc>
                <w:tcPr>
                  <w:tcW w:w="793" w:type="dxa"/>
                  <w:vMerge w:val="continue"/>
                  <w:tcBorders>
                    <w:tl2br w:val="nil"/>
                    <w:tr2bl w:val="nil"/>
                  </w:tcBorders>
                  <w:noWrap w:val="0"/>
                  <w:vAlign w:val="center"/>
                </w:tcPr>
                <w:p w14:paraId="679B56A3">
                  <w:pPr>
                    <w:autoSpaceDE w:val="0"/>
                    <w:autoSpaceDN w:val="0"/>
                    <w:adjustRightInd w:val="0"/>
                    <w:ind w:right="6"/>
                    <w:jc w:val="center"/>
                    <w:rPr>
                      <w:rFonts w:hint="eastAsia" w:ascii="Times New Roman" w:hAnsi="Times New Roman" w:eastAsia="宋体"/>
                      <w:b w:val="0"/>
                      <w:bCs w:val="0"/>
                      <w:color w:val="auto"/>
                      <w:kern w:val="0"/>
                      <w:sz w:val="21"/>
                      <w:szCs w:val="21"/>
                      <w:highlight w:val="none"/>
                      <w:lang w:val="en-US" w:eastAsia="zh-CN"/>
                    </w:rPr>
                  </w:pPr>
                </w:p>
              </w:tc>
              <w:tc>
                <w:tcPr>
                  <w:tcW w:w="1033" w:type="dxa"/>
                  <w:vMerge w:val="continue"/>
                  <w:tcBorders>
                    <w:tl2br w:val="nil"/>
                    <w:tr2bl w:val="nil"/>
                  </w:tcBorders>
                  <w:noWrap w:val="0"/>
                  <w:vAlign w:val="center"/>
                </w:tcPr>
                <w:p w14:paraId="1ED80D21">
                  <w:pPr>
                    <w:autoSpaceDE w:val="0"/>
                    <w:autoSpaceDN w:val="0"/>
                    <w:adjustRightInd w:val="0"/>
                    <w:ind w:right="6"/>
                    <w:jc w:val="center"/>
                    <w:rPr>
                      <w:rFonts w:hint="eastAsia" w:ascii="Times New Roman" w:hAnsi="Times New Roman" w:eastAsia="宋体"/>
                      <w:b w:val="0"/>
                      <w:bCs w:val="0"/>
                      <w:color w:val="auto"/>
                      <w:kern w:val="0"/>
                      <w:sz w:val="21"/>
                      <w:szCs w:val="21"/>
                      <w:highlight w:val="none"/>
                      <w:lang w:val="en-US" w:eastAsia="zh-CN"/>
                    </w:rPr>
                  </w:pPr>
                </w:p>
              </w:tc>
              <w:tc>
                <w:tcPr>
                  <w:tcW w:w="809" w:type="dxa"/>
                  <w:vMerge w:val="continue"/>
                  <w:tcBorders>
                    <w:tl2br w:val="nil"/>
                    <w:tr2bl w:val="nil"/>
                  </w:tcBorders>
                  <w:noWrap w:val="0"/>
                  <w:vAlign w:val="center"/>
                </w:tcPr>
                <w:p w14:paraId="3C4FE5A4">
                  <w:pPr>
                    <w:autoSpaceDE w:val="0"/>
                    <w:autoSpaceDN w:val="0"/>
                    <w:adjustRightInd w:val="0"/>
                    <w:ind w:right="6"/>
                    <w:jc w:val="center"/>
                    <w:rPr>
                      <w:rFonts w:hint="eastAsia" w:ascii="Times New Roman" w:hAnsi="Times New Roman" w:eastAsia="宋体"/>
                      <w:b w:val="0"/>
                      <w:bCs w:val="0"/>
                      <w:color w:val="auto"/>
                      <w:kern w:val="0"/>
                      <w:sz w:val="21"/>
                      <w:szCs w:val="21"/>
                      <w:highlight w:val="none"/>
                    </w:rPr>
                  </w:pPr>
                </w:p>
              </w:tc>
            </w:tr>
          </w:tbl>
          <w:p w14:paraId="31795A32">
            <w:pPr>
              <w:adjustRightInd w:val="0"/>
              <w:snapToGrid w:val="0"/>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环境管理要求</w:t>
            </w:r>
          </w:p>
          <w:p w14:paraId="42F3E7EC">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（1）一般工业固体废物</w:t>
            </w:r>
          </w:p>
          <w:p w14:paraId="02ACC52B">
            <w:pPr>
              <w:tabs>
                <w:tab w:val="left" w:pos="9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2"/>
                <w:highlight w:val="none"/>
                <w:lang w:eastAsia="zh-CN"/>
              </w:rPr>
              <w:t>本项目</w:t>
            </w:r>
            <w:r>
              <w:rPr>
                <w:rFonts w:hint="eastAsia" w:ascii="Times New Roman" w:hAnsi="Times New Roman" w:eastAsia="宋体"/>
                <w:color w:val="auto"/>
                <w:sz w:val="24"/>
                <w:highlight w:val="none"/>
                <w:lang w:eastAsia="zh-CN"/>
              </w:rPr>
              <w:t>废包装材料、分拣废渣、不合格粗料、含铁杂质、布袋除尘器收集粉尘</w:t>
            </w:r>
            <w:r>
              <w:rPr>
                <w:rFonts w:hint="default" w:ascii="Times New Roman" w:hAnsi="Times New Roman" w:eastAsia="宋体" w:cs="Times New Roman"/>
                <w:bCs/>
                <w:color w:val="auto"/>
                <w:sz w:val="24"/>
                <w:highlight w:val="none"/>
              </w:rPr>
              <w:t>集中收集后</w:t>
            </w:r>
            <w:r>
              <w:rPr>
                <w:rFonts w:hint="default" w:ascii="Times New Roman" w:hAnsi="Times New Roman" w:eastAsia="宋体" w:cs="Times New Roman"/>
                <w:color w:val="auto"/>
                <w:sz w:val="24"/>
                <w:szCs w:val="22"/>
                <w:highlight w:val="none"/>
                <w:lang w:eastAsia="zh-CN"/>
              </w:rPr>
              <w:t>外售综合利用</w:t>
            </w:r>
            <w:r>
              <w:rPr>
                <w:rFonts w:hint="default" w:ascii="Times New Roman" w:hAnsi="Times New Roman" w:eastAsia="宋体" w:cs="Times New Roman"/>
                <w:color w:val="auto"/>
                <w:sz w:val="24"/>
                <w:highlight w:val="none"/>
              </w:rPr>
              <w:t>，不会对周围环境产生影响，项目固体废物综合利用、处理处置前的堆放、贮存场所应按照国家固体废物贮存有关要求设置，避免产生二次污染。</w:t>
            </w:r>
          </w:p>
          <w:p w14:paraId="005BC5C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一般固废区应按照《一般工业固体废物贮存和填埋污染控制标准》(GB18599-2020)要求的要求制定防渗措施：</w:t>
            </w:r>
          </w:p>
          <w:p w14:paraId="203E561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①等效黏土防渗层Mb≥1.5m，K≤1×10</w:t>
            </w:r>
            <w:r>
              <w:rPr>
                <w:rFonts w:hint="default" w:ascii="Times New Roman" w:hAnsi="Times New Roman" w:eastAsia="宋体" w:cs="Times New Roman"/>
                <w:color w:val="auto"/>
                <w:sz w:val="24"/>
                <w:highlight w:val="none"/>
                <w:vertAlign w:val="superscript"/>
              </w:rPr>
              <w:t>-7</w:t>
            </w:r>
            <w:r>
              <w:rPr>
                <w:rFonts w:hint="default" w:ascii="Times New Roman" w:hAnsi="Times New Roman" w:eastAsia="宋体" w:cs="Times New Roman"/>
                <w:color w:val="auto"/>
                <w:sz w:val="24"/>
                <w:highlight w:val="none"/>
              </w:rPr>
              <w:t>cm/s。</w:t>
            </w:r>
          </w:p>
          <w:p w14:paraId="10375A20">
            <w:pPr>
              <w:tabs>
                <w:tab w:val="left" w:pos="9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w:t>
            </w:r>
            <w:r>
              <w:rPr>
                <w:rFonts w:hint="default" w:ascii="Times New Roman" w:hAnsi="Times New Roman" w:eastAsia="宋体" w:cs="Times New Roman"/>
                <w:color w:val="auto"/>
                <w:sz w:val="24"/>
                <w:highlight w:val="none"/>
                <w:lang w:val="sq-AL"/>
              </w:rPr>
              <w:t>抗渗砼的抗渗等级不宜小于P8，其厚度不宜小于100mm。</w:t>
            </w:r>
          </w:p>
          <w:p w14:paraId="18DA10E3">
            <w:pPr>
              <w:spacing w:line="360" w:lineRule="auto"/>
              <w:ind w:firstLine="480" w:firstLineChars="200"/>
              <w:rPr>
                <w:rFonts w:hint="default" w:ascii="Times New Roman" w:hAnsi="Times New Roman" w:eastAsia="宋体" w:cs="Times New Roman"/>
                <w:iCs/>
                <w:color w:val="auto"/>
                <w:sz w:val="24"/>
                <w:highlight w:val="none"/>
              </w:rPr>
            </w:pPr>
            <w:r>
              <w:rPr>
                <w:rFonts w:hint="default" w:ascii="Times New Roman" w:hAnsi="Times New Roman" w:eastAsia="宋体" w:cs="Times New Roman"/>
                <w:iCs/>
                <w:color w:val="auto"/>
                <w:sz w:val="24"/>
                <w:highlight w:val="none"/>
              </w:rPr>
              <w:t>③贮存、处置场的建设类型必须与将要堆放的一般工业固体废物的类别相一致。</w:t>
            </w:r>
          </w:p>
          <w:p w14:paraId="6649E669">
            <w:pPr>
              <w:spacing w:line="360" w:lineRule="auto"/>
              <w:ind w:firstLine="480" w:firstLineChars="200"/>
              <w:rPr>
                <w:rFonts w:hint="default" w:ascii="Times New Roman" w:hAnsi="Times New Roman" w:eastAsia="宋体" w:cs="Times New Roman"/>
                <w:iCs/>
                <w:color w:val="auto"/>
                <w:sz w:val="24"/>
                <w:highlight w:val="none"/>
              </w:rPr>
            </w:pPr>
            <w:r>
              <w:rPr>
                <w:rFonts w:hint="default" w:ascii="Times New Roman" w:hAnsi="Times New Roman" w:eastAsia="宋体" w:cs="Times New Roman"/>
                <w:iCs/>
                <w:color w:val="auto"/>
                <w:sz w:val="24"/>
                <w:highlight w:val="none"/>
              </w:rPr>
              <w:t>④贮存、处置场应采取防止污染的措施。</w:t>
            </w:r>
          </w:p>
          <w:p w14:paraId="65C58539">
            <w:pPr>
              <w:spacing w:line="360" w:lineRule="auto"/>
              <w:ind w:firstLine="480" w:firstLineChars="200"/>
              <w:rPr>
                <w:rFonts w:hint="default" w:ascii="Times New Roman" w:hAnsi="Times New Roman" w:eastAsia="宋体" w:cs="Times New Roman"/>
                <w:iCs/>
                <w:color w:val="auto"/>
                <w:sz w:val="24"/>
                <w:highlight w:val="none"/>
              </w:rPr>
            </w:pPr>
            <w:r>
              <w:rPr>
                <w:rFonts w:hint="default" w:ascii="Times New Roman" w:hAnsi="Times New Roman" w:eastAsia="宋体" w:cs="Times New Roman"/>
                <w:iCs/>
                <w:color w:val="auto"/>
                <w:sz w:val="24"/>
                <w:highlight w:val="none"/>
              </w:rPr>
              <w:t>⑤为防止雨水径流进入贮存、处置场内。</w:t>
            </w:r>
          </w:p>
          <w:p w14:paraId="1FA85493">
            <w:pPr>
              <w:spacing w:line="360" w:lineRule="auto"/>
              <w:ind w:firstLine="480" w:firstLineChars="200"/>
              <w:rPr>
                <w:rFonts w:hint="default" w:ascii="Times New Roman" w:hAnsi="Times New Roman" w:eastAsia="宋体" w:cs="Times New Roman"/>
                <w:iCs/>
                <w:color w:val="auto"/>
                <w:sz w:val="24"/>
                <w:highlight w:val="none"/>
              </w:rPr>
            </w:pPr>
            <w:r>
              <w:rPr>
                <w:rFonts w:hint="default" w:ascii="Times New Roman" w:hAnsi="Times New Roman" w:eastAsia="宋体" w:cs="Times New Roman"/>
                <w:iCs/>
                <w:color w:val="auto"/>
                <w:sz w:val="24"/>
                <w:highlight w:val="none"/>
              </w:rPr>
              <w:t>⑥张贴一般工业固废暂存间的环保标识。</w:t>
            </w:r>
          </w:p>
          <w:p w14:paraId="78F2D9CC">
            <w:pPr>
              <w:tabs>
                <w:tab w:val="left" w:pos="9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项目在加强管理并落实好各项污染防治措施和固体废物安全处置措施的前提下，对周围环境的影响较小。</w:t>
            </w:r>
          </w:p>
          <w:p w14:paraId="684DDFF9">
            <w:pPr>
              <w:tabs>
                <w:tab w:val="left" w:pos="9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建设单位拟按照《排污许可证申请与核发技术规范 工业固体废物（试行）》（HJ1200-2021）要求，对一般固废进行管理：</w:t>
            </w:r>
          </w:p>
          <w:p w14:paraId="03DEF423">
            <w:pPr>
              <w:tabs>
                <w:tab w:val="left" w:pos="9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委托利用/处置污染防控要求：排污单位委托他人运输、利用、处置一般工业固体废物的，应落实《中华人民共和国固体废物污染环境防治法》等法律法规要求，对受托方的主体资格和技术能力进行核实，依法签订书面合同，在合同中约定污染防治要求等。</w:t>
            </w:r>
          </w:p>
          <w:p w14:paraId="5DECC8E9">
            <w:pPr>
              <w:tabs>
                <w:tab w:val="left" w:pos="9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自行贮存/利用/处置设施污染防控要求：采用库房、包装工具（罐、桶、包装袋等）贮存一般工业固体废物的，贮存过程应满足相应防渗漏、防雨淋、防扬尘等环境保护要求；危险废物和生活垃圾不得进入一般工业固体废物贮存场；不相容的一般工业固体废物应设置不同的分区进行贮存和填埋作业；贮存场应设置清晰、完整的一般工业固体废物标志牌等。排污单位生产运营期间一般工业固体废物自行贮存/利用/处置设施的环境管理和相关设施运行维护要求还应符合 GB 15562.2、GB 18599、GB 30485 和 HJ 2035 等相关标准规范要求。</w:t>
            </w:r>
          </w:p>
          <w:p w14:paraId="28EE0AA0">
            <w:pPr>
              <w:tabs>
                <w:tab w:val="left" w:pos="9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台账记录：企业建立环境管理台账制度，环境管理台账记录按照生态环境部规定的一般工业固体废物环境管理台账相关标准及管理文件要求。一般固体废物产生清单基础信息及流向信息按年填写，记录固体废物的产生、贮存、利用、处置数量处置方式等信息按月填写，每一批次固体废物的出厂以及转移信息批次填写。其余一般固体废物根据固体废物产生周期，可按日或按班次、批次填写，并保存电子台账+纸质台账不少于5年。</w:t>
            </w:r>
          </w:p>
          <w:p w14:paraId="6B214850">
            <w:pPr>
              <w:numPr>
                <w:ilvl w:val="0"/>
                <w:numId w:val="15"/>
              </w:numPr>
              <w:spacing w:line="360" w:lineRule="auto"/>
              <w:ind w:left="0" w:leftChars="0"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危险废物</w:t>
            </w:r>
            <w:r>
              <w:rPr>
                <w:rFonts w:hint="eastAsia" w:ascii="Times New Roman" w:hAnsi="Times New Roman" w:eastAsia="宋体" w:cs="Times New Roman"/>
                <w:color w:val="auto"/>
                <w:sz w:val="24"/>
                <w:szCs w:val="24"/>
                <w:highlight w:val="none"/>
                <w:lang w:eastAsia="zh-CN"/>
              </w:rPr>
              <w:t>处置要求</w:t>
            </w:r>
          </w:p>
          <w:p w14:paraId="517D4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设置面积</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的危险废物暂存场所，由专人负责管理，为防止工业固废堆放期间对环境产生不利影响，贮存室内应有隔离设施、防风、防晒、防雨、防渗、防火设施，严格按照《危险废物贮存污染控制标准》（GB18597-20</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）要求设置，具体要求如下：</w:t>
            </w:r>
          </w:p>
          <w:p w14:paraId="7BD95CC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①贮存设施或贮存分区内地面、墙面裙脚、堵截泄漏的围堰、接触危险废物的隔板和墙体等应采用坚固的材料建造，表面无裂缝。</w:t>
            </w:r>
          </w:p>
          <w:p w14:paraId="6F1E46B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1 m 厚黏土层（渗透系数不大于10</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vertAlign w:val="superscript"/>
              </w:rPr>
              <w:t>7</w:t>
            </w:r>
            <w:r>
              <w:rPr>
                <w:rFonts w:hint="default" w:ascii="Times New Roman" w:hAnsi="Times New Roman" w:eastAsia="宋体" w:cs="Times New Roman"/>
                <w:color w:val="auto"/>
                <w:sz w:val="24"/>
                <w:highlight w:val="none"/>
              </w:rPr>
              <w:t>cm/s），或至少2mm厚高密度聚乙烯膜等人工防渗材料（渗透系数不大于10</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vertAlign w:val="superscript"/>
              </w:rPr>
              <w:t>10</w:t>
            </w:r>
            <w:r>
              <w:rPr>
                <w:rFonts w:hint="default" w:ascii="Times New Roman" w:hAnsi="Times New Roman" w:eastAsia="宋体" w:cs="Times New Roman"/>
                <w:color w:val="auto"/>
                <w:sz w:val="24"/>
                <w:highlight w:val="none"/>
              </w:rPr>
              <w:t>cm/s），或其他防渗性能等效的材料。</w:t>
            </w:r>
          </w:p>
          <w:p w14:paraId="3105B49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②针对不同类别、形态、物理化学性质的危险废物，其容器和包装物应满足相应的防渗、防漏、防腐和强度等要求。</w:t>
            </w:r>
          </w:p>
          <w:p w14:paraId="0157685C">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③液态危险废物应装入容器内贮存，半固态危险废物应装入容器或包装袋内贮存</w:t>
            </w:r>
            <w:r>
              <w:rPr>
                <w:rFonts w:hint="eastAsia" w:ascii="Times New Roman" w:hAnsi="Times New Roman" w:eastAsia="宋体" w:cs="Times New Roman"/>
                <w:color w:val="auto"/>
                <w:sz w:val="24"/>
                <w:highlight w:val="none"/>
                <w:lang w:eastAsia="zh-CN"/>
              </w:rPr>
              <w:t>。贮存点应根据危险废物的形态、物理化学性质、包装形式等，采取防渗、防漏等污染防治措施或采用具有相应功能的装置。</w:t>
            </w:r>
          </w:p>
          <w:p w14:paraId="205E35D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④危险废物存入贮存设施前应对危险废物类别和特性与危险废物标签等危险废物识别标志的一致性进行核验，不一致的或类别、特性不明的不应存入。</w:t>
            </w:r>
          </w:p>
          <w:p w14:paraId="103D4297">
            <w:pPr>
              <w:spacing w:line="360" w:lineRule="auto"/>
              <w:ind w:firstLine="480" w:firstLineChars="200"/>
              <w:rPr>
                <w:rFonts w:hint="default" w:ascii="Times New Roman" w:hAnsi="Times New Roman" w:eastAsia="宋体"/>
                <w:color w:val="auto"/>
                <w:sz w:val="24"/>
                <w:szCs w:val="32"/>
                <w:highlight w:val="none"/>
              </w:rPr>
            </w:pPr>
            <w:r>
              <w:rPr>
                <w:rFonts w:hint="default" w:ascii="Times New Roman" w:hAnsi="Times New Roman" w:eastAsia="宋体" w:cs="Times New Roman"/>
                <w:color w:val="auto"/>
                <w:sz w:val="24"/>
                <w:highlight w:val="none"/>
              </w:rPr>
              <w:t>⑤</w:t>
            </w:r>
            <w:r>
              <w:rPr>
                <w:rFonts w:hint="default" w:ascii="Times New Roman" w:hAnsi="Times New Roman" w:eastAsia="宋体"/>
                <w:color w:val="auto"/>
                <w:sz w:val="24"/>
                <w:szCs w:val="32"/>
                <w:highlight w:val="none"/>
              </w:rPr>
              <w:t>应定期检查危险废物的贮存状况，及时清理贮存设施地面，更换破损泄漏的危险废物贮存容器和包装物，保证堆存危险废物的防雨、防风、防扬尘等设施功能完好。</w:t>
            </w:r>
          </w:p>
          <w:p w14:paraId="156565FF">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⑥</w:t>
            </w:r>
            <w:r>
              <w:rPr>
                <w:rFonts w:hint="eastAsia" w:ascii="Times New Roman" w:hAnsi="Times New Roman" w:eastAsia="宋体" w:cs="Times New Roman"/>
                <w:color w:val="auto"/>
                <w:sz w:val="24"/>
                <w:highlight w:val="none"/>
                <w:lang w:eastAsia="zh-CN"/>
              </w:rPr>
              <w:t>贮存点应及时清运贮存的危险废物，实时贮存量不应超过 3 吨。</w:t>
            </w:r>
          </w:p>
          <w:p w14:paraId="56FEEB2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⑦贮存设施运行期间，应按国家有关标准和规定建立危险废物管理台账并保存。</w:t>
            </w:r>
          </w:p>
          <w:p w14:paraId="6F6B747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⑧贮存设施所有者或运营者应建立贮存设施环境管理制度、管理人员岗位职责制度、设施运行操作制度、人员岗位培训制度等。</w:t>
            </w:r>
          </w:p>
          <w:p w14:paraId="1D900538">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根据《危险废物转移管理办法》（</w:t>
            </w:r>
            <w:r>
              <w:rPr>
                <w:rFonts w:hint="default" w:ascii="Times New Roman" w:hAnsi="Times New Roman" w:eastAsia="宋体" w:cs="Times New Roman"/>
                <w:color w:val="auto"/>
                <w:sz w:val="24"/>
                <w:highlight w:val="none"/>
                <w:lang w:val="en-US" w:eastAsia="zh-CN"/>
              </w:rPr>
              <w:t>2022年1月1日实施</w:t>
            </w:r>
            <w:r>
              <w:rPr>
                <w:rFonts w:hint="eastAsia" w:ascii="Times New Roman" w:hAnsi="Times New Roman" w:eastAsia="宋体" w:cs="Times New Roman"/>
                <w:color w:val="auto"/>
                <w:sz w:val="24"/>
                <w:highlight w:val="none"/>
              </w:rPr>
              <w:t>）规定，</w:t>
            </w:r>
            <w:r>
              <w:rPr>
                <w:rFonts w:hint="default" w:ascii="Times New Roman" w:hAnsi="Times New Roman" w:eastAsia="宋体" w:cs="Times New Roman"/>
                <w:color w:val="auto"/>
                <w:sz w:val="24"/>
                <w:highlight w:val="none"/>
                <w:lang w:val="en-US" w:eastAsia="zh-CN"/>
              </w:rPr>
              <w:t>危险废物移出人、危险废物承运人、危险废物</w:t>
            </w:r>
            <w:r>
              <w:rPr>
                <w:rFonts w:hint="eastAsia" w:ascii="Times New Roman" w:hAnsi="Times New Roman" w:eastAsia="宋体" w:cs="Times New Roman"/>
                <w:color w:val="auto"/>
                <w:sz w:val="24"/>
                <w:highlight w:val="none"/>
                <w:lang w:val="en-US" w:eastAsia="zh-CN"/>
              </w:rPr>
              <w:t>接收</w:t>
            </w:r>
            <w:r>
              <w:rPr>
                <w:rFonts w:hint="default" w:ascii="Times New Roman" w:hAnsi="Times New Roman" w:eastAsia="宋体" w:cs="Times New Roman"/>
                <w:color w:val="auto"/>
                <w:sz w:val="24"/>
                <w:highlight w:val="none"/>
                <w:lang w:val="en-US" w:eastAsia="zh-CN"/>
              </w:rPr>
              <w:t>人在危险废物转移过程中应当采取防扬散、防流失、防渗漏或者其他防止污染环境的措施，不得擅自倾倒、堆放、丢弃、遗撒危险废物，并对所造成的环境污染及生态破坏依法承担责任。</w:t>
            </w:r>
          </w:p>
          <w:p w14:paraId="6BD3472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危险废物转移联单应当根据危险废物管理计划中填报的危险废物转移等备案信息填写、运行。</w:t>
            </w:r>
          </w:p>
          <w:p w14:paraId="79418A4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移出人每转移一车（船或者其他运输工具）次同类危险废物，应当填写、运行一份危险废物转移联单；每车（船或者其他运输工具</w:t>
            </w:r>
            <w:r>
              <w:rPr>
                <w:rFonts w:hint="eastAsia" w:ascii="Times New Roman" w:hAnsi="Times New Roman" w:eastAsia="宋体" w:cs="Times New Roman"/>
                <w:color w:val="auto"/>
                <w:sz w:val="24"/>
                <w:highlight w:val="none"/>
                <w:lang w:val="en-US" w:eastAsia="zh-CN"/>
              </w:rPr>
              <w:t>）一</w:t>
            </w:r>
            <w:r>
              <w:rPr>
                <w:rFonts w:hint="default" w:ascii="Times New Roman" w:hAnsi="Times New Roman" w:eastAsia="宋体" w:cs="Times New Roman"/>
                <w:color w:val="auto"/>
                <w:sz w:val="24"/>
                <w:highlight w:val="none"/>
                <w:lang w:val="en-US" w:eastAsia="zh-CN"/>
              </w:rPr>
              <w:t>次转移多类危险废物的，可以填写、运行一份危险废物转移联单，也可以每一类危险废物填写、运行一份危险废物转移联单。</w:t>
            </w:r>
          </w:p>
          <w:p w14:paraId="237DA1E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接受人应当对运抵的危险废物进行核实验收，并在接受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14:paraId="59AA942E">
            <w:pPr>
              <w:spacing w:line="360" w:lineRule="auto"/>
              <w:ind w:firstLine="480" w:firstLineChars="200"/>
              <w:jc w:val="left"/>
              <w:rPr>
                <w:rFonts w:hint="eastAsia" w:ascii="Times New Roman" w:hAnsi="Times New Roman" w:eastAsia="宋体"/>
                <w:color w:val="auto"/>
                <w:sz w:val="24"/>
                <w:szCs w:val="24"/>
                <w:highlight w:val="none"/>
              </w:rPr>
            </w:pPr>
            <w:r>
              <w:rPr>
                <w:rFonts w:hint="eastAsia" w:ascii="Times New Roman" w:hAnsi="Times New Roman" w:eastAsia="宋体"/>
                <w:color w:val="auto"/>
                <w:kern w:val="0"/>
                <w:sz w:val="24"/>
                <w:szCs w:val="24"/>
                <w:highlight w:val="none"/>
              </w:rPr>
              <w:t>经上述处理后，固体废物能够合理处置，</w:t>
            </w:r>
            <w:r>
              <w:rPr>
                <w:rFonts w:ascii="Times New Roman" w:hAnsi="Times New Roman" w:eastAsia="宋体"/>
                <w:color w:val="auto"/>
                <w:sz w:val="24"/>
                <w:szCs w:val="24"/>
                <w:highlight w:val="none"/>
              </w:rPr>
              <w:t>固体废物只在厂内</w:t>
            </w:r>
            <w:r>
              <w:rPr>
                <w:rFonts w:hint="eastAsia" w:ascii="Times New Roman" w:hAnsi="Times New Roman" w:eastAsia="宋体"/>
                <w:color w:val="auto"/>
                <w:sz w:val="24"/>
                <w:szCs w:val="24"/>
                <w:highlight w:val="none"/>
                <w:lang w:eastAsia="zh-CN"/>
              </w:rPr>
              <w:t>做</w:t>
            </w:r>
            <w:r>
              <w:rPr>
                <w:rFonts w:ascii="Times New Roman" w:hAnsi="Times New Roman" w:eastAsia="宋体"/>
                <w:color w:val="auto"/>
                <w:sz w:val="24"/>
                <w:szCs w:val="24"/>
                <w:highlight w:val="none"/>
              </w:rPr>
              <w:t>短时间的堆放，对环境产生影响较小。固体废物处置符合</w:t>
            </w:r>
            <w:r>
              <w:rPr>
                <w:rFonts w:hint="eastAsia" w:ascii="Times New Roman" w:hAnsi="Times New Roman" w:eastAsia="宋体"/>
                <w:color w:val="auto"/>
                <w:sz w:val="24"/>
                <w:szCs w:val="24"/>
                <w:highlight w:val="none"/>
              </w:rPr>
              <w:t>《中华人民共和国固体废物污染环境防治法》中关于一般工业固体废物贮存相关要求</w:t>
            </w:r>
            <w:r>
              <w:rPr>
                <w:rFonts w:hint="eastAsia" w:ascii="Times New Roman" w:hAnsi="Times New Roman" w:eastAsia="宋体"/>
                <w:color w:val="auto"/>
                <w:sz w:val="24"/>
                <w:szCs w:val="24"/>
                <w:highlight w:val="none"/>
                <w:lang w:val="en-US" w:eastAsia="zh-CN"/>
              </w:rPr>
              <w:t>以及</w:t>
            </w:r>
            <w:r>
              <w:rPr>
                <w:rFonts w:hint="eastAsia" w:ascii="Times New Roman" w:hAnsi="Times New Roman" w:eastAsia="宋体"/>
                <w:color w:val="auto"/>
                <w:szCs w:val="21"/>
                <w:highlight w:val="none"/>
              </w:rPr>
              <w:t>《一般工业固体废物贮存和填埋污染控制标准》</w:t>
            </w:r>
            <w:r>
              <w:rPr>
                <w:rFonts w:hint="eastAsia" w:ascii="Times New Roman" w:hAnsi="Times New Roman" w:eastAsia="宋体"/>
                <w:color w:val="auto"/>
                <w:szCs w:val="21"/>
                <w:highlight w:val="none"/>
                <w:lang w:eastAsia="zh-CN"/>
              </w:rPr>
              <w:t>（</w:t>
            </w:r>
            <w:r>
              <w:rPr>
                <w:rFonts w:hint="eastAsia" w:ascii="Times New Roman" w:hAnsi="Times New Roman" w:eastAsia="宋体"/>
                <w:color w:val="auto"/>
                <w:szCs w:val="21"/>
                <w:highlight w:val="none"/>
              </w:rPr>
              <w:t>GB18599-2020</w:t>
            </w:r>
            <w:r>
              <w:rPr>
                <w:rFonts w:hint="eastAsia" w:ascii="Times New Roman" w:hAnsi="Times New Roman" w:eastAsia="宋体"/>
                <w:color w:val="auto"/>
                <w:szCs w:val="21"/>
                <w:highlight w:val="none"/>
                <w:lang w:eastAsia="zh-CN"/>
              </w:rPr>
              <w:t>）</w:t>
            </w:r>
            <w:r>
              <w:rPr>
                <w:rFonts w:hint="eastAsia" w:ascii="Times New Roman" w:hAnsi="Times New Roman" w:eastAsia="宋体"/>
                <w:color w:val="auto"/>
                <w:sz w:val="24"/>
                <w:szCs w:val="24"/>
                <w:highlight w:val="none"/>
              </w:rPr>
              <w:t>要求，</w:t>
            </w:r>
            <w:r>
              <w:rPr>
                <w:rFonts w:ascii="Times New Roman" w:hAnsi="Times New Roman" w:eastAsia="宋体"/>
                <w:color w:val="auto"/>
                <w:sz w:val="24"/>
                <w:szCs w:val="24"/>
                <w:highlight w:val="none"/>
              </w:rPr>
              <w:t>《危险废物贮存污染控制标准》（GB18597-20</w:t>
            </w:r>
            <w:r>
              <w:rPr>
                <w:rFonts w:hint="eastAsia" w:ascii="Times New Roman" w:hAnsi="Times New Roman" w:eastAsia="宋体"/>
                <w:color w:val="auto"/>
                <w:sz w:val="24"/>
                <w:szCs w:val="24"/>
                <w:highlight w:val="none"/>
                <w:lang w:val="en-US" w:eastAsia="zh-CN"/>
              </w:rPr>
              <w:t>23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w:t>
            </w:r>
          </w:p>
          <w:p w14:paraId="19CF4F6B">
            <w:pPr>
              <w:pStyle w:val="110"/>
              <w:numPr>
                <w:ilvl w:val="0"/>
                <w:numId w:val="0"/>
              </w:numPr>
              <w:spacing w:before="120"/>
              <w:ind w:left="42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五、地下水、土壤环境影响分析</w:t>
            </w:r>
          </w:p>
          <w:p w14:paraId="6DCC0123">
            <w:pPr>
              <w:widowControl/>
              <w:spacing w:line="360" w:lineRule="auto"/>
              <w:ind w:firstLine="44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color w:val="auto"/>
                <w:spacing w:val="-10"/>
                <w:sz w:val="24"/>
                <w:highlight w:val="none"/>
              </w:rPr>
              <w:t>1、污染途径及环境影响分析</w:t>
            </w:r>
          </w:p>
          <w:p w14:paraId="216F9559">
            <w:pPr>
              <w:pStyle w:val="111"/>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项目正常情况下，地面已完成硬化/防渗，污水管网采取防渗措施，无地下水和土壤污染途径。主要是在事故状态下，危废库</w:t>
            </w:r>
            <w:r>
              <w:rPr>
                <w:rFonts w:hint="eastAsia" w:ascii="Times New Roman" w:hAnsi="Times New Roman" w:eastAsia="宋体" w:cs="Times New Roman"/>
                <w:color w:val="auto"/>
                <w:highlight w:val="none"/>
                <w:lang w:val="en-US" w:eastAsia="zh-CN"/>
              </w:rPr>
              <w:t>中的废机油</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机油存放区的机油、</w:t>
            </w:r>
            <w:r>
              <w:rPr>
                <w:rFonts w:hint="default" w:ascii="Times New Roman" w:hAnsi="Times New Roman" w:eastAsia="宋体" w:cs="Times New Roman"/>
                <w:color w:val="auto"/>
                <w:highlight w:val="none"/>
              </w:rPr>
              <w:t>化粪池池体破损、裂缝可能造成污染物通过入渗等方式污染土壤和地下水。</w:t>
            </w:r>
          </w:p>
          <w:p w14:paraId="5A8C962A">
            <w:pPr>
              <w:pStyle w:val="111"/>
              <w:spacing w:line="360" w:lineRule="auto"/>
              <w:ind w:firstLine="440" w:firstLineChars="200"/>
              <w:rPr>
                <w:rFonts w:hint="default" w:ascii="Times New Roman" w:hAnsi="Times New Roman" w:eastAsia="宋体" w:cs="Times New Roman"/>
                <w:bCs/>
                <w:color w:val="auto"/>
                <w:spacing w:val="-10"/>
                <w:kern w:val="2"/>
                <w:highlight w:val="none"/>
              </w:rPr>
            </w:pPr>
            <w:r>
              <w:rPr>
                <w:rFonts w:hint="default" w:ascii="Times New Roman" w:hAnsi="Times New Roman" w:eastAsia="宋体" w:cs="Times New Roman"/>
                <w:bCs/>
                <w:color w:val="auto"/>
                <w:spacing w:val="-10"/>
                <w:kern w:val="2"/>
                <w:highlight w:val="none"/>
              </w:rPr>
              <w:t>项目区内可能产生的泄漏环节如下：</w:t>
            </w:r>
          </w:p>
          <w:p w14:paraId="60D5AECD">
            <w:pPr>
              <w:pStyle w:val="101"/>
              <w:bidi w:val="0"/>
              <w:rPr>
                <w:rFonts w:hint="default" w:ascii="Times New Roman" w:hAnsi="Times New Roman" w:eastAsia="宋体" w:cs="Times New Roman"/>
                <w:b/>
                <w:color w:val="auto"/>
                <w:spacing w:val="0"/>
                <w:sz w:val="24"/>
                <w:highlight w:val="none"/>
              </w:rPr>
            </w:pPr>
            <w:r>
              <w:rPr>
                <w:rFonts w:hint="default" w:ascii="Times New Roman" w:hAnsi="Times New Roman" w:eastAsia="宋体" w:cs="Times New Roman"/>
                <w:color w:val="auto"/>
                <w:highlight w:val="none"/>
                <w:lang w:val="en-US" w:eastAsia="zh-CN"/>
              </w:rPr>
              <w:t>表4-1</w:t>
            </w:r>
            <w:r>
              <w:rPr>
                <w:rFonts w:hint="eastAsia" w:ascii="Times New Roman" w:hAnsi="Times New Roman" w:eastAsia="宋体" w:cs="Times New Roman"/>
                <w:color w:val="auto"/>
                <w:highlight w:val="none"/>
                <w:lang w:val="en-US" w:eastAsia="zh-CN"/>
              </w:rPr>
              <w:t xml:space="preserve">6 </w:t>
            </w:r>
            <w:r>
              <w:rPr>
                <w:rFonts w:hint="default" w:ascii="Times New Roman" w:hAnsi="Times New Roman" w:eastAsia="宋体" w:cs="Times New Roman"/>
                <w:color w:val="auto"/>
                <w:highlight w:val="none"/>
                <w:lang w:val="en-US" w:eastAsia="zh-CN"/>
              </w:rPr>
              <w:t>项目土壤、地下水污染源及污染途径</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142"/>
              <w:gridCol w:w="2721"/>
              <w:gridCol w:w="2652"/>
            </w:tblGrid>
            <w:tr w14:paraId="3FFD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noWrap w:val="0"/>
                  <w:vAlign w:val="center"/>
                </w:tcPr>
                <w:p w14:paraId="55311780">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序号</w:t>
                  </w:r>
                </w:p>
              </w:tc>
              <w:tc>
                <w:tcPr>
                  <w:tcW w:w="1294" w:type="pct"/>
                  <w:tcBorders>
                    <w:tl2br w:val="nil"/>
                    <w:tr2bl w:val="nil"/>
                  </w:tcBorders>
                  <w:noWrap w:val="0"/>
                  <w:vAlign w:val="center"/>
                </w:tcPr>
                <w:p w14:paraId="4C0866E8">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污染源</w:t>
                  </w:r>
                </w:p>
              </w:tc>
              <w:tc>
                <w:tcPr>
                  <w:tcW w:w="1644" w:type="pct"/>
                  <w:tcBorders>
                    <w:tl2br w:val="nil"/>
                    <w:tr2bl w:val="nil"/>
                  </w:tcBorders>
                  <w:noWrap w:val="0"/>
                  <w:vAlign w:val="center"/>
                </w:tcPr>
                <w:p w14:paraId="25C4BA38">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污染物类型</w:t>
                  </w:r>
                </w:p>
              </w:tc>
              <w:tc>
                <w:tcPr>
                  <w:tcW w:w="1602" w:type="pct"/>
                  <w:tcBorders>
                    <w:tl2br w:val="nil"/>
                    <w:tr2bl w:val="nil"/>
                  </w:tcBorders>
                  <w:noWrap w:val="0"/>
                  <w:vAlign w:val="center"/>
                </w:tcPr>
                <w:p w14:paraId="571A1DC7">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污染途径</w:t>
                  </w:r>
                </w:p>
              </w:tc>
            </w:tr>
            <w:tr w14:paraId="2D4F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57" w:type="pct"/>
                  <w:tcBorders>
                    <w:tl2br w:val="nil"/>
                    <w:tr2bl w:val="nil"/>
                  </w:tcBorders>
                  <w:noWrap w:val="0"/>
                  <w:vAlign w:val="center"/>
                </w:tcPr>
                <w:p w14:paraId="4953BAED">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w:t>
                  </w:r>
                </w:p>
              </w:tc>
              <w:tc>
                <w:tcPr>
                  <w:tcW w:w="1294" w:type="pct"/>
                  <w:tcBorders>
                    <w:tl2br w:val="nil"/>
                    <w:tr2bl w:val="nil"/>
                  </w:tcBorders>
                  <w:noWrap w:val="0"/>
                  <w:vAlign w:val="center"/>
                </w:tcPr>
                <w:p w14:paraId="070ACFBB">
                  <w:pPr>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化粪池</w:t>
                  </w:r>
                </w:p>
              </w:tc>
              <w:tc>
                <w:tcPr>
                  <w:tcW w:w="1644" w:type="pct"/>
                  <w:tcBorders>
                    <w:tl2br w:val="nil"/>
                    <w:tr2bl w:val="nil"/>
                  </w:tcBorders>
                  <w:noWrap w:val="0"/>
                  <w:vAlign w:val="center"/>
                </w:tcPr>
                <w:p w14:paraId="40C915A2">
                  <w:pPr>
                    <w:jc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eastAsia="zh-CN"/>
                    </w:rPr>
                    <w:t>生活污水</w:t>
                  </w:r>
                </w:p>
              </w:tc>
              <w:tc>
                <w:tcPr>
                  <w:tcW w:w="1602" w:type="pct"/>
                  <w:tcBorders>
                    <w:tl2br w:val="nil"/>
                    <w:tr2bl w:val="nil"/>
                  </w:tcBorders>
                  <w:noWrap w:val="0"/>
                  <w:vAlign w:val="center"/>
                </w:tcPr>
                <w:p w14:paraId="5C603F6D">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泄漏污染地下水和土壤</w:t>
                  </w:r>
                </w:p>
              </w:tc>
            </w:tr>
            <w:tr w14:paraId="5442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57" w:type="pct"/>
                  <w:tcBorders>
                    <w:tl2br w:val="nil"/>
                    <w:tr2bl w:val="nil"/>
                  </w:tcBorders>
                  <w:noWrap w:val="0"/>
                  <w:vAlign w:val="center"/>
                </w:tcPr>
                <w:p w14:paraId="0F0DD318">
                  <w:pPr>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2</w:t>
                  </w:r>
                </w:p>
              </w:tc>
              <w:tc>
                <w:tcPr>
                  <w:tcW w:w="1294" w:type="pct"/>
                  <w:tcBorders>
                    <w:tl2br w:val="nil"/>
                    <w:tr2bl w:val="nil"/>
                  </w:tcBorders>
                  <w:noWrap w:val="0"/>
                  <w:vAlign w:val="center"/>
                </w:tcPr>
                <w:p w14:paraId="208520A9">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危废库、机油存放区</w:t>
                  </w:r>
                </w:p>
              </w:tc>
              <w:tc>
                <w:tcPr>
                  <w:tcW w:w="1644" w:type="pct"/>
                  <w:tcBorders>
                    <w:tl2br w:val="nil"/>
                    <w:tr2bl w:val="nil"/>
                  </w:tcBorders>
                  <w:noWrap w:val="0"/>
                  <w:vAlign w:val="center"/>
                </w:tcPr>
                <w:p w14:paraId="24955001">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废机油、机油</w:t>
                  </w:r>
                </w:p>
              </w:tc>
              <w:tc>
                <w:tcPr>
                  <w:tcW w:w="1602" w:type="pct"/>
                  <w:tcBorders>
                    <w:tl2br w:val="nil"/>
                    <w:tr2bl w:val="nil"/>
                  </w:tcBorders>
                  <w:noWrap w:val="0"/>
                  <w:vAlign w:val="center"/>
                </w:tcPr>
                <w:p w14:paraId="441FF329">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泄漏污染地下水和土壤</w:t>
                  </w:r>
                </w:p>
              </w:tc>
            </w:tr>
          </w:tbl>
          <w:p w14:paraId="1DF006C7">
            <w:pPr>
              <w:pStyle w:val="111"/>
              <w:keepNext w:val="0"/>
              <w:keepLines w:val="0"/>
              <w:pageBreakBefore w:val="0"/>
              <w:widowControl w:val="0"/>
              <w:kinsoku/>
              <w:wordWrap/>
              <w:overflowPunct/>
              <w:topLinePunct w:val="0"/>
              <w:bidi w:val="0"/>
              <w:snapToGrid/>
              <w:spacing w:line="360" w:lineRule="auto"/>
              <w:ind w:firstLine="442" w:firstLineChars="200"/>
              <w:jc w:val="left"/>
              <w:textAlignment w:val="auto"/>
              <w:rPr>
                <w:rFonts w:hint="default" w:ascii="Times New Roman" w:hAnsi="Times New Roman" w:eastAsia="宋体" w:cs="Times New Roman"/>
                <w:b/>
                <w:color w:val="auto"/>
                <w:spacing w:val="-10"/>
                <w:sz w:val="24"/>
                <w:highlight w:val="none"/>
              </w:rPr>
            </w:pPr>
            <w:r>
              <w:rPr>
                <w:rFonts w:hint="default" w:ascii="Times New Roman" w:hAnsi="Times New Roman" w:eastAsia="宋体" w:cs="Times New Roman"/>
                <w:b/>
                <w:color w:val="auto"/>
                <w:spacing w:val="-10"/>
                <w:sz w:val="24"/>
                <w:highlight w:val="none"/>
              </w:rPr>
              <w:t>2、分区防渗措施</w:t>
            </w:r>
          </w:p>
          <w:p w14:paraId="7A0E43F9">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①源头控制</w:t>
            </w:r>
          </w:p>
          <w:p w14:paraId="6B0D4A7D">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②分区防渗</w:t>
            </w:r>
          </w:p>
          <w:p w14:paraId="0843A66C">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根据项目区可能泄漏至地面区域、污染物的性质和建筑物的构筑方式，结合所建项目总平面布置情况，将所建项目区分为重点防渗区、一般污染防渗区和简单防渗区。</w:t>
            </w:r>
          </w:p>
          <w:p w14:paraId="1012482D">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8"/>
                <w:highlight w:val="none"/>
                <w:lang w:val="en-US" w:eastAsia="zh-CN"/>
              </w:rPr>
            </w:pPr>
            <w:r>
              <w:rPr>
                <w:rFonts w:hint="default" w:ascii="Times New Roman" w:hAnsi="Times New Roman" w:eastAsia="宋体" w:cs="Times New Roman"/>
                <w:color w:val="auto"/>
                <w:sz w:val="24"/>
                <w:szCs w:val="28"/>
                <w:highlight w:val="none"/>
              </w:rPr>
              <w:t>重点防渗区：化粪池</w:t>
            </w:r>
            <w:r>
              <w:rPr>
                <w:rFonts w:hint="eastAsia" w:ascii="Times New Roman" w:hAnsi="Times New Roman" w:eastAsia="宋体" w:cs="Times New Roman"/>
                <w:color w:val="auto"/>
                <w:sz w:val="24"/>
                <w:szCs w:val="28"/>
                <w:highlight w:val="none"/>
                <w:lang w:eastAsia="zh-CN"/>
              </w:rPr>
              <w:t>、</w:t>
            </w:r>
            <w:r>
              <w:rPr>
                <w:rFonts w:hint="eastAsia" w:ascii="Times New Roman" w:hAnsi="Times New Roman" w:eastAsia="宋体" w:cs="Times New Roman"/>
                <w:color w:val="auto"/>
                <w:sz w:val="24"/>
                <w:szCs w:val="28"/>
                <w:highlight w:val="none"/>
                <w:lang w:val="en-US" w:eastAsia="zh-CN"/>
              </w:rPr>
              <w:t>危废库</w:t>
            </w:r>
            <w:r>
              <w:rPr>
                <w:rFonts w:hint="eastAsia" w:ascii="Times New Roman" w:hAnsi="Times New Roman" w:eastAsia="宋体" w:cs="Times New Roman"/>
                <w:b w:val="0"/>
                <w:bCs w:val="0"/>
                <w:color w:val="auto"/>
                <w:sz w:val="21"/>
                <w:szCs w:val="21"/>
                <w:highlight w:val="none"/>
                <w:lang w:val="en-US" w:eastAsia="zh-CN"/>
              </w:rPr>
              <w:t>、机油存放区</w:t>
            </w:r>
          </w:p>
          <w:p w14:paraId="3A713B14">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8"/>
                <w:highlight w:val="none"/>
              </w:rPr>
              <w:t>一般防渗区：生产车间、一般固废暂存区</w:t>
            </w:r>
          </w:p>
          <w:p w14:paraId="1D3D8948">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2"/>
                <w:highlight w:val="none"/>
              </w:rPr>
              <w:t>简单防渗区：办公区、道路</w:t>
            </w:r>
          </w:p>
          <w:p w14:paraId="606DAEEE">
            <w:pPr>
              <w:pStyle w:val="101"/>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表4-1</w:t>
            </w:r>
            <w:r>
              <w:rPr>
                <w:rFonts w:hint="eastAsia"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lang w:val="en-US" w:eastAsia="zh-CN"/>
              </w:rPr>
              <w:t>防渗分区及防渗要求表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18"/>
              <w:gridCol w:w="4911"/>
              <w:gridCol w:w="1022"/>
            </w:tblGrid>
            <w:tr w14:paraId="33C1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tcBorders>
                    <w:tl2br w:val="nil"/>
                    <w:tr2bl w:val="nil"/>
                  </w:tcBorders>
                  <w:noWrap w:val="0"/>
                  <w:vAlign w:val="center"/>
                </w:tcPr>
                <w:p w14:paraId="40919814">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防渗分区</w:t>
                  </w:r>
                </w:p>
              </w:tc>
              <w:tc>
                <w:tcPr>
                  <w:tcW w:w="857" w:type="pct"/>
                  <w:tcBorders>
                    <w:tl2br w:val="nil"/>
                    <w:tr2bl w:val="nil"/>
                  </w:tcBorders>
                  <w:noWrap w:val="0"/>
                  <w:vAlign w:val="center"/>
                </w:tcPr>
                <w:p w14:paraId="69CF8FAE">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防渗区域</w:t>
                  </w:r>
                </w:p>
              </w:tc>
              <w:tc>
                <w:tcPr>
                  <w:tcW w:w="2968" w:type="pct"/>
                  <w:tcBorders>
                    <w:tl2br w:val="nil"/>
                    <w:tr2bl w:val="nil"/>
                  </w:tcBorders>
                  <w:noWrap w:val="0"/>
                  <w:vAlign w:val="center"/>
                </w:tcPr>
                <w:p w14:paraId="3C5C3E93">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防渗技术要求</w:t>
                  </w:r>
                </w:p>
              </w:tc>
              <w:tc>
                <w:tcPr>
                  <w:tcW w:w="617" w:type="pct"/>
                  <w:tcBorders>
                    <w:tl2br w:val="nil"/>
                    <w:tr2bl w:val="nil"/>
                  </w:tcBorders>
                  <w:noWrap w:val="0"/>
                  <w:vAlign w:val="center"/>
                </w:tcPr>
                <w:p w14:paraId="2D24B091">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完成情况</w:t>
                  </w:r>
                </w:p>
              </w:tc>
            </w:tr>
            <w:tr w14:paraId="13FD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tcBorders>
                    <w:tl2br w:val="nil"/>
                    <w:tr2bl w:val="nil"/>
                  </w:tcBorders>
                  <w:noWrap w:val="0"/>
                  <w:vAlign w:val="center"/>
                </w:tcPr>
                <w:p w14:paraId="3B744C8A">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重点防</w:t>
                  </w:r>
                </w:p>
                <w:p w14:paraId="65BA5838">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渗区</w:t>
                  </w:r>
                </w:p>
              </w:tc>
              <w:tc>
                <w:tcPr>
                  <w:tcW w:w="857" w:type="pct"/>
                  <w:tcBorders>
                    <w:tl2br w:val="nil"/>
                    <w:tr2bl w:val="nil"/>
                  </w:tcBorders>
                  <w:noWrap w:val="0"/>
                  <w:vAlign w:val="center"/>
                </w:tcPr>
                <w:p w14:paraId="049A2D4F">
                  <w:pPr>
                    <w:pStyle w:val="103"/>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化粪池</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危废库、机油存放区</w:t>
                  </w:r>
                </w:p>
              </w:tc>
              <w:tc>
                <w:tcPr>
                  <w:tcW w:w="2968" w:type="pct"/>
                  <w:tcBorders>
                    <w:tl2br w:val="nil"/>
                    <w:tr2bl w:val="nil"/>
                  </w:tcBorders>
                  <w:noWrap w:val="0"/>
                  <w:vAlign w:val="center"/>
                </w:tcPr>
                <w:p w14:paraId="3EBD7CA0">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按照《危险废物贮存污染控制标准》（GB18597-2023）要求进行防渗，基础必须防渗，防渗层为至少1米厚粘土层（渗透系数≤10</w:t>
                  </w:r>
                  <w:r>
                    <w:rPr>
                      <w:rFonts w:hint="default" w:ascii="Times New Roman" w:hAnsi="Times New Roman" w:eastAsia="宋体" w:cs="Times New Roman"/>
                      <w:b w:val="0"/>
                      <w:bCs w:val="0"/>
                      <w:color w:val="auto"/>
                      <w:sz w:val="21"/>
                      <w:szCs w:val="21"/>
                      <w:highlight w:val="none"/>
                      <w:vertAlign w:val="superscript"/>
                    </w:rPr>
                    <w:t>-7</w:t>
                  </w:r>
                  <w:r>
                    <w:rPr>
                      <w:rFonts w:hint="default" w:ascii="Times New Roman" w:hAnsi="Times New Roman" w:eastAsia="宋体" w:cs="Times New Roman"/>
                      <w:b w:val="0"/>
                      <w:bCs w:val="0"/>
                      <w:color w:val="auto"/>
                      <w:sz w:val="21"/>
                      <w:szCs w:val="21"/>
                      <w:highlight w:val="none"/>
                    </w:rPr>
                    <w:t>厘米/秒），或2毫米厚高密度聚乙烯，或至少2毫米厚的其它人工材料，渗透系数≤10</w:t>
                  </w:r>
                  <w:r>
                    <w:rPr>
                      <w:rFonts w:hint="default" w:ascii="Times New Roman" w:hAnsi="Times New Roman" w:eastAsia="宋体" w:cs="Times New Roman"/>
                      <w:b w:val="0"/>
                      <w:bCs w:val="0"/>
                      <w:color w:val="auto"/>
                      <w:sz w:val="21"/>
                      <w:szCs w:val="21"/>
                      <w:highlight w:val="none"/>
                      <w:vertAlign w:val="superscript"/>
                    </w:rPr>
                    <w:t>-10</w:t>
                  </w:r>
                  <w:r>
                    <w:rPr>
                      <w:rFonts w:hint="default" w:ascii="Times New Roman" w:hAnsi="Times New Roman" w:eastAsia="宋体" w:cs="Times New Roman"/>
                      <w:b w:val="0"/>
                      <w:bCs w:val="0"/>
                      <w:color w:val="auto"/>
                      <w:sz w:val="21"/>
                      <w:szCs w:val="21"/>
                      <w:highlight w:val="none"/>
                    </w:rPr>
                    <w:t>厘米/秒</w:t>
                  </w:r>
                </w:p>
              </w:tc>
              <w:tc>
                <w:tcPr>
                  <w:tcW w:w="617" w:type="pct"/>
                  <w:tcBorders>
                    <w:tl2br w:val="nil"/>
                    <w:tr2bl w:val="nil"/>
                  </w:tcBorders>
                  <w:noWrap w:val="0"/>
                  <w:vAlign w:val="center"/>
                </w:tcPr>
                <w:p w14:paraId="30C4C2F1">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已完成</w:t>
                  </w:r>
                </w:p>
              </w:tc>
            </w:tr>
            <w:tr w14:paraId="69F7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tcBorders>
                    <w:tl2br w:val="nil"/>
                    <w:tr2bl w:val="nil"/>
                  </w:tcBorders>
                  <w:noWrap w:val="0"/>
                  <w:vAlign w:val="center"/>
                </w:tcPr>
                <w:p w14:paraId="6B8F86EB">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一般防</w:t>
                  </w:r>
                </w:p>
                <w:p w14:paraId="29C21EAD">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渗区</w:t>
                  </w:r>
                </w:p>
              </w:tc>
              <w:tc>
                <w:tcPr>
                  <w:tcW w:w="857" w:type="pct"/>
                  <w:tcBorders>
                    <w:tl2br w:val="nil"/>
                    <w:tr2bl w:val="nil"/>
                  </w:tcBorders>
                  <w:noWrap w:val="0"/>
                  <w:vAlign w:val="center"/>
                </w:tcPr>
                <w:p w14:paraId="3CBA9C07">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生产车间、一般固废暂存区</w:t>
                  </w:r>
                </w:p>
              </w:tc>
              <w:tc>
                <w:tcPr>
                  <w:tcW w:w="2968" w:type="pct"/>
                  <w:tcBorders>
                    <w:tl2br w:val="nil"/>
                    <w:tr2bl w:val="nil"/>
                  </w:tcBorders>
                  <w:noWrap w:val="0"/>
                  <w:vAlign w:val="center"/>
                </w:tcPr>
                <w:p w14:paraId="5CDF187D">
                  <w:pPr>
                    <w:pStyle w:val="49"/>
                    <w:adjustRightInd/>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等效黏土防渗层Mb≥1.5m，K≤1×10</w:t>
                  </w:r>
                  <w:r>
                    <w:rPr>
                      <w:rFonts w:hint="default" w:ascii="Times New Roman" w:hAnsi="Times New Roman" w:eastAsia="宋体" w:cs="Times New Roman"/>
                      <w:b w:val="0"/>
                      <w:bCs w:val="0"/>
                      <w:color w:val="auto"/>
                      <w:sz w:val="21"/>
                      <w:szCs w:val="21"/>
                      <w:highlight w:val="none"/>
                      <w:vertAlign w:val="superscript"/>
                    </w:rPr>
                    <w:t>-7</w:t>
                  </w:r>
                  <w:r>
                    <w:rPr>
                      <w:rFonts w:hint="default" w:ascii="Times New Roman" w:hAnsi="Times New Roman" w:eastAsia="宋体" w:cs="Times New Roman"/>
                      <w:b w:val="0"/>
                      <w:bCs w:val="0"/>
                      <w:color w:val="auto"/>
                      <w:sz w:val="21"/>
                      <w:szCs w:val="21"/>
                      <w:highlight w:val="none"/>
                    </w:rPr>
                    <w:t>cm/s执行</w:t>
                  </w:r>
                </w:p>
              </w:tc>
              <w:tc>
                <w:tcPr>
                  <w:tcW w:w="617" w:type="pct"/>
                  <w:tcBorders>
                    <w:tl2br w:val="nil"/>
                    <w:tr2bl w:val="nil"/>
                  </w:tcBorders>
                  <w:noWrap w:val="0"/>
                  <w:vAlign w:val="center"/>
                </w:tcPr>
                <w:p w14:paraId="71C6195C">
                  <w:pPr>
                    <w:pStyle w:val="49"/>
                    <w:adjustRightInd/>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已完成</w:t>
                  </w:r>
                </w:p>
              </w:tc>
            </w:tr>
            <w:tr w14:paraId="5074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tcBorders>
                    <w:tl2br w:val="nil"/>
                    <w:tr2bl w:val="nil"/>
                  </w:tcBorders>
                  <w:noWrap w:val="0"/>
                  <w:vAlign w:val="center"/>
                </w:tcPr>
                <w:p w14:paraId="0A35050A">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简单防</w:t>
                  </w:r>
                </w:p>
                <w:p w14:paraId="7B7D0982">
                  <w:pPr>
                    <w:pStyle w:val="103"/>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渗区</w:t>
                  </w:r>
                </w:p>
              </w:tc>
              <w:tc>
                <w:tcPr>
                  <w:tcW w:w="857" w:type="pct"/>
                  <w:tcBorders>
                    <w:tl2br w:val="nil"/>
                    <w:tr2bl w:val="nil"/>
                  </w:tcBorders>
                  <w:noWrap w:val="0"/>
                  <w:vAlign w:val="center"/>
                </w:tcPr>
                <w:p w14:paraId="3B0451D1">
                  <w:pPr>
                    <w:adjustRightInd w:val="0"/>
                    <w:snapToGrid w:val="0"/>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办公区、道路</w:t>
                  </w:r>
                </w:p>
              </w:tc>
              <w:tc>
                <w:tcPr>
                  <w:tcW w:w="2968" w:type="pct"/>
                  <w:tcBorders>
                    <w:tl2br w:val="nil"/>
                    <w:tr2bl w:val="nil"/>
                  </w:tcBorders>
                  <w:noWrap w:val="0"/>
                  <w:vAlign w:val="center"/>
                </w:tcPr>
                <w:p w14:paraId="676EA55C">
                  <w:pP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一般地面硬化</w:t>
                  </w:r>
                </w:p>
              </w:tc>
              <w:tc>
                <w:tcPr>
                  <w:tcW w:w="617" w:type="pct"/>
                  <w:tcBorders>
                    <w:tl2br w:val="nil"/>
                    <w:tr2bl w:val="nil"/>
                  </w:tcBorders>
                  <w:noWrap w:val="0"/>
                  <w:vAlign w:val="center"/>
                </w:tcPr>
                <w:p w14:paraId="23CB7DF3">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已完成</w:t>
                  </w:r>
                </w:p>
              </w:tc>
            </w:tr>
          </w:tbl>
          <w:p w14:paraId="25C8EED8">
            <w:pPr>
              <w:tabs>
                <w:tab w:val="left" w:pos="900"/>
              </w:tabs>
              <w:adjustRightInd w:val="0"/>
              <w:snapToGrid w:val="0"/>
              <w:spacing w:line="360" w:lineRule="auto"/>
              <w:ind w:firstLine="482" w:firstLineChars="200"/>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3、监测计划</w:t>
            </w:r>
          </w:p>
          <w:p w14:paraId="44D41977">
            <w:pPr>
              <w:adjustRightInd w:val="0"/>
              <w:snapToGrid w:val="0"/>
              <w:spacing w:line="360" w:lineRule="auto"/>
              <w:ind w:firstLine="480" w:firstLineChars="200"/>
              <w:rPr>
                <w:rFonts w:hint="default" w:ascii="Times New Roman" w:hAnsi="Times New Roman" w:eastAsia="宋体" w:cs="Times New Roman"/>
                <w:color w:val="auto"/>
                <w:kern w:val="21"/>
                <w:sz w:val="24"/>
                <w:highlight w:val="none"/>
              </w:rPr>
            </w:pPr>
            <w:r>
              <w:rPr>
                <w:rFonts w:hint="default" w:ascii="Times New Roman" w:hAnsi="Times New Roman" w:eastAsia="宋体" w:cs="Times New Roman"/>
                <w:color w:val="auto"/>
                <w:kern w:val="0"/>
                <w:sz w:val="24"/>
                <w:highlight w:val="none"/>
              </w:rPr>
              <w:t>由于本项目不含有重金属以及有毒有害物质，企业按照要求进行严格防渗，本次评价不再要求进行土壤和地下水跟踪监测。</w:t>
            </w:r>
          </w:p>
          <w:p w14:paraId="0B9D7462">
            <w:pPr>
              <w:tabs>
                <w:tab w:val="left" w:pos="900"/>
              </w:tabs>
              <w:adjustRightInd w:val="0"/>
              <w:snapToGri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综上，项目在完善项目区防渗防漏措施下，对周围地下水和土壤环境影响较小，从环境角度是可行的，</w:t>
            </w:r>
            <w:r>
              <w:rPr>
                <w:rFonts w:hint="default" w:ascii="Times New Roman" w:hAnsi="Times New Roman" w:eastAsia="宋体" w:cs="Times New Roman"/>
                <w:color w:val="auto"/>
                <w:kern w:val="0"/>
                <w:sz w:val="24"/>
                <w:highlight w:val="none"/>
              </w:rPr>
              <w:t>项目运营过程对其附近区域地下水和土壤不会造成影响。</w:t>
            </w:r>
          </w:p>
          <w:p w14:paraId="5B058E8B">
            <w:pPr>
              <w:tabs>
                <w:tab w:val="left" w:pos="900"/>
              </w:tabs>
              <w:adjustRightInd w:val="0"/>
              <w:snapToGrid w:val="0"/>
              <w:spacing w:line="360" w:lineRule="auto"/>
              <w:ind w:firstLine="482" w:firstLineChars="200"/>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4、土壤和地下水监测</w:t>
            </w:r>
          </w:p>
          <w:p w14:paraId="77D0BC53">
            <w:pPr>
              <w:tabs>
                <w:tab w:val="left" w:pos="900"/>
              </w:tabs>
              <w:adjustRightInd w:val="0"/>
              <w:snapToGri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由于本项目不含有重金属以及有毒有害物质，企业按照要求进行严格防渗，本次评价不再要求进行土壤和地下水跟踪监测。</w:t>
            </w:r>
          </w:p>
          <w:p w14:paraId="6E79523D">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六、生态</w:t>
            </w:r>
          </w:p>
          <w:p w14:paraId="5A4112AD">
            <w:pPr>
              <w:tabs>
                <w:tab w:val="left" w:pos="900"/>
              </w:tabs>
              <w:adjustRightInd w:val="0"/>
              <w:snapToGrid w:val="0"/>
              <w:spacing w:line="360" w:lineRule="auto"/>
              <w:ind w:firstLine="480" w:firstLineChars="200"/>
              <w:rPr>
                <w:rFonts w:hint="default" w:ascii="Times New Roman" w:hAnsi="Times New Roman" w:eastAsia="宋体" w:cs="Times New Roman"/>
                <w:color w:val="auto"/>
                <w:kern w:val="0"/>
                <w:sz w:val="24"/>
                <w:highlight w:val="none"/>
              </w:rPr>
            </w:pPr>
            <w:r>
              <w:rPr>
                <w:rFonts w:hint="eastAsia" w:ascii="Times New Roman" w:hAnsi="Times New Roman" w:eastAsia="宋体"/>
                <w:color w:val="auto"/>
                <w:highlight w:val="none"/>
                <w:lang w:val="en-US" w:eastAsia="zh-CN"/>
              </w:rPr>
              <w:t>本项目为改扩建项目，在现有厂区内建设，不新增用地，</w:t>
            </w:r>
            <w:r>
              <w:rPr>
                <w:rFonts w:hint="default" w:ascii="Times New Roman" w:hAnsi="Times New Roman" w:eastAsia="宋体" w:cs="Times New Roman"/>
                <w:color w:val="auto"/>
                <w:kern w:val="0"/>
                <w:sz w:val="24"/>
                <w:highlight w:val="none"/>
              </w:rPr>
              <w:t>占地范围内不含生态环境保护目标</w:t>
            </w:r>
            <w:r>
              <w:rPr>
                <w:rFonts w:hint="eastAsia"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项目固废合理处置。</w:t>
            </w:r>
            <w:r>
              <w:rPr>
                <w:rFonts w:hint="default" w:ascii="Times New Roman" w:hAnsi="Times New Roman" w:eastAsia="宋体" w:cs="Times New Roman"/>
                <w:color w:val="auto"/>
                <w:sz w:val="24"/>
                <w:highlight w:val="none"/>
              </w:rPr>
              <w:t>厂区内种植灌木、花草，减少裸露地面，能隔声、吸尘、吸收有害气体。</w:t>
            </w:r>
            <w:r>
              <w:rPr>
                <w:rFonts w:hint="default" w:ascii="Times New Roman" w:hAnsi="Times New Roman" w:eastAsia="宋体" w:cs="Times New Roman"/>
                <w:color w:val="auto"/>
                <w:kern w:val="0"/>
                <w:sz w:val="24"/>
                <w:highlight w:val="none"/>
                <w:lang w:bidi="ar"/>
              </w:rPr>
              <w:t>能起到降低废气影响、净化空气、改善环境的作用。</w:t>
            </w:r>
            <w:r>
              <w:rPr>
                <w:rFonts w:hint="default" w:ascii="Times New Roman" w:hAnsi="Times New Roman" w:eastAsia="宋体" w:cs="Times New Roman"/>
                <w:color w:val="auto"/>
                <w:kern w:val="0"/>
                <w:sz w:val="24"/>
                <w:highlight w:val="none"/>
              </w:rPr>
              <w:t>因此，本项目对周围生态环境影响较小。</w:t>
            </w:r>
          </w:p>
          <w:p w14:paraId="6B2524EF">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七、环境风险</w:t>
            </w:r>
          </w:p>
          <w:p w14:paraId="63C3061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境风险是指突发性事故对环境（或健康）的危害程度。建设项目环境风险评价，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p>
          <w:p w14:paraId="2FA1B31B">
            <w:pPr>
              <w:pStyle w:val="94"/>
              <w:keepNext w:val="0"/>
              <w:keepLines w:val="0"/>
              <w:pageBreakBefore w:val="0"/>
              <w:widowControl w:val="0"/>
              <w:numPr>
                <w:ilvl w:val="0"/>
                <w:numId w:val="0"/>
              </w:numPr>
              <w:kinsoku/>
              <w:wordWrap/>
              <w:overflowPunct/>
              <w:topLinePunct w:val="0"/>
              <w:bidi w:val="0"/>
              <w:ind w:left="0" w:leftChars="0" w:firstLine="482"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1、有毒有害和易燃易爆等危险物质</w:t>
            </w:r>
            <w:r>
              <w:rPr>
                <w:rFonts w:hint="default" w:ascii="Times New Roman" w:hAnsi="Times New Roman" w:eastAsia="宋体" w:cs="Times New Roman"/>
                <w:color w:val="auto"/>
                <w:sz w:val="24"/>
                <w:szCs w:val="24"/>
                <w:highlight w:val="none"/>
              </w:rPr>
              <w:t>识别</w:t>
            </w:r>
          </w:p>
          <w:p w14:paraId="10611BB3">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对照《企业突发环境事件风险分级方法》（HJ941-2018），本项目涉及的危险物质</w:t>
            </w:r>
            <w:r>
              <w:rPr>
                <w:rFonts w:hint="eastAsia" w:ascii="Times New Roman" w:hAnsi="Times New Roman" w:eastAsia="宋体" w:cs="Times New Roman"/>
                <w:color w:val="auto"/>
                <w:sz w:val="24"/>
                <w:highlight w:val="none"/>
                <w:lang w:val="en-US" w:eastAsia="zh-CN"/>
              </w:rPr>
              <w:t>见下表</w:t>
            </w:r>
            <w:r>
              <w:rPr>
                <w:rFonts w:hint="default" w:ascii="Times New Roman" w:hAnsi="Times New Roman" w:eastAsia="宋体" w:cs="Times New Roman"/>
                <w:color w:val="auto"/>
                <w:sz w:val="24"/>
                <w:highlight w:val="none"/>
                <w:lang w:val="en-US" w:eastAsia="zh-CN"/>
              </w:rPr>
              <w:t>。</w:t>
            </w:r>
          </w:p>
          <w:p w14:paraId="7DA1DDEC">
            <w:pPr>
              <w:pStyle w:val="77"/>
              <w:keepNext w:val="0"/>
              <w:keepLines w:val="0"/>
              <w:pageBreakBefore w:val="0"/>
              <w:widowControl w:val="0"/>
              <w:kinsoku/>
              <w:wordWrap/>
              <w:overflowPunct/>
              <w:topLinePunct w:val="0"/>
              <w:autoSpaceDE w:val="0"/>
              <w:autoSpaceDN w:val="0"/>
              <w:bidi w:val="0"/>
              <w:adjustRightInd w:val="0"/>
              <w:snapToGrid w:val="0"/>
              <w:spacing w:beforeLines="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表4-</w:t>
            </w:r>
            <w:r>
              <w:rPr>
                <w:rFonts w:hint="eastAsia" w:ascii="Times New Roman" w:hAnsi="Times New Roman" w:eastAsia="宋体" w:cs="Times New Roman"/>
                <w:b/>
                <w:bCs/>
                <w:color w:val="auto"/>
                <w:sz w:val="24"/>
                <w:szCs w:val="24"/>
                <w:highlight w:val="none"/>
                <w:lang w:val="en-US" w:eastAsia="zh-CN"/>
              </w:rPr>
              <w:t xml:space="preserve">18 </w:t>
            </w:r>
            <w:r>
              <w:rPr>
                <w:rFonts w:hint="default" w:ascii="Times New Roman" w:hAnsi="Times New Roman" w:eastAsia="宋体" w:cs="Times New Roman"/>
                <w:b/>
                <w:bCs/>
                <w:color w:val="auto"/>
                <w:sz w:val="24"/>
                <w:szCs w:val="24"/>
                <w:highlight w:val="none"/>
                <w:lang w:val="en-US" w:eastAsia="zh-CN"/>
              </w:rPr>
              <w:t>建设项目Q值确定表</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233"/>
              <w:gridCol w:w="1639"/>
              <w:gridCol w:w="1700"/>
              <w:gridCol w:w="1861"/>
            </w:tblGrid>
            <w:tr w14:paraId="4305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40E9E7FF">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rPr>
                  </w:pPr>
                  <w:r>
                    <w:rPr>
                      <w:rFonts w:hint="default" w:ascii="Times New Roman" w:hAnsi="Times New Roman" w:eastAsia="宋体" w:cs="Times New Roman"/>
                      <w:caps w:val="0"/>
                      <w:snapToGrid w:val="0"/>
                      <w:color w:val="auto"/>
                      <w:spacing w:val="0"/>
                      <w:kern w:val="0"/>
                      <w:sz w:val="21"/>
                      <w:szCs w:val="21"/>
                      <w:highlight w:val="none"/>
                    </w:rPr>
                    <w:t>序号</w:t>
                  </w:r>
                </w:p>
              </w:tc>
              <w:tc>
                <w:tcPr>
                  <w:tcW w:w="1350" w:type="pct"/>
                  <w:tcBorders>
                    <w:top w:val="single" w:color="auto" w:sz="4" w:space="0"/>
                    <w:left w:val="single" w:color="auto" w:sz="4" w:space="0"/>
                    <w:bottom w:val="single" w:color="auto" w:sz="4" w:space="0"/>
                    <w:right w:val="single" w:color="auto" w:sz="4" w:space="0"/>
                  </w:tcBorders>
                  <w:noWrap w:val="0"/>
                  <w:vAlign w:val="center"/>
                </w:tcPr>
                <w:p w14:paraId="0609DF4D">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rPr>
                  </w:pPr>
                  <w:r>
                    <w:rPr>
                      <w:rFonts w:hint="default" w:ascii="Times New Roman" w:hAnsi="Times New Roman" w:eastAsia="宋体" w:cs="Times New Roman"/>
                      <w:caps w:val="0"/>
                      <w:snapToGrid w:val="0"/>
                      <w:color w:val="auto"/>
                      <w:spacing w:val="0"/>
                      <w:kern w:val="0"/>
                      <w:sz w:val="21"/>
                      <w:szCs w:val="21"/>
                      <w:highlight w:val="none"/>
                    </w:rPr>
                    <w:t>名称</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4C0623F">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rPr>
                  </w:pPr>
                  <w:r>
                    <w:rPr>
                      <w:rFonts w:hint="default" w:ascii="Times New Roman" w:hAnsi="Times New Roman" w:eastAsia="宋体" w:cs="Times New Roman"/>
                      <w:caps w:val="0"/>
                      <w:snapToGrid w:val="0"/>
                      <w:color w:val="auto"/>
                      <w:spacing w:val="0"/>
                      <w:kern w:val="0"/>
                      <w:sz w:val="21"/>
                      <w:szCs w:val="21"/>
                      <w:highlight w:val="none"/>
                    </w:rPr>
                    <w:t>临界量（T）</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41DBA8E1">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rPr>
                  </w:pPr>
                  <w:r>
                    <w:rPr>
                      <w:rFonts w:hint="default" w:ascii="Times New Roman" w:hAnsi="Times New Roman" w:eastAsia="宋体" w:cs="Times New Roman"/>
                      <w:caps w:val="0"/>
                      <w:snapToGrid w:val="0"/>
                      <w:color w:val="auto"/>
                      <w:spacing w:val="0"/>
                      <w:kern w:val="0"/>
                      <w:sz w:val="21"/>
                      <w:szCs w:val="21"/>
                      <w:highlight w:val="none"/>
                    </w:rPr>
                    <w:t>最大储量（T）</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9755EB2">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rPr>
                  </w:pPr>
                  <w:r>
                    <w:rPr>
                      <w:rFonts w:hint="default" w:ascii="Times New Roman" w:hAnsi="Times New Roman" w:eastAsia="宋体" w:cs="Times New Roman"/>
                      <w:caps w:val="0"/>
                      <w:snapToGrid w:val="0"/>
                      <w:color w:val="auto"/>
                      <w:spacing w:val="0"/>
                      <w:kern w:val="0"/>
                      <w:sz w:val="21"/>
                      <w:szCs w:val="21"/>
                      <w:highlight w:val="none"/>
                    </w:rPr>
                    <w:t>Q值</w:t>
                  </w:r>
                </w:p>
              </w:tc>
            </w:tr>
            <w:tr w14:paraId="26E8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375F7C47">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lang w:val="en-US" w:eastAsia="zh-CN"/>
                    </w:rPr>
                  </w:pPr>
                  <w:r>
                    <w:rPr>
                      <w:rFonts w:hint="eastAsia" w:ascii="Times New Roman" w:hAnsi="Times New Roman" w:eastAsia="宋体" w:cs="Times New Roman"/>
                      <w:caps w:val="0"/>
                      <w:snapToGrid w:val="0"/>
                      <w:color w:val="auto"/>
                      <w:spacing w:val="0"/>
                      <w:kern w:val="0"/>
                      <w:sz w:val="21"/>
                      <w:szCs w:val="21"/>
                      <w:highlight w:val="none"/>
                      <w:lang w:val="en-US" w:eastAsia="zh-CN"/>
                    </w:rPr>
                    <w:t>1</w:t>
                  </w:r>
                </w:p>
              </w:tc>
              <w:tc>
                <w:tcPr>
                  <w:tcW w:w="1350" w:type="pct"/>
                  <w:tcBorders>
                    <w:top w:val="single" w:color="auto" w:sz="4" w:space="0"/>
                    <w:left w:val="single" w:color="auto" w:sz="4" w:space="0"/>
                    <w:bottom w:val="single" w:color="auto" w:sz="4" w:space="0"/>
                    <w:right w:val="single" w:color="auto" w:sz="4" w:space="0"/>
                  </w:tcBorders>
                  <w:noWrap w:val="0"/>
                  <w:vAlign w:val="center"/>
                </w:tcPr>
                <w:p w14:paraId="20A9B564">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机油及废机油</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059A90F7">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lang w:val="en-US" w:eastAsia="zh-CN"/>
                    </w:rPr>
                  </w:pPr>
                  <w:r>
                    <w:rPr>
                      <w:rFonts w:hint="default" w:ascii="Times New Roman" w:hAnsi="Times New Roman" w:eastAsia="宋体" w:cs="Times New Roman"/>
                      <w:caps w:val="0"/>
                      <w:snapToGrid w:val="0"/>
                      <w:color w:val="auto"/>
                      <w:spacing w:val="0"/>
                      <w:kern w:val="0"/>
                      <w:sz w:val="21"/>
                      <w:szCs w:val="21"/>
                      <w:highlight w:val="none"/>
                      <w:lang w:val="en-US" w:eastAsia="zh-CN"/>
                    </w:rPr>
                    <w:t>2500</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8FD2824">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lang w:val="en-US" w:eastAsia="zh-CN"/>
                    </w:rPr>
                  </w:pPr>
                  <w:r>
                    <w:rPr>
                      <w:rFonts w:hint="eastAsia" w:ascii="Times New Roman" w:hAnsi="Times New Roman" w:eastAsia="宋体" w:cs="Times New Roman"/>
                      <w:caps w:val="0"/>
                      <w:snapToGrid w:val="0"/>
                      <w:color w:val="auto"/>
                      <w:spacing w:val="0"/>
                      <w:kern w:val="0"/>
                      <w:sz w:val="21"/>
                      <w:szCs w:val="21"/>
                      <w:highlight w:val="none"/>
                      <w:lang w:val="en-US" w:eastAsia="zh-CN"/>
                    </w:rPr>
                    <w:t>0.2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43B7604">
                  <w:pPr>
                    <w:tabs>
                      <w:tab w:val="left" w:pos="5154"/>
                    </w:tabs>
                    <w:adjustRightInd w:val="0"/>
                    <w:snapToGrid w:val="0"/>
                    <w:jc w:val="center"/>
                    <w:rPr>
                      <w:rFonts w:hint="default" w:ascii="Times New Roman" w:hAnsi="Times New Roman" w:eastAsia="宋体" w:cs="Times New Roman"/>
                      <w:caps w:val="0"/>
                      <w:snapToGrid w:val="0"/>
                      <w:color w:val="auto"/>
                      <w:spacing w:val="0"/>
                      <w:kern w:val="0"/>
                      <w:sz w:val="21"/>
                      <w:szCs w:val="21"/>
                      <w:highlight w:val="none"/>
                      <w:lang w:val="en-US" w:eastAsia="zh-CN"/>
                    </w:rPr>
                  </w:pPr>
                  <w:r>
                    <w:rPr>
                      <w:rFonts w:hint="eastAsia" w:ascii="Times New Roman" w:hAnsi="Times New Roman" w:eastAsia="宋体" w:cs="Times New Roman"/>
                      <w:caps w:val="0"/>
                      <w:snapToGrid w:val="0"/>
                      <w:color w:val="auto"/>
                      <w:spacing w:val="0"/>
                      <w:kern w:val="0"/>
                      <w:sz w:val="21"/>
                      <w:szCs w:val="21"/>
                      <w:highlight w:val="none"/>
                      <w:lang w:val="en-US" w:eastAsia="zh-CN"/>
                    </w:rPr>
                    <w:t>0.00008</w:t>
                  </w:r>
                </w:p>
              </w:tc>
            </w:tr>
          </w:tbl>
          <w:p w14:paraId="218FD6F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根据上表，Q</w:t>
            </w:r>
            <w:r>
              <w:rPr>
                <w:rFonts w:hint="eastAsia"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lang w:val="en-US" w:eastAsia="zh-CN"/>
              </w:rPr>
              <w:t>.000</w:t>
            </w:r>
            <w:r>
              <w:rPr>
                <w:rFonts w:hint="eastAsia" w:ascii="Times New Roman" w:hAnsi="Times New Roman" w:eastAsia="宋体" w:cs="Times New Roman"/>
                <w:color w:val="auto"/>
                <w:sz w:val="24"/>
                <w:highlight w:val="none"/>
                <w:lang w:val="en-US" w:eastAsia="zh-CN"/>
              </w:rPr>
              <w:t>08</w:t>
            </w:r>
            <w:r>
              <w:rPr>
                <w:rFonts w:hint="default" w:ascii="Times New Roman" w:hAnsi="Times New Roman" w:eastAsia="宋体" w:cs="Times New Roman"/>
                <w:color w:val="auto"/>
                <w:sz w:val="24"/>
                <w:highlight w:val="none"/>
                <w:lang w:val="en-US" w:eastAsia="zh-CN"/>
              </w:rPr>
              <w:t>‬‬&lt;1，</w:t>
            </w:r>
            <w:r>
              <w:rPr>
                <w:rFonts w:hint="default" w:ascii="Times New Roman" w:hAnsi="Times New Roman" w:eastAsia="宋体" w:cs="Times New Roman"/>
                <w:color w:val="auto"/>
                <w:sz w:val="24"/>
                <w:highlight w:val="none"/>
              </w:rPr>
              <w:t>其环境风险潜势为Ⅰ，无需进行专项</w:t>
            </w:r>
            <w:r>
              <w:rPr>
                <w:rFonts w:hint="default" w:ascii="Times New Roman" w:hAnsi="Times New Roman" w:eastAsia="宋体" w:cs="Times New Roman"/>
                <w:color w:val="auto"/>
                <w:sz w:val="24"/>
                <w:highlight w:val="none"/>
                <w:lang w:eastAsia="zh-CN"/>
              </w:rPr>
              <w:t>评价</w:t>
            </w:r>
            <w:r>
              <w:rPr>
                <w:rFonts w:hint="default" w:ascii="Times New Roman" w:hAnsi="Times New Roman" w:eastAsia="宋体" w:cs="Times New Roman"/>
                <w:color w:val="auto"/>
                <w:sz w:val="24"/>
                <w:highlight w:val="none"/>
              </w:rPr>
              <w:t>。</w:t>
            </w:r>
          </w:p>
          <w:p w14:paraId="53097E21">
            <w:pPr>
              <w:pStyle w:val="94"/>
              <w:keepNext w:val="0"/>
              <w:keepLines w:val="0"/>
              <w:pageBreakBefore w:val="0"/>
              <w:widowControl w:val="0"/>
              <w:numPr>
                <w:ilvl w:val="0"/>
                <w:numId w:val="0"/>
              </w:numPr>
              <w:kinsoku/>
              <w:wordWrap/>
              <w:overflowPunct/>
              <w:topLinePunct w:val="0"/>
              <w:bidi w:val="0"/>
              <w:ind w:left="480" w:leftChars="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风险源分布情况及可能影响途径</w:t>
            </w:r>
          </w:p>
          <w:p w14:paraId="7B307A5C">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i w:val="0"/>
                <w:iCs w:val="0"/>
                <w:color w:val="auto"/>
                <w:kern w:val="2"/>
                <w:sz w:val="24"/>
                <w:szCs w:val="24"/>
                <w:highlight w:val="none"/>
                <w:lang w:val="en-US" w:eastAsia="zh-CN" w:bidi="ar-SA"/>
              </w:rPr>
            </w:pPr>
            <w:r>
              <w:rPr>
                <w:rFonts w:hint="eastAsia" w:ascii="Times New Roman" w:hAnsi="Times New Roman" w:eastAsia="宋体" w:cs="Times New Roman"/>
                <w:b w:val="0"/>
                <w:bCs w:val="0"/>
                <w:i w:val="0"/>
                <w:iCs w:val="0"/>
                <w:color w:val="auto"/>
                <w:kern w:val="2"/>
                <w:sz w:val="24"/>
                <w:szCs w:val="24"/>
                <w:highlight w:val="none"/>
                <w:lang w:val="en-US" w:eastAsia="zh-CN" w:bidi="ar-SA"/>
              </w:rPr>
              <w:t>项目危废贮存库的液态危险废物主要为废机油及机油存放区存在泄漏风险，可能污染地下水及土壤环境；</w:t>
            </w:r>
            <w:r>
              <w:rPr>
                <w:rFonts w:hint="default" w:ascii="Times New Roman" w:hAnsi="Times New Roman" w:eastAsia="宋体" w:cs="Times New Roman"/>
                <w:b w:val="0"/>
                <w:bCs w:val="0"/>
                <w:i w:val="0"/>
                <w:iCs w:val="0"/>
                <w:color w:val="auto"/>
                <w:kern w:val="2"/>
                <w:sz w:val="24"/>
                <w:szCs w:val="24"/>
                <w:highlight w:val="none"/>
                <w:lang w:val="en-US" w:eastAsia="zh-CN" w:bidi="ar-SA"/>
              </w:rPr>
              <w:t>项目</w:t>
            </w:r>
            <w:r>
              <w:rPr>
                <w:rFonts w:hint="eastAsia" w:ascii="Times New Roman" w:hAnsi="Times New Roman" w:eastAsia="宋体" w:cs="Times New Roman"/>
                <w:b w:val="0"/>
                <w:bCs w:val="0"/>
                <w:i w:val="0"/>
                <w:iCs w:val="0"/>
                <w:color w:val="auto"/>
                <w:kern w:val="2"/>
                <w:sz w:val="24"/>
                <w:szCs w:val="24"/>
                <w:highlight w:val="none"/>
                <w:lang w:val="en-US" w:eastAsia="zh-CN" w:bidi="ar-SA"/>
              </w:rPr>
              <w:t>环保设备</w:t>
            </w:r>
            <w:r>
              <w:rPr>
                <w:rFonts w:hint="default" w:ascii="Times New Roman" w:hAnsi="Times New Roman" w:eastAsia="宋体" w:cs="Times New Roman"/>
                <w:b w:val="0"/>
                <w:bCs w:val="0"/>
                <w:i w:val="0"/>
                <w:iCs w:val="0"/>
                <w:color w:val="auto"/>
                <w:kern w:val="2"/>
                <w:sz w:val="24"/>
                <w:szCs w:val="24"/>
                <w:highlight w:val="none"/>
                <w:lang w:val="en-US" w:eastAsia="zh-CN" w:bidi="ar-SA"/>
              </w:rPr>
              <w:t>失效或处理能力下降导致废气排放超标</w:t>
            </w:r>
            <w:r>
              <w:rPr>
                <w:rFonts w:hint="eastAsia" w:ascii="Times New Roman" w:hAnsi="Times New Roman" w:eastAsia="宋体" w:cs="Times New Roman"/>
                <w:b w:val="0"/>
                <w:bCs w:val="0"/>
                <w:i w:val="0"/>
                <w:iCs w:val="0"/>
                <w:color w:val="auto"/>
                <w:kern w:val="2"/>
                <w:sz w:val="24"/>
                <w:szCs w:val="24"/>
                <w:highlight w:val="none"/>
                <w:lang w:val="en-US" w:eastAsia="zh-CN" w:bidi="ar-SA"/>
              </w:rPr>
              <w:t>；</w:t>
            </w:r>
            <w:r>
              <w:rPr>
                <w:rFonts w:hint="default" w:ascii="Times New Roman" w:hAnsi="Times New Roman" w:eastAsia="宋体" w:cs="Times New Roman"/>
                <w:b w:val="0"/>
                <w:bCs w:val="0"/>
                <w:i w:val="0"/>
                <w:iCs w:val="0"/>
                <w:color w:val="auto"/>
                <w:kern w:val="2"/>
                <w:sz w:val="24"/>
                <w:szCs w:val="24"/>
                <w:highlight w:val="none"/>
                <w:lang w:val="en-US" w:eastAsia="zh-CN" w:bidi="ar-SA"/>
              </w:rPr>
              <w:t>项目</w:t>
            </w:r>
            <w:r>
              <w:rPr>
                <w:rFonts w:hint="eastAsia" w:ascii="Times New Roman" w:hAnsi="Times New Roman" w:eastAsia="宋体" w:cs="Times New Roman"/>
                <w:b w:val="0"/>
                <w:bCs w:val="0"/>
                <w:i w:val="0"/>
                <w:iCs w:val="0"/>
                <w:color w:val="auto"/>
                <w:kern w:val="2"/>
                <w:sz w:val="24"/>
                <w:szCs w:val="24"/>
                <w:highlight w:val="none"/>
                <w:lang w:val="en-US" w:eastAsia="zh-CN" w:bidi="ar-SA"/>
              </w:rPr>
              <w:t>所用烧结及打磨工序存在火灾风险，以上可能污染地下水环境、大气环境及土壤环境</w:t>
            </w:r>
            <w:r>
              <w:rPr>
                <w:rFonts w:hint="default" w:ascii="Times New Roman" w:hAnsi="Times New Roman" w:eastAsia="宋体" w:cs="Times New Roman"/>
                <w:b w:val="0"/>
                <w:bCs w:val="0"/>
                <w:i w:val="0"/>
                <w:iCs w:val="0"/>
                <w:color w:val="auto"/>
                <w:kern w:val="2"/>
                <w:sz w:val="24"/>
                <w:szCs w:val="24"/>
                <w:highlight w:val="none"/>
                <w:lang w:val="en-US" w:eastAsia="zh-CN" w:bidi="ar-SA"/>
              </w:rPr>
              <w:t>。</w:t>
            </w:r>
          </w:p>
          <w:p w14:paraId="10C33E0A">
            <w:pPr>
              <w:spacing w:line="360" w:lineRule="auto"/>
              <w:ind w:firstLine="482" w:firstLineChars="200"/>
              <w:rPr>
                <w:rFonts w:hint="default" w:ascii="Times New Roman" w:hAnsi="Times New Roman" w:eastAsia="宋体" w:cs="Times New Roman"/>
                <w:b/>
                <w:bCs/>
                <w:snapToGrid w:val="0"/>
                <w:color w:val="auto"/>
                <w:kern w:val="0"/>
                <w:sz w:val="24"/>
                <w:highlight w:val="none"/>
              </w:rPr>
            </w:pPr>
            <w:r>
              <w:rPr>
                <w:rFonts w:hint="eastAsia"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snapToGrid w:val="0"/>
                <w:color w:val="auto"/>
                <w:kern w:val="0"/>
                <w:sz w:val="24"/>
                <w:highlight w:val="none"/>
              </w:rPr>
              <w:t>风险防范措施</w:t>
            </w:r>
          </w:p>
          <w:p w14:paraId="0D2DF471">
            <w:pPr>
              <w:adjustRightInd w:val="0"/>
              <w:snapToGrid w:val="0"/>
              <w:spacing w:line="36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本项目对环境不存在重大风险事故，但为了尽可能</w:t>
            </w:r>
            <w:r>
              <w:rPr>
                <w:rFonts w:hint="eastAsia" w:ascii="Times New Roman" w:hAnsi="Times New Roman" w:eastAsia="宋体"/>
                <w:color w:val="auto"/>
                <w:sz w:val="24"/>
                <w:highlight w:val="none"/>
                <w:lang w:eastAsia="zh-CN"/>
              </w:rPr>
              <w:t>地</w:t>
            </w:r>
            <w:r>
              <w:rPr>
                <w:rFonts w:ascii="Times New Roman" w:hAnsi="Times New Roman" w:eastAsia="宋体"/>
                <w:color w:val="auto"/>
                <w:sz w:val="24"/>
                <w:highlight w:val="none"/>
              </w:rPr>
              <w:t>降低企业和人身安全事故率、减少环境的不良影响，环评提出如下风险防范措施：</w:t>
            </w:r>
          </w:p>
          <w:p w14:paraId="58CAA1E3">
            <w:pPr>
              <w:adjustRightInd w:val="0"/>
              <w:snapToGrid w:val="0"/>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lang w:val="en-US" w:eastAsia="zh-CN"/>
              </w:rPr>
              <w:t>1</w:t>
            </w:r>
            <w:r>
              <w:rPr>
                <w:rFonts w:hint="eastAsia" w:ascii="Times New Roman" w:hAnsi="Times New Roman" w:eastAsia="宋体"/>
                <w:color w:val="auto"/>
                <w:sz w:val="24"/>
                <w:highlight w:val="none"/>
                <w:lang w:eastAsia="zh-CN"/>
              </w:rPr>
              <w:t>）</w:t>
            </w:r>
            <w:r>
              <w:rPr>
                <w:rFonts w:ascii="Times New Roman" w:hAnsi="Times New Roman" w:eastAsia="宋体"/>
                <w:color w:val="auto"/>
                <w:sz w:val="24"/>
                <w:highlight w:val="none"/>
              </w:rPr>
              <w:t>废气非正常排放防范措施</w:t>
            </w:r>
          </w:p>
          <w:p w14:paraId="69D62AE0">
            <w:pPr>
              <w:adjustRightInd w:val="0"/>
              <w:snapToGrid w:val="0"/>
              <w:spacing w:line="36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若项目</w:t>
            </w:r>
            <w:r>
              <w:rPr>
                <w:rFonts w:hint="eastAsia" w:ascii="Times New Roman" w:hAnsi="Times New Roman" w:eastAsia="宋体"/>
                <w:color w:val="auto"/>
                <w:sz w:val="24"/>
                <w:highlight w:val="none"/>
                <w:lang w:eastAsia="zh-CN"/>
              </w:rPr>
              <w:t>布袋除尘器</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lang w:val="en-US" w:eastAsia="zh-CN"/>
              </w:rPr>
              <w:t>活性炭吸附装置、</w:t>
            </w:r>
            <w:r>
              <w:rPr>
                <w:rFonts w:ascii="Times New Roman" w:hAnsi="Times New Roman" w:eastAsia="宋体"/>
                <w:color w:val="auto"/>
                <w:sz w:val="24"/>
                <w:highlight w:val="none"/>
              </w:rPr>
              <w:t>集气罩、风机等设备失效导致废气大量排放，会对周围大气环境造成较大影响。项目应安排专人定期对</w:t>
            </w:r>
            <w:r>
              <w:rPr>
                <w:rFonts w:hint="eastAsia" w:ascii="Times New Roman" w:hAnsi="Times New Roman" w:eastAsia="宋体"/>
                <w:color w:val="auto"/>
                <w:sz w:val="24"/>
                <w:highlight w:val="none"/>
                <w:lang w:eastAsia="zh-CN"/>
              </w:rPr>
              <w:t>布袋除尘器</w:t>
            </w:r>
            <w:r>
              <w:rPr>
                <w:rFonts w:hint="eastAsia" w:ascii="Times New Roman" w:hAnsi="Times New Roman" w:eastAsia="宋体"/>
                <w:color w:val="auto"/>
                <w:sz w:val="24"/>
                <w:highlight w:val="none"/>
                <w:lang w:val="en-US" w:eastAsia="zh-CN"/>
              </w:rPr>
              <w:t>、活性炭吸附装置</w:t>
            </w:r>
            <w:r>
              <w:rPr>
                <w:rFonts w:hint="eastAsia" w:ascii="Times New Roman" w:hAnsi="Times New Roman" w:eastAsia="宋体"/>
                <w:color w:val="auto"/>
                <w:sz w:val="24"/>
                <w:highlight w:val="none"/>
              </w:rPr>
              <w:t>、</w:t>
            </w:r>
            <w:r>
              <w:rPr>
                <w:rFonts w:ascii="Times New Roman" w:hAnsi="Times New Roman" w:eastAsia="宋体"/>
                <w:color w:val="auto"/>
                <w:sz w:val="24"/>
                <w:highlight w:val="none"/>
              </w:rPr>
              <w:t>集气罩、风机等设备进行检查，若发现有运行故障，应找专业维修人员及时维修；若维修时间较长，项目生产区应停工待相关设备正常运行后再进行生产，避免对周围环境造成严重影响。</w:t>
            </w:r>
          </w:p>
          <w:p w14:paraId="412DA46B">
            <w:pPr>
              <w:adjustRightInd w:val="0"/>
              <w:snapToGrid w:val="0"/>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lang w:val="en-US" w:eastAsia="zh-CN"/>
              </w:rPr>
              <w:t>2</w:t>
            </w:r>
            <w:r>
              <w:rPr>
                <w:rFonts w:hint="eastAsia" w:ascii="Times New Roman" w:hAnsi="Times New Roman" w:eastAsia="宋体"/>
                <w:color w:val="auto"/>
                <w:sz w:val="24"/>
                <w:highlight w:val="none"/>
                <w:lang w:eastAsia="zh-CN"/>
              </w:rPr>
              <w:t>）</w:t>
            </w:r>
            <w:r>
              <w:rPr>
                <w:rFonts w:ascii="Times New Roman" w:hAnsi="Times New Roman" w:eastAsia="宋体"/>
                <w:color w:val="auto"/>
                <w:sz w:val="24"/>
                <w:highlight w:val="none"/>
              </w:rPr>
              <w:t>火灾风险防范措施</w:t>
            </w:r>
          </w:p>
          <w:p w14:paraId="34185D8E">
            <w:pPr>
              <w:adjustRightInd w:val="0"/>
              <w:snapToGrid w:val="0"/>
              <w:spacing w:line="36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①建立健全各种安全生产制度，生产人员作业应严格遵守劳动纪律和安全操作规程，不违章作业，加强职工安全意识教育，以</w:t>
            </w:r>
            <w:r>
              <w:rPr>
                <w:rFonts w:hint="eastAsia" w:ascii="Times New Roman" w:hAnsi="Times New Roman" w:eastAsia="宋体"/>
                <w:color w:val="auto"/>
                <w:sz w:val="24"/>
                <w:highlight w:val="none"/>
                <w:lang w:eastAsia="zh-CN"/>
              </w:rPr>
              <w:t>应对</w:t>
            </w:r>
            <w:r>
              <w:rPr>
                <w:rFonts w:ascii="Times New Roman" w:hAnsi="Times New Roman" w:eastAsia="宋体"/>
                <w:color w:val="auto"/>
                <w:sz w:val="24"/>
                <w:highlight w:val="none"/>
              </w:rPr>
              <w:t>突发性火灾。</w:t>
            </w:r>
          </w:p>
          <w:p w14:paraId="64A5B242">
            <w:pPr>
              <w:adjustRightInd w:val="0"/>
              <w:snapToGrid w:val="0"/>
              <w:spacing w:line="360" w:lineRule="auto"/>
              <w:ind w:firstLine="480"/>
              <w:rPr>
                <w:rFonts w:ascii="Times New Roman" w:hAnsi="Times New Roman" w:eastAsia="宋体"/>
                <w:color w:val="auto"/>
                <w:sz w:val="24"/>
                <w:highlight w:val="none"/>
              </w:rPr>
            </w:pPr>
            <w:r>
              <w:rPr>
                <w:rFonts w:ascii="Times New Roman" w:hAnsi="Times New Roman" w:eastAsia="宋体"/>
                <w:color w:val="auto"/>
                <w:sz w:val="24"/>
                <w:highlight w:val="none"/>
              </w:rPr>
              <w:t>②厂区内严禁烟火，杜绝产生火花的一切因素。</w:t>
            </w:r>
          </w:p>
          <w:p w14:paraId="5F3BBFBF">
            <w:pPr>
              <w:adjustRightInd w:val="0"/>
              <w:snapToGrid w:val="0"/>
              <w:spacing w:line="360" w:lineRule="auto"/>
              <w:ind w:firstLine="480"/>
              <w:rPr>
                <w:rFonts w:ascii="Times New Roman" w:hAnsi="Times New Roman" w:eastAsia="宋体"/>
                <w:color w:val="auto"/>
                <w:sz w:val="24"/>
                <w:highlight w:val="none"/>
              </w:rPr>
            </w:pPr>
            <w:r>
              <w:rPr>
                <w:rFonts w:ascii="Times New Roman" w:hAnsi="Times New Roman" w:eastAsia="宋体"/>
                <w:color w:val="auto"/>
                <w:sz w:val="24"/>
                <w:highlight w:val="none"/>
              </w:rPr>
              <w:t>③避免摩擦撞击，避免摩擦发热造成可燃物和易燃物的燃烧或爆炸。</w:t>
            </w:r>
          </w:p>
          <w:p w14:paraId="16A158E1">
            <w:pPr>
              <w:adjustRightInd w:val="0"/>
              <w:snapToGrid w:val="0"/>
              <w:spacing w:line="360" w:lineRule="auto"/>
              <w:ind w:firstLine="480" w:firstLineChars="200"/>
              <w:rPr>
                <w:rFonts w:hint="eastAsia" w:ascii="Times New Roman" w:hAnsi="Times New Roman" w:eastAsia="宋体"/>
                <w:color w:val="auto"/>
                <w:sz w:val="24"/>
                <w:highlight w:val="none"/>
                <w:lang w:eastAsia="zh-CN"/>
              </w:rPr>
            </w:pPr>
            <w:r>
              <w:rPr>
                <w:rFonts w:ascii="Times New Roman" w:hAnsi="Times New Roman" w:eastAsia="宋体"/>
                <w:color w:val="auto"/>
                <w:sz w:val="24"/>
                <w:highlight w:val="none"/>
              </w:rPr>
              <w:t>④严格执行《建筑设计防火规范》（GB50016-2014）（2018年版）等相关要求，按有关安全规定配备适用、有效和足够的消防器材，以便能在起火之初迅速扑灭。配备必要的救灾防毒器具及防护用品</w:t>
            </w:r>
            <w:r>
              <w:rPr>
                <w:rFonts w:hint="eastAsia" w:ascii="Times New Roman" w:hAnsi="Times New Roman" w:eastAsia="宋体"/>
                <w:color w:val="auto"/>
                <w:sz w:val="24"/>
                <w:highlight w:val="none"/>
                <w:lang w:eastAsia="zh-CN"/>
              </w:rPr>
              <w:t>。</w:t>
            </w:r>
          </w:p>
          <w:p w14:paraId="0A2BBBA0">
            <w:pPr>
              <w:adjustRightInd w:val="0"/>
              <w:snapToGrid w:val="0"/>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lang w:val="en-US" w:eastAsia="zh-CN"/>
              </w:rPr>
              <w:t>3</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lang w:val="en-US" w:eastAsia="zh-CN"/>
              </w:rPr>
              <w:t>泄漏的风险防范措施</w:t>
            </w:r>
            <w:r>
              <w:rPr>
                <w:rFonts w:ascii="Times New Roman" w:hAnsi="Times New Roman" w:eastAsia="宋体"/>
                <w:color w:val="auto"/>
                <w:sz w:val="24"/>
                <w:highlight w:val="none"/>
              </w:rPr>
              <w:t>。</w:t>
            </w:r>
          </w:p>
          <w:p w14:paraId="12338CFE">
            <w:pPr>
              <w:adjustRightInd w:val="0"/>
              <w:snapToGrid w:val="0"/>
              <w:spacing w:line="360" w:lineRule="auto"/>
              <w:ind w:firstLine="480" w:firstLineChars="200"/>
              <w:rPr>
                <w:rFonts w:hint="eastAsia"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危废库、机油暂存区地面</w:t>
            </w:r>
            <w:r>
              <w:rPr>
                <w:rFonts w:hint="eastAsia" w:ascii="Times New Roman" w:hAnsi="Times New Roman" w:eastAsia="宋体"/>
                <w:color w:val="auto"/>
                <w:szCs w:val="21"/>
                <w:highlight w:val="none"/>
              </w:rPr>
              <w:t>防渗，存放区设置防泄漏托盘</w:t>
            </w:r>
            <w:r>
              <w:rPr>
                <w:rFonts w:hint="eastAsia" w:ascii="Times New Roman" w:hAnsi="Times New Roman" w:eastAsia="宋体"/>
                <w:color w:val="auto"/>
                <w:szCs w:val="21"/>
                <w:highlight w:val="none"/>
                <w:lang w:eastAsia="zh-CN"/>
              </w:rPr>
              <w:t>，</w:t>
            </w:r>
            <w:r>
              <w:rPr>
                <w:rFonts w:hint="eastAsia" w:ascii="Times New Roman" w:hAnsi="Times New Roman" w:eastAsia="宋体"/>
                <w:color w:val="auto"/>
                <w:szCs w:val="21"/>
                <w:highlight w:val="none"/>
              </w:rPr>
              <w:t>设置消防沙及备用收集桶，泄漏后的物料可及时吸附或收集至备用收集桶内</w:t>
            </w:r>
            <w:r>
              <w:rPr>
                <w:rFonts w:hint="eastAsia" w:ascii="Times New Roman" w:hAnsi="Times New Roman" w:eastAsia="宋体"/>
                <w:color w:val="auto"/>
                <w:szCs w:val="21"/>
                <w:highlight w:val="none"/>
                <w:lang w:eastAsia="zh-CN"/>
              </w:rPr>
              <w:t>。</w:t>
            </w:r>
            <w:r>
              <w:rPr>
                <w:rFonts w:hint="eastAsia" w:ascii="Times New Roman" w:hAnsi="Times New Roman" w:eastAsia="宋体"/>
                <w:color w:val="auto"/>
                <w:highlight w:val="none"/>
              </w:rPr>
              <w:t>在生产运行过程中加强巡检，定期维护</w:t>
            </w:r>
            <w:r>
              <w:rPr>
                <w:rFonts w:hint="eastAsia" w:ascii="Times New Roman" w:hAnsi="Times New Roman" w:eastAsia="宋体"/>
                <w:color w:val="auto"/>
                <w:highlight w:val="none"/>
                <w:lang w:val="en-US" w:eastAsia="zh-CN"/>
              </w:rPr>
              <w:t>机油及废机油</w:t>
            </w:r>
            <w:r>
              <w:rPr>
                <w:rFonts w:hint="eastAsia" w:ascii="Times New Roman" w:hAnsi="Times New Roman" w:eastAsia="宋体"/>
                <w:color w:val="auto"/>
                <w:highlight w:val="none"/>
              </w:rPr>
              <w:t>盛装容器，避免</w:t>
            </w:r>
            <w:r>
              <w:rPr>
                <w:rFonts w:hint="eastAsia" w:ascii="Times New Roman" w:hAnsi="Times New Roman" w:eastAsia="宋体"/>
                <w:color w:val="auto"/>
                <w:highlight w:val="none"/>
                <w:lang w:val="en-US" w:eastAsia="zh-CN"/>
              </w:rPr>
              <w:t>发生</w:t>
            </w:r>
            <w:r>
              <w:rPr>
                <w:rFonts w:hint="eastAsia" w:ascii="Times New Roman" w:hAnsi="Times New Roman" w:eastAsia="宋体"/>
                <w:color w:val="auto"/>
                <w:highlight w:val="none"/>
              </w:rPr>
              <w:t>泄漏；在发生泄漏后及时发现事故并预警，需按事先拟定的</w:t>
            </w:r>
            <w:r>
              <w:rPr>
                <w:rFonts w:hint="eastAsia" w:ascii="Times New Roman" w:hAnsi="Times New Roman" w:eastAsia="宋体"/>
                <w:color w:val="auto"/>
                <w:highlight w:val="none"/>
                <w:lang w:val="en-US" w:eastAsia="zh-CN"/>
              </w:rPr>
              <w:t>防范</w:t>
            </w:r>
            <w:r>
              <w:rPr>
                <w:rFonts w:hint="eastAsia" w:ascii="Times New Roman" w:hAnsi="Times New Roman" w:eastAsia="宋体"/>
                <w:color w:val="auto"/>
                <w:highlight w:val="none"/>
              </w:rPr>
              <w:t>进行紧急处理</w:t>
            </w:r>
            <w:r>
              <w:rPr>
                <w:rFonts w:hint="eastAsia" w:ascii="Times New Roman" w:hAnsi="Times New Roman" w:eastAsia="宋体"/>
                <w:color w:val="auto"/>
                <w:highlight w:val="none"/>
                <w:lang w:eastAsia="zh-CN"/>
              </w:rPr>
              <w:t>。</w:t>
            </w:r>
          </w:p>
          <w:p w14:paraId="30E6EDF2">
            <w:pPr>
              <w:adjustRightInd w:val="0"/>
              <w:snapToGrid w:val="0"/>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s="Times New Roman"/>
                <w:snapToGrid w:val="0"/>
                <w:color w:val="auto"/>
                <w:kern w:val="0"/>
                <w:sz w:val="24"/>
                <w:highlight w:val="none"/>
                <w:lang w:eastAsia="zh-CN"/>
              </w:rPr>
              <w:t>（</w:t>
            </w:r>
            <w:r>
              <w:rPr>
                <w:rFonts w:hint="eastAsia" w:ascii="Times New Roman" w:hAnsi="Times New Roman" w:eastAsia="宋体" w:cs="Times New Roman"/>
                <w:snapToGrid w:val="0"/>
                <w:color w:val="auto"/>
                <w:kern w:val="0"/>
                <w:sz w:val="24"/>
                <w:highlight w:val="none"/>
                <w:lang w:val="en-US" w:eastAsia="zh-CN"/>
              </w:rPr>
              <w:t>4</w:t>
            </w:r>
            <w:r>
              <w:rPr>
                <w:rFonts w:hint="eastAsia" w:ascii="Times New Roman" w:hAnsi="Times New Roman" w:eastAsia="宋体" w:cs="Times New Roman"/>
                <w:snapToGrid w:val="0"/>
                <w:color w:val="auto"/>
                <w:kern w:val="0"/>
                <w:sz w:val="24"/>
                <w:highlight w:val="none"/>
                <w:lang w:eastAsia="zh-CN"/>
              </w:rPr>
              <w:t>）</w:t>
            </w:r>
            <w:r>
              <w:rPr>
                <w:rFonts w:ascii="Times New Roman" w:hAnsi="Times New Roman" w:eastAsia="宋体"/>
                <w:color w:val="auto"/>
                <w:sz w:val="24"/>
                <w:highlight w:val="none"/>
              </w:rPr>
              <w:t>应急要求</w:t>
            </w:r>
          </w:p>
          <w:p w14:paraId="4A6B5570">
            <w:pPr>
              <w:spacing w:line="360" w:lineRule="auto"/>
              <w:ind w:firstLine="480" w:firstLineChars="200"/>
              <w:rPr>
                <w:rFonts w:hint="eastAsia" w:ascii="Times New Roman" w:hAnsi="Times New Roman" w:eastAsia="宋体" w:cs="Times New Roman"/>
                <w:snapToGrid w:val="0"/>
                <w:color w:val="auto"/>
                <w:kern w:val="0"/>
                <w:sz w:val="24"/>
                <w:highlight w:val="none"/>
                <w:lang w:eastAsia="zh-CN"/>
              </w:rPr>
            </w:pPr>
            <w:r>
              <w:rPr>
                <w:rFonts w:ascii="Times New Roman" w:hAnsi="Times New Roman" w:eastAsia="宋体"/>
                <w:color w:val="auto"/>
                <w:sz w:val="24"/>
                <w:highlight w:val="none"/>
              </w:rPr>
              <w:t>生产中无论预防工作如何周密，风险事故总是难以根本杜绝，制定风险事故应急预案的目的是要迅速而有效地将事故损失减至最小。根据上述环境风险事故分析，制定相应的应急预案和制定演练计划，每年进行一次综合演练和相应的单项应急演练，安排专门部门负责编制演练计划。演练内容包括：模拟事故、报警、启动预案、治安保卫、物资供应、抢险抢修、伤员救护、后勤宣传报道、社区联络通知、外部救援联络通知、向政府部门报告等内容</w:t>
            </w:r>
            <w:r>
              <w:rPr>
                <w:rFonts w:hint="eastAsia" w:ascii="Times New Roman" w:hAnsi="Times New Roman" w:eastAsia="宋体"/>
                <w:color w:val="auto"/>
                <w:sz w:val="24"/>
                <w:highlight w:val="none"/>
                <w:lang w:eastAsia="zh-CN"/>
              </w:rPr>
              <w:t>。</w:t>
            </w:r>
          </w:p>
          <w:p w14:paraId="53DC4AE4">
            <w:pPr>
              <w:spacing w:line="360" w:lineRule="auto"/>
              <w:ind w:firstLine="480" w:firstLineChars="200"/>
              <w:rPr>
                <w:rFonts w:hint="default" w:ascii="Times New Roman" w:hAnsi="Times New Roman" w:eastAsia="宋体" w:cs="Times New Roman"/>
                <w:snapToGrid w:val="0"/>
                <w:color w:val="auto"/>
                <w:kern w:val="0"/>
                <w:sz w:val="24"/>
                <w:highlight w:val="none"/>
              </w:rPr>
            </w:pPr>
            <w:r>
              <w:rPr>
                <w:rFonts w:hint="default" w:ascii="Times New Roman" w:hAnsi="Times New Roman" w:eastAsia="宋体" w:cs="Times New Roman"/>
                <w:snapToGrid w:val="0"/>
                <w:color w:val="auto"/>
                <w:kern w:val="0"/>
                <w:sz w:val="24"/>
                <w:highlight w:val="none"/>
              </w:rPr>
              <w:t>一般应急预案如下表所示：</w:t>
            </w:r>
          </w:p>
          <w:p w14:paraId="3DBC5CC9">
            <w:pPr>
              <w:pStyle w:val="101"/>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表4-</w:t>
            </w:r>
            <w:r>
              <w:rPr>
                <w:rFonts w:hint="eastAsia" w:ascii="Times New Roman" w:hAnsi="Times New Roman" w:eastAsia="宋体" w:cs="Times New Roman"/>
                <w:color w:val="auto"/>
                <w:highlight w:val="none"/>
                <w:lang w:val="en-US" w:eastAsia="zh-CN"/>
              </w:rPr>
              <w:t>19</w:t>
            </w:r>
            <w:r>
              <w:rPr>
                <w:rFonts w:hint="default" w:ascii="Times New Roman" w:hAnsi="Times New Roman" w:eastAsia="宋体" w:cs="Times New Roman"/>
                <w:color w:val="auto"/>
                <w:highlight w:val="none"/>
                <w:lang w:val="en-US" w:eastAsia="zh-CN"/>
              </w:rPr>
              <w:t xml:space="preserve">  一般应急预案内容</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026"/>
              <w:gridCol w:w="5563"/>
            </w:tblGrid>
            <w:tr w14:paraId="17E6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73AEC92B">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1225" w:type="pct"/>
                  <w:tcBorders>
                    <w:tl2br w:val="nil"/>
                    <w:tr2bl w:val="nil"/>
                  </w:tcBorders>
                  <w:noWrap w:val="0"/>
                  <w:vAlign w:val="center"/>
                </w:tcPr>
                <w:p w14:paraId="7F626D86">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w:t>
                  </w:r>
                </w:p>
              </w:tc>
              <w:tc>
                <w:tcPr>
                  <w:tcW w:w="3363" w:type="pct"/>
                  <w:tcBorders>
                    <w:tl2br w:val="nil"/>
                    <w:tr2bl w:val="nil"/>
                  </w:tcBorders>
                  <w:noWrap w:val="0"/>
                  <w:vAlign w:val="center"/>
                </w:tcPr>
                <w:p w14:paraId="12ED80E6">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内容及要求</w:t>
                  </w:r>
                </w:p>
              </w:tc>
            </w:tr>
            <w:tr w14:paraId="37ED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0C5AEDB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225" w:type="pct"/>
                  <w:tcBorders>
                    <w:tl2br w:val="nil"/>
                    <w:tr2bl w:val="nil"/>
                  </w:tcBorders>
                  <w:noWrap w:val="0"/>
                  <w:vAlign w:val="center"/>
                </w:tcPr>
                <w:p w14:paraId="0F9A781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应急计划区</w:t>
                  </w:r>
                </w:p>
              </w:tc>
              <w:tc>
                <w:tcPr>
                  <w:tcW w:w="3363" w:type="pct"/>
                  <w:tcBorders>
                    <w:tl2br w:val="nil"/>
                    <w:tr2bl w:val="nil"/>
                  </w:tcBorders>
                  <w:noWrap w:val="0"/>
                  <w:vAlign w:val="center"/>
                </w:tcPr>
                <w:p w14:paraId="1697B23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危险目标：生产区环境保护目标</w:t>
                  </w:r>
                </w:p>
              </w:tc>
            </w:tr>
            <w:tr w14:paraId="79C5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3BEF052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225" w:type="pct"/>
                  <w:tcBorders>
                    <w:tl2br w:val="nil"/>
                    <w:tr2bl w:val="nil"/>
                  </w:tcBorders>
                  <w:noWrap w:val="0"/>
                  <w:vAlign w:val="center"/>
                </w:tcPr>
                <w:p w14:paraId="6CB8374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应急组织机构、人员</w:t>
                  </w:r>
                </w:p>
              </w:tc>
              <w:tc>
                <w:tcPr>
                  <w:tcW w:w="3363" w:type="pct"/>
                  <w:tcBorders>
                    <w:tl2br w:val="nil"/>
                    <w:tr2bl w:val="nil"/>
                  </w:tcBorders>
                  <w:noWrap w:val="0"/>
                  <w:vAlign w:val="center"/>
                </w:tcPr>
                <w:p w14:paraId="5D2AC34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工厂、地区应急组织机构、人员</w:t>
                  </w:r>
                </w:p>
              </w:tc>
            </w:tr>
            <w:tr w14:paraId="4D48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1D3E37D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225" w:type="pct"/>
                  <w:tcBorders>
                    <w:tl2br w:val="nil"/>
                    <w:tr2bl w:val="nil"/>
                  </w:tcBorders>
                  <w:noWrap w:val="0"/>
                  <w:vAlign w:val="center"/>
                </w:tcPr>
                <w:p w14:paraId="62181F2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预案分级响应条件</w:t>
                  </w:r>
                </w:p>
              </w:tc>
              <w:tc>
                <w:tcPr>
                  <w:tcW w:w="3363" w:type="pct"/>
                  <w:tcBorders>
                    <w:tl2br w:val="nil"/>
                    <w:tr2bl w:val="nil"/>
                  </w:tcBorders>
                  <w:noWrap w:val="0"/>
                  <w:vAlign w:val="center"/>
                </w:tcPr>
                <w:p w14:paraId="51401CF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规定预案的级别及分级响应程序</w:t>
                  </w:r>
                </w:p>
              </w:tc>
            </w:tr>
            <w:tr w14:paraId="3901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35AEA05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225" w:type="pct"/>
                  <w:tcBorders>
                    <w:tl2br w:val="nil"/>
                    <w:tr2bl w:val="nil"/>
                  </w:tcBorders>
                  <w:noWrap w:val="0"/>
                  <w:vAlign w:val="center"/>
                </w:tcPr>
                <w:p w14:paraId="0AE6507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应急救援保障</w:t>
                  </w:r>
                </w:p>
              </w:tc>
              <w:tc>
                <w:tcPr>
                  <w:tcW w:w="3363" w:type="pct"/>
                  <w:tcBorders>
                    <w:tl2br w:val="nil"/>
                    <w:tr2bl w:val="nil"/>
                  </w:tcBorders>
                  <w:noWrap w:val="0"/>
                  <w:vAlign w:val="center"/>
                </w:tcPr>
                <w:p w14:paraId="6CC3744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应急设施，设备和器材等</w:t>
                  </w:r>
                </w:p>
              </w:tc>
            </w:tr>
            <w:tr w14:paraId="5531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51144B2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225" w:type="pct"/>
                  <w:tcBorders>
                    <w:tl2br w:val="nil"/>
                    <w:tr2bl w:val="nil"/>
                  </w:tcBorders>
                  <w:noWrap w:val="0"/>
                  <w:vAlign w:val="center"/>
                </w:tcPr>
                <w:p w14:paraId="4FD5625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报警、通讯联络方式</w:t>
                  </w:r>
                </w:p>
              </w:tc>
              <w:tc>
                <w:tcPr>
                  <w:tcW w:w="3363" w:type="pct"/>
                  <w:tcBorders>
                    <w:tl2br w:val="nil"/>
                    <w:tr2bl w:val="nil"/>
                  </w:tcBorders>
                  <w:noWrap w:val="0"/>
                  <w:vAlign w:val="center"/>
                </w:tcPr>
                <w:p w14:paraId="527A2D3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规定应急状态下的报警通讯方式、通知方式和交通保障、管制</w:t>
                  </w:r>
                </w:p>
              </w:tc>
            </w:tr>
            <w:tr w14:paraId="37BD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25203DF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225" w:type="pct"/>
                  <w:tcBorders>
                    <w:tl2br w:val="nil"/>
                    <w:tr2bl w:val="nil"/>
                  </w:tcBorders>
                  <w:noWrap w:val="0"/>
                  <w:vAlign w:val="center"/>
                </w:tcPr>
                <w:p w14:paraId="56B5435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应急环境监测、抢险、救援及控制措施</w:t>
                  </w:r>
                </w:p>
              </w:tc>
              <w:tc>
                <w:tcPr>
                  <w:tcW w:w="3363" w:type="pct"/>
                  <w:tcBorders>
                    <w:tl2br w:val="nil"/>
                    <w:tr2bl w:val="nil"/>
                  </w:tcBorders>
                  <w:noWrap w:val="0"/>
                  <w:vAlign w:val="center"/>
                </w:tcPr>
                <w:p w14:paraId="1386C0B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有专业队伍负责对事故现场进行侦察监测，对事故性质、参数与后果进行评估，为指挥部门提供决策依据</w:t>
                  </w:r>
                </w:p>
              </w:tc>
            </w:tr>
            <w:tr w14:paraId="2DA0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0CBC2A5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225" w:type="pct"/>
                  <w:tcBorders>
                    <w:tl2br w:val="nil"/>
                    <w:tr2bl w:val="nil"/>
                  </w:tcBorders>
                  <w:noWrap w:val="0"/>
                  <w:vAlign w:val="center"/>
                </w:tcPr>
                <w:p w14:paraId="17EB005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应急检测、防护措施、清除泄漏措施和器材</w:t>
                  </w:r>
                </w:p>
              </w:tc>
              <w:tc>
                <w:tcPr>
                  <w:tcW w:w="3363" w:type="pct"/>
                  <w:tcBorders>
                    <w:tl2br w:val="nil"/>
                    <w:tr2bl w:val="nil"/>
                  </w:tcBorders>
                  <w:noWrap w:val="0"/>
                  <w:vAlign w:val="center"/>
                </w:tcPr>
                <w:p w14:paraId="3AC69AD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事故现场、邻近区域、控制防火区域、控制和清除污染措施及相应设备</w:t>
                  </w:r>
                </w:p>
              </w:tc>
            </w:tr>
            <w:tr w14:paraId="5FC1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497A21A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1225" w:type="pct"/>
                  <w:tcBorders>
                    <w:tl2br w:val="nil"/>
                    <w:tr2bl w:val="nil"/>
                  </w:tcBorders>
                  <w:noWrap w:val="0"/>
                  <w:vAlign w:val="center"/>
                </w:tcPr>
                <w:p w14:paraId="75178C6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人员紧急撤离、疏散，应急剂量控制、撤离组织计划</w:t>
                  </w:r>
                </w:p>
              </w:tc>
              <w:tc>
                <w:tcPr>
                  <w:tcW w:w="3363" w:type="pct"/>
                  <w:tcBorders>
                    <w:tl2br w:val="nil"/>
                    <w:tr2bl w:val="nil"/>
                  </w:tcBorders>
                  <w:noWrap w:val="0"/>
                  <w:vAlign w:val="center"/>
                </w:tcPr>
                <w:p w14:paraId="40F3943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事故现场、工厂邻近区、受事故影响的区域人员及公众对毒物应急剂量控制规定，撤离组织计划和救护、医疗救护与公众健康</w:t>
                  </w:r>
                </w:p>
              </w:tc>
            </w:tr>
            <w:tr w14:paraId="03F2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42A1AC1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p>
              </w:tc>
              <w:tc>
                <w:tcPr>
                  <w:tcW w:w="1225" w:type="pct"/>
                  <w:tcBorders>
                    <w:tl2br w:val="nil"/>
                    <w:tr2bl w:val="nil"/>
                  </w:tcBorders>
                  <w:noWrap w:val="0"/>
                  <w:vAlign w:val="center"/>
                </w:tcPr>
                <w:p w14:paraId="2BD0E71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事故应急救援关闭程序与恢复措施</w:t>
                  </w:r>
                </w:p>
              </w:tc>
              <w:tc>
                <w:tcPr>
                  <w:tcW w:w="3363" w:type="pct"/>
                  <w:tcBorders>
                    <w:tl2br w:val="nil"/>
                    <w:tr2bl w:val="nil"/>
                  </w:tcBorders>
                  <w:noWrap w:val="0"/>
                  <w:vAlign w:val="center"/>
                </w:tcPr>
                <w:p w14:paraId="46503D9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规定应急状态终止程序事故现场善后处理，恢复措施邻近区域解除事故警戒及善后恢复措施</w:t>
                  </w:r>
                </w:p>
              </w:tc>
            </w:tr>
            <w:tr w14:paraId="3089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736E252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225" w:type="pct"/>
                  <w:tcBorders>
                    <w:tl2br w:val="nil"/>
                    <w:tr2bl w:val="nil"/>
                  </w:tcBorders>
                  <w:noWrap w:val="0"/>
                  <w:vAlign w:val="center"/>
                </w:tcPr>
                <w:p w14:paraId="7ED0BD5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应急培训计划</w:t>
                  </w:r>
                </w:p>
              </w:tc>
              <w:tc>
                <w:tcPr>
                  <w:tcW w:w="3363" w:type="pct"/>
                  <w:tcBorders>
                    <w:tl2br w:val="nil"/>
                    <w:tr2bl w:val="nil"/>
                  </w:tcBorders>
                  <w:noWrap w:val="0"/>
                  <w:vAlign w:val="center"/>
                </w:tcPr>
                <w:p w14:paraId="4511377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应急计划制定后，平时安排人员培训与演练</w:t>
                  </w:r>
                </w:p>
              </w:tc>
            </w:tr>
            <w:tr w14:paraId="515B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585C98C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225" w:type="pct"/>
                  <w:tcBorders>
                    <w:tl2br w:val="nil"/>
                    <w:tr2bl w:val="nil"/>
                  </w:tcBorders>
                  <w:noWrap w:val="0"/>
                  <w:vAlign w:val="center"/>
                </w:tcPr>
                <w:p w14:paraId="0157CFF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公共教育和信息</w:t>
                  </w:r>
                </w:p>
              </w:tc>
              <w:tc>
                <w:tcPr>
                  <w:tcW w:w="3363" w:type="pct"/>
                  <w:tcBorders>
                    <w:tl2br w:val="nil"/>
                    <w:tr2bl w:val="nil"/>
                  </w:tcBorders>
                  <w:noWrap w:val="0"/>
                  <w:vAlign w:val="center"/>
                </w:tcPr>
                <w:p w14:paraId="38FF312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对工厂邻近地区开展公众教育、培训和发布有关信息</w:t>
                  </w:r>
                </w:p>
              </w:tc>
            </w:tr>
          </w:tbl>
          <w:p w14:paraId="01BDEC5D">
            <w:pPr>
              <w:spacing w:line="360" w:lineRule="auto"/>
              <w:ind w:firstLine="482" w:firstLineChars="200"/>
              <w:rPr>
                <w:rFonts w:hint="default" w:ascii="Times New Roman" w:hAnsi="Times New Roman" w:eastAsia="宋体" w:cs="Times New Roman"/>
                <w:b/>
                <w:snapToGrid w:val="0"/>
                <w:color w:val="auto"/>
                <w:kern w:val="0"/>
                <w:sz w:val="24"/>
                <w:highlight w:val="none"/>
              </w:rPr>
            </w:pPr>
            <w:r>
              <w:rPr>
                <w:rFonts w:hint="default" w:ascii="Times New Roman" w:hAnsi="Times New Roman" w:eastAsia="宋体" w:cs="Times New Roman"/>
                <w:b/>
                <w:snapToGrid w:val="0"/>
                <w:color w:val="auto"/>
                <w:kern w:val="0"/>
                <w:sz w:val="24"/>
                <w:highlight w:val="none"/>
              </w:rPr>
              <w:t>4、环境风险分析结论</w:t>
            </w:r>
          </w:p>
          <w:p w14:paraId="790150D1">
            <w:pPr>
              <w:adjustRightIn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snapToGrid w:val="0"/>
                <w:color w:val="auto"/>
                <w:kern w:val="0"/>
                <w:sz w:val="24"/>
                <w:highlight w:val="none"/>
              </w:rPr>
              <w:t>综上所述，项目运营过程中产生的污染物会对周边的大气、水及土壤环境造成一定的影响，因此，建设单位在生产过程中须</w:t>
            </w:r>
            <w:r>
              <w:rPr>
                <w:rFonts w:hint="default" w:ascii="Times New Roman" w:hAnsi="Times New Roman" w:eastAsia="宋体" w:cs="Times New Roman"/>
                <w:snapToGrid w:val="0"/>
                <w:color w:val="auto"/>
                <w:kern w:val="0"/>
                <w:sz w:val="24"/>
                <w:highlight w:val="none"/>
              </w:rPr>
              <w:t>采取有效的预防、应急措施，避免泄漏事故的发生，并从各方面积极采取防护措施，确保废水及废气处理设施正常运转使污染物达标排放。编制突发环境风险应急预案，并保证应急响应系统在事故状态下立即启动，加强管理，同时定期检验各环保处理设施，当出现事故时要采取紧急的应急措施，可以控制事故和减少对环境造成的危害。因此本项目发生环境风险事故后，对周围环境的影响可控，风险水平可以接受。</w:t>
            </w:r>
          </w:p>
          <w:p w14:paraId="103AC81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ascii="Times New Roman" w:hAnsi="Times New Roman" w:eastAsia="宋体" w:cs="Times New Roman"/>
                <w:b/>
                <w:color w:val="auto"/>
                <w:kern w:val="0"/>
                <w:sz w:val="24"/>
                <w:szCs w:val="24"/>
                <w:highlight w:val="none"/>
                <w:lang w:val="en-US" w:eastAsia="zh-CN" w:bidi="ar-SA"/>
              </w:rPr>
            </w:pPr>
            <w:r>
              <w:rPr>
                <w:rFonts w:hint="eastAsia" w:ascii="Times New Roman" w:hAnsi="Times New Roman" w:eastAsia="宋体" w:cs="Times New Roman"/>
                <w:b/>
                <w:color w:val="auto"/>
                <w:kern w:val="0"/>
                <w:sz w:val="24"/>
                <w:szCs w:val="24"/>
                <w:highlight w:val="none"/>
                <w:lang w:val="en-US" w:eastAsia="zh-CN" w:bidi="ar-SA"/>
              </w:rPr>
              <w:t>八</w:t>
            </w:r>
            <w:r>
              <w:rPr>
                <w:rFonts w:ascii="Times New Roman" w:hAnsi="Times New Roman" w:eastAsia="宋体" w:cs="Times New Roman"/>
                <w:b/>
                <w:color w:val="auto"/>
                <w:kern w:val="0"/>
                <w:sz w:val="24"/>
                <w:szCs w:val="24"/>
                <w:highlight w:val="none"/>
                <w:lang w:val="en-US" w:eastAsia="zh-CN" w:bidi="ar-SA"/>
              </w:rPr>
              <w:t>、</w:t>
            </w:r>
            <w:r>
              <w:rPr>
                <w:rFonts w:ascii="Times New Roman" w:hAnsi="Times New Roman" w:eastAsia="宋体" w:cs="宋体"/>
                <w:b/>
                <w:color w:val="auto"/>
                <w:kern w:val="0"/>
                <w:sz w:val="24"/>
                <w:szCs w:val="24"/>
                <w:highlight w:val="none"/>
                <w:lang w:val="en-US" w:eastAsia="zh-CN" w:bidi="ar-SA"/>
              </w:rPr>
              <w:t>环保设施安全风险分析及防治措施</w:t>
            </w:r>
          </w:p>
          <w:p w14:paraId="3C3DE29B">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根据《国务院安委会办公室 生态环境部 应急管理部关于进一步加强环保设备设施安全生产工作的通知》（安委办明电〔2022〕17 号）相关要求，需开展环保设备设施安全风险辨识评估和隐患排查治理，落实安全生产各项责任措施。</w:t>
            </w:r>
          </w:p>
          <w:p w14:paraId="51BF2F8E">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本项目</w:t>
            </w:r>
            <w:r>
              <w:rPr>
                <w:rFonts w:hint="eastAsia" w:ascii="Times New Roman" w:hAnsi="Times New Roman" w:eastAsia="宋体"/>
                <w:bCs/>
                <w:color w:val="auto"/>
                <w:sz w:val="24"/>
                <w:szCs w:val="24"/>
                <w:highlight w:val="none"/>
                <w:lang w:val="en-US" w:eastAsia="zh-CN"/>
              </w:rPr>
              <w:t>打磨</w:t>
            </w:r>
            <w:r>
              <w:rPr>
                <w:rFonts w:hint="eastAsia" w:ascii="Times New Roman" w:hAnsi="Times New Roman" w:eastAsia="宋体"/>
                <w:bCs/>
                <w:color w:val="auto"/>
                <w:sz w:val="24"/>
                <w:szCs w:val="24"/>
                <w:highlight w:val="none"/>
              </w:rPr>
              <w:t>工序产生的颗粒物经布袋除尘器处理后通过1根15m高排气筒P</w:t>
            </w:r>
            <w:r>
              <w:rPr>
                <w:rFonts w:hint="eastAsia" w:ascii="Times New Roman" w:hAnsi="Times New Roman" w:eastAsia="宋体"/>
                <w:bCs/>
                <w:color w:val="auto"/>
                <w:sz w:val="24"/>
                <w:szCs w:val="24"/>
                <w:highlight w:val="none"/>
                <w:lang w:val="en-US" w:eastAsia="zh-CN"/>
              </w:rPr>
              <w:t>1</w:t>
            </w:r>
            <w:r>
              <w:rPr>
                <w:rFonts w:hint="eastAsia" w:ascii="Times New Roman" w:hAnsi="Times New Roman" w:eastAsia="宋体"/>
                <w:bCs/>
                <w:color w:val="auto"/>
                <w:sz w:val="24"/>
                <w:szCs w:val="24"/>
                <w:highlight w:val="none"/>
              </w:rPr>
              <w:t>排放（排放口编号DA00</w:t>
            </w:r>
            <w:r>
              <w:rPr>
                <w:rFonts w:hint="eastAsia" w:ascii="Times New Roman" w:hAnsi="Times New Roman" w:eastAsia="宋体"/>
                <w:bCs/>
                <w:color w:val="auto"/>
                <w:sz w:val="24"/>
                <w:szCs w:val="24"/>
                <w:highlight w:val="none"/>
                <w:lang w:val="en-US" w:eastAsia="zh-CN"/>
              </w:rPr>
              <w:t>1</w:t>
            </w:r>
            <w:r>
              <w:rPr>
                <w:rFonts w:hint="eastAsia" w:ascii="Times New Roman" w:hAnsi="Times New Roman" w:eastAsia="宋体"/>
                <w:bCs/>
                <w:color w:val="auto"/>
                <w:sz w:val="24"/>
                <w:szCs w:val="24"/>
                <w:highlight w:val="none"/>
              </w:rPr>
              <w:t>）</w:t>
            </w:r>
            <w:r>
              <w:rPr>
                <w:rFonts w:hint="eastAsia" w:ascii="Times New Roman" w:hAnsi="Times New Roman" w:eastAsia="宋体"/>
                <w:bCs/>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烧结上料及出料口、筛分及磁选、打包废气</w:t>
            </w:r>
            <w:r>
              <w:rPr>
                <w:rFonts w:hint="eastAsia" w:ascii="Times New Roman" w:hAnsi="Times New Roman" w:eastAsia="宋体"/>
                <w:bCs/>
                <w:color w:val="auto"/>
                <w:sz w:val="24"/>
                <w:szCs w:val="24"/>
                <w:highlight w:val="none"/>
              </w:rPr>
              <w:t>经布袋除尘器</w:t>
            </w:r>
            <w:r>
              <w:rPr>
                <w:rFonts w:hint="eastAsia" w:ascii="Times New Roman" w:hAnsi="Times New Roman" w:eastAsia="宋体" w:cs="Times New Roman"/>
                <w:color w:val="auto"/>
                <w:sz w:val="24"/>
                <w:szCs w:val="24"/>
                <w:highlight w:val="none"/>
                <w:lang w:val="en-US" w:eastAsia="zh-CN"/>
              </w:rPr>
              <w:t>+二级活性炭吸附处理后</w:t>
            </w:r>
            <w:r>
              <w:rPr>
                <w:rFonts w:hint="eastAsia" w:ascii="Times New Roman" w:hAnsi="Times New Roman" w:eastAsia="宋体"/>
                <w:color w:val="auto"/>
                <w:sz w:val="24"/>
                <w:szCs w:val="24"/>
                <w:highlight w:val="none"/>
              </w:rPr>
              <w:t>通过1根</w:t>
            </w:r>
            <w:r>
              <w:rPr>
                <w:rFonts w:ascii="Times New Roman" w:hAnsi="Times New Roman" w:eastAsia="宋体"/>
                <w:color w:val="auto"/>
                <w:sz w:val="24"/>
                <w:szCs w:val="24"/>
                <w:highlight w:val="none"/>
              </w:rPr>
              <w:t>15m高排气筒</w:t>
            </w:r>
            <w:r>
              <w:rPr>
                <w:rFonts w:hint="eastAsia" w:ascii="Times New Roman" w:hAnsi="Times New Roman" w:eastAsia="宋体"/>
                <w:color w:val="auto"/>
                <w:sz w:val="24"/>
                <w:szCs w:val="24"/>
                <w:highlight w:val="none"/>
              </w:rPr>
              <w:t>P</w:t>
            </w:r>
            <w:r>
              <w:rPr>
                <w:rFonts w:hint="eastAsia" w:ascii="Times New Roman" w:hAnsi="Times New Roman" w:eastAsia="宋体"/>
                <w:color w:val="auto"/>
                <w:sz w:val="24"/>
                <w:szCs w:val="24"/>
                <w:highlight w:val="none"/>
                <w:lang w:val="en-US" w:eastAsia="zh-CN"/>
              </w:rPr>
              <w:t>2</w:t>
            </w:r>
            <w:r>
              <w:rPr>
                <w:rFonts w:ascii="Times New Roman" w:hAnsi="Times New Roman" w:eastAsia="宋体"/>
                <w:color w:val="auto"/>
                <w:sz w:val="24"/>
                <w:szCs w:val="24"/>
                <w:highlight w:val="none"/>
              </w:rPr>
              <w:t>排放</w:t>
            </w:r>
            <w:r>
              <w:rPr>
                <w:rFonts w:hint="eastAsia" w:ascii="Times New Roman" w:hAnsi="Times New Roman" w:eastAsia="宋体"/>
                <w:bCs/>
                <w:color w:val="auto"/>
                <w:sz w:val="24"/>
                <w:szCs w:val="24"/>
                <w:highlight w:val="none"/>
              </w:rPr>
              <w:t>（排放口编号DA00</w:t>
            </w:r>
            <w:r>
              <w:rPr>
                <w:rFonts w:hint="eastAsia" w:ascii="Times New Roman" w:hAnsi="Times New Roman" w:eastAsia="宋体"/>
                <w:bCs/>
                <w:color w:val="auto"/>
                <w:sz w:val="24"/>
                <w:szCs w:val="24"/>
                <w:highlight w:val="none"/>
                <w:lang w:val="en-US" w:eastAsia="zh-CN"/>
              </w:rPr>
              <w:t>2</w:t>
            </w:r>
            <w:r>
              <w:rPr>
                <w:rFonts w:hint="eastAsia" w:ascii="Times New Roman" w:hAnsi="Times New Roman" w:eastAsia="宋体"/>
                <w:bCs/>
                <w:color w:val="auto"/>
                <w:sz w:val="24"/>
                <w:szCs w:val="24"/>
                <w:highlight w:val="none"/>
              </w:rPr>
              <w:t>）</w:t>
            </w:r>
            <w:r>
              <w:rPr>
                <w:rFonts w:hint="default" w:ascii="Times New Roman" w:hAnsi="Times New Roman" w:eastAsia="宋体" w:cs="Times New Roman"/>
                <w:color w:val="auto"/>
                <w:sz w:val="24"/>
                <w:szCs w:val="24"/>
                <w:highlight w:val="none"/>
                <w:lang w:eastAsia="zh-CN"/>
              </w:rPr>
              <w:t>。</w:t>
            </w:r>
          </w:p>
          <w:p w14:paraId="629E70A9">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根据《工贸行业重点可燃性粉尘目录（2015 版）》和《关于进一步加强环保设备设施安全生产工作的通知》（安委办明电[2022]17号），本项目粉尘及有机废气治理设施存在一定的安全风险。</w:t>
            </w:r>
          </w:p>
          <w:p w14:paraId="3193EE14">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（1）环保设备设施安全风险分析</w:t>
            </w:r>
          </w:p>
          <w:p w14:paraId="3EAA283D">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①活性炭吸附是放热过程，对流不利时，热量积聚，活性炭吸附装置中的温度将升高到其着火温度，从而导致活性炭自燃或点燃可燃废气混合物，造成燃爆风险。</w:t>
            </w:r>
            <w:r>
              <w:rPr>
                <w:rFonts w:ascii="Times New Roman" w:hAnsi="Times New Roman" w:eastAsia="宋体" w:cs="Arial"/>
                <w:color w:val="auto"/>
                <w:sz w:val="24"/>
                <w:szCs w:val="24"/>
                <w:highlight w:val="none"/>
                <w:shd w:val="clear" w:color="auto" w:fill="FFFFFF"/>
              </w:rPr>
              <w:t>布袋除尘器在高温高压状态下工作，可能出现电气线路、传动系统、电机等方面的故障，容易导致火灾</w:t>
            </w:r>
            <w:r>
              <w:rPr>
                <w:rFonts w:hint="eastAsia" w:ascii="Times New Roman" w:hAnsi="Times New Roman" w:eastAsia="宋体" w:cs="Arial"/>
                <w:color w:val="auto"/>
                <w:sz w:val="24"/>
                <w:szCs w:val="24"/>
                <w:highlight w:val="none"/>
                <w:shd w:val="clear" w:color="auto" w:fill="FFFFFF"/>
                <w:lang w:eastAsia="zh-CN"/>
              </w:rPr>
              <w:t>。</w:t>
            </w:r>
          </w:p>
          <w:p w14:paraId="004D269F">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如果环保设备安全设施（安全装置）质量低劣，没有按有关规定进行定期检测、校验，存在故障等；没有安装紧急停车装置或停车按钮，或装置发生故障，在出现异常情况时，往往无法及时处理，导致事故的发生。</w:t>
            </w:r>
          </w:p>
          <w:p w14:paraId="110BBF1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④如果环保设备发生运行故障失修以及操作人员操作不当，如开停车操作不当及进行检修风机电机会产生电弧、电火花、电热或漏电，可能引发电气事故，遇到可燃物，可引起火灾。</w:t>
            </w:r>
          </w:p>
          <w:p w14:paraId="4274248E">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⑤电气设备防护设施缺陷或不严格遵守安全操作规程，临时用电程序不规范，或在金属容器内焊接作业时，因无可靠的防触电安全措施，未使用触电保护器和漏电保护器，可能发生触电。</w:t>
            </w:r>
          </w:p>
          <w:p w14:paraId="666DF6A3">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⑥违章作业：严重违反规章制度、工作极端不负责任、纪律松弛等人的不安全行为是引起事故的重要原因。作业人员未严格按照设备操作规程使用设备，引发意外事故；在设备检修前未进行技术交底，需检修的设备与系统未进行有效的隔离，在现场留有残留物、火种，均会埋下事故隐患；如存在设备缺陷、防护设施不到位、防护措施不落实或不遵守操作规程、违章作业等，也会有触电</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中毒、坠落</w:t>
            </w:r>
            <w:r>
              <w:rPr>
                <w:rFonts w:hint="default" w:ascii="Times New Roman" w:hAnsi="Times New Roman" w:eastAsia="宋体" w:cs="Times New Roman"/>
                <w:color w:val="auto"/>
                <w:sz w:val="24"/>
                <w:szCs w:val="24"/>
                <w:highlight w:val="none"/>
              </w:rPr>
              <w:t>的危险。</w:t>
            </w:r>
          </w:p>
          <w:p w14:paraId="29F0B28C">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（2）环保设施安全风险防范措施</w:t>
            </w:r>
          </w:p>
          <w:p w14:paraId="479CAE03">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为保证本项目环保设施生产过程安全运行，主要采取以下环保设施风险防范措施：</w:t>
            </w:r>
          </w:p>
          <w:p w14:paraId="3F83F5F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废气处理设施负责人、安全管理员和其他从业人员需要培训上岗作业，从业人员需持证上岗，执行三级安全教育，开展技术培训和安全教育均可减小引发事故的几率，增加从业人员对行业、岗位危险性进行了解，避免引起事故。</w:t>
            </w:r>
          </w:p>
          <w:p w14:paraId="1AFB39AB">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现场安装安全防护设施，并设立安全警示标志。完善密闭空间通风设施，配备安全器材和有害气体探测仪。通过定制看板、设置设备异常信号灯、安全提醒板、安全曝光台等多种形式，向作业人员充分传递安全信息，提高责任意识和风险识别能力。</w:t>
            </w:r>
          </w:p>
          <w:p w14:paraId="1F73D555">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②配套废气处理装置按规定定期更换，使活性炭吸附效率保持一定数值，避免引发废气排放超标事故的发生。</w:t>
            </w:r>
          </w:p>
          <w:p w14:paraId="614B057A">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改进安全管理体系，建立明确的安全生产责任制，明确各级单位和负责人安全职责，定期进行检查，确保职责落实到位。完善隐患排查治理机制，定期对现场隐患进行检查，查出隐患及时治理，举一反三，避免重复隐患。开展安全生产标准化工作，通过对标管理，提高安全生产管理水平。</w:t>
            </w:r>
          </w:p>
          <w:p w14:paraId="1789748E">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突出安全管理重点，加强特殊时段、重点部位安全风险管控，认真落实相关技术标准规范，严格执行吊装、动火、高处等危险作业审批制度，加强有限空间、检维修作业安全管理，采取有效隔离措施，实施现场安全监护和科学施救。对受委托开展环保设备设施建设、运营和检维修第三方的安全生产工作进行统一协调、管理，定期进行安全检查，发现安全问题的，及时督促整改，不得“一包了之，不管不问。</w:t>
            </w:r>
          </w:p>
          <w:p w14:paraId="0B1AD3E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⑤提高员工安全知识和安全技能：加强员工安全知识和安全技能培训，通过经常性的案例警示教育和应急预案演练，提高员工应急处置能力和风险防范能力，提高员工自救和施救能力。让作业安全成为员工发自内心的需求和追求，提高作业人员安全素养</w:t>
            </w:r>
            <w:r>
              <w:rPr>
                <w:rFonts w:hint="eastAsia" w:ascii="Times New Roman" w:hAnsi="Times New Roman" w:eastAsia="宋体" w:cs="Times New Roman"/>
                <w:color w:val="auto"/>
                <w:sz w:val="24"/>
                <w:szCs w:val="24"/>
                <w:highlight w:val="none"/>
                <w:lang w:eastAsia="zh-CN"/>
              </w:rPr>
              <w:t>。</w:t>
            </w:r>
          </w:p>
          <w:p w14:paraId="78C49E20">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（3）环保设施安全管理注意事项</w:t>
            </w:r>
          </w:p>
          <w:p w14:paraId="03174099">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①将环保设施和项目纳入双重预防机制管理，进行安全风险辨识、分级管控，开展隐患排查治理。</w:t>
            </w:r>
          </w:p>
          <w:p w14:paraId="76E64598">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建立环保设施和项目台账，包括设施部位、存在风险、事故类型、主要管控措施、责任部门和责任人等内容。制定适宜的安全操作规程及检查频次，生产过程中严格按操作规程进行操作，按要求进行巡回检查，及时发现现场隐患等存在的问题，避免因此引发各类事故。</w:t>
            </w:r>
          </w:p>
          <w:p w14:paraId="7CB756FE">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③各设施需经过正规设计或设计诊断，按需开展安全评价，纳入安全评价报告。</w:t>
            </w:r>
          </w:p>
          <w:p w14:paraId="0CA78417">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根据环保设施和项目工艺特点，制定完善相应的安全管理制度和安全操作规程。废气处理设施负责人、安全管理员和其它从业人员需培训上岗作业，从业人员需持证上岗，执行三级安全教育，开展技术培训和安全教育均可减小引发事故的几率，增加从业人员对行业、岗位危险性进行了解，避免引起事故。</w:t>
            </w:r>
          </w:p>
          <w:p w14:paraId="548C25D5">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⑥活性炭箱使用点火温度高，灰分低的活性炭作为吸附材料，活性炭吸附箱处理装置主体表面温度应不高于60℃，防止活性炭与明火直接接触。</w:t>
            </w:r>
          </w:p>
          <w:p w14:paraId="2B8EC61E">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⑦在安全生产教育培训中安排专门课时对环保设施和项目风险辨识方法和风险管控措施进行培训。</w:t>
            </w:r>
          </w:p>
          <w:p w14:paraId="1E5506C4">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⑧针对项目风险，在危险源处设置安全警示标志，开展危险岗位应急处置能力训练。</w:t>
            </w:r>
          </w:p>
          <w:p w14:paraId="4A6E8C5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通过以上分析，项目采取的风险防范措施已在企业普遍试行，具有可操作性，防范措施有效，项目的环境风险是可防控的</w:t>
            </w:r>
            <w:r>
              <w:rPr>
                <w:rFonts w:hint="eastAsia" w:ascii="Times New Roman" w:hAnsi="Times New Roman" w:eastAsia="宋体" w:cs="Times New Roman"/>
                <w:color w:val="auto"/>
                <w:sz w:val="24"/>
                <w:szCs w:val="24"/>
                <w:highlight w:val="none"/>
                <w:lang w:eastAsia="zh-CN"/>
              </w:rPr>
              <w:t>。</w:t>
            </w:r>
          </w:p>
          <w:p w14:paraId="79E4F006">
            <w:pPr>
              <w:pStyle w:val="94"/>
              <w:numPr>
                <w:ilvl w:val="0"/>
                <w:numId w:val="0"/>
              </w:numPr>
              <w:ind w:left="480" w:left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九</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电磁辐射</w:t>
            </w:r>
          </w:p>
          <w:p w14:paraId="6FE6B82B">
            <w:pPr>
              <w:pStyle w:val="94"/>
              <w:numPr>
                <w:ilvl w:val="0"/>
                <w:numId w:val="0"/>
              </w:numPr>
              <w:adjustRightInd/>
              <w:snapToGrid/>
              <w:ind w:firstLine="480" w:firstLineChars="200"/>
              <w:rPr>
                <w:rFonts w:hint="default" w:ascii="Times New Roman" w:hAnsi="Times New Roman" w:eastAsia="宋体" w:cs="Times New Roman"/>
                <w:bCs/>
                <w:color w:val="auto"/>
                <w:spacing w:val="-10"/>
                <w:highlight w:val="none"/>
              </w:rPr>
            </w:pPr>
            <w:r>
              <w:rPr>
                <w:rFonts w:hint="default" w:ascii="Times New Roman" w:hAnsi="Times New Roman" w:eastAsia="宋体" w:cs="Times New Roman"/>
                <w:b w:val="0"/>
                <w:bCs/>
                <w:color w:val="auto"/>
                <w:sz w:val="24"/>
                <w:szCs w:val="24"/>
                <w:highlight w:val="none"/>
              </w:rPr>
              <w:t>项目不涉及电磁辐射。</w:t>
            </w:r>
          </w:p>
        </w:tc>
      </w:tr>
    </w:tbl>
    <w:p w14:paraId="730C3644">
      <w:pPr>
        <w:pStyle w:val="25"/>
        <w:rPr>
          <w:rFonts w:hint="eastAsia" w:ascii="黑体" w:hAnsi="黑体" w:eastAsia="黑体"/>
          <w:snapToGrid w:val="0"/>
          <w:color w:val="auto"/>
          <w:sz w:val="30"/>
          <w:szCs w:val="30"/>
          <w:highlight w:val="none"/>
        </w:rPr>
      </w:pPr>
      <w:r>
        <w:rPr>
          <w:rFonts w:hint="eastAsia"/>
          <w:color w:val="auto"/>
          <w:highlight w:val="none"/>
        </w:rPr>
        <w:br w:type="page"/>
      </w:r>
      <w:r>
        <w:rPr>
          <w:rFonts w:hint="eastAsia" w:ascii="黑体" w:hAnsi="黑体" w:eastAsia="黑体" w:cs="Times New Roman"/>
          <w:snapToGrid w:val="0"/>
          <w:color w:val="auto"/>
          <w:sz w:val="30"/>
          <w:szCs w:val="30"/>
          <w:highlight w:val="none"/>
          <w:lang w:val="en-US" w:eastAsia="zh-CN"/>
        </w:rPr>
        <w:t>五、环</w:t>
      </w:r>
      <w:r>
        <w:rPr>
          <w:rFonts w:hint="eastAsia" w:ascii="黑体" w:hAnsi="黑体" w:eastAsia="黑体" w:cs="Times New Roman"/>
          <w:snapToGrid w:val="0"/>
          <w:color w:val="auto"/>
          <w:sz w:val="30"/>
          <w:szCs w:val="30"/>
          <w:highlight w:val="none"/>
        </w:rPr>
        <w:t>境保</w:t>
      </w:r>
      <w:r>
        <w:rPr>
          <w:rFonts w:hint="eastAsia" w:ascii="黑体" w:hAnsi="黑体" w:eastAsia="黑体"/>
          <w:snapToGrid w:val="0"/>
          <w:color w:val="auto"/>
          <w:sz w:val="30"/>
          <w:szCs w:val="30"/>
          <w:highlight w:val="none"/>
        </w:rPr>
        <w:t>护措施监督检查清单</w:t>
      </w:r>
      <w:bookmarkEnd w:id="3"/>
    </w:p>
    <w:tbl>
      <w:tblPr>
        <w:tblStyle w:val="30"/>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383"/>
        <w:gridCol w:w="1015"/>
        <w:gridCol w:w="2183"/>
        <w:gridCol w:w="2981"/>
      </w:tblGrid>
      <w:tr w14:paraId="2237F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9" w:type="dxa"/>
            <w:tcBorders>
              <w:tl2br w:val="nil"/>
              <w:tr2bl w:val="nil"/>
            </w:tcBorders>
            <w:noWrap w:val="0"/>
            <w:vAlign w:val="center"/>
          </w:tcPr>
          <w:p w14:paraId="2473DFAF">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31750</wp:posOffset>
                      </wp:positionV>
                      <wp:extent cx="838835" cy="548640"/>
                      <wp:effectExtent l="2540" t="3810" r="15875" b="19050"/>
                      <wp:wrapNone/>
                      <wp:docPr id="1" name="直线 1195"/>
                      <wp:cNvGraphicFramePr/>
                      <a:graphic xmlns:a="http://schemas.openxmlformats.org/drawingml/2006/main">
                        <a:graphicData uri="http://schemas.microsoft.com/office/word/2010/wordprocessingShape">
                          <wps:wsp>
                            <wps:cNvCnPr/>
                            <wps:spPr>
                              <a:xfrm>
                                <a:off x="0" y="0"/>
                                <a:ext cx="838835" cy="5486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5" o:spid="_x0000_s1026" o:spt="20" style="position:absolute;left:0pt;margin-left:0.45pt;margin-top:2.5pt;height:43.2pt;width:66.05pt;z-index:251660288;mso-width-relative:page;mso-height-relative:page;" filled="f" stroked="t" coordsize="21600,21600" o:gfxdata="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gLPm0wAAAAUBAAAPAAAAAAAAAAEAIAAAACIAAABkcnMvZG93bnJldi54bWxQSwECFAAUAAAACACH&#10;TuJAZ09r4vABAADiAwAADgAAAAAAAAABACAAAAAiAQAAZHJzL2Uyb0RvYy54bWxQSwUGAAAAAAYA&#10;BgBZAQAAhAUAAAAA&#10;">
                      <v:fill on="f" focussize="0,0"/>
                      <v:stroke color="#000000" joinstyle="round"/>
                      <v:imagedata o:title=""/>
                      <o:lock v:ext="edit" aspectratio="f"/>
                    </v:line>
                  </w:pict>
                </mc:Fallback>
              </mc:AlternateContent>
            </w:r>
            <w:r>
              <w:rPr>
                <w:rFonts w:hint="eastAsia" w:ascii="Times New Roman" w:hAnsi="Times New Roman" w:eastAsia="宋体"/>
                <w:b w:val="0"/>
                <w:bCs w:val="0"/>
                <w:color w:val="auto"/>
                <w:sz w:val="24"/>
                <w:szCs w:val="24"/>
                <w:highlight w:val="none"/>
                <w:lang w:val="en-US" w:eastAsia="zh-CN"/>
              </w:rPr>
              <w:t xml:space="preserve">  </w:t>
            </w:r>
            <w:r>
              <w:rPr>
                <w:rFonts w:ascii="Times New Roman" w:hAnsi="Times New Roman" w:eastAsia="宋体"/>
                <w:b w:val="0"/>
                <w:bCs w:val="0"/>
                <w:color w:val="auto"/>
                <w:sz w:val="24"/>
                <w:szCs w:val="24"/>
                <w:highlight w:val="none"/>
              </w:rPr>
              <w:t>内容</w:t>
            </w:r>
          </w:p>
          <w:p w14:paraId="2E99CB16">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left"/>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要素</w:t>
            </w:r>
          </w:p>
        </w:tc>
        <w:tc>
          <w:tcPr>
            <w:tcW w:w="1382" w:type="dxa"/>
            <w:tcBorders>
              <w:tl2br w:val="nil"/>
              <w:tr2bl w:val="nil"/>
            </w:tcBorders>
            <w:noWrap w:val="0"/>
            <w:vAlign w:val="center"/>
          </w:tcPr>
          <w:p w14:paraId="35BACF14">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排放口</w:t>
            </w:r>
            <w:r>
              <w:rPr>
                <w:rFonts w:hint="eastAsia" w:ascii="Times New Roman" w:hAnsi="Times New Roman" w:eastAsia="宋体"/>
                <w:b w:val="0"/>
                <w:bCs w:val="0"/>
                <w:color w:val="auto"/>
                <w:sz w:val="24"/>
                <w:szCs w:val="24"/>
                <w:highlight w:val="none"/>
                <w:lang w:eastAsia="zh-CN"/>
              </w:rPr>
              <w:t>（</w:t>
            </w:r>
            <w:r>
              <w:rPr>
                <w:rFonts w:ascii="Times New Roman" w:hAnsi="Times New Roman" w:eastAsia="宋体"/>
                <w:b w:val="0"/>
                <w:bCs w:val="0"/>
                <w:color w:val="auto"/>
                <w:sz w:val="24"/>
                <w:szCs w:val="24"/>
                <w:highlight w:val="none"/>
              </w:rPr>
              <w:t>编号、名称</w:t>
            </w:r>
            <w:r>
              <w:rPr>
                <w:rFonts w:hint="eastAsia" w:ascii="Times New Roman" w:hAnsi="Times New Roman" w:eastAsia="宋体"/>
                <w:b w:val="0"/>
                <w:bCs w:val="0"/>
                <w:color w:val="auto"/>
                <w:sz w:val="24"/>
                <w:szCs w:val="24"/>
                <w:highlight w:val="none"/>
                <w:lang w:eastAsia="zh-CN"/>
              </w:rPr>
              <w:t>）</w:t>
            </w:r>
            <w:r>
              <w:rPr>
                <w:rFonts w:ascii="Times New Roman" w:hAnsi="Times New Roman" w:eastAsia="宋体"/>
                <w:b w:val="0"/>
                <w:bCs w:val="0"/>
                <w:color w:val="auto"/>
                <w:sz w:val="24"/>
                <w:szCs w:val="24"/>
                <w:highlight w:val="none"/>
              </w:rPr>
              <w:t>/污染源</w:t>
            </w:r>
          </w:p>
        </w:tc>
        <w:tc>
          <w:tcPr>
            <w:tcW w:w="1014" w:type="dxa"/>
            <w:tcBorders>
              <w:tl2br w:val="nil"/>
              <w:tr2bl w:val="nil"/>
            </w:tcBorders>
            <w:noWrap w:val="0"/>
            <w:vAlign w:val="center"/>
          </w:tcPr>
          <w:p w14:paraId="07658942">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污染物项</w:t>
            </w:r>
            <w:r>
              <w:rPr>
                <w:rFonts w:ascii="Times New Roman" w:hAnsi="Times New Roman" w:eastAsia="宋体" w:cs="宋体"/>
                <w:b w:val="0"/>
                <w:bCs w:val="0"/>
                <w:color w:val="auto"/>
                <w:sz w:val="24"/>
                <w:szCs w:val="24"/>
                <w:highlight w:val="none"/>
              </w:rPr>
              <w:t>目</w:t>
            </w:r>
          </w:p>
        </w:tc>
        <w:tc>
          <w:tcPr>
            <w:tcW w:w="2181" w:type="dxa"/>
            <w:tcBorders>
              <w:tl2br w:val="nil"/>
              <w:tr2bl w:val="nil"/>
            </w:tcBorders>
            <w:noWrap w:val="0"/>
            <w:vAlign w:val="center"/>
          </w:tcPr>
          <w:p w14:paraId="79C9F41B">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环境保护措施</w:t>
            </w:r>
          </w:p>
        </w:tc>
        <w:tc>
          <w:tcPr>
            <w:tcW w:w="2978" w:type="dxa"/>
            <w:tcBorders>
              <w:tl2br w:val="nil"/>
              <w:tr2bl w:val="nil"/>
            </w:tcBorders>
            <w:noWrap w:val="0"/>
            <w:vAlign w:val="center"/>
          </w:tcPr>
          <w:p w14:paraId="1CC9E0BF">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执行标准</w:t>
            </w:r>
          </w:p>
        </w:tc>
      </w:tr>
      <w:tr w14:paraId="08C2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299" w:type="dxa"/>
            <w:vMerge w:val="restart"/>
            <w:tcBorders>
              <w:tl2br w:val="nil"/>
              <w:tr2bl w:val="nil"/>
            </w:tcBorders>
            <w:noWrap w:val="0"/>
            <w:vAlign w:val="center"/>
          </w:tcPr>
          <w:p w14:paraId="7A063FF1">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大气环境</w:t>
            </w:r>
          </w:p>
        </w:tc>
        <w:tc>
          <w:tcPr>
            <w:tcW w:w="1382" w:type="dxa"/>
            <w:tcBorders>
              <w:tl2br w:val="nil"/>
              <w:tr2bl w:val="nil"/>
            </w:tcBorders>
            <w:noWrap w:val="0"/>
            <w:vAlign w:val="center"/>
          </w:tcPr>
          <w:p w14:paraId="70255823">
            <w:pPr>
              <w:keepNext w:val="0"/>
              <w:keepLines w:val="0"/>
              <w:pageBreakBefore w:val="0"/>
              <w:kinsoku/>
              <w:wordWrap/>
              <w:overflowPunct/>
              <w:topLinePunct w:val="0"/>
              <w:autoSpaceDE/>
              <w:autoSpaceDN/>
              <w:bidi w:val="0"/>
              <w:snapToGrid/>
              <w:ind w:firstLine="0" w:firstLineChars="0"/>
              <w:jc w:val="center"/>
              <w:textAlignment w:val="auto"/>
              <w:rPr>
                <w:rFonts w:hint="default" w:ascii="Times New Roman" w:hAnsi="Times New Roman" w:eastAsia="宋体" w:cs="Times New Roman"/>
                <w:b w:val="0"/>
                <w:bCs w:val="0"/>
                <w:color w:val="FF0000"/>
                <w:sz w:val="24"/>
                <w:szCs w:val="24"/>
                <w:highlight w:val="none"/>
              </w:rPr>
            </w:pPr>
            <w:r>
              <w:rPr>
                <w:rFonts w:hint="eastAsia" w:ascii="Times New Roman" w:hAnsi="Times New Roman" w:eastAsia="宋体"/>
                <w:b w:val="0"/>
                <w:bCs w:val="0"/>
                <w:color w:val="FF0000"/>
                <w:sz w:val="24"/>
                <w:szCs w:val="24"/>
                <w:highlight w:val="none"/>
                <w:lang w:val="en-US" w:eastAsia="zh-CN"/>
              </w:rPr>
              <w:t>DA001</w:t>
            </w:r>
          </w:p>
        </w:tc>
        <w:tc>
          <w:tcPr>
            <w:tcW w:w="1014" w:type="dxa"/>
            <w:tcBorders>
              <w:tl2br w:val="nil"/>
              <w:tr2bl w:val="nil"/>
            </w:tcBorders>
            <w:noWrap w:val="0"/>
            <w:vAlign w:val="center"/>
          </w:tcPr>
          <w:p w14:paraId="19055A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pacing w:val="-6"/>
                <w:kern w:val="2"/>
                <w:sz w:val="24"/>
                <w:szCs w:val="24"/>
                <w:highlight w:val="none"/>
                <w:lang w:val="en-US" w:eastAsia="zh-CN"/>
              </w:rPr>
              <w:t>颗粒物</w:t>
            </w:r>
          </w:p>
        </w:tc>
        <w:tc>
          <w:tcPr>
            <w:tcW w:w="2181" w:type="dxa"/>
            <w:tcBorders>
              <w:tl2br w:val="nil"/>
              <w:tr2bl w:val="nil"/>
            </w:tcBorders>
            <w:noWrap w:val="0"/>
            <w:vAlign w:val="center"/>
          </w:tcPr>
          <w:p w14:paraId="11A42C43">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经布袋除尘有组织排放</w:t>
            </w:r>
          </w:p>
        </w:tc>
        <w:tc>
          <w:tcPr>
            <w:tcW w:w="2978" w:type="dxa"/>
            <w:vMerge w:val="restart"/>
            <w:tcBorders>
              <w:tl2br w:val="nil"/>
              <w:tr2bl w:val="nil"/>
            </w:tcBorders>
            <w:noWrap w:val="0"/>
            <w:vAlign w:val="center"/>
          </w:tcPr>
          <w:p w14:paraId="68767B02">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《区域性大气污染物综合排放标准》（DB37/2376-2019）、</w:t>
            </w:r>
            <w:r>
              <w:rPr>
                <w:rFonts w:hint="default" w:ascii="Times New Roman" w:hAnsi="Times New Roman" w:eastAsia="宋体" w:cs="Times New Roman"/>
                <w:b w:val="0"/>
                <w:bCs w:val="0"/>
                <w:color w:val="auto"/>
                <w:sz w:val="24"/>
                <w:szCs w:val="24"/>
                <w:highlight w:val="none"/>
                <w:lang w:eastAsia="zh-CN" w:bidi="ar"/>
              </w:rPr>
              <w:t>《</w:t>
            </w:r>
            <w:r>
              <w:rPr>
                <w:rFonts w:hint="default" w:ascii="Times New Roman" w:hAnsi="Times New Roman" w:eastAsia="宋体" w:cs="Times New Roman"/>
                <w:b w:val="0"/>
                <w:bCs w:val="0"/>
                <w:color w:val="auto"/>
                <w:sz w:val="24"/>
                <w:szCs w:val="24"/>
                <w:highlight w:val="none"/>
                <w:lang w:bidi="ar"/>
              </w:rPr>
              <w:t>大气污染物综合排放标准》</w:t>
            </w:r>
            <w:r>
              <w:rPr>
                <w:rFonts w:hint="default" w:ascii="Times New Roman" w:hAnsi="Times New Roman" w:eastAsia="宋体" w:cs="Times New Roman"/>
                <w:b w:val="0"/>
                <w:bCs w:val="0"/>
                <w:color w:val="auto"/>
                <w:sz w:val="24"/>
                <w:szCs w:val="24"/>
                <w:highlight w:val="none"/>
              </w:rPr>
              <w:t>(GB16297-1996)</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《挥发性有机物排放标准  第7部分其他行业》（DB37/2801.7-2019）</w:t>
            </w:r>
          </w:p>
        </w:tc>
      </w:tr>
      <w:tr w14:paraId="3E7B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299" w:type="dxa"/>
            <w:vMerge w:val="continue"/>
            <w:tcBorders>
              <w:tl2br w:val="nil"/>
              <w:tr2bl w:val="nil"/>
            </w:tcBorders>
            <w:noWrap w:val="0"/>
            <w:vAlign w:val="center"/>
          </w:tcPr>
          <w:p w14:paraId="2001E8B6">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1382" w:type="dxa"/>
            <w:tcBorders>
              <w:tl2br w:val="nil"/>
              <w:tr2bl w:val="nil"/>
            </w:tcBorders>
            <w:noWrap w:val="0"/>
            <w:vAlign w:val="center"/>
          </w:tcPr>
          <w:p w14:paraId="3E9BCD85">
            <w:pPr>
              <w:keepNext w:val="0"/>
              <w:keepLines w:val="0"/>
              <w:pageBreakBefore w:val="0"/>
              <w:kinsoku/>
              <w:wordWrap/>
              <w:overflowPunct/>
              <w:topLinePunct w:val="0"/>
              <w:autoSpaceDE/>
              <w:autoSpaceDN/>
              <w:bidi w:val="0"/>
              <w:snapToGrid/>
              <w:ind w:firstLine="0" w:firstLineChars="0"/>
              <w:jc w:val="center"/>
              <w:textAlignment w:val="auto"/>
              <w:rPr>
                <w:rFonts w:hint="eastAsia" w:ascii="Times New Roman" w:hAnsi="Times New Roman" w:eastAsia="宋体"/>
                <w:b w:val="0"/>
                <w:bCs w:val="0"/>
                <w:color w:val="FF0000"/>
                <w:sz w:val="24"/>
                <w:szCs w:val="24"/>
                <w:highlight w:val="none"/>
                <w:lang w:val="en-US" w:eastAsia="zh-CN"/>
              </w:rPr>
            </w:pPr>
            <w:r>
              <w:rPr>
                <w:rFonts w:hint="eastAsia" w:ascii="Times New Roman" w:hAnsi="Times New Roman" w:eastAsia="宋体"/>
                <w:b w:val="0"/>
                <w:bCs w:val="0"/>
                <w:color w:val="FF0000"/>
                <w:sz w:val="24"/>
                <w:szCs w:val="24"/>
                <w:highlight w:val="none"/>
                <w:lang w:val="en-US" w:eastAsia="zh-CN"/>
              </w:rPr>
              <w:t>DA00</w:t>
            </w:r>
            <w:r>
              <w:rPr>
                <w:rFonts w:hint="eastAsia"/>
                <w:b w:val="0"/>
                <w:bCs w:val="0"/>
                <w:color w:val="FF0000"/>
                <w:sz w:val="24"/>
                <w:szCs w:val="24"/>
                <w:highlight w:val="none"/>
                <w:lang w:val="en-US" w:eastAsia="zh-CN"/>
              </w:rPr>
              <w:t>2</w:t>
            </w:r>
          </w:p>
        </w:tc>
        <w:tc>
          <w:tcPr>
            <w:tcW w:w="1014" w:type="dxa"/>
            <w:tcBorders>
              <w:tl2br w:val="nil"/>
              <w:tr2bl w:val="nil"/>
            </w:tcBorders>
            <w:noWrap w:val="0"/>
            <w:vAlign w:val="center"/>
          </w:tcPr>
          <w:p w14:paraId="6147E5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spacing w:val="-6"/>
                <w:kern w:val="2"/>
                <w:sz w:val="24"/>
                <w:szCs w:val="24"/>
                <w:highlight w:val="none"/>
                <w:lang w:val="en-US" w:eastAsia="zh-CN"/>
              </w:rPr>
            </w:pPr>
            <w:r>
              <w:rPr>
                <w:rFonts w:hint="eastAsia" w:ascii="Times New Roman" w:hAnsi="Times New Roman" w:eastAsia="宋体" w:cs="Times New Roman"/>
                <w:b w:val="0"/>
                <w:bCs w:val="0"/>
                <w:color w:val="auto"/>
                <w:spacing w:val="-6"/>
                <w:kern w:val="2"/>
                <w:sz w:val="24"/>
                <w:szCs w:val="24"/>
                <w:highlight w:val="none"/>
                <w:lang w:val="en-US" w:eastAsia="zh-CN"/>
              </w:rPr>
              <w:t>颗粒物、VOCs</w:t>
            </w:r>
          </w:p>
        </w:tc>
        <w:tc>
          <w:tcPr>
            <w:tcW w:w="2181" w:type="dxa"/>
            <w:tcBorders>
              <w:tl2br w:val="nil"/>
              <w:tr2bl w:val="nil"/>
            </w:tcBorders>
            <w:noWrap w:val="0"/>
            <w:vAlign w:val="center"/>
          </w:tcPr>
          <w:p w14:paraId="53852A3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经布袋除尘+二级活性炭吸附有组织排放</w:t>
            </w:r>
          </w:p>
        </w:tc>
        <w:tc>
          <w:tcPr>
            <w:tcW w:w="2978" w:type="dxa"/>
            <w:vMerge w:val="continue"/>
            <w:tcBorders>
              <w:tl2br w:val="nil"/>
              <w:tr2bl w:val="nil"/>
            </w:tcBorders>
            <w:noWrap w:val="0"/>
            <w:vAlign w:val="center"/>
          </w:tcPr>
          <w:p w14:paraId="0CDBA433">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p>
        </w:tc>
      </w:tr>
      <w:tr w14:paraId="37354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1299" w:type="dxa"/>
            <w:vMerge w:val="continue"/>
            <w:tcBorders>
              <w:tl2br w:val="nil"/>
              <w:tr2bl w:val="nil"/>
            </w:tcBorders>
            <w:noWrap w:val="0"/>
            <w:vAlign w:val="center"/>
          </w:tcPr>
          <w:p w14:paraId="699B6368">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1382" w:type="dxa"/>
            <w:tcBorders>
              <w:bottom w:val="single" w:color="auto" w:sz="4" w:space="0"/>
              <w:tl2br w:val="nil"/>
              <w:tr2bl w:val="nil"/>
            </w:tcBorders>
            <w:noWrap w:val="0"/>
            <w:vAlign w:val="center"/>
          </w:tcPr>
          <w:p w14:paraId="7ACEAE15">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无组织废气</w:t>
            </w:r>
          </w:p>
        </w:tc>
        <w:tc>
          <w:tcPr>
            <w:tcW w:w="1014" w:type="dxa"/>
            <w:tcBorders>
              <w:bottom w:val="single" w:color="auto" w:sz="4" w:space="0"/>
              <w:tl2br w:val="nil"/>
              <w:tr2bl w:val="nil"/>
            </w:tcBorders>
            <w:noWrap w:val="0"/>
            <w:vAlign w:val="center"/>
          </w:tcPr>
          <w:p w14:paraId="667A59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spacing w:val="-6"/>
                <w:kern w:val="2"/>
                <w:sz w:val="24"/>
                <w:szCs w:val="24"/>
                <w:highlight w:val="none"/>
                <w:lang w:val="en-US" w:eastAsia="zh-CN"/>
              </w:rPr>
              <w:t>颗粒物、VOCs</w:t>
            </w:r>
          </w:p>
        </w:tc>
        <w:tc>
          <w:tcPr>
            <w:tcW w:w="2181" w:type="dxa"/>
            <w:tcBorders>
              <w:bottom w:val="single" w:color="auto" w:sz="4" w:space="0"/>
              <w:tl2br w:val="nil"/>
              <w:tr2bl w:val="nil"/>
            </w:tcBorders>
            <w:noWrap w:val="0"/>
            <w:vAlign w:val="center"/>
          </w:tcPr>
          <w:p w14:paraId="32A7717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rPr>
              <w:t>车间封闭</w:t>
            </w:r>
          </w:p>
        </w:tc>
        <w:tc>
          <w:tcPr>
            <w:tcW w:w="2978" w:type="dxa"/>
            <w:tcBorders>
              <w:bottom w:val="single" w:color="auto" w:sz="4" w:space="0"/>
              <w:tl2br w:val="nil"/>
              <w:tr2bl w:val="nil"/>
            </w:tcBorders>
            <w:noWrap w:val="0"/>
            <w:vAlign w:val="center"/>
          </w:tcPr>
          <w:p w14:paraId="081A86FB">
            <w:pPr>
              <w:pStyle w:val="75"/>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4"/>
                <w:szCs w:val="24"/>
                <w:highlight w:val="none"/>
                <w:lang w:val="en-US" w:eastAsia="zh-CN" w:bidi="zh-CN"/>
              </w:rPr>
            </w:pPr>
            <w:r>
              <w:rPr>
                <w:rFonts w:hint="default" w:ascii="Times New Roman" w:hAnsi="Times New Roman" w:eastAsia="宋体" w:cs="Times New Roman"/>
                <w:b w:val="0"/>
                <w:bCs w:val="0"/>
                <w:color w:val="auto"/>
                <w:sz w:val="24"/>
                <w:szCs w:val="24"/>
                <w:highlight w:val="none"/>
              </w:rPr>
              <w:t>《大气污染物综合排放标准》(GB16297-1996)</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《挥发性有机物排放标准  第7部分其他行业》（DB37/2801.7-2019）</w:t>
            </w:r>
          </w:p>
        </w:tc>
      </w:tr>
      <w:tr w14:paraId="301F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299" w:type="dxa"/>
            <w:vMerge w:val="continue"/>
            <w:tcBorders>
              <w:tl2br w:val="nil"/>
              <w:tr2bl w:val="nil"/>
            </w:tcBorders>
            <w:noWrap w:val="0"/>
            <w:vAlign w:val="center"/>
          </w:tcPr>
          <w:p w14:paraId="4E74859B">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1382" w:type="dxa"/>
            <w:tcBorders>
              <w:top w:val="single" w:color="auto" w:sz="4" w:space="0"/>
              <w:tl2br w:val="nil"/>
              <w:tr2bl w:val="nil"/>
            </w:tcBorders>
            <w:noWrap w:val="0"/>
            <w:vAlign w:val="center"/>
          </w:tcPr>
          <w:p w14:paraId="507E9EEB">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车间外厂区内无组织废气</w:t>
            </w:r>
          </w:p>
        </w:tc>
        <w:tc>
          <w:tcPr>
            <w:tcW w:w="1014" w:type="dxa"/>
            <w:tcBorders>
              <w:top w:val="single" w:color="auto" w:sz="4" w:space="0"/>
              <w:tl2br w:val="nil"/>
              <w:tr2bl w:val="nil"/>
            </w:tcBorders>
            <w:noWrap w:val="0"/>
            <w:vAlign w:val="center"/>
          </w:tcPr>
          <w:p w14:paraId="47C4DF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pacing w:val="-6"/>
                <w:kern w:val="2"/>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VOCs</w:t>
            </w:r>
          </w:p>
        </w:tc>
        <w:tc>
          <w:tcPr>
            <w:tcW w:w="2181" w:type="dxa"/>
            <w:tcBorders>
              <w:top w:val="single" w:color="auto" w:sz="4" w:space="0"/>
              <w:tl2br w:val="nil"/>
              <w:tr2bl w:val="nil"/>
            </w:tcBorders>
            <w:noWrap w:val="0"/>
            <w:vAlign w:val="center"/>
          </w:tcPr>
          <w:p w14:paraId="63CE477A">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bidi="ar"/>
              </w:rPr>
              <w:t>车间密闭，加强管理</w:t>
            </w:r>
          </w:p>
        </w:tc>
        <w:tc>
          <w:tcPr>
            <w:tcW w:w="2978" w:type="dxa"/>
            <w:tcBorders>
              <w:top w:val="single" w:color="auto" w:sz="4" w:space="0"/>
              <w:tl2br w:val="nil"/>
              <w:tr2bl w:val="nil"/>
            </w:tcBorders>
            <w:noWrap w:val="0"/>
            <w:vAlign w:val="center"/>
          </w:tcPr>
          <w:p w14:paraId="302F4C4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宋体"/>
                <w:color w:val="auto"/>
                <w:kern w:val="0"/>
                <w:sz w:val="24"/>
                <w:szCs w:val="24"/>
                <w:highlight w:val="none"/>
                <w:lang w:val="en-US" w:eastAsia="zh-CN" w:bidi="ar"/>
              </w:rPr>
              <w:t>《挥发性有机物无组织排放控制标准》（</w:t>
            </w:r>
            <w:r>
              <w:rPr>
                <w:rFonts w:hint="default" w:ascii="Times New Roman" w:hAnsi="Times New Roman" w:eastAsia="宋体" w:cs="Times New Roman"/>
                <w:color w:val="auto"/>
                <w:kern w:val="0"/>
                <w:sz w:val="24"/>
                <w:szCs w:val="24"/>
                <w:highlight w:val="none"/>
                <w:lang w:val="en-US" w:eastAsia="zh-CN" w:bidi="ar"/>
              </w:rPr>
              <w:t>GB37822-2019</w:t>
            </w:r>
            <w:r>
              <w:rPr>
                <w:rFonts w:hint="eastAsia" w:ascii="Times New Roman" w:hAnsi="Times New Roman" w:eastAsia="宋体" w:cs="宋体"/>
                <w:color w:val="auto"/>
                <w:kern w:val="0"/>
                <w:sz w:val="24"/>
                <w:szCs w:val="24"/>
                <w:highlight w:val="none"/>
                <w:lang w:val="en-US" w:eastAsia="zh-CN" w:bidi="ar"/>
              </w:rPr>
              <w:t>）表</w:t>
            </w:r>
            <w:r>
              <w:rPr>
                <w:rFonts w:hint="default" w:ascii="Times New Roman" w:hAnsi="Times New Roman" w:eastAsia="宋体" w:cs="Times New Roman"/>
                <w:color w:val="auto"/>
                <w:kern w:val="0"/>
                <w:sz w:val="24"/>
                <w:szCs w:val="24"/>
                <w:highlight w:val="none"/>
                <w:lang w:val="en-US" w:eastAsia="zh-CN" w:bidi="ar"/>
              </w:rPr>
              <w:t>A.1</w:t>
            </w:r>
            <w:r>
              <w:rPr>
                <w:rFonts w:hint="eastAsia" w:ascii="Times New Roman" w:hAnsi="Times New Roman" w:eastAsia="宋体" w:cs="宋体"/>
                <w:color w:val="auto"/>
                <w:kern w:val="0"/>
                <w:sz w:val="24"/>
                <w:szCs w:val="24"/>
                <w:highlight w:val="none"/>
                <w:lang w:val="en-US" w:eastAsia="zh-CN" w:bidi="ar"/>
              </w:rPr>
              <w:t>特别排放限值</w:t>
            </w:r>
          </w:p>
        </w:tc>
      </w:tr>
      <w:tr w14:paraId="217D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1299" w:type="dxa"/>
            <w:tcBorders>
              <w:tl2br w:val="nil"/>
              <w:tr2bl w:val="nil"/>
            </w:tcBorders>
            <w:noWrap w:val="0"/>
            <w:vAlign w:val="center"/>
          </w:tcPr>
          <w:p w14:paraId="6126EFB5">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地表水环境</w:t>
            </w:r>
          </w:p>
        </w:tc>
        <w:tc>
          <w:tcPr>
            <w:tcW w:w="1382" w:type="dxa"/>
            <w:tcBorders>
              <w:tl2br w:val="nil"/>
              <w:tr2bl w:val="nil"/>
            </w:tcBorders>
            <w:noWrap w:val="0"/>
            <w:vAlign w:val="center"/>
          </w:tcPr>
          <w:p w14:paraId="300A5CB5">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rPr>
            </w:pPr>
            <w:r>
              <w:rPr>
                <w:rFonts w:hint="eastAsia" w:ascii="Times New Roman" w:hAnsi="Times New Roman" w:eastAsia="宋体" w:cs="Times New Roman"/>
                <w:b w:val="0"/>
                <w:bCs w:val="0"/>
                <w:color w:val="auto"/>
                <w:kern w:val="0"/>
                <w:sz w:val="24"/>
                <w:szCs w:val="24"/>
                <w:highlight w:val="none"/>
                <w:lang w:val="en-US" w:eastAsia="zh-CN"/>
              </w:rPr>
              <w:t>生活废水</w:t>
            </w:r>
          </w:p>
        </w:tc>
        <w:tc>
          <w:tcPr>
            <w:tcW w:w="1014" w:type="dxa"/>
            <w:tcBorders>
              <w:tl2br w:val="nil"/>
              <w:tr2bl w:val="nil"/>
            </w:tcBorders>
            <w:noWrap w:val="0"/>
            <w:vAlign w:val="center"/>
          </w:tcPr>
          <w:p w14:paraId="5E07C4DC">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COD</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BOD</w:t>
            </w:r>
            <w:r>
              <w:rPr>
                <w:rFonts w:hint="default" w:ascii="Times New Roman" w:hAnsi="Times New Roman" w:eastAsia="宋体" w:cs="Times New Roman"/>
                <w:b w:val="0"/>
                <w:bCs w:val="0"/>
                <w:color w:val="auto"/>
                <w:sz w:val="24"/>
                <w:szCs w:val="24"/>
                <w:highlight w:val="none"/>
                <w:vertAlign w:val="subscript"/>
                <w:lang w:val="en-US" w:eastAsia="zh-CN"/>
              </w:rPr>
              <w:t>5</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SS</w:t>
            </w:r>
            <w:r>
              <w:rPr>
                <w:rFonts w:hint="default" w:ascii="Times New Roman" w:hAnsi="Times New Roman" w:eastAsia="宋体" w:cs="Times New Roman"/>
                <w:b w:val="0"/>
                <w:bCs w:val="0"/>
                <w:snapToGrid w:val="0"/>
                <w:color w:val="auto"/>
                <w:kern w:val="21"/>
                <w:sz w:val="24"/>
                <w:szCs w:val="24"/>
                <w:highlight w:val="none"/>
                <w:lang w:val="en-US" w:eastAsia="zh-CN" w:bidi="ar-SA"/>
              </w:rPr>
              <w:t>等</w:t>
            </w:r>
          </w:p>
        </w:tc>
        <w:tc>
          <w:tcPr>
            <w:tcW w:w="2181" w:type="dxa"/>
            <w:tcBorders>
              <w:tl2br w:val="nil"/>
              <w:tr2bl w:val="nil"/>
            </w:tcBorders>
            <w:noWrap w:val="0"/>
            <w:vAlign w:val="center"/>
          </w:tcPr>
          <w:p w14:paraId="1CE84F7A">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经化粪池处理后用作农肥</w:t>
            </w:r>
          </w:p>
        </w:tc>
        <w:tc>
          <w:tcPr>
            <w:tcW w:w="2978" w:type="dxa"/>
            <w:tcBorders>
              <w:tl2br w:val="nil"/>
              <w:tr2bl w:val="nil"/>
            </w:tcBorders>
            <w:noWrap w:val="0"/>
            <w:vAlign w:val="center"/>
          </w:tcPr>
          <w:p w14:paraId="6B06F0F5">
            <w:pPr>
              <w:pStyle w:val="7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w:t>
            </w:r>
          </w:p>
        </w:tc>
      </w:tr>
      <w:tr w14:paraId="0AA9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299" w:type="dxa"/>
            <w:tcBorders>
              <w:tl2br w:val="nil"/>
              <w:tr2bl w:val="nil"/>
            </w:tcBorders>
            <w:noWrap w:val="0"/>
            <w:vAlign w:val="center"/>
          </w:tcPr>
          <w:p w14:paraId="013E41A4">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声环境</w:t>
            </w:r>
          </w:p>
        </w:tc>
        <w:tc>
          <w:tcPr>
            <w:tcW w:w="1382" w:type="dxa"/>
            <w:tcBorders>
              <w:tl2br w:val="nil"/>
              <w:tr2bl w:val="nil"/>
            </w:tcBorders>
            <w:noWrap w:val="0"/>
            <w:vAlign w:val="center"/>
          </w:tcPr>
          <w:p w14:paraId="6FB7FC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生产设备</w:t>
            </w:r>
          </w:p>
        </w:tc>
        <w:tc>
          <w:tcPr>
            <w:tcW w:w="1014" w:type="dxa"/>
            <w:tcBorders>
              <w:tl2br w:val="nil"/>
              <w:tr2bl w:val="nil"/>
            </w:tcBorders>
            <w:noWrap w:val="0"/>
            <w:vAlign w:val="center"/>
          </w:tcPr>
          <w:p w14:paraId="79F924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cs="Times New Roman"/>
                <w:b w:val="0"/>
                <w:bCs w:val="0"/>
                <w:color w:val="auto"/>
                <w:sz w:val="24"/>
                <w:szCs w:val="24"/>
                <w:highlight w:val="none"/>
              </w:rPr>
              <w:t>噪声</w:t>
            </w:r>
          </w:p>
        </w:tc>
        <w:tc>
          <w:tcPr>
            <w:tcW w:w="2181" w:type="dxa"/>
            <w:tcBorders>
              <w:tl2br w:val="nil"/>
              <w:tr2bl w:val="nil"/>
            </w:tcBorders>
            <w:noWrap w:val="0"/>
            <w:vAlign w:val="center"/>
          </w:tcPr>
          <w:p w14:paraId="12116DB9">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lang w:eastAsia="zh-CN"/>
              </w:rPr>
              <w:t>减振</w:t>
            </w:r>
            <w:r>
              <w:rPr>
                <w:rFonts w:ascii="Times New Roman" w:hAnsi="Times New Roman" w:eastAsia="宋体" w:cs="宋体"/>
                <w:b w:val="0"/>
                <w:bCs w:val="0"/>
                <w:color w:val="auto"/>
                <w:sz w:val="24"/>
                <w:szCs w:val="24"/>
                <w:highlight w:val="none"/>
              </w:rPr>
              <w:t>、隔声、距离衰减等</w:t>
            </w:r>
          </w:p>
        </w:tc>
        <w:tc>
          <w:tcPr>
            <w:tcW w:w="2978" w:type="dxa"/>
            <w:tcBorders>
              <w:tl2br w:val="nil"/>
              <w:tr2bl w:val="nil"/>
            </w:tcBorders>
            <w:noWrap w:val="0"/>
            <w:vAlign w:val="center"/>
          </w:tcPr>
          <w:p w14:paraId="126C49AB">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工业企业厂界环境噪声排放标准》（GB12348-2008）</w:t>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类标准</w:t>
            </w:r>
          </w:p>
        </w:tc>
      </w:tr>
      <w:tr w14:paraId="0AC11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99" w:type="dxa"/>
            <w:tcBorders>
              <w:tl2br w:val="nil"/>
              <w:tr2bl w:val="nil"/>
            </w:tcBorders>
            <w:noWrap w:val="0"/>
            <w:vAlign w:val="center"/>
          </w:tcPr>
          <w:p w14:paraId="0365E569">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电磁辐射</w:t>
            </w:r>
          </w:p>
        </w:tc>
        <w:tc>
          <w:tcPr>
            <w:tcW w:w="1382" w:type="dxa"/>
            <w:tcBorders>
              <w:tl2br w:val="nil"/>
              <w:tr2bl w:val="nil"/>
            </w:tcBorders>
            <w:noWrap w:val="0"/>
            <w:vAlign w:val="center"/>
          </w:tcPr>
          <w:p w14:paraId="695EC7E1">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w w:val="99"/>
                <w:sz w:val="24"/>
                <w:szCs w:val="24"/>
                <w:highlight w:val="none"/>
              </w:rPr>
              <w:t>/</w:t>
            </w:r>
          </w:p>
        </w:tc>
        <w:tc>
          <w:tcPr>
            <w:tcW w:w="1014" w:type="dxa"/>
            <w:tcBorders>
              <w:tl2br w:val="nil"/>
              <w:tr2bl w:val="nil"/>
            </w:tcBorders>
            <w:noWrap w:val="0"/>
            <w:vAlign w:val="center"/>
          </w:tcPr>
          <w:p w14:paraId="6BE5EB3C">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w w:val="99"/>
                <w:sz w:val="24"/>
                <w:szCs w:val="24"/>
                <w:highlight w:val="none"/>
              </w:rPr>
              <w:t>/</w:t>
            </w:r>
          </w:p>
        </w:tc>
        <w:tc>
          <w:tcPr>
            <w:tcW w:w="2181" w:type="dxa"/>
            <w:tcBorders>
              <w:tl2br w:val="nil"/>
              <w:tr2bl w:val="nil"/>
            </w:tcBorders>
            <w:noWrap w:val="0"/>
            <w:vAlign w:val="center"/>
          </w:tcPr>
          <w:p w14:paraId="5DC3135A">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w w:val="99"/>
                <w:sz w:val="24"/>
                <w:szCs w:val="24"/>
                <w:highlight w:val="none"/>
              </w:rPr>
              <w:t>/</w:t>
            </w:r>
          </w:p>
        </w:tc>
        <w:tc>
          <w:tcPr>
            <w:tcW w:w="2978" w:type="dxa"/>
            <w:tcBorders>
              <w:tl2br w:val="nil"/>
              <w:tr2bl w:val="nil"/>
            </w:tcBorders>
            <w:noWrap w:val="0"/>
            <w:vAlign w:val="center"/>
          </w:tcPr>
          <w:p w14:paraId="635067A7">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w w:val="99"/>
                <w:sz w:val="24"/>
                <w:szCs w:val="24"/>
                <w:highlight w:val="none"/>
              </w:rPr>
              <w:t>/</w:t>
            </w:r>
          </w:p>
        </w:tc>
      </w:tr>
      <w:tr w14:paraId="57F5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299" w:type="dxa"/>
            <w:vMerge w:val="restart"/>
            <w:tcBorders>
              <w:tl2br w:val="nil"/>
              <w:tr2bl w:val="nil"/>
            </w:tcBorders>
            <w:noWrap w:val="0"/>
            <w:vAlign w:val="center"/>
          </w:tcPr>
          <w:p w14:paraId="26F64CCD">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固体废物</w:t>
            </w:r>
          </w:p>
        </w:tc>
        <w:tc>
          <w:tcPr>
            <w:tcW w:w="2396" w:type="dxa"/>
            <w:gridSpan w:val="2"/>
            <w:tcBorders>
              <w:tl2br w:val="nil"/>
              <w:tr2bl w:val="nil"/>
            </w:tcBorders>
            <w:noWrap w:val="0"/>
            <w:vAlign w:val="center"/>
          </w:tcPr>
          <w:p w14:paraId="4FD212D6">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生活垃圾</w:t>
            </w:r>
          </w:p>
        </w:tc>
        <w:tc>
          <w:tcPr>
            <w:tcW w:w="2181" w:type="dxa"/>
            <w:tcBorders>
              <w:tl2br w:val="nil"/>
              <w:tr2bl w:val="nil"/>
            </w:tcBorders>
            <w:noWrap w:val="0"/>
            <w:vAlign w:val="center"/>
          </w:tcPr>
          <w:p w14:paraId="78E92258">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环卫部门定期清运</w:t>
            </w:r>
          </w:p>
        </w:tc>
        <w:tc>
          <w:tcPr>
            <w:tcW w:w="2978" w:type="dxa"/>
            <w:vMerge w:val="restart"/>
            <w:tcBorders>
              <w:tl2br w:val="nil"/>
              <w:tr2bl w:val="nil"/>
            </w:tcBorders>
            <w:noWrap w:val="0"/>
            <w:vAlign w:val="center"/>
          </w:tcPr>
          <w:p w14:paraId="3E768E53">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eastAsia"/>
                <w:color w:val="auto"/>
                <w:sz w:val="24"/>
                <w:szCs w:val="24"/>
                <w:highlight w:val="none"/>
              </w:rPr>
              <w:t>《中华人民共和国固体废物污染环境防治法》中关于一般工业固体废物贮存相关要求，并参照执行《一般工业固体废物贮存和填埋污染控制标准》（GB18599-2020）</w:t>
            </w:r>
          </w:p>
        </w:tc>
      </w:tr>
      <w:tr w14:paraId="1A267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299" w:type="dxa"/>
            <w:vMerge w:val="continue"/>
            <w:tcBorders>
              <w:tl2br w:val="nil"/>
              <w:tr2bl w:val="nil"/>
            </w:tcBorders>
            <w:noWrap w:val="0"/>
            <w:vAlign w:val="center"/>
          </w:tcPr>
          <w:p w14:paraId="3147641F">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bottom w:val="single" w:color="auto" w:sz="4" w:space="0"/>
              <w:tl2br w:val="nil"/>
              <w:tr2bl w:val="nil"/>
            </w:tcBorders>
            <w:noWrap w:val="0"/>
            <w:vAlign w:val="center"/>
          </w:tcPr>
          <w:p w14:paraId="3593B15B">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废包装材料</w:t>
            </w:r>
          </w:p>
        </w:tc>
        <w:tc>
          <w:tcPr>
            <w:tcW w:w="2181" w:type="dxa"/>
            <w:tcBorders>
              <w:bottom w:val="single" w:color="auto" w:sz="4" w:space="0"/>
              <w:tl2br w:val="nil"/>
              <w:tr2bl w:val="nil"/>
            </w:tcBorders>
            <w:noWrap w:val="0"/>
            <w:vAlign w:val="center"/>
          </w:tcPr>
          <w:p w14:paraId="13A80979">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集中收集</w:t>
            </w:r>
            <w:r>
              <w:rPr>
                <w:rFonts w:hint="default" w:ascii="Times New Roman" w:hAnsi="Times New Roman" w:eastAsia="宋体" w:cs="Times New Roman"/>
                <w:b w:val="0"/>
                <w:bCs w:val="0"/>
                <w:color w:val="auto"/>
                <w:sz w:val="24"/>
                <w:szCs w:val="24"/>
                <w:highlight w:val="none"/>
                <w:lang w:eastAsia="zh-CN"/>
              </w:rPr>
              <w:t>外售</w:t>
            </w:r>
          </w:p>
        </w:tc>
        <w:tc>
          <w:tcPr>
            <w:tcW w:w="2978" w:type="dxa"/>
            <w:vMerge w:val="continue"/>
            <w:tcBorders>
              <w:tl2br w:val="nil"/>
              <w:tr2bl w:val="nil"/>
            </w:tcBorders>
            <w:noWrap w:val="0"/>
            <w:vAlign w:val="center"/>
          </w:tcPr>
          <w:p w14:paraId="1D5DDEDE">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bidi="ar-SA"/>
              </w:rPr>
            </w:pPr>
          </w:p>
        </w:tc>
      </w:tr>
      <w:tr w14:paraId="4FE73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jc w:val="center"/>
        </w:trPr>
        <w:tc>
          <w:tcPr>
            <w:tcW w:w="1299" w:type="dxa"/>
            <w:vMerge w:val="continue"/>
            <w:tcBorders>
              <w:tl2br w:val="nil"/>
              <w:tr2bl w:val="nil"/>
            </w:tcBorders>
            <w:noWrap w:val="0"/>
            <w:vAlign w:val="center"/>
          </w:tcPr>
          <w:p w14:paraId="62DB81B9">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top w:val="single" w:color="auto" w:sz="4" w:space="0"/>
              <w:bottom w:val="single" w:color="auto" w:sz="4" w:space="0"/>
              <w:tl2br w:val="nil"/>
              <w:tr2bl w:val="nil"/>
            </w:tcBorders>
            <w:noWrap w:val="0"/>
            <w:vAlign w:val="center"/>
          </w:tcPr>
          <w:p w14:paraId="09A4ED60">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zh-CN" w:eastAsia="zh-CN"/>
              </w:rPr>
            </w:pPr>
            <w:r>
              <w:rPr>
                <w:rFonts w:hint="default" w:ascii="Times New Roman" w:hAnsi="Times New Roman" w:eastAsia="宋体" w:cs="Times New Roman"/>
                <w:b w:val="0"/>
                <w:bCs w:val="0"/>
                <w:color w:val="auto"/>
                <w:sz w:val="24"/>
                <w:szCs w:val="24"/>
                <w:highlight w:val="none"/>
                <w:lang w:val="zh-CN" w:eastAsia="zh-CN"/>
              </w:rPr>
              <w:t>分拣废渣</w:t>
            </w:r>
          </w:p>
        </w:tc>
        <w:tc>
          <w:tcPr>
            <w:tcW w:w="2181" w:type="dxa"/>
            <w:tcBorders>
              <w:top w:val="single" w:color="auto" w:sz="4" w:space="0"/>
              <w:bottom w:val="single" w:color="auto" w:sz="4" w:space="0"/>
              <w:tl2br w:val="nil"/>
              <w:tr2bl w:val="nil"/>
            </w:tcBorders>
            <w:noWrap w:val="0"/>
            <w:vAlign w:val="center"/>
          </w:tcPr>
          <w:p w14:paraId="5E88E8C1">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集中收集</w:t>
            </w:r>
            <w:r>
              <w:rPr>
                <w:rFonts w:hint="default" w:ascii="Times New Roman" w:hAnsi="Times New Roman" w:eastAsia="宋体" w:cs="Times New Roman"/>
                <w:b w:val="0"/>
                <w:bCs w:val="0"/>
                <w:color w:val="auto"/>
                <w:sz w:val="24"/>
                <w:szCs w:val="24"/>
                <w:highlight w:val="none"/>
                <w:lang w:eastAsia="zh-CN"/>
              </w:rPr>
              <w:t>外售</w:t>
            </w:r>
          </w:p>
        </w:tc>
        <w:tc>
          <w:tcPr>
            <w:tcW w:w="2978" w:type="dxa"/>
            <w:vMerge w:val="continue"/>
            <w:tcBorders>
              <w:tl2br w:val="nil"/>
              <w:tr2bl w:val="nil"/>
            </w:tcBorders>
            <w:noWrap w:val="0"/>
            <w:vAlign w:val="center"/>
          </w:tcPr>
          <w:p w14:paraId="09BE6757">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bidi="ar-SA"/>
              </w:rPr>
            </w:pPr>
          </w:p>
        </w:tc>
      </w:tr>
      <w:tr w14:paraId="1AE2B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jc w:val="center"/>
        </w:trPr>
        <w:tc>
          <w:tcPr>
            <w:tcW w:w="1299" w:type="dxa"/>
            <w:vMerge w:val="continue"/>
            <w:tcBorders>
              <w:tl2br w:val="nil"/>
              <w:tr2bl w:val="nil"/>
            </w:tcBorders>
            <w:noWrap w:val="0"/>
            <w:vAlign w:val="center"/>
          </w:tcPr>
          <w:p w14:paraId="32629EFB">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top w:val="single" w:color="auto" w:sz="4" w:space="0"/>
              <w:tl2br w:val="nil"/>
              <w:tr2bl w:val="nil"/>
            </w:tcBorders>
            <w:noWrap w:val="0"/>
            <w:vAlign w:val="center"/>
          </w:tcPr>
          <w:p w14:paraId="7F1725C8">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zh-CN" w:eastAsia="zh-CN"/>
              </w:rPr>
            </w:pPr>
            <w:r>
              <w:rPr>
                <w:rFonts w:hint="default" w:ascii="Times New Roman" w:hAnsi="Times New Roman" w:eastAsia="宋体" w:cs="Times New Roman"/>
                <w:b w:val="0"/>
                <w:bCs w:val="0"/>
                <w:color w:val="auto"/>
                <w:sz w:val="24"/>
                <w:szCs w:val="24"/>
                <w:highlight w:val="none"/>
                <w:lang w:val="en-US" w:eastAsia="zh-CN"/>
              </w:rPr>
              <w:t>不合格粗料</w:t>
            </w:r>
          </w:p>
        </w:tc>
        <w:tc>
          <w:tcPr>
            <w:tcW w:w="2181" w:type="dxa"/>
            <w:tcBorders>
              <w:top w:val="single" w:color="auto" w:sz="4" w:space="0"/>
              <w:tl2br w:val="nil"/>
              <w:tr2bl w:val="nil"/>
            </w:tcBorders>
            <w:noWrap w:val="0"/>
            <w:vAlign w:val="center"/>
          </w:tcPr>
          <w:p w14:paraId="61A12287">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集中收集</w:t>
            </w:r>
            <w:r>
              <w:rPr>
                <w:rFonts w:hint="default" w:ascii="Times New Roman" w:hAnsi="Times New Roman" w:eastAsia="宋体" w:cs="Times New Roman"/>
                <w:b w:val="0"/>
                <w:bCs w:val="0"/>
                <w:color w:val="auto"/>
                <w:sz w:val="24"/>
                <w:szCs w:val="24"/>
                <w:highlight w:val="none"/>
                <w:lang w:eastAsia="zh-CN"/>
              </w:rPr>
              <w:t>外售</w:t>
            </w:r>
          </w:p>
        </w:tc>
        <w:tc>
          <w:tcPr>
            <w:tcW w:w="2978" w:type="dxa"/>
            <w:vMerge w:val="continue"/>
            <w:tcBorders>
              <w:tl2br w:val="nil"/>
              <w:tr2bl w:val="nil"/>
            </w:tcBorders>
            <w:noWrap w:val="0"/>
            <w:vAlign w:val="center"/>
          </w:tcPr>
          <w:p w14:paraId="5EC981C7">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bidi="ar-SA"/>
              </w:rPr>
            </w:pPr>
          </w:p>
        </w:tc>
      </w:tr>
      <w:tr w14:paraId="37752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99" w:type="dxa"/>
            <w:vMerge w:val="continue"/>
            <w:tcBorders>
              <w:tl2br w:val="nil"/>
              <w:tr2bl w:val="nil"/>
            </w:tcBorders>
            <w:noWrap w:val="0"/>
            <w:vAlign w:val="center"/>
          </w:tcPr>
          <w:p w14:paraId="40805E6E">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tl2br w:val="nil"/>
              <w:tr2bl w:val="nil"/>
            </w:tcBorders>
            <w:noWrap w:val="0"/>
            <w:vAlign w:val="center"/>
          </w:tcPr>
          <w:p w14:paraId="66C15E3A">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含铁杂质</w:t>
            </w:r>
          </w:p>
        </w:tc>
        <w:tc>
          <w:tcPr>
            <w:tcW w:w="2181" w:type="dxa"/>
            <w:tcBorders>
              <w:tl2br w:val="nil"/>
              <w:tr2bl w:val="nil"/>
            </w:tcBorders>
            <w:noWrap w:val="0"/>
            <w:vAlign w:val="center"/>
          </w:tcPr>
          <w:p w14:paraId="55A1D632">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集中收集</w:t>
            </w:r>
            <w:r>
              <w:rPr>
                <w:rFonts w:hint="default" w:ascii="Times New Roman" w:hAnsi="Times New Roman" w:eastAsia="宋体" w:cs="Times New Roman"/>
                <w:b w:val="0"/>
                <w:bCs w:val="0"/>
                <w:color w:val="auto"/>
                <w:sz w:val="24"/>
                <w:szCs w:val="24"/>
                <w:highlight w:val="none"/>
                <w:lang w:eastAsia="zh-CN"/>
              </w:rPr>
              <w:t>外售</w:t>
            </w:r>
          </w:p>
        </w:tc>
        <w:tc>
          <w:tcPr>
            <w:tcW w:w="2978" w:type="dxa"/>
            <w:vMerge w:val="continue"/>
            <w:tcBorders>
              <w:tl2br w:val="nil"/>
              <w:tr2bl w:val="nil"/>
            </w:tcBorders>
            <w:noWrap w:val="0"/>
            <w:vAlign w:val="center"/>
          </w:tcPr>
          <w:p w14:paraId="6FC07262">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r>
      <w:tr w14:paraId="3D18D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299" w:type="dxa"/>
            <w:vMerge w:val="continue"/>
            <w:tcBorders>
              <w:tl2br w:val="nil"/>
              <w:tr2bl w:val="nil"/>
            </w:tcBorders>
            <w:noWrap w:val="0"/>
            <w:vAlign w:val="center"/>
          </w:tcPr>
          <w:p w14:paraId="5EAEA13D">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bottom w:val="single" w:color="auto" w:sz="4" w:space="0"/>
              <w:tl2br w:val="nil"/>
              <w:tr2bl w:val="nil"/>
            </w:tcBorders>
            <w:noWrap w:val="0"/>
            <w:vAlign w:val="center"/>
          </w:tcPr>
          <w:p w14:paraId="76DCD177">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布袋除尘器收集粉尘</w:t>
            </w:r>
          </w:p>
        </w:tc>
        <w:tc>
          <w:tcPr>
            <w:tcW w:w="2181" w:type="dxa"/>
            <w:tcBorders>
              <w:bottom w:val="single" w:color="auto" w:sz="4" w:space="0"/>
              <w:tl2br w:val="nil"/>
              <w:tr2bl w:val="nil"/>
            </w:tcBorders>
            <w:noWrap w:val="0"/>
            <w:vAlign w:val="center"/>
          </w:tcPr>
          <w:p w14:paraId="2C3CC1AC">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集中收集</w:t>
            </w:r>
            <w:r>
              <w:rPr>
                <w:rFonts w:hint="default" w:ascii="Times New Roman" w:hAnsi="Times New Roman" w:eastAsia="宋体" w:cs="Times New Roman"/>
                <w:b w:val="0"/>
                <w:bCs w:val="0"/>
                <w:color w:val="auto"/>
                <w:sz w:val="24"/>
                <w:szCs w:val="24"/>
                <w:highlight w:val="none"/>
                <w:lang w:eastAsia="zh-CN"/>
              </w:rPr>
              <w:t>外售</w:t>
            </w:r>
          </w:p>
        </w:tc>
        <w:tc>
          <w:tcPr>
            <w:tcW w:w="2978" w:type="dxa"/>
            <w:vMerge w:val="continue"/>
            <w:tcBorders>
              <w:bottom w:val="single" w:color="auto" w:sz="4" w:space="0"/>
              <w:tl2br w:val="nil"/>
              <w:tr2bl w:val="nil"/>
            </w:tcBorders>
            <w:noWrap w:val="0"/>
            <w:vAlign w:val="center"/>
          </w:tcPr>
          <w:p w14:paraId="171D654A">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r>
      <w:tr w14:paraId="3324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1299" w:type="dxa"/>
            <w:vMerge w:val="continue"/>
            <w:tcBorders>
              <w:tl2br w:val="nil"/>
              <w:tr2bl w:val="nil"/>
            </w:tcBorders>
            <w:noWrap w:val="0"/>
            <w:vAlign w:val="center"/>
          </w:tcPr>
          <w:p w14:paraId="06195D4D">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top w:val="single" w:color="auto" w:sz="4" w:space="0"/>
              <w:bottom w:val="single" w:color="auto" w:sz="4" w:space="0"/>
              <w:tl2br w:val="nil"/>
              <w:tr2bl w:val="nil"/>
            </w:tcBorders>
            <w:noWrap w:val="0"/>
            <w:vAlign w:val="center"/>
          </w:tcPr>
          <w:p w14:paraId="15421F13">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废布袋</w:t>
            </w:r>
          </w:p>
        </w:tc>
        <w:tc>
          <w:tcPr>
            <w:tcW w:w="2181" w:type="dxa"/>
            <w:tcBorders>
              <w:top w:val="single" w:color="auto" w:sz="4" w:space="0"/>
              <w:bottom w:val="single" w:color="auto" w:sz="4" w:space="0"/>
              <w:tl2br w:val="nil"/>
              <w:tr2bl w:val="nil"/>
            </w:tcBorders>
            <w:noWrap w:val="0"/>
            <w:vAlign w:val="center"/>
          </w:tcPr>
          <w:p w14:paraId="2BC4E32E">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集中收集</w:t>
            </w:r>
            <w:r>
              <w:rPr>
                <w:rFonts w:hint="default" w:ascii="Times New Roman" w:hAnsi="Times New Roman" w:eastAsia="宋体" w:cs="Times New Roman"/>
                <w:b w:val="0"/>
                <w:bCs w:val="0"/>
                <w:color w:val="auto"/>
                <w:sz w:val="24"/>
                <w:szCs w:val="24"/>
                <w:highlight w:val="none"/>
                <w:lang w:eastAsia="zh-CN"/>
              </w:rPr>
              <w:t>外售</w:t>
            </w:r>
          </w:p>
        </w:tc>
        <w:tc>
          <w:tcPr>
            <w:tcW w:w="2978" w:type="dxa"/>
            <w:vMerge w:val="restart"/>
            <w:tcBorders>
              <w:top w:val="single" w:color="auto" w:sz="4" w:space="0"/>
              <w:tl2br w:val="nil"/>
              <w:tr2bl w:val="nil"/>
            </w:tcBorders>
            <w:noWrap w:val="0"/>
            <w:vAlign w:val="center"/>
          </w:tcPr>
          <w:p w14:paraId="0759A9F2">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lang w:val="en-US" w:eastAsia="zh-CN"/>
              </w:rPr>
              <w:t>《危险废物贮存污染控制标准》（</w:t>
            </w:r>
            <w:r>
              <w:rPr>
                <w:rFonts w:hint="default" w:ascii="Times New Roman" w:hAnsi="Times New Roman" w:eastAsia="宋体"/>
                <w:b w:val="0"/>
                <w:bCs w:val="0"/>
                <w:color w:val="auto"/>
                <w:sz w:val="24"/>
                <w:szCs w:val="24"/>
                <w:highlight w:val="none"/>
                <w:lang w:val="en-US" w:eastAsia="zh-CN"/>
              </w:rPr>
              <w:t>GB18597-2023</w:t>
            </w:r>
            <w:r>
              <w:rPr>
                <w:rFonts w:hint="eastAsia" w:ascii="Times New Roman" w:hAnsi="Times New Roman" w:eastAsia="宋体"/>
                <w:b w:val="0"/>
                <w:bCs w:val="0"/>
                <w:color w:val="auto"/>
                <w:sz w:val="24"/>
                <w:szCs w:val="24"/>
                <w:highlight w:val="none"/>
                <w:lang w:val="en-US" w:eastAsia="zh-CN"/>
              </w:rPr>
              <w:t>）</w:t>
            </w:r>
          </w:p>
        </w:tc>
      </w:tr>
      <w:tr w14:paraId="5374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299" w:type="dxa"/>
            <w:vMerge w:val="continue"/>
            <w:tcBorders>
              <w:tl2br w:val="nil"/>
              <w:tr2bl w:val="nil"/>
            </w:tcBorders>
            <w:noWrap w:val="0"/>
            <w:vAlign w:val="center"/>
          </w:tcPr>
          <w:p w14:paraId="43AE39C2">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top w:val="single" w:color="auto" w:sz="4" w:space="0"/>
              <w:bottom w:val="single" w:color="auto" w:sz="4" w:space="0"/>
              <w:tl2br w:val="nil"/>
              <w:tr2bl w:val="nil"/>
            </w:tcBorders>
            <w:noWrap w:val="0"/>
            <w:vAlign w:val="center"/>
          </w:tcPr>
          <w:p w14:paraId="272C5F0D">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废活性炭</w:t>
            </w:r>
          </w:p>
        </w:tc>
        <w:tc>
          <w:tcPr>
            <w:tcW w:w="2181" w:type="dxa"/>
            <w:tcBorders>
              <w:top w:val="single" w:color="auto" w:sz="4" w:space="0"/>
              <w:bottom w:val="single" w:color="auto" w:sz="4" w:space="0"/>
              <w:tl2br w:val="nil"/>
              <w:tr2bl w:val="nil"/>
            </w:tcBorders>
            <w:noWrap w:val="0"/>
            <w:vAlign w:val="center"/>
          </w:tcPr>
          <w:p w14:paraId="233D2934">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委托有资质单位处理</w:t>
            </w:r>
          </w:p>
        </w:tc>
        <w:tc>
          <w:tcPr>
            <w:tcW w:w="2978" w:type="dxa"/>
            <w:vMerge w:val="continue"/>
            <w:tcBorders>
              <w:tl2br w:val="nil"/>
              <w:tr2bl w:val="nil"/>
            </w:tcBorders>
            <w:noWrap w:val="0"/>
            <w:vAlign w:val="center"/>
          </w:tcPr>
          <w:p w14:paraId="184251DF">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r>
      <w:tr w14:paraId="11374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99" w:type="dxa"/>
            <w:vMerge w:val="continue"/>
            <w:tcBorders>
              <w:tl2br w:val="nil"/>
              <w:tr2bl w:val="nil"/>
            </w:tcBorders>
            <w:noWrap w:val="0"/>
            <w:vAlign w:val="center"/>
          </w:tcPr>
          <w:p w14:paraId="6EB82C70">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p>
        </w:tc>
        <w:tc>
          <w:tcPr>
            <w:tcW w:w="2396" w:type="dxa"/>
            <w:gridSpan w:val="2"/>
            <w:tcBorders>
              <w:top w:val="single" w:color="auto" w:sz="4" w:space="0"/>
              <w:tl2br w:val="nil"/>
              <w:tr2bl w:val="nil"/>
            </w:tcBorders>
            <w:noWrap w:val="0"/>
            <w:vAlign w:val="center"/>
          </w:tcPr>
          <w:p w14:paraId="29D0D7D0">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废机油及</w:t>
            </w:r>
            <w:r>
              <w:rPr>
                <w:rFonts w:hint="eastAsia" w:cs="Times New Roman"/>
                <w:b w:val="0"/>
                <w:bCs w:val="0"/>
                <w:color w:val="auto"/>
                <w:sz w:val="24"/>
                <w:szCs w:val="24"/>
                <w:highlight w:val="none"/>
                <w:lang w:val="en-US" w:eastAsia="zh-CN"/>
              </w:rPr>
              <w:t>废机油</w:t>
            </w:r>
            <w:r>
              <w:rPr>
                <w:rFonts w:hint="eastAsia" w:ascii="Times New Roman" w:hAnsi="Times New Roman" w:eastAsia="宋体" w:cs="Times New Roman"/>
                <w:b w:val="0"/>
                <w:bCs w:val="0"/>
                <w:color w:val="auto"/>
                <w:sz w:val="24"/>
                <w:szCs w:val="24"/>
                <w:highlight w:val="none"/>
                <w:lang w:val="en-US" w:eastAsia="zh-CN"/>
              </w:rPr>
              <w:t>桶</w:t>
            </w:r>
          </w:p>
        </w:tc>
        <w:tc>
          <w:tcPr>
            <w:tcW w:w="2181" w:type="dxa"/>
            <w:tcBorders>
              <w:top w:val="single" w:color="auto" w:sz="4" w:space="0"/>
              <w:tl2br w:val="nil"/>
              <w:tr2bl w:val="nil"/>
            </w:tcBorders>
            <w:noWrap w:val="0"/>
            <w:vAlign w:val="center"/>
          </w:tcPr>
          <w:p w14:paraId="4CDFEAD7">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委托有资质单位处理</w:t>
            </w:r>
          </w:p>
        </w:tc>
        <w:tc>
          <w:tcPr>
            <w:tcW w:w="2978" w:type="dxa"/>
            <w:vMerge w:val="continue"/>
            <w:tcBorders>
              <w:tl2br w:val="nil"/>
              <w:tr2bl w:val="nil"/>
            </w:tcBorders>
            <w:noWrap w:val="0"/>
            <w:vAlign w:val="center"/>
          </w:tcPr>
          <w:p w14:paraId="3D2F3E1F">
            <w:pPr>
              <w:pStyle w:val="75"/>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z w:val="24"/>
                <w:szCs w:val="24"/>
                <w:highlight w:val="none"/>
                <w:lang w:val="en-US" w:eastAsia="zh-CN"/>
              </w:rPr>
            </w:pPr>
          </w:p>
        </w:tc>
      </w:tr>
      <w:tr w14:paraId="5244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99" w:type="dxa"/>
            <w:tcBorders>
              <w:tl2br w:val="nil"/>
              <w:tr2bl w:val="nil"/>
            </w:tcBorders>
            <w:noWrap w:val="0"/>
            <w:vAlign w:val="center"/>
          </w:tcPr>
          <w:p w14:paraId="04731FDE">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b w:val="0"/>
                <w:bCs w:val="0"/>
                <w:color w:val="auto"/>
                <w:sz w:val="24"/>
                <w:szCs w:val="24"/>
                <w:highlight w:val="none"/>
                <w:lang w:val="en-US" w:bidi="ar-SA"/>
              </w:rPr>
            </w:pPr>
            <w:r>
              <w:rPr>
                <w:rFonts w:hint="eastAsia" w:ascii="Times New Roman" w:hAnsi="Times New Roman" w:eastAsia="宋体" w:cs="Times New Roman"/>
                <w:b w:val="0"/>
                <w:bCs w:val="0"/>
                <w:color w:val="auto"/>
                <w:sz w:val="24"/>
                <w:szCs w:val="24"/>
                <w:highlight w:val="none"/>
                <w:lang w:val="en-US" w:bidi="ar-SA"/>
              </w:rPr>
              <w:t>土壤及地下水污染防治措施</w:t>
            </w:r>
          </w:p>
        </w:tc>
        <w:tc>
          <w:tcPr>
            <w:tcW w:w="7555" w:type="dxa"/>
            <w:gridSpan w:val="4"/>
            <w:tcBorders>
              <w:tl2br w:val="nil"/>
              <w:tr2bl w:val="nil"/>
            </w:tcBorders>
            <w:noWrap w:val="0"/>
            <w:vAlign w:val="center"/>
          </w:tcPr>
          <w:p w14:paraId="5B1A040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imes New Roman" w:hAnsi="Times New Roman" w:eastAsia="宋体" w:cs="Times New Roman"/>
                <w:b w:val="0"/>
                <w:bCs w:val="0"/>
                <w:color w:val="auto"/>
                <w:sz w:val="24"/>
                <w:szCs w:val="24"/>
                <w:highlight w:val="none"/>
                <w:lang w:val="en-US" w:bidi="ar-SA"/>
              </w:rPr>
            </w:pPr>
            <w:r>
              <w:rPr>
                <w:rFonts w:hint="eastAsia" w:ascii="Times New Roman" w:hAnsi="Times New Roman" w:eastAsia="宋体" w:cs="Times New Roman"/>
                <w:b w:val="0"/>
                <w:bCs w:val="0"/>
                <w:color w:val="auto"/>
                <w:sz w:val="24"/>
                <w:szCs w:val="24"/>
                <w:highlight w:val="none"/>
                <w:lang w:val="en-US" w:bidi="ar-SA"/>
              </w:rPr>
              <w:t>项目地下水、土壤污染防治措施按照“源头控制、分区防治、污染监控、应急响应”相结合的原则，从污染物的产生、入渗、扩散、应急响应进行控制。</w:t>
            </w:r>
          </w:p>
        </w:tc>
      </w:tr>
      <w:tr w14:paraId="7B8D4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99" w:type="dxa"/>
            <w:tcBorders>
              <w:tl2br w:val="nil"/>
              <w:tr2bl w:val="nil"/>
            </w:tcBorders>
            <w:noWrap w:val="0"/>
            <w:vAlign w:val="center"/>
          </w:tcPr>
          <w:p w14:paraId="3AF698F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b w:val="0"/>
                <w:bCs w:val="0"/>
                <w:color w:val="auto"/>
                <w:sz w:val="24"/>
                <w:szCs w:val="24"/>
                <w:highlight w:val="none"/>
                <w:lang w:val="en-US" w:bidi="ar-SA"/>
              </w:rPr>
            </w:pPr>
            <w:r>
              <w:rPr>
                <w:rFonts w:hint="eastAsia" w:ascii="Times New Roman" w:hAnsi="Times New Roman" w:eastAsia="宋体" w:cs="宋体"/>
                <w:b w:val="0"/>
                <w:bCs w:val="0"/>
                <w:color w:val="auto"/>
                <w:sz w:val="24"/>
                <w:szCs w:val="24"/>
                <w:highlight w:val="none"/>
              </w:rPr>
              <w:t>生态保护措施</w:t>
            </w:r>
          </w:p>
        </w:tc>
        <w:tc>
          <w:tcPr>
            <w:tcW w:w="7555" w:type="dxa"/>
            <w:gridSpan w:val="4"/>
            <w:tcBorders>
              <w:tl2br w:val="nil"/>
              <w:tr2bl w:val="nil"/>
            </w:tcBorders>
            <w:noWrap w:val="0"/>
            <w:vAlign w:val="center"/>
          </w:tcPr>
          <w:p w14:paraId="408AF6E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b w:val="0"/>
                <w:bCs w:val="0"/>
                <w:color w:val="auto"/>
                <w:sz w:val="24"/>
                <w:szCs w:val="24"/>
                <w:highlight w:val="none"/>
                <w:lang w:val="en-US" w:bidi="ar-SA"/>
              </w:rPr>
            </w:pPr>
            <w:r>
              <w:rPr>
                <w:rFonts w:hint="eastAsia" w:ascii="Times New Roman" w:hAnsi="Times New Roman" w:eastAsia="宋体" w:cs="宋体"/>
                <w:b w:val="0"/>
                <w:bCs w:val="0"/>
                <w:color w:val="auto"/>
                <w:sz w:val="24"/>
                <w:szCs w:val="24"/>
                <w:highlight w:val="none"/>
                <w:lang w:val="en-US" w:eastAsia="zh-CN"/>
              </w:rPr>
              <w:t>/</w:t>
            </w:r>
          </w:p>
        </w:tc>
      </w:tr>
      <w:tr w14:paraId="18F38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299" w:type="dxa"/>
            <w:tcBorders>
              <w:tl2br w:val="nil"/>
              <w:tr2bl w:val="nil"/>
            </w:tcBorders>
            <w:noWrap w:val="0"/>
            <w:vAlign w:val="center"/>
          </w:tcPr>
          <w:p w14:paraId="2F533478">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宋体"/>
                <w:b w:val="0"/>
                <w:bCs w:val="0"/>
                <w:color w:val="auto"/>
                <w:spacing w:val="-8"/>
                <w:sz w:val="24"/>
                <w:szCs w:val="24"/>
                <w:highlight w:val="none"/>
              </w:rPr>
            </w:pPr>
            <w:r>
              <w:rPr>
                <w:rFonts w:hint="eastAsia" w:ascii="Times New Roman" w:hAnsi="Times New Roman" w:eastAsia="宋体" w:cs="宋体"/>
                <w:b w:val="0"/>
                <w:bCs w:val="0"/>
                <w:color w:val="auto"/>
                <w:spacing w:val="-8"/>
                <w:sz w:val="24"/>
                <w:szCs w:val="24"/>
                <w:highlight w:val="none"/>
              </w:rPr>
              <w:t>环境风险</w:t>
            </w:r>
          </w:p>
          <w:p w14:paraId="0930C5CE">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hint="eastAsia" w:ascii="Times New Roman" w:hAnsi="Times New Roman" w:eastAsia="宋体" w:cs="宋体"/>
                <w:b w:val="0"/>
                <w:bCs w:val="0"/>
                <w:color w:val="auto"/>
                <w:spacing w:val="-8"/>
                <w:sz w:val="24"/>
                <w:szCs w:val="24"/>
                <w:highlight w:val="none"/>
              </w:rPr>
              <w:t>防范措施</w:t>
            </w:r>
          </w:p>
        </w:tc>
        <w:tc>
          <w:tcPr>
            <w:tcW w:w="7555" w:type="dxa"/>
            <w:gridSpan w:val="4"/>
            <w:tcBorders>
              <w:tl2br w:val="nil"/>
              <w:tr2bl w:val="nil"/>
            </w:tcBorders>
            <w:noWrap w:val="0"/>
            <w:vAlign w:val="center"/>
          </w:tcPr>
          <w:p w14:paraId="21A8FB4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ascii="Times New Roman" w:hAnsi="Times New Roman" w:eastAsia="宋体"/>
                <w:b w:val="0"/>
                <w:bCs w:val="0"/>
                <w:color w:val="auto"/>
                <w:sz w:val="24"/>
                <w:szCs w:val="24"/>
                <w:highlight w:val="none"/>
              </w:rPr>
            </w:pPr>
            <w:r>
              <w:rPr>
                <w:rFonts w:hint="eastAsia" w:ascii="Times New Roman" w:hAnsi="Times New Roman" w:eastAsia="宋体"/>
                <w:b w:val="0"/>
                <w:bCs w:val="0"/>
                <w:color w:val="auto"/>
                <w:sz w:val="24"/>
                <w:szCs w:val="24"/>
                <w:highlight w:val="none"/>
              </w:rPr>
              <w:t>车间</w:t>
            </w:r>
            <w:r>
              <w:rPr>
                <w:rFonts w:ascii="Times New Roman" w:hAnsi="Times New Roman" w:eastAsia="宋体"/>
                <w:b w:val="0"/>
                <w:bCs w:val="0"/>
                <w:color w:val="auto"/>
                <w:sz w:val="24"/>
                <w:szCs w:val="24"/>
                <w:highlight w:val="none"/>
              </w:rPr>
              <w:t>安全运行组织管理标准化。</w:t>
            </w:r>
            <w:r>
              <w:rPr>
                <w:rFonts w:hint="eastAsia" w:ascii="Times New Roman" w:hAnsi="Times New Roman" w:eastAsia="宋体"/>
                <w:b w:val="0"/>
                <w:bCs w:val="0"/>
                <w:color w:val="auto"/>
                <w:sz w:val="24"/>
                <w:szCs w:val="24"/>
                <w:highlight w:val="none"/>
                <w:lang w:eastAsia="zh-CN"/>
              </w:rPr>
              <w:t>制定</w:t>
            </w:r>
            <w:r>
              <w:rPr>
                <w:rFonts w:ascii="Times New Roman" w:hAnsi="Times New Roman" w:eastAsia="宋体"/>
                <w:b w:val="0"/>
                <w:bCs w:val="0"/>
                <w:color w:val="auto"/>
                <w:sz w:val="24"/>
                <w:szCs w:val="24"/>
                <w:highlight w:val="none"/>
              </w:rPr>
              <w:t>安全管理全过程的各项详细的、可操作的管理标准，并在管理中严格贯彻和执行。</w:t>
            </w:r>
          </w:p>
          <w:p w14:paraId="5D69BFA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imes New Roman" w:hAnsi="Times New Roman" w:eastAsia="宋体"/>
                <w:b w:val="0"/>
                <w:bCs w:val="0"/>
                <w:color w:val="auto"/>
                <w:w w:val="95"/>
                <w:sz w:val="24"/>
                <w:szCs w:val="24"/>
                <w:highlight w:val="none"/>
                <w:lang w:eastAsia="zh-CN"/>
              </w:rPr>
            </w:pPr>
            <w:r>
              <w:rPr>
                <w:rFonts w:ascii="Times New Roman" w:hAnsi="Times New Roman" w:eastAsia="宋体"/>
                <w:b w:val="0"/>
                <w:bCs w:val="0"/>
                <w:color w:val="auto"/>
                <w:sz w:val="24"/>
                <w:szCs w:val="24"/>
                <w:highlight w:val="none"/>
              </w:rPr>
              <w:t>制定防止环境污染事故发生的工作计划，消除事故隐患的实施及突发事故应急处理办法等</w:t>
            </w:r>
            <w:r>
              <w:rPr>
                <w:rFonts w:hint="eastAsia" w:ascii="Times New Roman" w:hAnsi="Times New Roman" w:eastAsia="宋体"/>
                <w:b w:val="0"/>
                <w:bCs w:val="0"/>
                <w:color w:val="auto"/>
                <w:sz w:val="24"/>
                <w:szCs w:val="24"/>
                <w:highlight w:val="none"/>
                <w:lang w:eastAsia="zh-CN"/>
              </w:rPr>
              <w:t>。</w:t>
            </w:r>
          </w:p>
        </w:tc>
      </w:tr>
      <w:tr w14:paraId="6FBB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299" w:type="dxa"/>
            <w:tcBorders>
              <w:tl2br w:val="nil"/>
              <w:tr2bl w:val="nil"/>
            </w:tcBorders>
            <w:noWrap w:val="0"/>
            <w:vAlign w:val="center"/>
          </w:tcPr>
          <w:p w14:paraId="7D19C49A">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宋体"/>
                <w:b w:val="0"/>
                <w:bCs w:val="0"/>
                <w:color w:val="auto"/>
                <w:spacing w:val="-8"/>
                <w:sz w:val="24"/>
                <w:szCs w:val="24"/>
                <w:highlight w:val="none"/>
              </w:rPr>
            </w:pPr>
            <w:r>
              <w:rPr>
                <w:rFonts w:hint="eastAsia" w:ascii="Times New Roman" w:hAnsi="Times New Roman" w:eastAsia="宋体" w:cs="宋体"/>
                <w:b w:val="0"/>
                <w:bCs w:val="0"/>
                <w:color w:val="auto"/>
                <w:spacing w:val="-8"/>
                <w:sz w:val="24"/>
                <w:szCs w:val="24"/>
                <w:highlight w:val="none"/>
              </w:rPr>
              <w:t>其他环境</w:t>
            </w:r>
          </w:p>
          <w:p w14:paraId="397D7A04">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b w:val="0"/>
                <w:bCs w:val="0"/>
                <w:color w:val="auto"/>
                <w:sz w:val="24"/>
                <w:szCs w:val="24"/>
                <w:highlight w:val="none"/>
              </w:rPr>
            </w:pPr>
            <w:r>
              <w:rPr>
                <w:rFonts w:hint="eastAsia" w:ascii="Times New Roman" w:hAnsi="Times New Roman" w:eastAsia="宋体" w:cs="宋体"/>
                <w:b w:val="0"/>
                <w:bCs w:val="0"/>
                <w:color w:val="auto"/>
                <w:spacing w:val="-8"/>
                <w:sz w:val="24"/>
                <w:szCs w:val="24"/>
                <w:highlight w:val="none"/>
              </w:rPr>
              <w:t>管理要求</w:t>
            </w:r>
          </w:p>
        </w:tc>
        <w:tc>
          <w:tcPr>
            <w:tcW w:w="7555" w:type="dxa"/>
            <w:gridSpan w:val="4"/>
            <w:tcBorders>
              <w:tl2br w:val="nil"/>
              <w:tr2bl w:val="nil"/>
            </w:tcBorders>
            <w:noWrap w:val="0"/>
            <w:vAlign w:val="center"/>
          </w:tcPr>
          <w:p w14:paraId="72DCE1C7">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rFonts w:hint="eastAsia"/>
                <w:color w:val="auto"/>
                <w:sz w:val="24"/>
                <w:szCs w:val="24"/>
                <w:highlight w:val="none"/>
              </w:rPr>
              <w:t>1、排污口规范化要求</w:t>
            </w:r>
          </w:p>
          <w:p w14:paraId="6601FE72">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rFonts w:hint="eastAsia"/>
                <w:color w:val="auto"/>
                <w:sz w:val="24"/>
                <w:szCs w:val="24"/>
                <w:highlight w:val="none"/>
              </w:rPr>
              <w:t>（1）排污口标志</w:t>
            </w:r>
          </w:p>
          <w:p w14:paraId="53470C4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color w:val="auto"/>
                <w:sz w:val="24"/>
                <w:szCs w:val="24"/>
                <w:highlight w:val="none"/>
              </w:rPr>
              <w:t>污染物排放口应按国家《环境保护图形标志》（GB15562.1-1995、GB15562.2-1995）的规定，设置国家环保总局统一制作的环境保护图形标志牌， 并按要求填写有关内容。</w:t>
            </w:r>
          </w:p>
          <w:p w14:paraId="3535783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rFonts w:hint="eastAsia"/>
                <w:color w:val="auto"/>
                <w:sz w:val="24"/>
                <w:szCs w:val="24"/>
                <w:highlight w:val="none"/>
              </w:rPr>
              <w:t>（2）排污口监测条件</w:t>
            </w:r>
          </w:p>
          <w:p w14:paraId="69C337A7">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color w:val="auto"/>
                <w:sz w:val="24"/>
                <w:szCs w:val="24"/>
                <w:highlight w:val="none"/>
              </w:rPr>
              <w:t>按照《固定污染源废气监测点位设置技术规范》（DB37/T3535-2019）的相 关要求设置废气监测断面及检测孔、监测平台和爬梯</w:t>
            </w:r>
            <w:r>
              <w:rPr>
                <w:rFonts w:hint="eastAsia"/>
                <w:color w:val="auto"/>
                <w:sz w:val="24"/>
                <w:szCs w:val="24"/>
                <w:highlight w:val="none"/>
              </w:rPr>
              <w:t>等</w:t>
            </w:r>
            <w:r>
              <w:rPr>
                <w:color w:val="auto"/>
                <w:sz w:val="24"/>
                <w:szCs w:val="24"/>
                <w:highlight w:val="none"/>
              </w:rPr>
              <w:t>。</w:t>
            </w:r>
          </w:p>
          <w:p w14:paraId="609AD33A">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rFonts w:hint="eastAsia"/>
                <w:color w:val="auto"/>
                <w:sz w:val="24"/>
                <w:szCs w:val="24"/>
                <w:highlight w:val="none"/>
              </w:rPr>
              <w:t>2、排污许可制度</w:t>
            </w:r>
          </w:p>
          <w:p w14:paraId="6C4363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宋体" w:hAnsi="Calibri" w:cs="宋体"/>
                <w:color w:val="auto"/>
                <w:kern w:val="0"/>
                <w:sz w:val="24"/>
                <w:szCs w:val="24"/>
                <w:highlight w:val="none"/>
              </w:rPr>
            </w:pPr>
            <w:r>
              <w:rPr>
                <w:color w:val="auto"/>
                <w:sz w:val="24"/>
                <w:szCs w:val="24"/>
                <w:highlight w:val="none"/>
              </w:rPr>
              <w:t>根据《控制污染物排放许可制实施方案》（国办发[2016]81号，2016年11月11日）等文件，环境影响评价制度是建设项目的环境准入门槛，排污许可制是企事业单位生产运营期排污的法律依据，必须做好充分衔接，实现从污染预防到污染治理和排放控制的全过程监管</w:t>
            </w:r>
            <w:r>
              <w:rPr>
                <w:rFonts w:hint="eastAsia"/>
                <w:color w:val="auto"/>
                <w:sz w:val="24"/>
                <w:szCs w:val="24"/>
                <w:highlight w:val="none"/>
              </w:rPr>
              <w:t>，本项目应按照要求完善排污许可手续</w:t>
            </w:r>
            <w:r>
              <w:rPr>
                <w:color w:val="auto"/>
                <w:sz w:val="24"/>
                <w:szCs w:val="24"/>
                <w:highlight w:val="none"/>
              </w:rPr>
              <w:t>。</w:t>
            </w:r>
          </w:p>
          <w:p w14:paraId="585FDCB8">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rFonts w:hint="eastAsia"/>
                <w:color w:val="auto"/>
                <w:sz w:val="24"/>
                <w:szCs w:val="24"/>
                <w:highlight w:val="none"/>
              </w:rPr>
              <w:t>3、竣工环境保护验收</w:t>
            </w:r>
          </w:p>
          <w:p w14:paraId="6D1D76F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rFonts w:hint="eastAsia"/>
                <w:color w:val="auto"/>
                <w:sz w:val="24"/>
                <w:szCs w:val="24"/>
                <w:highlight w:val="none"/>
              </w:rPr>
              <w:t>依据</w:t>
            </w:r>
            <w:r>
              <w:rPr>
                <w:color w:val="auto"/>
                <w:sz w:val="24"/>
                <w:szCs w:val="24"/>
                <w:highlight w:val="none"/>
              </w:rPr>
              <w:t>《建设项目环境保护管理条例》</w:t>
            </w:r>
            <w:r>
              <w:rPr>
                <w:rFonts w:hint="eastAsia"/>
                <w:color w:val="auto"/>
                <w:sz w:val="24"/>
                <w:szCs w:val="24"/>
                <w:highlight w:val="none"/>
              </w:rPr>
              <w:t>及《</w:t>
            </w:r>
            <w:r>
              <w:rPr>
                <w:color w:val="auto"/>
                <w:sz w:val="24"/>
                <w:szCs w:val="24"/>
                <w:highlight w:val="none"/>
              </w:rPr>
              <w:t>建设项目竣工环境保护验收</w:t>
            </w:r>
            <w:r>
              <w:rPr>
                <w:rFonts w:hint="eastAsia"/>
                <w:color w:val="auto"/>
                <w:sz w:val="24"/>
                <w:szCs w:val="24"/>
                <w:highlight w:val="none"/>
              </w:rPr>
              <w:t>暂行</w:t>
            </w:r>
            <w:r>
              <w:rPr>
                <w:color w:val="auto"/>
                <w:sz w:val="24"/>
                <w:szCs w:val="24"/>
                <w:highlight w:val="none"/>
              </w:rPr>
              <w:t>办法</w:t>
            </w:r>
            <w:r>
              <w:rPr>
                <w:rFonts w:hint="eastAsia"/>
                <w:color w:val="auto"/>
                <w:sz w:val="24"/>
                <w:szCs w:val="24"/>
                <w:highlight w:val="none"/>
              </w:rPr>
              <w:t>》</w:t>
            </w:r>
            <w:r>
              <w:rPr>
                <w:color w:val="auto"/>
                <w:sz w:val="24"/>
                <w:szCs w:val="24"/>
                <w:highlight w:val="none"/>
              </w:rPr>
              <w:t>要求，建设单位应在</w:t>
            </w:r>
            <w:r>
              <w:rPr>
                <w:rFonts w:hint="eastAsia"/>
                <w:color w:val="auto"/>
                <w:sz w:val="24"/>
                <w:szCs w:val="24"/>
                <w:highlight w:val="none"/>
              </w:rPr>
              <w:t>项目竣工后开展建设项目环境保护竣工验收工作。</w:t>
            </w:r>
          </w:p>
          <w:p w14:paraId="5FE3F74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rFonts w:hint="eastAsia"/>
                <w:color w:val="auto"/>
                <w:sz w:val="24"/>
                <w:szCs w:val="24"/>
                <w:highlight w:val="none"/>
              </w:rPr>
              <w:t>4、环境管理</w:t>
            </w:r>
          </w:p>
          <w:p w14:paraId="26DC3CF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color w:val="auto"/>
                <w:sz w:val="24"/>
                <w:szCs w:val="24"/>
                <w:highlight w:val="none"/>
              </w:rPr>
              <w:t>（1）按环保部门有关规定与环保要求，搞好厂区的环境管理，实施厂、车间、工段的三级管理体制。</w:t>
            </w:r>
          </w:p>
          <w:p w14:paraId="3A5B5DD7">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color w:val="auto"/>
                <w:sz w:val="24"/>
                <w:szCs w:val="24"/>
                <w:highlight w:val="none"/>
              </w:rPr>
            </w:pPr>
            <w:r>
              <w:rPr>
                <w:color w:val="auto"/>
                <w:sz w:val="24"/>
                <w:szCs w:val="24"/>
                <w:highlight w:val="none"/>
              </w:rPr>
              <w:t>（2）加大力度提高全体职工的环保意识，对重要装置在岗职工进行技术培训的同时，还应对其进行有关的环保法、环保事故发生后的应急措施等方面的培训，做到持证上岗，完善自身管理。</w:t>
            </w:r>
          </w:p>
          <w:p w14:paraId="6B6C3DA8">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Times New Roman" w:hAnsi="Times New Roman" w:eastAsia="宋体"/>
                <w:b w:val="0"/>
                <w:bCs w:val="0"/>
                <w:color w:val="auto"/>
                <w:w w:val="95"/>
                <w:sz w:val="24"/>
                <w:szCs w:val="24"/>
                <w:highlight w:val="none"/>
              </w:rPr>
            </w:pPr>
            <w:r>
              <w:rPr>
                <w:color w:val="auto"/>
                <w:sz w:val="24"/>
                <w:szCs w:val="24"/>
                <w:highlight w:val="none"/>
              </w:rPr>
              <w:t>（3）加强环境管理，制定与环保有关的完善的规章制度，切实落到实处。根据本工程的废气、废水、废渣及噪声等产污环节，环保人员负责每日的环境保护工作的检查和管理。</w:t>
            </w:r>
          </w:p>
        </w:tc>
      </w:tr>
    </w:tbl>
    <w:p w14:paraId="57F6EAE3">
      <w:pPr>
        <w:pStyle w:val="26"/>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r>
        <w:rPr>
          <w:rFonts w:hint="eastAsia" w:ascii="黑体" w:hAnsi="黑体" w:eastAsia="黑体"/>
          <w:snapToGrid w:val="0"/>
          <w:color w:val="auto"/>
          <w:sz w:val="30"/>
          <w:szCs w:val="30"/>
          <w:highlight w:val="none"/>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2A12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1CB3DB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cs="宋体"/>
                <w:color w:val="auto"/>
                <w:sz w:val="24"/>
                <w:highlight w:val="none"/>
              </w:rPr>
            </w:pPr>
            <w:r>
              <w:rPr>
                <w:rFonts w:hint="eastAsia" w:ascii="宋体" w:cs="宋体"/>
                <w:color w:val="auto"/>
                <w:sz w:val="24"/>
                <w:highlight w:val="none"/>
              </w:rPr>
              <w:t>项目符合国家产业政策。项目所在区域内环境质量现状无重大环境制约要素，本项目采取的污染物治理</w:t>
            </w:r>
            <w:r>
              <w:rPr>
                <w:rFonts w:hint="eastAsia" w:ascii="宋体" w:cs="宋体"/>
                <w:color w:val="auto"/>
                <w:sz w:val="24"/>
                <w:highlight w:val="none"/>
                <w:lang w:eastAsia="zh-CN"/>
              </w:rPr>
              <w:t>措施</w:t>
            </w:r>
            <w:r>
              <w:rPr>
                <w:rFonts w:hint="eastAsia" w:ascii="宋体" w:cs="宋体"/>
                <w:color w:val="auto"/>
                <w:sz w:val="24"/>
                <w:highlight w:val="none"/>
              </w:rPr>
              <w:t>技术可行，措施有效；项目运营期间严格管理，无重大环境风险。在认真落实各项污染防治措施，严格执行报告中提出的有关污染防治措施的情况下，对周围环境影响较小，从环保角度上讲，本项目是可行的。</w:t>
            </w:r>
          </w:p>
        </w:tc>
      </w:tr>
    </w:tbl>
    <w:p w14:paraId="0442D306">
      <w:pPr>
        <w:rPr>
          <w:rFonts w:ascii="宋体"/>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0740C99B">
      <w:pPr>
        <w:pStyle w:val="26"/>
        <w:adjustRightInd w:val="0"/>
        <w:snapToGrid w:val="0"/>
        <w:spacing w:before="0" w:beforeAutospacing="0" w:after="0" w:afterAutospacing="0" w:line="240" w:lineRule="auto"/>
        <w:outlineLvl w:val="0"/>
        <w:rPr>
          <w:rFonts w:ascii="黑体" w:hAnsi="黑体" w:eastAsia="黑体"/>
          <w:snapToGrid w:val="0"/>
          <w:color w:val="auto"/>
          <w:sz w:val="32"/>
          <w:szCs w:val="32"/>
          <w:highlight w:val="none"/>
        </w:rPr>
      </w:pPr>
      <w:r>
        <w:rPr>
          <w:rFonts w:hint="eastAsia" w:ascii="黑体" w:hAnsi="黑体" w:eastAsia="黑体"/>
          <w:snapToGrid w:val="0"/>
          <w:color w:val="auto"/>
          <w:sz w:val="32"/>
          <w:szCs w:val="32"/>
          <w:highlight w:val="none"/>
        </w:rPr>
        <w:t>附表</w:t>
      </w:r>
    </w:p>
    <w:p w14:paraId="63637AE5">
      <w:pPr>
        <w:pStyle w:val="26"/>
        <w:adjustRightInd w:val="0"/>
        <w:snapToGrid w:val="0"/>
        <w:spacing w:before="0" w:beforeAutospacing="0" w:after="0" w:afterAutospacing="0" w:line="240" w:lineRule="auto"/>
        <w:jc w:val="center"/>
        <w:outlineLvl w:val="0"/>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024"/>
        <w:gridCol w:w="1447"/>
        <w:gridCol w:w="1280"/>
        <w:gridCol w:w="1640"/>
        <w:gridCol w:w="1503"/>
        <w:gridCol w:w="1697"/>
        <w:gridCol w:w="1680"/>
        <w:gridCol w:w="1202"/>
      </w:tblGrid>
      <w:tr w14:paraId="1700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019" w:type="dxa"/>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6D3A2C4">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spacing w:val="-6"/>
                <w:kern w:val="21"/>
                <w:sz w:val="21"/>
                <w:szCs w:val="21"/>
                <w:highlight w:val="none"/>
              </w:rPr>
            </w:pPr>
            <w:r>
              <w:rPr>
                <w:rFonts w:hint="eastAsia" w:ascii="Times New Roman" w:hAnsi="Times New Roman" w:eastAsia="宋体" w:cs="宋体"/>
                <w:b w:val="0"/>
                <w:bCs w:val="0"/>
                <w:snapToGrid w:val="0"/>
                <w:color w:val="auto"/>
                <w:spacing w:val="-6"/>
                <w:kern w:val="21"/>
                <w:sz w:val="21"/>
                <w:szCs w:val="21"/>
                <w:highlight w:val="none"/>
                <w:lang w:val="en-US" w:eastAsia="zh-CN"/>
              </w:rPr>
              <w:t xml:space="preserve">    </w:t>
            </w:r>
          </w:p>
          <w:p w14:paraId="1D4FFA30">
            <w:pPr>
              <w:pStyle w:val="63"/>
              <w:keepNext w:val="0"/>
              <w:keepLines w:val="0"/>
              <w:pageBreakBefore w:val="0"/>
              <w:widowControl w:val="0"/>
              <w:kinsoku/>
              <w:wordWrap/>
              <w:overflowPunct/>
              <w:topLinePunct w:val="0"/>
              <w:autoSpaceDE/>
              <w:autoSpaceDN/>
              <w:bidi w:val="0"/>
              <w:snapToGrid w:val="0"/>
              <w:spacing w:beforeLines="0" w:afterLines="0" w:line="240" w:lineRule="auto"/>
              <w:jc w:val="left"/>
              <w:textAlignment w:val="auto"/>
              <mc:AlternateContent>
                <mc:Choice Requires="wpsCustomData">
                  <wpsCustomData:diagonalParaType/>
                </mc:Choice>
              </mc:AlternateContent>
              <w:rPr>
                <w:rFonts w:hint="eastAsia" w:ascii="Times New Roman" w:hAnsi="Times New Roman" w:eastAsia="宋体" w:cs="宋体"/>
                <w:b w:val="0"/>
                <w:bCs w:val="0"/>
                <w:snapToGrid w:val="0"/>
                <w:color w:val="auto"/>
                <w:spacing w:val="-6"/>
                <w:kern w:val="21"/>
                <w:sz w:val="21"/>
                <w:szCs w:val="21"/>
                <w:highlight w:val="none"/>
              </w:rPr>
            </w:pPr>
            <w:r>
              <w:rPr>
                <w:rFonts w:hint="eastAsia" w:ascii="Times New Roman" w:hAnsi="Times New Roman" w:eastAsia="宋体" w:cs="宋体"/>
                <w:b w:val="0"/>
                <w:bCs w:val="0"/>
                <w:snapToGrid w:val="0"/>
                <w:color w:val="auto"/>
                <w:spacing w:val="-6"/>
                <w:kern w:val="21"/>
                <w:sz w:val="21"/>
                <w:szCs w:val="21"/>
                <w:highlight w:val="none"/>
              </w:rPr>
              <w:t>分类</w:t>
            </w:r>
          </w:p>
          <w:p w14:paraId="5E2510EE">
            <w:pPr>
              <w:pStyle w:val="63"/>
              <w:keepNext w:val="0"/>
              <w:keepLines w:val="0"/>
              <w:pageBreakBefore w:val="0"/>
              <w:widowControl w:val="0"/>
              <w:kinsoku/>
              <w:wordWrap/>
              <w:overflowPunct/>
              <w:topLinePunct w:val="0"/>
              <w:autoSpaceDE/>
              <w:autoSpaceDN/>
              <w:bidi w:val="0"/>
              <w:spacing w:beforeLines="0" w:afterLines="0" w:line="240" w:lineRule="auto"/>
              <w:jc w:val="left"/>
              <w:textAlignment w:val="auto"/>
              <w:rPr>
                <w:rFonts w:hint="eastAsia" w:ascii="Times New Roman" w:hAnsi="Times New Roman" w:eastAsia="宋体" w:cs="宋体"/>
                <w:b w:val="0"/>
                <w:bCs w:val="0"/>
                <w:snapToGrid w:val="0"/>
                <w:color w:val="auto"/>
                <w:spacing w:val="-6"/>
                <w:kern w:val="21"/>
                <w:sz w:val="21"/>
                <w:szCs w:val="21"/>
                <w:highlight w:val="none"/>
                <w:lang w:val="en-US" w:eastAsia="zh-CN"/>
              </w:rPr>
            </w:pPr>
            <w:r>
              <w:rPr>
                <w:rFonts w:hint="eastAsia" w:ascii="Times New Roman" w:hAnsi="Times New Roman" w:eastAsia="宋体" w:cs="宋体"/>
                <w:b w:val="0"/>
                <w:bCs w:val="0"/>
                <w:snapToGrid w:val="0"/>
                <w:color w:val="auto"/>
                <w:spacing w:val="-6"/>
                <w:kern w:val="21"/>
                <w:sz w:val="21"/>
                <w:szCs w:val="21"/>
                <w:highlight w:val="none"/>
                <w:lang w:val="en-US" w:eastAsia="zh-CN"/>
              </w:rPr>
              <w:t>项目</w:t>
            </w:r>
          </w:p>
        </w:tc>
        <w:tc>
          <w:tcPr>
            <w:tcW w:w="2024" w:type="dxa"/>
            <w:tcBorders>
              <w:tl2br w:val="nil"/>
              <w:tr2bl w:val="nil"/>
            </w:tcBorders>
            <w:noWrap w:val="0"/>
            <w:tcMar>
              <w:left w:w="28" w:type="dxa"/>
              <w:right w:w="28" w:type="dxa"/>
            </w:tcMar>
            <w:vAlign w:val="center"/>
          </w:tcPr>
          <w:p w14:paraId="0046D69F">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spacing w:val="-6"/>
                <w:kern w:val="21"/>
                <w:sz w:val="21"/>
                <w:szCs w:val="21"/>
                <w:highlight w:val="none"/>
              </w:rPr>
            </w:pPr>
            <w:r>
              <w:rPr>
                <w:rFonts w:hint="eastAsia" w:ascii="Times New Roman" w:hAnsi="Times New Roman" w:eastAsia="宋体" w:cs="宋体"/>
                <w:b w:val="0"/>
                <w:bCs w:val="0"/>
                <w:snapToGrid w:val="0"/>
                <w:color w:val="auto"/>
                <w:spacing w:val="-6"/>
                <w:kern w:val="21"/>
                <w:sz w:val="21"/>
                <w:szCs w:val="21"/>
                <w:highlight w:val="none"/>
              </w:rPr>
              <w:t>污染物名称</w:t>
            </w:r>
          </w:p>
        </w:tc>
        <w:tc>
          <w:tcPr>
            <w:tcW w:w="1447" w:type="dxa"/>
            <w:tcBorders>
              <w:tl2br w:val="nil"/>
              <w:tr2bl w:val="nil"/>
            </w:tcBorders>
            <w:noWrap w:val="0"/>
            <w:tcMar>
              <w:left w:w="28" w:type="dxa"/>
              <w:right w:w="28" w:type="dxa"/>
            </w:tcMar>
            <w:vAlign w:val="center"/>
          </w:tcPr>
          <w:p w14:paraId="1AD3E934">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b w:val="0"/>
                <w:bCs w:val="0"/>
                <w:snapToGrid w:val="0"/>
                <w:color w:val="auto"/>
                <w:spacing w:val="-6"/>
                <w:kern w:val="21"/>
                <w:sz w:val="21"/>
                <w:szCs w:val="21"/>
                <w:highlight w:val="none"/>
              </w:rPr>
            </w:pPr>
            <w:r>
              <w:rPr>
                <w:rFonts w:ascii="Times New Roman" w:hAnsi="Times New Roman" w:eastAsia="宋体"/>
                <w:b w:val="0"/>
                <w:bCs w:val="0"/>
                <w:snapToGrid w:val="0"/>
                <w:color w:val="auto"/>
                <w:spacing w:val="-6"/>
                <w:kern w:val="21"/>
                <w:sz w:val="21"/>
                <w:szCs w:val="21"/>
                <w:highlight w:val="none"/>
              </w:rPr>
              <w:t>现有工程</w:t>
            </w:r>
          </w:p>
          <w:p w14:paraId="5A8D82A7">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ascii="Times New Roman" w:hAnsi="Times New Roman" w:eastAsia="宋体"/>
                <w:b w:val="0"/>
                <w:bCs w:val="0"/>
                <w:snapToGrid w:val="0"/>
                <w:color w:val="auto"/>
                <w:spacing w:val="-6"/>
                <w:kern w:val="21"/>
                <w:sz w:val="21"/>
                <w:szCs w:val="21"/>
                <w:highlight w:val="none"/>
              </w:rPr>
            </w:pPr>
            <w:r>
              <w:rPr>
                <w:rFonts w:ascii="Times New Roman" w:hAnsi="Times New Roman" w:eastAsia="宋体"/>
                <w:b w:val="0"/>
                <w:bCs w:val="0"/>
                <w:snapToGrid w:val="0"/>
                <w:color w:val="auto"/>
                <w:spacing w:val="-6"/>
                <w:kern w:val="21"/>
                <w:sz w:val="21"/>
                <w:szCs w:val="21"/>
                <w:highlight w:val="none"/>
              </w:rPr>
              <w:t>排放量（固</w:t>
            </w:r>
            <w:r>
              <w:rPr>
                <w:rFonts w:hint="eastAsia" w:ascii="Times New Roman" w:hAnsi="Times New Roman" w:eastAsia="宋体"/>
                <w:b w:val="0"/>
                <w:bCs w:val="0"/>
                <w:snapToGrid w:val="0"/>
                <w:color w:val="auto"/>
                <w:spacing w:val="-6"/>
                <w:kern w:val="21"/>
                <w:sz w:val="21"/>
                <w:szCs w:val="21"/>
                <w:highlight w:val="none"/>
              </w:rPr>
              <w:t>体</w:t>
            </w:r>
            <w:r>
              <w:rPr>
                <w:rFonts w:ascii="Times New Roman" w:hAnsi="Times New Roman" w:eastAsia="宋体"/>
                <w:b w:val="0"/>
                <w:bCs w:val="0"/>
                <w:snapToGrid w:val="0"/>
                <w:color w:val="auto"/>
                <w:spacing w:val="-6"/>
                <w:kern w:val="21"/>
                <w:sz w:val="21"/>
                <w:szCs w:val="21"/>
                <w:highlight w:val="none"/>
              </w:rPr>
              <w:t>废</w:t>
            </w:r>
            <w:r>
              <w:rPr>
                <w:rFonts w:hint="eastAsia" w:ascii="Times New Roman" w:hAnsi="Times New Roman" w:eastAsia="宋体"/>
                <w:b w:val="0"/>
                <w:bCs w:val="0"/>
                <w:snapToGrid w:val="0"/>
                <w:color w:val="auto"/>
                <w:spacing w:val="-6"/>
                <w:kern w:val="21"/>
                <w:sz w:val="21"/>
                <w:szCs w:val="21"/>
                <w:highlight w:val="none"/>
              </w:rPr>
              <w:t>物</w:t>
            </w:r>
            <w:r>
              <w:rPr>
                <w:rFonts w:ascii="Times New Roman" w:hAnsi="Times New Roman" w:eastAsia="宋体"/>
                <w:b w:val="0"/>
                <w:bCs w:val="0"/>
                <w:snapToGrid w:val="0"/>
                <w:color w:val="auto"/>
                <w:spacing w:val="-6"/>
                <w:kern w:val="21"/>
                <w:sz w:val="21"/>
                <w:szCs w:val="21"/>
                <w:highlight w:val="none"/>
              </w:rPr>
              <w:t>产生量</w:t>
            </w:r>
            <w:r>
              <w:rPr>
                <w:rFonts w:hint="eastAsia" w:ascii="Times New Roman" w:hAnsi="Times New Roman" w:eastAsia="宋体" w:cs="宋体"/>
                <w:b w:val="0"/>
                <w:bCs w:val="0"/>
                <w:snapToGrid w:val="0"/>
                <w:color w:val="auto"/>
                <w:kern w:val="21"/>
                <w:sz w:val="21"/>
                <w:szCs w:val="21"/>
                <w:highlight w:val="none"/>
                <w:lang w:val="en-US" w:eastAsia="zh-CN"/>
              </w:rPr>
              <w:t>t/a</w:t>
            </w:r>
            <w:r>
              <w:rPr>
                <w:rFonts w:ascii="Times New Roman" w:hAnsi="Times New Roman" w:eastAsia="宋体"/>
                <w:b w:val="0"/>
                <w:bCs w:val="0"/>
                <w:snapToGrid w:val="0"/>
                <w:color w:val="auto"/>
                <w:spacing w:val="-6"/>
                <w:kern w:val="21"/>
                <w:sz w:val="21"/>
                <w:szCs w:val="21"/>
                <w:highlight w:val="none"/>
              </w:rPr>
              <w:t>）</w:t>
            </w:r>
            <w:r>
              <w:rPr>
                <w:rFonts w:ascii="Times New Roman" w:hAnsi="Times New Roman" w:eastAsia="宋体"/>
                <w:b w:val="0"/>
                <w:bCs w:val="0"/>
                <w:snapToGrid w:val="0"/>
                <w:color w:val="auto"/>
                <w:spacing w:val="-6"/>
                <w:kern w:val="21"/>
                <w:sz w:val="21"/>
                <w:szCs w:val="21"/>
                <w:highlight w:val="none"/>
              </w:rPr>
              <w:fldChar w:fldCharType="begin"/>
            </w:r>
            <w:r>
              <w:rPr>
                <w:rFonts w:ascii="Times New Roman" w:hAnsi="Times New Roman" w:eastAsia="宋体"/>
                <w:b w:val="0"/>
                <w:bCs w:val="0"/>
                <w:snapToGrid w:val="0"/>
                <w:color w:val="auto"/>
                <w:spacing w:val="-6"/>
                <w:kern w:val="21"/>
                <w:sz w:val="21"/>
                <w:szCs w:val="21"/>
                <w:highlight w:val="none"/>
              </w:rPr>
              <w:instrText xml:space="preserve"> = 1 \* GB3 \* MERGEFORMAT </w:instrText>
            </w:r>
            <w:r>
              <w:rPr>
                <w:rFonts w:ascii="Times New Roman" w:hAnsi="Times New Roman" w:eastAsia="宋体"/>
                <w:b w:val="0"/>
                <w:bCs w:val="0"/>
                <w:snapToGrid w:val="0"/>
                <w:color w:val="auto"/>
                <w:spacing w:val="-6"/>
                <w:kern w:val="21"/>
                <w:sz w:val="21"/>
                <w:szCs w:val="21"/>
                <w:highlight w:val="none"/>
              </w:rPr>
              <w:fldChar w:fldCharType="separate"/>
            </w:r>
            <w:r>
              <w:rPr>
                <w:rFonts w:hint="eastAsia" w:ascii="Times New Roman" w:hAnsi="Times New Roman" w:eastAsia="宋体" w:cs="宋体"/>
                <w:b w:val="0"/>
                <w:bCs w:val="0"/>
                <w:color w:val="auto"/>
                <w:kern w:val="2"/>
                <w:sz w:val="21"/>
                <w:szCs w:val="21"/>
                <w:highlight w:val="none"/>
              </w:rPr>
              <w:t>①</w:t>
            </w:r>
            <w:r>
              <w:rPr>
                <w:rFonts w:ascii="Times New Roman" w:hAnsi="Times New Roman" w:eastAsia="宋体"/>
                <w:b w:val="0"/>
                <w:bCs w:val="0"/>
                <w:snapToGrid w:val="0"/>
                <w:color w:val="auto"/>
                <w:spacing w:val="-6"/>
                <w:kern w:val="21"/>
                <w:sz w:val="21"/>
                <w:szCs w:val="21"/>
                <w:highlight w:val="none"/>
              </w:rPr>
              <w:fldChar w:fldCharType="end"/>
            </w:r>
          </w:p>
        </w:tc>
        <w:tc>
          <w:tcPr>
            <w:tcW w:w="1280" w:type="dxa"/>
            <w:tcBorders>
              <w:tl2br w:val="nil"/>
              <w:tr2bl w:val="nil"/>
            </w:tcBorders>
            <w:noWrap w:val="0"/>
            <w:tcMar>
              <w:left w:w="28" w:type="dxa"/>
              <w:right w:w="28" w:type="dxa"/>
            </w:tcMar>
            <w:vAlign w:val="center"/>
          </w:tcPr>
          <w:p w14:paraId="19063A8A">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ascii="Times New Roman" w:hAnsi="Times New Roman" w:eastAsia="宋体"/>
                <w:b w:val="0"/>
                <w:bCs w:val="0"/>
                <w:snapToGrid w:val="0"/>
                <w:color w:val="auto"/>
                <w:spacing w:val="-6"/>
                <w:kern w:val="21"/>
                <w:sz w:val="21"/>
                <w:szCs w:val="21"/>
                <w:highlight w:val="none"/>
              </w:rPr>
            </w:pPr>
            <w:r>
              <w:rPr>
                <w:rFonts w:ascii="Times New Roman" w:hAnsi="Times New Roman" w:eastAsia="宋体"/>
                <w:b w:val="0"/>
                <w:bCs w:val="0"/>
                <w:snapToGrid w:val="0"/>
                <w:color w:val="auto"/>
                <w:spacing w:val="-6"/>
                <w:kern w:val="21"/>
                <w:sz w:val="21"/>
                <w:szCs w:val="21"/>
                <w:highlight w:val="none"/>
              </w:rPr>
              <w:t>现有工程许可排放量</w:t>
            </w:r>
            <w:r>
              <w:rPr>
                <w:rFonts w:ascii="Times New Roman" w:hAnsi="Times New Roman" w:eastAsia="宋体"/>
                <w:b w:val="0"/>
                <w:bCs w:val="0"/>
                <w:snapToGrid w:val="0"/>
                <w:color w:val="auto"/>
                <w:spacing w:val="-6"/>
                <w:kern w:val="21"/>
                <w:sz w:val="21"/>
                <w:szCs w:val="21"/>
                <w:highlight w:val="none"/>
              </w:rPr>
              <w:fldChar w:fldCharType="begin"/>
            </w:r>
            <w:r>
              <w:rPr>
                <w:rFonts w:ascii="Times New Roman" w:hAnsi="Times New Roman" w:eastAsia="宋体"/>
                <w:b w:val="0"/>
                <w:bCs w:val="0"/>
                <w:snapToGrid w:val="0"/>
                <w:color w:val="auto"/>
                <w:spacing w:val="-6"/>
                <w:kern w:val="21"/>
                <w:sz w:val="21"/>
                <w:szCs w:val="21"/>
                <w:highlight w:val="none"/>
              </w:rPr>
              <w:instrText xml:space="preserve"> = 2 \* GB3 \* MERGEFORMAT </w:instrText>
            </w:r>
            <w:r>
              <w:rPr>
                <w:rFonts w:ascii="Times New Roman" w:hAnsi="Times New Roman" w:eastAsia="宋体"/>
                <w:b w:val="0"/>
                <w:bCs w:val="0"/>
                <w:snapToGrid w:val="0"/>
                <w:color w:val="auto"/>
                <w:spacing w:val="-6"/>
                <w:kern w:val="21"/>
                <w:sz w:val="21"/>
                <w:szCs w:val="21"/>
                <w:highlight w:val="none"/>
              </w:rPr>
              <w:fldChar w:fldCharType="separate"/>
            </w:r>
            <w:r>
              <w:rPr>
                <w:rFonts w:hint="eastAsia" w:ascii="Times New Roman" w:hAnsi="Times New Roman" w:eastAsia="宋体" w:cs="宋体"/>
                <w:b w:val="0"/>
                <w:bCs w:val="0"/>
                <w:snapToGrid w:val="0"/>
                <w:color w:val="auto"/>
                <w:spacing w:val="-6"/>
                <w:kern w:val="21"/>
                <w:sz w:val="21"/>
                <w:szCs w:val="21"/>
                <w:highlight w:val="none"/>
              </w:rPr>
              <w:t>②</w:t>
            </w:r>
            <w:r>
              <w:rPr>
                <w:rFonts w:ascii="Times New Roman" w:hAnsi="Times New Roman" w:eastAsia="宋体"/>
                <w:b w:val="0"/>
                <w:bCs w:val="0"/>
                <w:snapToGrid w:val="0"/>
                <w:color w:val="auto"/>
                <w:spacing w:val="-6"/>
                <w:kern w:val="21"/>
                <w:sz w:val="21"/>
                <w:szCs w:val="21"/>
                <w:highlight w:val="none"/>
              </w:rPr>
              <w:fldChar w:fldCharType="end"/>
            </w:r>
          </w:p>
        </w:tc>
        <w:tc>
          <w:tcPr>
            <w:tcW w:w="1640" w:type="dxa"/>
            <w:tcBorders>
              <w:tl2br w:val="nil"/>
              <w:tr2bl w:val="nil"/>
            </w:tcBorders>
            <w:noWrap w:val="0"/>
            <w:tcMar>
              <w:left w:w="28" w:type="dxa"/>
              <w:right w:w="28" w:type="dxa"/>
            </w:tcMar>
            <w:vAlign w:val="center"/>
          </w:tcPr>
          <w:p w14:paraId="76B97BEC">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ascii="Times New Roman" w:hAnsi="Times New Roman" w:eastAsia="宋体"/>
                <w:b w:val="0"/>
                <w:bCs w:val="0"/>
                <w:snapToGrid w:val="0"/>
                <w:color w:val="auto"/>
                <w:spacing w:val="-6"/>
                <w:kern w:val="21"/>
                <w:sz w:val="21"/>
                <w:szCs w:val="21"/>
                <w:highlight w:val="none"/>
              </w:rPr>
            </w:pPr>
            <w:r>
              <w:rPr>
                <w:rFonts w:ascii="Times New Roman" w:hAnsi="Times New Roman" w:eastAsia="宋体"/>
                <w:b w:val="0"/>
                <w:bCs w:val="0"/>
                <w:snapToGrid w:val="0"/>
                <w:color w:val="auto"/>
                <w:spacing w:val="-6"/>
                <w:kern w:val="21"/>
                <w:sz w:val="21"/>
                <w:szCs w:val="21"/>
                <w:highlight w:val="none"/>
              </w:rPr>
              <w:t>在建工程排放量（固</w:t>
            </w:r>
            <w:r>
              <w:rPr>
                <w:rFonts w:hint="eastAsia" w:ascii="Times New Roman" w:hAnsi="Times New Roman" w:eastAsia="宋体"/>
                <w:b w:val="0"/>
                <w:bCs w:val="0"/>
                <w:snapToGrid w:val="0"/>
                <w:color w:val="auto"/>
                <w:spacing w:val="-6"/>
                <w:kern w:val="21"/>
                <w:sz w:val="21"/>
                <w:szCs w:val="21"/>
                <w:highlight w:val="none"/>
              </w:rPr>
              <w:t>体</w:t>
            </w:r>
            <w:r>
              <w:rPr>
                <w:rFonts w:ascii="Times New Roman" w:hAnsi="Times New Roman" w:eastAsia="宋体"/>
                <w:b w:val="0"/>
                <w:bCs w:val="0"/>
                <w:snapToGrid w:val="0"/>
                <w:color w:val="auto"/>
                <w:spacing w:val="-6"/>
                <w:kern w:val="21"/>
                <w:sz w:val="21"/>
                <w:szCs w:val="21"/>
                <w:highlight w:val="none"/>
              </w:rPr>
              <w:t>废</w:t>
            </w:r>
            <w:r>
              <w:rPr>
                <w:rFonts w:hint="eastAsia" w:ascii="Times New Roman" w:hAnsi="Times New Roman" w:eastAsia="宋体"/>
                <w:b w:val="0"/>
                <w:bCs w:val="0"/>
                <w:snapToGrid w:val="0"/>
                <w:color w:val="auto"/>
                <w:spacing w:val="-6"/>
                <w:kern w:val="21"/>
                <w:sz w:val="21"/>
                <w:szCs w:val="21"/>
                <w:highlight w:val="none"/>
              </w:rPr>
              <w:t>物</w:t>
            </w:r>
            <w:r>
              <w:rPr>
                <w:rFonts w:ascii="Times New Roman" w:hAnsi="Times New Roman" w:eastAsia="宋体"/>
                <w:b w:val="0"/>
                <w:bCs w:val="0"/>
                <w:snapToGrid w:val="0"/>
                <w:color w:val="auto"/>
                <w:spacing w:val="-6"/>
                <w:kern w:val="21"/>
                <w:sz w:val="21"/>
                <w:szCs w:val="21"/>
                <w:highlight w:val="none"/>
              </w:rPr>
              <w:t>产生量</w:t>
            </w:r>
            <w:r>
              <w:rPr>
                <w:rFonts w:hint="eastAsia" w:ascii="Times New Roman" w:hAnsi="Times New Roman" w:eastAsia="宋体" w:cs="宋体"/>
                <w:b w:val="0"/>
                <w:bCs w:val="0"/>
                <w:snapToGrid w:val="0"/>
                <w:color w:val="auto"/>
                <w:kern w:val="21"/>
                <w:sz w:val="21"/>
                <w:szCs w:val="21"/>
                <w:highlight w:val="none"/>
                <w:lang w:val="en-US" w:eastAsia="zh-CN"/>
              </w:rPr>
              <w:t>t/a</w:t>
            </w:r>
            <w:r>
              <w:rPr>
                <w:rFonts w:ascii="Times New Roman" w:hAnsi="Times New Roman" w:eastAsia="宋体"/>
                <w:b w:val="0"/>
                <w:bCs w:val="0"/>
                <w:snapToGrid w:val="0"/>
                <w:color w:val="auto"/>
                <w:spacing w:val="-6"/>
                <w:kern w:val="21"/>
                <w:sz w:val="21"/>
                <w:szCs w:val="21"/>
                <w:highlight w:val="none"/>
              </w:rPr>
              <w:t>）</w:t>
            </w:r>
            <w:r>
              <w:rPr>
                <w:rFonts w:ascii="Times New Roman" w:hAnsi="Times New Roman" w:eastAsia="宋体"/>
                <w:b w:val="0"/>
                <w:bCs w:val="0"/>
                <w:snapToGrid w:val="0"/>
                <w:color w:val="auto"/>
                <w:spacing w:val="-6"/>
                <w:kern w:val="21"/>
                <w:sz w:val="21"/>
                <w:szCs w:val="21"/>
                <w:highlight w:val="none"/>
              </w:rPr>
              <w:fldChar w:fldCharType="begin"/>
            </w:r>
            <w:r>
              <w:rPr>
                <w:rFonts w:ascii="Times New Roman" w:hAnsi="Times New Roman" w:eastAsia="宋体"/>
                <w:b w:val="0"/>
                <w:bCs w:val="0"/>
                <w:snapToGrid w:val="0"/>
                <w:color w:val="auto"/>
                <w:spacing w:val="-6"/>
                <w:kern w:val="21"/>
                <w:sz w:val="21"/>
                <w:szCs w:val="21"/>
                <w:highlight w:val="none"/>
              </w:rPr>
              <w:instrText xml:space="preserve"> = 3 \* GB3 \* MERGEFORMAT </w:instrText>
            </w:r>
            <w:r>
              <w:rPr>
                <w:rFonts w:ascii="Times New Roman" w:hAnsi="Times New Roman" w:eastAsia="宋体"/>
                <w:b w:val="0"/>
                <w:bCs w:val="0"/>
                <w:snapToGrid w:val="0"/>
                <w:color w:val="auto"/>
                <w:spacing w:val="-6"/>
                <w:kern w:val="21"/>
                <w:sz w:val="21"/>
                <w:szCs w:val="21"/>
                <w:highlight w:val="none"/>
              </w:rPr>
              <w:fldChar w:fldCharType="separate"/>
            </w:r>
            <w:r>
              <w:rPr>
                <w:rFonts w:hint="eastAsia" w:ascii="Times New Roman" w:hAnsi="Times New Roman" w:eastAsia="宋体" w:cs="宋体"/>
                <w:b w:val="0"/>
                <w:bCs w:val="0"/>
                <w:color w:val="auto"/>
                <w:kern w:val="2"/>
                <w:sz w:val="21"/>
                <w:szCs w:val="21"/>
                <w:highlight w:val="none"/>
              </w:rPr>
              <w:t>③</w:t>
            </w:r>
            <w:r>
              <w:rPr>
                <w:rFonts w:ascii="Times New Roman" w:hAnsi="Times New Roman" w:eastAsia="宋体"/>
                <w:b w:val="0"/>
                <w:bCs w:val="0"/>
                <w:snapToGrid w:val="0"/>
                <w:color w:val="auto"/>
                <w:spacing w:val="-6"/>
                <w:kern w:val="21"/>
                <w:sz w:val="21"/>
                <w:szCs w:val="21"/>
                <w:highlight w:val="none"/>
              </w:rPr>
              <w:fldChar w:fldCharType="end"/>
            </w:r>
          </w:p>
        </w:tc>
        <w:tc>
          <w:tcPr>
            <w:tcW w:w="1503" w:type="dxa"/>
            <w:tcBorders>
              <w:tl2br w:val="nil"/>
              <w:tr2bl w:val="nil"/>
            </w:tcBorders>
            <w:noWrap w:val="0"/>
            <w:tcMar>
              <w:left w:w="28" w:type="dxa"/>
              <w:right w:w="28" w:type="dxa"/>
            </w:tcMar>
            <w:vAlign w:val="center"/>
          </w:tcPr>
          <w:p w14:paraId="0EAB4919">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ascii="Times New Roman" w:hAnsi="Times New Roman" w:eastAsia="宋体"/>
                <w:b w:val="0"/>
                <w:bCs w:val="0"/>
                <w:snapToGrid w:val="0"/>
                <w:color w:val="auto"/>
                <w:spacing w:val="-6"/>
                <w:kern w:val="21"/>
                <w:sz w:val="21"/>
                <w:szCs w:val="21"/>
                <w:highlight w:val="none"/>
              </w:rPr>
            </w:pPr>
            <w:r>
              <w:rPr>
                <w:rFonts w:ascii="Times New Roman" w:hAnsi="Times New Roman" w:eastAsia="宋体"/>
                <w:b w:val="0"/>
                <w:bCs w:val="0"/>
                <w:snapToGrid w:val="0"/>
                <w:color w:val="auto"/>
                <w:spacing w:val="-6"/>
                <w:kern w:val="21"/>
                <w:sz w:val="21"/>
                <w:szCs w:val="21"/>
                <w:highlight w:val="none"/>
              </w:rPr>
              <w:t>本项目排放量（固</w:t>
            </w:r>
            <w:r>
              <w:rPr>
                <w:rFonts w:hint="eastAsia" w:ascii="Times New Roman" w:hAnsi="Times New Roman" w:eastAsia="宋体"/>
                <w:b w:val="0"/>
                <w:bCs w:val="0"/>
                <w:snapToGrid w:val="0"/>
                <w:color w:val="auto"/>
                <w:spacing w:val="-6"/>
                <w:kern w:val="21"/>
                <w:sz w:val="21"/>
                <w:szCs w:val="21"/>
                <w:highlight w:val="none"/>
              </w:rPr>
              <w:t>体</w:t>
            </w:r>
            <w:r>
              <w:rPr>
                <w:rFonts w:ascii="Times New Roman" w:hAnsi="Times New Roman" w:eastAsia="宋体"/>
                <w:b w:val="0"/>
                <w:bCs w:val="0"/>
                <w:snapToGrid w:val="0"/>
                <w:color w:val="auto"/>
                <w:spacing w:val="-6"/>
                <w:kern w:val="21"/>
                <w:sz w:val="21"/>
                <w:szCs w:val="21"/>
                <w:highlight w:val="none"/>
              </w:rPr>
              <w:t>废</w:t>
            </w:r>
            <w:r>
              <w:rPr>
                <w:rFonts w:hint="eastAsia" w:ascii="Times New Roman" w:hAnsi="Times New Roman" w:eastAsia="宋体"/>
                <w:b w:val="0"/>
                <w:bCs w:val="0"/>
                <w:snapToGrid w:val="0"/>
                <w:color w:val="auto"/>
                <w:spacing w:val="-6"/>
                <w:kern w:val="21"/>
                <w:sz w:val="21"/>
                <w:szCs w:val="21"/>
                <w:highlight w:val="none"/>
              </w:rPr>
              <w:t>物</w:t>
            </w:r>
            <w:r>
              <w:rPr>
                <w:rFonts w:ascii="Times New Roman" w:hAnsi="Times New Roman" w:eastAsia="宋体"/>
                <w:b w:val="0"/>
                <w:bCs w:val="0"/>
                <w:snapToGrid w:val="0"/>
                <w:color w:val="auto"/>
                <w:spacing w:val="-6"/>
                <w:kern w:val="21"/>
                <w:sz w:val="21"/>
                <w:szCs w:val="21"/>
                <w:highlight w:val="none"/>
              </w:rPr>
              <w:t>产生量</w:t>
            </w:r>
            <w:r>
              <w:rPr>
                <w:rFonts w:hint="eastAsia" w:ascii="Times New Roman" w:hAnsi="Times New Roman" w:eastAsia="宋体" w:cs="宋体"/>
                <w:b w:val="0"/>
                <w:bCs w:val="0"/>
                <w:snapToGrid w:val="0"/>
                <w:color w:val="auto"/>
                <w:kern w:val="21"/>
                <w:sz w:val="21"/>
                <w:szCs w:val="21"/>
                <w:highlight w:val="none"/>
                <w:lang w:val="en-US" w:eastAsia="zh-CN"/>
              </w:rPr>
              <w:t>t/a</w:t>
            </w:r>
            <w:r>
              <w:rPr>
                <w:rFonts w:ascii="Times New Roman" w:hAnsi="Times New Roman" w:eastAsia="宋体"/>
                <w:b w:val="0"/>
                <w:bCs w:val="0"/>
                <w:snapToGrid w:val="0"/>
                <w:color w:val="auto"/>
                <w:spacing w:val="-6"/>
                <w:kern w:val="21"/>
                <w:sz w:val="21"/>
                <w:szCs w:val="21"/>
                <w:highlight w:val="none"/>
              </w:rPr>
              <w:t>）</w:t>
            </w:r>
            <w:r>
              <w:rPr>
                <w:rFonts w:ascii="Times New Roman" w:hAnsi="Times New Roman" w:eastAsia="宋体"/>
                <w:b w:val="0"/>
                <w:bCs w:val="0"/>
                <w:snapToGrid w:val="0"/>
                <w:color w:val="auto"/>
                <w:spacing w:val="-6"/>
                <w:kern w:val="21"/>
                <w:sz w:val="21"/>
                <w:szCs w:val="21"/>
                <w:highlight w:val="none"/>
              </w:rPr>
              <w:fldChar w:fldCharType="begin"/>
            </w:r>
            <w:r>
              <w:rPr>
                <w:rFonts w:ascii="Times New Roman" w:hAnsi="Times New Roman" w:eastAsia="宋体"/>
                <w:b w:val="0"/>
                <w:bCs w:val="0"/>
                <w:snapToGrid w:val="0"/>
                <w:color w:val="auto"/>
                <w:spacing w:val="-6"/>
                <w:kern w:val="21"/>
                <w:sz w:val="21"/>
                <w:szCs w:val="21"/>
                <w:highlight w:val="none"/>
              </w:rPr>
              <w:instrText xml:space="preserve"> = 4 \* GB3 \* MERGEFORMAT </w:instrText>
            </w:r>
            <w:r>
              <w:rPr>
                <w:rFonts w:ascii="Times New Roman" w:hAnsi="Times New Roman" w:eastAsia="宋体"/>
                <w:b w:val="0"/>
                <w:bCs w:val="0"/>
                <w:snapToGrid w:val="0"/>
                <w:color w:val="auto"/>
                <w:spacing w:val="-6"/>
                <w:kern w:val="21"/>
                <w:sz w:val="21"/>
                <w:szCs w:val="21"/>
                <w:highlight w:val="none"/>
              </w:rPr>
              <w:fldChar w:fldCharType="separate"/>
            </w:r>
            <w:r>
              <w:rPr>
                <w:rFonts w:hint="eastAsia" w:ascii="Times New Roman" w:hAnsi="Times New Roman" w:eastAsia="宋体" w:cs="宋体"/>
                <w:b w:val="0"/>
                <w:bCs w:val="0"/>
                <w:color w:val="auto"/>
                <w:kern w:val="2"/>
                <w:sz w:val="21"/>
                <w:szCs w:val="21"/>
                <w:highlight w:val="none"/>
              </w:rPr>
              <w:t>④</w:t>
            </w:r>
            <w:r>
              <w:rPr>
                <w:rFonts w:ascii="Times New Roman" w:hAnsi="Times New Roman" w:eastAsia="宋体"/>
                <w:b w:val="0"/>
                <w:bCs w:val="0"/>
                <w:snapToGrid w:val="0"/>
                <w:color w:val="auto"/>
                <w:spacing w:val="-6"/>
                <w:kern w:val="21"/>
                <w:sz w:val="21"/>
                <w:szCs w:val="21"/>
                <w:highlight w:val="none"/>
              </w:rPr>
              <w:fldChar w:fldCharType="end"/>
            </w:r>
          </w:p>
        </w:tc>
        <w:tc>
          <w:tcPr>
            <w:tcW w:w="1697" w:type="dxa"/>
            <w:tcBorders>
              <w:tl2br w:val="nil"/>
              <w:tr2bl w:val="nil"/>
            </w:tcBorders>
            <w:noWrap w:val="0"/>
            <w:tcMar>
              <w:left w:w="28" w:type="dxa"/>
              <w:right w:w="28" w:type="dxa"/>
            </w:tcMar>
            <w:vAlign w:val="center"/>
          </w:tcPr>
          <w:p w14:paraId="76BA02CD">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b w:val="0"/>
                <w:bCs w:val="0"/>
                <w:snapToGrid w:val="0"/>
                <w:color w:val="auto"/>
                <w:spacing w:val="-16"/>
                <w:kern w:val="21"/>
                <w:sz w:val="21"/>
                <w:szCs w:val="21"/>
                <w:highlight w:val="none"/>
              </w:rPr>
            </w:pPr>
            <w:r>
              <w:rPr>
                <w:rFonts w:ascii="Times New Roman" w:hAnsi="Times New Roman" w:eastAsia="宋体"/>
                <w:b w:val="0"/>
                <w:bCs w:val="0"/>
                <w:snapToGrid w:val="0"/>
                <w:color w:val="auto"/>
                <w:spacing w:val="-16"/>
                <w:kern w:val="21"/>
                <w:sz w:val="21"/>
                <w:szCs w:val="21"/>
                <w:highlight w:val="none"/>
              </w:rPr>
              <w:t>以新带老削减量</w:t>
            </w:r>
          </w:p>
          <w:p w14:paraId="6F74A600">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ascii="Times New Roman" w:hAnsi="Times New Roman" w:eastAsia="宋体"/>
                <w:b w:val="0"/>
                <w:bCs w:val="0"/>
                <w:snapToGrid w:val="0"/>
                <w:color w:val="auto"/>
                <w:spacing w:val="-16"/>
                <w:kern w:val="21"/>
                <w:sz w:val="21"/>
                <w:szCs w:val="21"/>
                <w:highlight w:val="none"/>
              </w:rPr>
            </w:pPr>
            <w:r>
              <w:rPr>
                <w:rFonts w:ascii="Times New Roman" w:hAnsi="Times New Roman" w:eastAsia="宋体"/>
                <w:b w:val="0"/>
                <w:bCs w:val="0"/>
                <w:snapToGrid w:val="0"/>
                <w:color w:val="auto"/>
                <w:spacing w:val="-16"/>
                <w:kern w:val="21"/>
                <w:sz w:val="21"/>
                <w:szCs w:val="21"/>
                <w:highlight w:val="none"/>
              </w:rPr>
              <w:t>（新建项目不填</w:t>
            </w:r>
            <w:r>
              <w:rPr>
                <w:rFonts w:hint="eastAsia" w:ascii="Times New Roman" w:hAnsi="Times New Roman" w:eastAsia="宋体" w:cs="宋体"/>
                <w:b w:val="0"/>
                <w:bCs w:val="0"/>
                <w:snapToGrid w:val="0"/>
                <w:color w:val="auto"/>
                <w:kern w:val="21"/>
                <w:sz w:val="21"/>
                <w:szCs w:val="21"/>
                <w:highlight w:val="none"/>
                <w:lang w:val="en-US" w:eastAsia="zh-CN"/>
              </w:rPr>
              <w:t>t/a</w:t>
            </w:r>
            <w:r>
              <w:rPr>
                <w:rFonts w:ascii="Times New Roman" w:hAnsi="Times New Roman" w:eastAsia="宋体"/>
                <w:b w:val="0"/>
                <w:bCs w:val="0"/>
                <w:snapToGrid w:val="0"/>
                <w:color w:val="auto"/>
                <w:spacing w:val="-16"/>
                <w:kern w:val="21"/>
                <w:sz w:val="21"/>
                <w:szCs w:val="21"/>
                <w:highlight w:val="none"/>
              </w:rPr>
              <w:t>）</w:t>
            </w:r>
            <w:r>
              <w:rPr>
                <w:rFonts w:ascii="Times New Roman" w:hAnsi="Times New Roman" w:eastAsia="宋体"/>
                <w:b w:val="0"/>
                <w:bCs w:val="0"/>
                <w:snapToGrid w:val="0"/>
                <w:color w:val="auto"/>
                <w:spacing w:val="-16"/>
                <w:kern w:val="21"/>
                <w:sz w:val="21"/>
                <w:szCs w:val="21"/>
                <w:highlight w:val="none"/>
              </w:rPr>
              <w:fldChar w:fldCharType="begin"/>
            </w:r>
            <w:r>
              <w:rPr>
                <w:rFonts w:ascii="Times New Roman" w:hAnsi="Times New Roman" w:eastAsia="宋体"/>
                <w:b w:val="0"/>
                <w:bCs w:val="0"/>
                <w:snapToGrid w:val="0"/>
                <w:color w:val="auto"/>
                <w:spacing w:val="-16"/>
                <w:kern w:val="21"/>
                <w:sz w:val="21"/>
                <w:szCs w:val="21"/>
                <w:highlight w:val="none"/>
              </w:rPr>
              <w:instrText xml:space="preserve"> = 5 \* GB3 \* MERGEFORMAT </w:instrText>
            </w:r>
            <w:r>
              <w:rPr>
                <w:rFonts w:ascii="Times New Roman" w:hAnsi="Times New Roman" w:eastAsia="宋体"/>
                <w:b w:val="0"/>
                <w:bCs w:val="0"/>
                <w:snapToGrid w:val="0"/>
                <w:color w:val="auto"/>
                <w:spacing w:val="-16"/>
                <w:kern w:val="21"/>
                <w:sz w:val="21"/>
                <w:szCs w:val="21"/>
                <w:highlight w:val="none"/>
              </w:rPr>
              <w:fldChar w:fldCharType="separate"/>
            </w:r>
            <w:r>
              <w:rPr>
                <w:rFonts w:hint="eastAsia" w:ascii="Times New Roman" w:hAnsi="Times New Roman" w:eastAsia="宋体" w:cs="宋体"/>
                <w:b w:val="0"/>
                <w:bCs w:val="0"/>
                <w:color w:val="auto"/>
                <w:kern w:val="2"/>
                <w:sz w:val="21"/>
                <w:szCs w:val="21"/>
                <w:highlight w:val="none"/>
              </w:rPr>
              <w:t>⑤</w:t>
            </w:r>
            <w:r>
              <w:rPr>
                <w:rFonts w:ascii="Times New Roman" w:hAnsi="Times New Roman" w:eastAsia="宋体"/>
                <w:b w:val="0"/>
                <w:bCs w:val="0"/>
                <w:snapToGrid w:val="0"/>
                <w:color w:val="auto"/>
                <w:spacing w:val="-16"/>
                <w:kern w:val="21"/>
                <w:sz w:val="21"/>
                <w:szCs w:val="21"/>
                <w:highlight w:val="none"/>
              </w:rPr>
              <w:fldChar w:fldCharType="end"/>
            </w:r>
          </w:p>
        </w:tc>
        <w:tc>
          <w:tcPr>
            <w:tcW w:w="1680" w:type="dxa"/>
            <w:tcBorders>
              <w:tl2br w:val="nil"/>
              <w:tr2bl w:val="nil"/>
            </w:tcBorders>
            <w:noWrap w:val="0"/>
            <w:tcMar>
              <w:left w:w="28" w:type="dxa"/>
              <w:right w:w="28" w:type="dxa"/>
            </w:tcMar>
            <w:vAlign w:val="center"/>
          </w:tcPr>
          <w:p w14:paraId="411F093B">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ascii="Times New Roman" w:hAnsi="Times New Roman" w:eastAsia="宋体"/>
                <w:b w:val="0"/>
                <w:bCs w:val="0"/>
                <w:snapToGrid w:val="0"/>
                <w:color w:val="auto"/>
                <w:spacing w:val="-16"/>
                <w:kern w:val="21"/>
                <w:sz w:val="21"/>
                <w:szCs w:val="21"/>
                <w:highlight w:val="none"/>
              </w:rPr>
            </w:pPr>
            <w:r>
              <w:rPr>
                <w:rFonts w:ascii="Times New Roman" w:hAnsi="Times New Roman" w:eastAsia="宋体"/>
                <w:b w:val="0"/>
                <w:bCs w:val="0"/>
                <w:snapToGrid w:val="0"/>
                <w:color w:val="auto"/>
                <w:spacing w:val="-16"/>
                <w:kern w:val="21"/>
                <w:sz w:val="21"/>
                <w:szCs w:val="21"/>
                <w:highlight w:val="none"/>
              </w:rPr>
              <w:t>本项目建成后</w:t>
            </w:r>
            <w:r>
              <w:rPr>
                <w:rFonts w:hint="eastAsia" w:ascii="Times New Roman" w:hAnsi="Times New Roman" w:eastAsia="宋体"/>
                <w:b w:val="0"/>
                <w:bCs w:val="0"/>
                <w:snapToGrid w:val="0"/>
                <w:color w:val="auto"/>
                <w:spacing w:val="-16"/>
                <w:kern w:val="21"/>
                <w:sz w:val="21"/>
                <w:szCs w:val="21"/>
                <w:highlight w:val="none"/>
              </w:rPr>
              <w:t>全厂</w:t>
            </w:r>
            <w:r>
              <w:rPr>
                <w:rFonts w:ascii="Times New Roman" w:hAnsi="Times New Roman" w:eastAsia="宋体"/>
                <w:b w:val="0"/>
                <w:bCs w:val="0"/>
                <w:snapToGrid w:val="0"/>
                <w:color w:val="auto"/>
                <w:spacing w:val="-16"/>
                <w:kern w:val="21"/>
                <w:sz w:val="21"/>
                <w:szCs w:val="21"/>
                <w:highlight w:val="none"/>
              </w:rPr>
              <w:t>排放量（固</w:t>
            </w:r>
            <w:r>
              <w:rPr>
                <w:rFonts w:hint="eastAsia" w:ascii="Times New Roman" w:hAnsi="Times New Roman" w:eastAsia="宋体"/>
                <w:b w:val="0"/>
                <w:bCs w:val="0"/>
                <w:snapToGrid w:val="0"/>
                <w:color w:val="auto"/>
                <w:spacing w:val="-16"/>
                <w:kern w:val="21"/>
                <w:sz w:val="21"/>
                <w:szCs w:val="21"/>
                <w:highlight w:val="none"/>
              </w:rPr>
              <w:t>体</w:t>
            </w:r>
            <w:r>
              <w:rPr>
                <w:rFonts w:ascii="Times New Roman" w:hAnsi="Times New Roman" w:eastAsia="宋体"/>
                <w:b w:val="0"/>
                <w:bCs w:val="0"/>
                <w:snapToGrid w:val="0"/>
                <w:color w:val="auto"/>
                <w:spacing w:val="-16"/>
                <w:kern w:val="21"/>
                <w:sz w:val="21"/>
                <w:szCs w:val="21"/>
                <w:highlight w:val="none"/>
              </w:rPr>
              <w:t>废</w:t>
            </w:r>
            <w:r>
              <w:rPr>
                <w:rFonts w:hint="eastAsia" w:ascii="Times New Roman" w:hAnsi="Times New Roman" w:eastAsia="宋体"/>
                <w:b w:val="0"/>
                <w:bCs w:val="0"/>
                <w:snapToGrid w:val="0"/>
                <w:color w:val="auto"/>
                <w:spacing w:val="-16"/>
                <w:kern w:val="21"/>
                <w:sz w:val="21"/>
                <w:szCs w:val="21"/>
                <w:highlight w:val="none"/>
              </w:rPr>
              <w:t>物</w:t>
            </w:r>
            <w:r>
              <w:rPr>
                <w:rFonts w:ascii="Times New Roman" w:hAnsi="Times New Roman" w:eastAsia="宋体"/>
                <w:b w:val="0"/>
                <w:bCs w:val="0"/>
                <w:snapToGrid w:val="0"/>
                <w:color w:val="auto"/>
                <w:spacing w:val="-16"/>
                <w:kern w:val="21"/>
                <w:sz w:val="21"/>
                <w:szCs w:val="21"/>
                <w:highlight w:val="none"/>
              </w:rPr>
              <w:t>产生量</w:t>
            </w:r>
            <w:r>
              <w:rPr>
                <w:rFonts w:hint="eastAsia" w:ascii="Times New Roman" w:hAnsi="Times New Roman" w:eastAsia="宋体" w:cs="宋体"/>
                <w:b w:val="0"/>
                <w:bCs w:val="0"/>
                <w:snapToGrid w:val="0"/>
                <w:color w:val="auto"/>
                <w:kern w:val="21"/>
                <w:sz w:val="21"/>
                <w:szCs w:val="21"/>
                <w:highlight w:val="none"/>
                <w:lang w:val="en-US" w:eastAsia="zh-CN"/>
              </w:rPr>
              <w:t>t/a</w:t>
            </w:r>
            <w:r>
              <w:rPr>
                <w:rFonts w:ascii="Times New Roman" w:hAnsi="Times New Roman" w:eastAsia="宋体"/>
                <w:b w:val="0"/>
                <w:bCs w:val="0"/>
                <w:snapToGrid w:val="0"/>
                <w:color w:val="auto"/>
                <w:spacing w:val="-16"/>
                <w:kern w:val="21"/>
                <w:sz w:val="21"/>
                <w:szCs w:val="21"/>
                <w:highlight w:val="none"/>
              </w:rPr>
              <w:t>）</w:t>
            </w:r>
            <w:r>
              <w:rPr>
                <w:rFonts w:ascii="Times New Roman" w:hAnsi="Times New Roman" w:eastAsia="宋体"/>
                <w:b w:val="0"/>
                <w:bCs w:val="0"/>
                <w:snapToGrid w:val="0"/>
                <w:color w:val="auto"/>
                <w:spacing w:val="-16"/>
                <w:kern w:val="21"/>
                <w:sz w:val="21"/>
                <w:szCs w:val="21"/>
                <w:highlight w:val="none"/>
              </w:rPr>
              <w:fldChar w:fldCharType="begin"/>
            </w:r>
            <w:r>
              <w:rPr>
                <w:rFonts w:ascii="Times New Roman" w:hAnsi="Times New Roman" w:eastAsia="宋体"/>
                <w:b w:val="0"/>
                <w:bCs w:val="0"/>
                <w:snapToGrid w:val="0"/>
                <w:color w:val="auto"/>
                <w:spacing w:val="-16"/>
                <w:kern w:val="21"/>
                <w:sz w:val="21"/>
                <w:szCs w:val="21"/>
                <w:highlight w:val="none"/>
              </w:rPr>
              <w:instrText xml:space="preserve"> = 6 \* GB3 \* MERGEFORMAT </w:instrText>
            </w:r>
            <w:r>
              <w:rPr>
                <w:rFonts w:ascii="Times New Roman" w:hAnsi="Times New Roman" w:eastAsia="宋体"/>
                <w:b w:val="0"/>
                <w:bCs w:val="0"/>
                <w:snapToGrid w:val="0"/>
                <w:color w:val="auto"/>
                <w:spacing w:val="-16"/>
                <w:kern w:val="21"/>
                <w:sz w:val="21"/>
                <w:szCs w:val="21"/>
                <w:highlight w:val="none"/>
              </w:rPr>
              <w:fldChar w:fldCharType="separate"/>
            </w:r>
            <w:r>
              <w:rPr>
                <w:rFonts w:hint="eastAsia" w:ascii="Times New Roman" w:hAnsi="Times New Roman" w:eastAsia="宋体" w:cs="宋体"/>
                <w:b w:val="0"/>
                <w:bCs w:val="0"/>
                <w:color w:val="auto"/>
                <w:kern w:val="2"/>
                <w:sz w:val="21"/>
                <w:szCs w:val="21"/>
                <w:highlight w:val="none"/>
              </w:rPr>
              <w:t>⑥</w:t>
            </w:r>
            <w:r>
              <w:rPr>
                <w:rFonts w:ascii="Times New Roman" w:hAnsi="Times New Roman" w:eastAsia="宋体"/>
                <w:b w:val="0"/>
                <w:bCs w:val="0"/>
                <w:snapToGrid w:val="0"/>
                <w:color w:val="auto"/>
                <w:spacing w:val="-16"/>
                <w:kern w:val="21"/>
                <w:sz w:val="21"/>
                <w:szCs w:val="21"/>
                <w:highlight w:val="none"/>
              </w:rPr>
              <w:fldChar w:fldCharType="end"/>
            </w:r>
          </w:p>
        </w:tc>
        <w:tc>
          <w:tcPr>
            <w:tcW w:w="1202" w:type="dxa"/>
            <w:tcBorders>
              <w:tl2br w:val="nil"/>
              <w:tr2bl w:val="nil"/>
            </w:tcBorders>
            <w:noWrap w:val="0"/>
            <w:tcMar>
              <w:left w:w="28" w:type="dxa"/>
              <w:right w:w="28" w:type="dxa"/>
            </w:tcMar>
            <w:vAlign w:val="center"/>
          </w:tcPr>
          <w:p w14:paraId="736EC3A9">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ascii="Times New Roman" w:hAnsi="Times New Roman" w:eastAsia="宋体"/>
                <w:b w:val="0"/>
                <w:bCs w:val="0"/>
                <w:snapToGrid w:val="0"/>
                <w:color w:val="auto"/>
                <w:spacing w:val="-6"/>
                <w:kern w:val="21"/>
                <w:sz w:val="21"/>
                <w:szCs w:val="21"/>
                <w:highlight w:val="none"/>
              </w:rPr>
            </w:pPr>
            <w:r>
              <w:rPr>
                <w:rFonts w:ascii="Times New Roman" w:hAnsi="Times New Roman" w:eastAsia="宋体"/>
                <w:b w:val="0"/>
                <w:bCs w:val="0"/>
                <w:snapToGrid w:val="0"/>
                <w:color w:val="auto"/>
                <w:spacing w:val="-6"/>
                <w:kern w:val="21"/>
                <w:sz w:val="21"/>
                <w:szCs w:val="21"/>
                <w:highlight w:val="none"/>
              </w:rPr>
              <w:t>变化量</w:t>
            </w:r>
            <w:r>
              <w:rPr>
                <w:rFonts w:hint="eastAsia" w:ascii="Times New Roman" w:hAnsi="Times New Roman" w:eastAsia="宋体" w:cs="宋体"/>
                <w:b w:val="0"/>
                <w:bCs w:val="0"/>
                <w:snapToGrid w:val="0"/>
                <w:color w:val="auto"/>
                <w:kern w:val="21"/>
                <w:sz w:val="21"/>
                <w:szCs w:val="21"/>
                <w:highlight w:val="none"/>
                <w:lang w:val="en-US" w:eastAsia="zh-CN"/>
              </w:rPr>
              <w:t>t/a</w:t>
            </w:r>
            <w:r>
              <w:rPr>
                <w:rFonts w:ascii="Times New Roman" w:hAnsi="Times New Roman" w:eastAsia="宋体"/>
                <w:b w:val="0"/>
                <w:bCs w:val="0"/>
                <w:snapToGrid w:val="0"/>
                <w:color w:val="auto"/>
                <w:spacing w:val="-6"/>
                <w:kern w:val="21"/>
                <w:sz w:val="21"/>
                <w:szCs w:val="21"/>
                <w:highlight w:val="none"/>
              </w:rPr>
              <w:fldChar w:fldCharType="begin"/>
            </w:r>
            <w:r>
              <w:rPr>
                <w:rFonts w:ascii="Times New Roman" w:hAnsi="Times New Roman" w:eastAsia="宋体"/>
                <w:b w:val="0"/>
                <w:bCs w:val="0"/>
                <w:snapToGrid w:val="0"/>
                <w:color w:val="auto"/>
                <w:spacing w:val="-6"/>
                <w:kern w:val="21"/>
                <w:sz w:val="21"/>
                <w:szCs w:val="21"/>
                <w:highlight w:val="none"/>
              </w:rPr>
              <w:instrText xml:space="preserve"> = 7 \* GB3 \* MERGEFORMAT </w:instrText>
            </w:r>
            <w:r>
              <w:rPr>
                <w:rFonts w:ascii="Times New Roman" w:hAnsi="Times New Roman" w:eastAsia="宋体"/>
                <w:b w:val="0"/>
                <w:bCs w:val="0"/>
                <w:snapToGrid w:val="0"/>
                <w:color w:val="auto"/>
                <w:spacing w:val="-6"/>
                <w:kern w:val="21"/>
                <w:sz w:val="21"/>
                <w:szCs w:val="21"/>
                <w:highlight w:val="none"/>
              </w:rPr>
              <w:fldChar w:fldCharType="separate"/>
            </w:r>
            <w:r>
              <w:rPr>
                <w:rFonts w:hint="eastAsia" w:ascii="Times New Roman" w:hAnsi="Times New Roman" w:eastAsia="宋体" w:cs="宋体"/>
                <w:b w:val="0"/>
                <w:bCs w:val="0"/>
                <w:color w:val="auto"/>
                <w:kern w:val="2"/>
                <w:sz w:val="21"/>
                <w:szCs w:val="21"/>
                <w:highlight w:val="none"/>
              </w:rPr>
              <w:t>⑦</w:t>
            </w:r>
            <w:r>
              <w:rPr>
                <w:rFonts w:ascii="Times New Roman" w:hAnsi="Times New Roman" w:eastAsia="宋体"/>
                <w:b w:val="0"/>
                <w:bCs w:val="0"/>
                <w:snapToGrid w:val="0"/>
                <w:color w:val="auto"/>
                <w:spacing w:val="-6"/>
                <w:kern w:val="21"/>
                <w:sz w:val="21"/>
                <w:szCs w:val="21"/>
                <w:highlight w:val="none"/>
              </w:rPr>
              <w:fldChar w:fldCharType="end"/>
            </w:r>
          </w:p>
        </w:tc>
      </w:tr>
      <w:tr w14:paraId="18E8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9" w:type="dxa"/>
            <w:vMerge w:val="restart"/>
            <w:tcBorders>
              <w:tl2br w:val="nil"/>
              <w:tr2bl w:val="nil"/>
            </w:tcBorders>
            <w:noWrap w:val="0"/>
            <w:vAlign w:val="center"/>
          </w:tcPr>
          <w:p w14:paraId="79A9819F">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r>
              <w:rPr>
                <w:rFonts w:hint="eastAsia" w:ascii="Times New Roman" w:hAnsi="Times New Roman" w:eastAsia="宋体" w:cs="宋体"/>
                <w:b w:val="0"/>
                <w:bCs w:val="0"/>
                <w:snapToGrid w:val="0"/>
                <w:color w:val="auto"/>
                <w:kern w:val="21"/>
                <w:sz w:val="21"/>
                <w:szCs w:val="21"/>
                <w:highlight w:val="none"/>
              </w:rPr>
              <w:t>废气</w:t>
            </w:r>
          </w:p>
        </w:tc>
        <w:tc>
          <w:tcPr>
            <w:tcW w:w="2024" w:type="dxa"/>
            <w:tcBorders>
              <w:tl2br w:val="nil"/>
              <w:tr2bl w:val="nil"/>
            </w:tcBorders>
            <w:noWrap w:val="0"/>
            <w:vAlign w:val="center"/>
          </w:tcPr>
          <w:p w14:paraId="124A91B3">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default" w:ascii="Times New Roman" w:hAnsi="Times New Roman" w:eastAsia="宋体" w:cs="Times New Roman"/>
                <w:b w:val="0"/>
                <w:bCs w:val="0"/>
                <w:snapToGrid w:val="0"/>
                <w:color w:val="auto"/>
                <w:kern w:val="21"/>
                <w:sz w:val="21"/>
                <w:szCs w:val="21"/>
                <w:highlight w:val="none"/>
                <w:lang w:val="en-US" w:eastAsia="zh-CN"/>
              </w:rPr>
              <w:t>颗粒物</w:t>
            </w:r>
          </w:p>
        </w:tc>
        <w:tc>
          <w:tcPr>
            <w:tcW w:w="1447" w:type="dxa"/>
            <w:tcBorders>
              <w:tl2br w:val="nil"/>
              <w:tr2bl w:val="nil"/>
            </w:tcBorders>
            <w:noWrap w:val="0"/>
            <w:vAlign w:val="center"/>
          </w:tcPr>
          <w:p w14:paraId="54B846E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cs="Times New Roman"/>
                <w:b w:val="0"/>
                <w:bCs w:val="0"/>
                <w:snapToGrid w:val="0"/>
                <w:color w:val="auto"/>
                <w:kern w:val="21"/>
                <w:sz w:val="21"/>
                <w:szCs w:val="21"/>
                <w:highlight w:val="none"/>
                <w:lang w:val="en-US" w:eastAsia="zh-CN"/>
              </w:rPr>
              <w:t>0.12</w:t>
            </w:r>
          </w:p>
        </w:tc>
        <w:tc>
          <w:tcPr>
            <w:tcW w:w="1280" w:type="dxa"/>
            <w:tcBorders>
              <w:tl2br w:val="nil"/>
              <w:tr2bl w:val="nil"/>
            </w:tcBorders>
            <w:noWrap w:val="0"/>
            <w:vAlign w:val="center"/>
          </w:tcPr>
          <w:p w14:paraId="6A93B9C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6A5E270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10C50DD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0.542</w:t>
            </w:r>
          </w:p>
        </w:tc>
        <w:tc>
          <w:tcPr>
            <w:tcW w:w="1697" w:type="dxa"/>
            <w:tcBorders>
              <w:tl2br w:val="nil"/>
              <w:tr2bl w:val="nil"/>
            </w:tcBorders>
            <w:noWrap w:val="0"/>
            <w:vAlign w:val="center"/>
          </w:tcPr>
          <w:p w14:paraId="38E57F6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cs="Times New Roman"/>
                <w:b w:val="0"/>
                <w:bCs w:val="0"/>
                <w:snapToGrid w:val="0"/>
                <w:color w:val="auto"/>
                <w:kern w:val="21"/>
                <w:sz w:val="21"/>
                <w:szCs w:val="21"/>
                <w:highlight w:val="none"/>
                <w:lang w:val="en-US" w:eastAsia="zh-CN"/>
              </w:rPr>
              <w:t>0.12</w:t>
            </w:r>
          </w:p>
        </w:tc>
        <w:tc>
          <w:tcPr>
            <w:tcW w:w="1680" w:type="dxa"/>
            <w:tcBorders>
              <w:tl2br w:val="nil"/>
              <w:tr2bl w:val="nil"/>
            </w:tcBorders>
            <w:noWrap w:val="0"/>
            <w:vAlign w:val="center"/>
          </w:tcPr>
          <w:p w14:paraId="30951CB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0.542</w:t>
            </w:r>
          </w:p>
        </w:tc>
        <w:tc>
          <w:tcPr>
            <w:tcW w:w="1202" w:type="dxa"/>
            <w:tcBorders>
              <w:tl2br w:val="nil"/>
              <w:tr2bl w:val="nil"/>
            </w:tcBorders>
            <w:noWrap w:val="0"/>
            <w:vAlign w:val="center"/>
          </w:tcPr>
          <w:p w14:paraId="0719509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+0.422</w:t>
            </w:r>
          </w:p>
        </w:tc>
      </w:tr>
      <w:tr w14:paraId="0584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019" w:type="dxa"/>
            <w:vMerge w:val="continue"/>
            <w:tcBorders>
              <w:tl2br w:val="nil"/>
              <w:tr2bl w:val="nil"/>
            </w:tcBorders>
            <w:noWrap w:val="0"/>
            <w:vAlign w:val="center"/>
          </w:tcPr>
          <w:p w14:paraId="0B10D705">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64302D71">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VOCs</w:t>
            </w:r>
          </w:p>
        </w:tc>
        <w:tc>
          <w:tcPr>
            <w:tcW w:w="1447" w:type="dxa"/>
            <w:tcBorders>
              <w:tl2br w:val="nil"/>
              <w:tr2bl w:val="nil"/>
            </w:tcBorders>
            <w:noWrap w:val="0"/>
            <w:vAlign w:val="center"/>
          </w:tcPr>
          <w:p w14:paraId="2721F4B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3C547BDE">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26F2F679">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21B38E2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0.158</w:t>
            </w:r>
          </w:p>
        </w:tc>
        <w:tc>
          <w:tcPr>
            <w:tcW w:w="1697" w:type="dxa"/>
            <w:tcBorders>
              <w:tl2br w:val="nil"/>
              <w:tr2bl w:val="nil"/>
            </w:tcBorders>
            <w:noWrap w:val="0"/>
            <w:vAlign w:val="center"/>
          </w:tcPr>
          <w:p w14:paraId="6D35269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7C36898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0.158</w:t>
            </w:r>
          </w:p>
        </w:tc>
        <w:tc>
          <w:tcPr>
            <w:tcW w:w="1202" w:type="dxa"/>
            <w:tcBorders>
              <w:tl2br w:val="nil"/>
              <w:tr2bl w:val="nil"/>
            </w:tcBorders>
            <w:noWrap w:val="0"/>
            <w:vAlign w:val="center"/>
          </w:tcPr>
          <w:p w14:paraId="42D587F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+0.158</w:t>
            </w:r>
          </w:p>
        </w:tc>
      </w:tr>
      <w:tr w14:paraId="0A04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019" w:type="dxa"/>
            <w:vMerge w:val="continue"/>
            <w:tcBorders>
              <w:tl2br w:val="nil"/>
              <w:tr2bl w:val="nil"/>
            </w:tcBorders>
            <w:noWrap w:val="0"/>
            <w:vAlign w:val="center"/>
          </w:tcPr>
          <w:p w14:paraId="57114030">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4E866ECF">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氯化氢</w:t>
            </w:r>
          </w:p>
        </w:tc>
        <w:tc>
          <w:tcPr>
            <w:tcW w:w="1447" w:type="dxa"/>
            <w:tcBorders>
              <w:tl2br w:val="nil"/>
              <w:tr2bl w:val="nil"/>
            </w:tcBorders>
            <w:noWrap w:val="0"/>
            <w:vAlign w:val="center"/>
          </w:tcPr>
          <w:p w14:paraId="64BC5CA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1.728</w:t>
            </w:r>
          </w:p>
        </w:tc>
        <w:tc>
          <w:tcPr>
            <w:tcW w:w="1280" w:type="dxa"/>
            <w:tcBorders>
              <w:tl2br w:val="nil"/>
              <w:tr2bl w:val="nil"/>
            </w:tcBorders>
            <w:noWrap w:val="0"/>
            <w:vAlign w:val="center"/>
          </w:tcPr>
          <w:p w14:paraId="530C9FA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1581256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4398C84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w:t>
            </w:r>
          </w:p>
        </w:tc>
        <w:tc>
          <w:tcPr>
            <w:tcW w:w="1697" w:type="dxa"/>
            <w:tcBorders>
              <w:tl2br w:val="nil"/>
              <w:tr2bl w:val="nil"/>
            </w:tcBorders>
            <w:noWrap w:val="0"/>
            <w:vAlign w:val="center"/>
          </w:tcPr>
          <w:p w14:paraId="2F7949B0">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1.728</w:t>
            </w:r>
          </w:p>
        </w:tc>
        <w:tc>
          <w:tcPr>
            <w:tcW w:w="1680" w:type="dxa"/>
            <w:tcBorders>
              <w:tl2br w:val="nil"/>
              <w:tr2bl w:val="nil"/>
            </w:tcBorders>
            <w:noWrap w:val="0"/>
            <w:vAlign w:val="center"/>
          </w:tcPr>
          <w:p w14:paraId="07D4BA7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w:t>
            </w:r>
          </w:p>
        </w:tc>
        <w:tc>
          <w:tcPr>
            <w:tcW w:w="1202" w:type="dxa"/>
            <w:tcBorders>
              <w:tl2br w:val="nil"/>
              <w:tr2bl w:val="nil"/>
            </w:tcBorders>
            <w:noWrap w:val="0"/>
            <w:vAlign w:val="center"/>
          </w:tcPr>
          <w:p w14:paraId="1BFDBF75">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-1.728</w:t>
            </w:r>
          </w:p>
        </w:tc>
      </w:tr>
      <w:tr w14:paraId="432E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19" w:type="dxa"/>
            <w:vMerge w:val="continue"/>
            <w:tcBorders>
              <w:tl2br w:val="nil"/>
              <w:tr2bl w:val="nil"/>
            </w:tcBorders>
            <w:noWrap w:val="0"/>
            <w:vAlign w:val="center"/>
          </w:tcPr>
          <w:p w14:paraId="709B788B">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2B86DD60">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氟化物</w:t>
            </w:r>
          </w:p>
        </w:tc>
        <w:tc>
          <w:tcPr>
            <w:tcW w:w="1447" w:type="dxa"/>
            <w:tcBorders>
              <w:tl2br w:val="nil"/>
              <w:tr2bl w:val="nil"/>
            </w:tcBorders>
            <w:noWrap w:val="0"/>
            <w:vAlign w:val="center"/>
          </w:tcPr>
          <w:p w14:paraId="26B5A89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0.021</w:t>
            </w:r>
          </w:p>
        </w:tc>
        <w:tc>
          <w:tcPr>
            <w:tcW w:w="1280" w:type="dxa"/>
            <w:tcBorders>
              <w:tl2br w:val="nil"/>
              <w:tr2bl w:val="nil"/>
            </w:tcBorders>
            <w:noWrap w:val="0"/>
            <w:vAlign w:val="center"/>
          </w:tcPr>
          <w:p w14:paraId="36C1E0B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76964C1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725954C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w:t>
            </w:r>
          </w:p>
        </w:tc>
        <w:tc>
          <w:tcPr>
            <w:tcW w:w="1697" w:type="dxa"/>
            <w:tcBorders>
              <w:tl2br w:val="nil"/>
              <w:tr2bl w:val="nil"/>
            </w:tcBorders>
            <w:noWrap w:val="0"/>
            <w:vAlign w:val="center"/>
          </w:tcPr>
          <w:p w14:paraId="6C950EE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0.021</w:t>
            </w:r>
          </w:p>
        </w:tc>
        <w:tc>
          <w:tcPr>
            <w:tcW w:w="1680" w:type="dxa"/>
            <w:tcBorders>
              <w:tl2br w:val="nil"/>
              <w:tr2bl w:val="nil"/>
            </w:tcBorders>
            <w:noWrap w:val="0"/>
            <w:vAlign w:val="center"/>
          </w:tcPr>
          <w:p w14:paraId="5BFDE4D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w:t>
            </w:r>
          </w:p>
        </w:tc>
        <w:tc>
          <w:tcPr>
            <w:tcW w:w="1202" w:type="dxa"/>
            <w:tcBorders>
              <w:tl2br w:val="nil"/>
              <w:tr2bl w:val="nil"/>
            </w:tcBorders>
            <w:noWrap w:val="0"/>
            <w:vAlign w:val="center"/>
          </w:tcPr>
          <w:p w14:paraId="0B8E1CF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-0.021</w:t>
            </w:r>
          </w:p>
        </w:tc>
      </w:tr>
      <w:tr w14:paraId="2EB7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019" w:type="dxa"/>
            <w:vMerge w:val="continue"/>
            <w:tcBorders>
              <w:tl2br w:val="nil"/>
              <w:tr2bl w:val="nil"/>
            </w:tcBorders>
            <w:noWrap w:val="0"/>
            <w:vAlign w:val="center"/>
          </w:tcPr>
          <w:p w14:paraId="4173827C">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5279919A">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硫酸雾</w:t>
            </w:r>
          </w:p>
        </w:tc>
        <w:tc>
          <w:tcPr>
            <w:tcW w:w="1447" w:type="dxa"/>
            <w:tcBorders>
              <w:tl2br w:val="nil"/>
              <w:tr2bl w:val="nil"/>
            </w:tcBorders>
            <w:noWrap w:val="0"/>
            <w:vAlign w:val="center"/>
          </w:tcPr>
          <w:p w14:paraId="1AD8733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2.112</w:t>
            </w:r>
          </w:p>
        </w:tc>
        <w:tc>
          <w:tcPr>
            <w:tcW w:w="1280" w:type="dxa"/>
            <w:tcBorders>
              <w:tl2br w:val="nil"/>
              <w:tr2bl w:val="nil"/>
            </w:tcBorders>
            <w:noWrap w:val="0"/>
            <w:vAlign w:val="center"/>
          </w:tcPr>
          <w:p w14:paraId="50AB000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6EA2D21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2BED5FC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w:t>
            </w:r>
          </w:p>
        </w:tc>
        <w:tc>
          <w:tcPr>
            <w:tcW w:w="1697" w:type="dxa"/>
            <w:tcBorders>
              <w:tl2br w:val="nil"/>
              <w:tr2bl w:val="nil"/>
            </w:tcBorders>
            <w:noWrap w:val="0"/>
            <w:vAlign w:val="center"/>
          </w:tcPr>
          <w:p w14:paraId="033FBC5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2.112</w:t>
            </w:r>
          </w:p>
        </w:tc>
        <w:tc>
          <w:tcPr>
            <w:tcW w:w="1680" w:type="dxa"/>
            <w:tcBorders>
              <w:tl2br w:val="nil"/>
              <w:tr2bl w:val="nil"/>
            </w:tcBorders>
            <w:noWrap w:val="0"/>
            <w:vAlign w:val="center"/>
          </w:tcPr>
          <w:p w14:paraId="397CD48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Times New Roman" w:hAnsi="Times New Roman" w:eastAsia="宋体" w:cs="Times New Roman"/>
                <w:b w:val="0"/>
                <w:bCs/>
                <w:i w:val="0"/>
                <w:iCs w:val="0"/>
                <w:color w:val="auto"/>
                <w:kern w:val="0"/>
                <w:sz w:val="21"/>
                <w:szCs w:val="21"/>
                <w:highlight w:val="none"/>
                <w:u w:val="none"/>
                <w:lang w:val="en-US" w:eastAsia="zh-CN" w:bidi="ar"/>
              </w:rPr>
            </w:pPr>
            <w:r>
              <w:rPr>
                <w:rFonts w:hint="eastAsia" w:ascii="Times New Roman" w:hAnsi="Times New Roman" w:eastAsia="宋体" w:cs="Times New Roman"/>
                <w:b w:val="0"/>
                <w:bCs/>
                <w:i w:val="0"/>
                <w:iCs w:val="0"/>
                <w:color w:val="auto"/>
                <w:kern w:val="0"/>
                <w:sz w:val="21"/>
                <w:szCs w:val="21"/>
                <w:highlight w:val="none"/>
                <w:u w:val="none"/>
                <w:lang w:val="en-US" w:eastAsia="zh-CN" w:bidi="ar"/>
              </w:rPr>
              <w:t>0</w:t>
            </w:r>
          </w:p>
        </w:tc>
        <w:tc>
          <w:tcPr>
            <w:tcW w:w="1202" w:type="dxa"/>
            <w:tcBorders>
              <w:tl2br w:val="nil"/>
              <w:tr2bl w:val="nil"/>
            </w:tcBorders>
            <w:noWrap w:val="0"/>
            <w:vAlign w:val="center"/>
          </w:tcPr>
          <w:p w14:paraId="512890F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-2.112</w:t>
            </w:r>
          </w:p>
        </w:tc>
      </w:tr>
      <w:tr w14:paraId="173A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19" w:type="dxa"/>
            <w:vMerge w:val="restart"/>
            <w:tcBorders>
              <w:tl2br w:val="nil"/>
              <w:tr2bl w:val="nil"/>
            </w:tcBorders>
            <w:noWrap w:val="0"/>
            <w:vAlign w:val="center"/>
          </w:tcPr>
          <w:p w14:paraId="2A62A983">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r>
              <w:rPr>
                <w:rFonts w:hint="eastAsia" w:ascii="Times New Roman" w:hAnsi="Times New Roman" w:eastAsia="宋体" w:cs="宋体"/>
                <w:b w:val="0"/>
                <w:bCs w:val="0"/>
                <w:snapToGrid w:val="0"/>
                <w:color w:val="auto"/>
                <w:kern w:val="21"/>
                <w:sz w:val="21"/>
                <w:szCs w:val="21"/>
                <w:highlight w:val="none"/>
              </w:rPr>
              <w:t>废水</w:t>
            </w:r>
          </w:p>
        </w:tc>
        <w:tc>
          <w:tcPr>
            <w:tcW w:w="2024" w:type="dxa"/>
            <w:tcBorders>
              <w:tl2br w:val="nil"/>
              <w:tr2bl w:val="nil"/>
            </w:tcBorders>
            <w:noWrap w:val="0"/>
            <w:vAlign w:val="center"/>
          </w:tcPr>
          <w:p w14:paraId="774E7229">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default" w:ascii="Times New Roman" w:hAnsi="Times New Roman" w:eastAsia="宋体" w:cs="Times New Roman"/>
                <w:b w:val="0"/>
                <w:bCs w:val="0"/>
                <w:snapToGrid w:val="0"/>
                <w:color w:val="auto"/>
                <w:kern w:val="21"/>
                <w:sz w:val="21"/>
                <w:szCs w:val="21"/>
                <w:highlight w:val="none"/>
                <w:lang w:val="en-US" w:eastAsia="zh-CN"/>
              </w:rPr>
              <w:t>COD</w:t>
            </w:r>
          </w:p>
        </w:tc>
        <w:tc>
          <w:tcPr>
            <w:tcW w:w="1447" w:type="dxa"/>
            <w:tcBorders>
              <w:tl2br w:val="nil"/>
              <w:tr2bl w:val="nil"/>
            </w:tcBorders>
            <w:noWrap w:val="0"/>
            <w:vAlign w:val="center"/>
          </w:tcPr>
          <w:p w14:paraId="3FA73AF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682B93F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1D0D963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3217C30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97" w:type="dxa"/>
            <w:tcBorders>
              <w:tl2br w:val="nil"/>
              <w:tr2bl w:val="nil"/>
            </w:tcBorders>
            <w:noWrap w:val="0"/>
            <w:vAlign w:val="center"/>
          </w:tcPr>
          <w:p w14:paraId="237D6DE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4EEFCBD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02" w:type="dxa"/>
            <w:tcBorders>
              <w:tl2br w:val="nil"/>
              <w:tr2bl w:val="nil"/>
            </w:tcBorders>
            <w:noWrap w:val="0"/>
            <w:vAlign w:val="center"/>
          </w:tcPr>
          <w:p w14:paraId="25CD469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r>
      <w:tr w14:paraId="4FCC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19" w:type="dxa"/>
            <w:vMerge w:val="continue"/>
            <w:tcBorders>
              <w:tl2br w:val="nil"/>
              <w:tr2bl w:val="nil"/>
            </w:tcBorders>
            <w:noWrap w:val="0"/>
            <w:vAlign w:val="center"/>
          </w:tcPr>
          <w:p w14:paraId="5BCD6222">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43E79FD5">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default" w:ascii="Times New Roman" w:hAnsi="Times New Roman" w:eastAsia="宋体" w:cs="Times New Roman"/>
                <w:b w:val="0"/>
                <w:bCs w:val="0"/>
                <w:snapToGrid w:val="0"/>
                <w:color w:val="auto"/>
                <w:kern w:val="21"/>
                <w:sz w:val="21"/>
                <w:szCs w:val="21"/>
                <w:highlight w:val="none"/>
                <w:lang w:val="en-US" w:eastAsia="zh-CN"/>
              </w:rPr>
              <w:t>氨氮</w:t>
            </w:r>
          </w:p>
        </w:tc>
        <w:tc>
          <w:tcPr>
            <w:tcW w:w="1447" w:type="dxa"/>
            <w:tcBorders>
              <w:tl2br w:val="nil"/>
              <w:tr2bl w:val="nil"/>
            </w:tcBorders>
            <w:noWrap w:val="0"/>
            <w:vAlign w:val="center"/>
          </w:tcPr>
          <w:p w14:paraId="3F3F54A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5477C49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7F2C9D3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7DD3050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97" w:type="dxa"/>
            <w:tcBorders>
              <w:tl2br w:val="nil"/>
              <w:tr2bl w:val="nil"/>
            </w:tcBorders>
            <w:noWrap w:val="0"/>
            <w:vAlign w:val="center"/>
          </w:tcPr>
          <w:p w14:paraId="38A15E3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6AE8FA8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02" w:type="dxa"/>
            <w:tcBorders>
              <w:tl2br w:val="nil"/>
              <w:tr2bl w:val="nil"/>
            </w:tcBorders>
            <w:noWrap w:val="0"/>
            <w:vAlign w:val="center"/>
          </w:tcPr>
          <w:p w14:paraId="7249B11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r>
      <w:tr w14:paraId="777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19" w:type="dxa"/>
            <w:vMerge w:val="restart"/>
            <w:tcBorders>
              <w:tl2br w:val="nil"/>
              <w:tr2bl w:val="nil"/>
            </w:tcBorders>
            <w:noWrap w:val="0"/>
            <w:vAlign w:val="center"/>
          </w:tcPr>
          <w:p w14:paraId="4D875AC2">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r>
              <w:rPr>
                <w:rFonts w:hint="eastAsia" w:ascii="Times New Roman" w:hAnsi="Times New Roman" w:eastAsia="宋体" w:cs="宋体"/>
                <w:b w:val="0"/>
                <w:bCs w:val="0"/>
                <w:snapToGrid w:val="0"/>
                <w:color w:val="auto"/>
                <w:kern w:val="21"/>
                <w:sz w:val="21"/>
                <w:szCs w:val="21"/>
                <w:highlight w:val="none"/>
              </w:rPr>
              <w:t>一般工业固体废物</w:t>
            </w:r>
          </w:p>
        </w:tc>
        <w:tc>
          <w:tcPr>
            <w:tcW w:w="2024" w:type="dxa"/>
            <w:tcBorders>
              <w:tl2br w:val="nil"/>
              <w:tr2bl w:val="nil"/>
            </w:tcBorders>
            <w:noWrap w:val="0"/>
            <w:vAlign w:val="center"/>
          </w:tcPr>
          <w:p w14:paraId="7C6FE542">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生活垃圾</w:t>
            </w:r>
          </w:p>
        </w:tc>
        <w:tc>
          <w:tcPr>
            <w:tcW w:w="1447" w:type="dxa"/>
            <w:tcBorders>
              <w:tl2br w:val="nil"/>
              <w:tr2bl w:val="nil"/>
            </w:tcBorders>
            <w:noWrap w:val="0"/>
            <w:vAlign w:val="center"/>
          </w:tcPr>
          <w:p w14:paraId="4A0830A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zh-CN"/>
              </w:rPr>
            </w:pPr>
            <w:r>
              <w:rPr>
                <w:rFonts w:hint="eastAsia" w:cs="Times New Roman"/>
                <w:b w:val="0"/>
                <w:bCs w:val="0"/>
                <w:snapToGrid w:val="0"/>
                <w:color w:val="auto"/>
                <w:kern w:val="21"/>
                <w:sz w:val="21"/>
                <w:szCs w:val="21"/>
                <w:highlight w:val="none"/>
                <w:lang w:val="en-US" w:eastAsia="zh-CN"/>
              </w:rPr>
              <w:t>3.0</w:t>
            </w:r>
          </w:p>
        </w:tc>
        <w:tc>
          <w:tcPr>
            <w:tcW w:w="1280" w:type="dxa"/>
            <w:tcBorders>
              <w:tl2br w:val="nil"/>
              <w:tr2bl w:val="nil"/>
            </w:tcBorders>
            <w:noWrap w:val="0"/>
            <w:vAlign w:val="center"/>
          </w:tcPr>
          <w:p w14:paraId="3A9DF0F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375159E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26087A0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97" w:type="dxa"/>
            <w:tcBorders>
              <w:tl2br w:val="nil"/>
              <w:tr2bl w:val="nil"/>
            </w:tcBorders>
            <w:noWrap w:val="0"/>
            <w:vAlign w:val="center"/>
          </w:tcPr>
          <w:p w14:paraId="5DFEA85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7C6FB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cs="Times New Roman"/>
                <w:b w:val="0"/>
                <w:bCs w:val="0"/>
                <w:snapToGrid w:val="0"/>
                <w:color w:val="auto"/>
                <w:kern w:val="21"/>
                <w:sz w:val="21"/>
                <w:szCs w:val="21"/>
                <w:highlight w:val="none"/>
                <w:lang w:val="en-US" w:eastAsia="zh-CN"/>
              </w:rPr>
              <w:t>3.0</w:t>
            </w:r>
          </w:p>
        </w:tc>
        <w:tc>
          <w:tcPr>
            <w:tcW w:w="1202" w:type="dxa"/>
            <w:tcBorders>
              <w:tl2br w:val="nil"/>
              <w:tr2bl w:val="nil"/>
            </w:tcBorders>
            <w:noWrap w:val="0"/>
            <w:vAlign w:val="center"/>
          </w:tcPr>
          <w:p w14:paraId="297F52A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zh-CN"/>
              </w:rPr>
            </w:pPr>
            <w:r>
              <w:rPr>
                <w:rFonts w:hint="eastAsia" w:ascii="Times New Roman" w:hAnsi="Times New Roman" w:eastAsia="宋体" w:cs="Times New Roman"/>
                <w:b w:val="0"/>
                <w:bCs w:val="0"/>
                <w:color w:val="auto"/>
                <w:sz w:val="21"/>
                <w:szCs w:val="21"/>
                <w:highlight w:val="none"/>
                <w:lang w:val="en-US" w:eastAsia="zh-CN"/>
              </w:rPr>
              <w:t>0</w:t>
            </w:r>
          </w:p>
        </w:tc>
      </w:tr>
      <w:tr w14:paraId="4A16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019" w:type="dxa"/>
            <w:vMerge w:val="continue"/>
            <w:tcBorders>
              <w:tl2br w:val="nil"/>
              <w:tr2bl w:val="nil"/>
            </w:tcBorders>
            <w:noWrap w:val="0"/>
            <w:vAlign w:val="center"/>
          </w:tcPr>
          <w:p w14:paraId="0D463A7F">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28433B0E">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ascii="Times New Roman" w:hAnsi="Times New Roman" w:eastAsia="宋体"/>
                <w:color w:val="auto"/>
                <w:sz w:val="21"/>
                <w:szCs w:val="21"/>
                <w:highlight w:val="none"/>
              </w:rPr>
              <w:t>危险化学品废弃包装物</w:t>
            </w:r>
          </w:p>
        </w:tc>
        <w:tc>
          <w:tcPr>
            <w:tcW w:w="1447" w:type="dxa"/>
            <w:tcBorders>
              <w:tl2br w:val="nil"/>
              <w:tr2bl w:val="nil"/>
            </w:tcBorders>
            <w:noWrap w:val="0"/>
            <w:vAlign w:val="center"/>
          </w:tcPr>
          <w:p w14:paraId="33B5D4E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0.5</w:t>
            </w:r>
          </w:p>
        </w:tc>
        <w:tc>
          <w:tcPr>
            <w:tcW w:w="1280" w:type="dxa"/>
            <w:tcBorders>
              <w:tl2br w:val="nil"/>
              <w:tr2bl w:val="nil"/>
            </w:tcBorders>
            <w:noWrap w:val="0"/>
            <w:vAlign w:val="center"/>
          </w:tcPr>
          <w:p w14:paraId="0F349F5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498521D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1A519D8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97" w:type="dxa"/>
            <w:tcBorders>
              <w:tl2br w:val="nil"/>
              <w:tr2bl w:val="nil"/>
            </w:tcBorders>
            <w:noWrap w:val="0"/>
            <w:vAlign w:val="center"/>
          </w:tcPr>
          <w:p w14:paraId="5D3B5A6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0.5</w:t>
            </w:r>
          </w:p>
        </w:tc>
        <w:tc>
          <w:tcPr>
            <w:tcW w:w="1680" w:type="dxa"/>
            <w:tcBorders>
              <w:tl2br w:val="nil"/>
              <w:tr2bl w:val="nil"/>
            </w:tcBorders>
            <w:noWrap w:val="0"/>
            <w:vAlign w:val="center"/>
          </w:tcPr>
          <w:p w14:paraId="392C4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02" w:type="dxa"/>
            <w:tcBorders>
              <w:tl2br w:val="nil"/>
              <w:tr2bl w:val="nil"/>
            </w:tcBorders>
            <w:noWrap w:val="0"/>
            <w:vAlign w:val="center"/>
          </w:tcPr>
          <w:p w14:paraId="3BC93EA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-0.5</w:t>
            </w:r>
          </w:p>
        </w:tc>
      </w:tr>
      <w:tr w14:paraId="6F6F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019" w:type="dxa"/>
            <w:vMerge w:val="continue"/>
            <w:tcBorders>
              <w:tl2br w:val="nil"/>
              <w:tr2bl w:val="nil"/>
            </w:tcBorders>
            <w:noWrap w:val="0"/>
            <w:vAlign w:val="center"/>
          </w:tcPr>
          <w:p w14:paraId="547784B0">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66CB127D">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废滤芯</w:t>
            </w:r>
          </w:p>
        </w:tc>
        <w:tc>
          <w:tcPr>
            <w:tcW w:w="1447" w:type="dxa"/>
            <w:tcBorders>
              <w:tl2br w:val="nil"/>
              <w:tr2bl w:val="nil"/>
            </w:tcBorders>
            <w:noWrap w:val="0"/>
            <w:vAlign w:val="center"/>
          </w:tcPr>
          <w:p w14:paraId="7A6D390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0.05</w:t>
            </w:r>
          </w:p>
        </w:tc>
        <w:tc>
          <w:tcPr>
            <w:tcW w:w="1280" w:type="dxa"/>
            <w:tcBorders>
              <w:tl2br w:val="nil"/>
              <w:tr2bl w:val="nil"/>
            </w:tcBorders>
            <w:noWrap w:val="0"/>
            <w:vAlign w:val="center"/>
          </w:tcPr>
          <w:p w14:paraId="6BDACB7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4B6E06F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37D4F70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97" w:type="dxa"/>
            <w:tcBorders>
              <w:tl2br w:val="nil"/>
              <w:tr2bl w:val="nil"/>
            </w:tcBorders>
            <w:noWrap w:val="0"/>
            <w:vAlign w:val="center"/>
          </w:tcPr>
          <w:p w14:paraId="6C8C490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0.05</w:t>
            </w:r>
          </w:p>
        </w:tc>
        <w:tc>
          <w:tcPr>
            <w:tcW w:w="1680" w:type="dxa"/>
            <w:tcBorders>
              <w:tl2br w:val="nil"/>
              <w:tr2bl w:val="nil"/>
            </w:tcBorders>
            <w:noWrap w:val="0"/>
            <w:vAlign w:val="center"/>
          </w:tcPr>
          <w:p w14:paraId="79AA49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02" w:type="dxa"/>
            <w:tcBorders>
              <w:tl2br w:val="nil"/>
              <w:tr2bl w:val="nil"/>
            </w:tcBorders>
            <w:noWrap w:val="0"/>
            <w:vAlign w:val="center"/>
          </w:tcPr>
          <w:p w14:paraId="2DF9BE3F">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-0.05</w:t>
            </w:r>
          </w:p>
        </w:tc>
      </w:tr>
      <w:tr w14:paraId="4663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019" w:type="dxa"/>
            <w:vMerge w:val="continue"/>
            <w:tcBorders>
              <w:tl2br w:val="nil"/>
              <w:tr2bl w:val="nil"/>
            </w:tcBorders>
            <w:noWrap w:val="0"/>
            <w:vAlign w:val="center"/>
          </w:tcPr>
          <w:p w14:paraId="20CE578B">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392ED70B">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污水处理站废污泥</w:t>
            </w:r>
          </w:p>
        </w:tc>
        <w:tc>
          <w:tcPr>
            <w:tcW w:w="1447" w:type="dxa"/>
            <w:tcBorders>
              <w:tl2br w:val="nil"/>
              <w:tr2bl w:val="nil"/>
            </w:tcBorders>
            <w:noWrap w:val="0"/>
            <w:vAlign w:val="center"/>
          </w:tcPr>
          <w:p w14:paraId="1890AE8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0.5</w:t>
            </w:r>
          </w:p>
        </w:tc>
        <w:tc>
          <w:tcPr>
            <w:tcW w:w="1280" w:type="dxa"/>
            <w:tcBorders>
              <w:tl2br w:val="nil"/>
              <w:tr2bl w:val="nil"/>
            </w:tcBorders>
            <w:noWrap w:val="0"/>
            <w:vAlign w:val="center"/>
          </w:tcPr>
          <w:p w14:paraId="55A129F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642803D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60423A3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97" w:type="dxa"/>
            <w:tcBorders>
              <w:tl2br w:val="nil"/>
              <w:tr2bl w:val="nil"/>
            </w:tcBorders>
            <w:noWrap w:val="0"/>
            <w:vAlign w:val="center"/>
          </w:tcPr>
          <w:p w14:paraId="6A44B5F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0.5</w:t>
            </w:r>
          </w:p>
        </w:tc>
        <w:tc>
          <w:tcPr>
            <w:tcW w:w="1680" w:type="dxa"/>
            <w:tcBorders>
              <w:tl2br w:val="nil"/>
              <w:tr2bl w:val="nil"/>
            </w:tcBorders>
            <w:noWrap w:val="0"/>
            <w:vAlign w:val="center"/>
          </w:tcPr>
          <w:p w14:paraId="6771D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02" w:type="dxa"/>
            <w:tcBorders>
              <w:tl2br w:val="nil"/>
              <w:tr2bl w:val="nil"/>
            </w:tcBorders>
            <w:noWrap w:val="0"/>
            <w:vAlign w:val="center"/>
          </w:tcPr>
          <w:p w14:paraId="2150237F">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-0.5</w:t>
            </w:r>
          </w:p>
        </w:tc>
      </w:tr>
      <w:tr w14:paraId="4FE3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9" w:type="dxa"/>
            <w:vMerge w:val="continue"/>
            <w:tcBorders>
              <w:tl2br w:val="nil"/>
              <w:tr2bl w:val="nil"/>
            </w:tcBorders>
            <w:noWrap w:val="0"/>
            <w:vAlign w:val="center"/>
          </w:tcPr>
          <w:p w14:paraId="6C46931F">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778CE5EF">
            <w:pPr>
              <w:adjustRightInd w:val="0"/>
              <w:snapToGrid w:val="0"/>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废包装材料</w:t>
            </w:r>
          </w:p>
        </w:tc>
        <w:tc>
          <w:tcPr>
            <w:tcW w:w="1447" w:type="dxa"/>
            <w:tcBorders>
              <w:tl2br w:val="nil"/>
              <w:tr2bl w:val="nil"/>
            </w:tcBorders>
            <w:noWrap w:val="0"/>
            <w:vAlign w:val="center"/>
          </w:tcPr>
          <w:p w14:paraId="1FD4169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741978A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107A479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336B869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0.5</w:t>
            </w:r>
          </w:p>
        </w:tc>
        <w:tc>
          <w:tcPr>
            <w:tcW w:w="1697" w:type="dxa"/>
            <w:tcBorders>
              <w:tl2br w:val="nil"/>
              <w:tr2bl w:val="nil"/>
            </w:tcBorders>
            <w:noWrap w:val="0"/>
            <w:vAlign w:val="center"/>
          </w:tcPr>
          <w:p w14:paraId="4F49AB6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6BCC3030">
            <w:pPr>
              <w:snapToGrid w:val="0"/>
              <w:spacing w:line="270" w:lineRule="exact"/>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0.5</w:t>
            </w:r>
          </w:p>
        </w:tc>
        <w:tc>
          <w:tcPr>
            <w:tcW w:w="1202" w:type="dxa"/>
            <w:tcBorders>
              <w:tl2br w:val="nil"/>
              <w:tr2bl w:val="nil"/>
            </w:tcBorders>
            <w:noWrap w:val="0"/>
            <w:vAlign w:val="center"/>
          </w:tcPr>
          <w:p w14:paraId="162D2756">
            <w:pPr>
              <w:snapToGrid w:val="0"/>
              <w:spacing w:line="270" w:lineRule="exact"/>
              <w:jc w:val="center"/>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0.5</w:t>
            </w:r>
          </w:p>
        </w:tc>
      </w:tr>
      <w:tr w14:paraId="5331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9" w:type="dxa"/>
            <w:vMerge w:val="continue"/>
            <w:tcBorders>
              <w:tl2br w:val="nil"/>
              <w:tr2bl w:val="nil"/>
            </w:tcBorders>
            <w:noWrap w:val="0"/>
            <w:vAlign w:val="center"/>
          </w:tcPr>
          <w:p w14:paraId="22E31022">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36345A74">
            <w:pPr>
              <w:adjustRightInd w:val="0"/>
              <w:snapToGrid w:val="0"/>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zh-CN" w:eastAsia="zh-CN"/>
              </w:rPr>
              <w:t>分拣废渣</w:t>
            </w:r>
          </w:p>
        </w:tc>
        <w:tc>
          <w:tcPr>
            <w:tcW w:w="1447" w:type="dxa"/>
            <w:tcBorders>
              <w:tl2br w:val="nil"/>
              <w:tr2bl w:val="nil"/>
            </w:tcBorders>
            <w:noWrap w:val="0"/>
            <w:vAlign w:val="center"/>
          </w:tcPr>
          <w:p w14:paraId="2F032EC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3AD9A7B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1C925BA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5A15ED6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120</w:t>
            </w:r>
          </w:p>
        </w:tc>
        <w:tc>
          <w:tcPr>
            <w:tcW w:w="1697" w:type="dxa"/>
            <w:tcBorders>
              <w:tl2br w:val="nil"/>
              <w:tr2bl w:val="nil"/>
            </w:tcBorders>
            <w:noWrap w:val="0"/>
            <w:vAlign w:val="center"/>
          </w:tcPr>
          <w:p w14:paraId="37CF27F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3D8301CC">
            <w:pPr>
              <w:snapToGrid w:val="0"/>
              <w:spacing w:line="270" w:lineRule="exact"/>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120</w:t>
            </w:r>
          </w:p>
        </w:tc>
        <w:tc>
          <w:tcPr>
            <w:tcW w:w="1202" w:type="dxa"/>
            <w:tcBorders>
              <w:tl2br w:val="nil"/>
              <w:tr2bl w:val="nil"/>
            </w:tcBorders>
            <w:noWrap w:val="0"/>
            <w:vAlign w:val="center"/>
          </w:tcPr>
          <w:p w14:paraId="35E71D7E">
            <w:pPr>
              <w:snapToGrid w:val="0"/>
              <w:spacing w:line="270" w:lineRule="exact"/>
              <w:jc w:val="center"/>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120</w:t>
            </w:r>
          </w:p>
        </w:tc>
      </w:tr>
      <w:tr w14:paraId="0748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tcBorders>
              <w:tl2br w:val="nil"/>
              <w:tr2bl w:val="nil"/>
            </w:tcBorders>
            <w:noWrap w:val="0"/>
            <w:vAlign w:val="center"/>
          </w:tcPr>
          <w:p w14:paraId="22406ADD">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40ABE7D0">
            <w:pPr>
              <w:adjustRightInd w:val="0"/>
              <w:snapToGrid w:val="0"/>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不合格粗料</w:t>
            </w:r>
          </w:p>
        </w:tc>
        <w:tc>
          <w:tcPr>
            <w:tcW w:w="1447" w:type="dxa"/>
            <w:tcBorders>
              <w:tl2br w:val="nil"/>
              <w:tr2bl w:val="nil"/>
            </w:tcBorders>
            <w:noWrap w:val="0"/>
            <w:vAlign w:val="center"/>
          </w:tcPr>
          <w:p w14:paraId="1629A63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01049B3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310A3FD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23AE634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0.2</w:t>
            </w:r>
          </w:p>
        </w:tc>
        <w:tc>
          <w:tcPr>
            <w:tcW w:w="1697" w:type="dxa"/>
            <w:tcBorders>
              <w:tl2br w:val="nil"/>
              <w:tr2bl w:val="nil"/>
            </w:tcBorders>
            <w:noWrap w:val="0"/>
            <w:vAlign w:val="center"/>
          </w:tcPr>
          <w:p w14:paraId="50D4CDA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397C9E3E">
            <w:pPr>
              <w:snapToGrid w:val="0"/>
              <w:spacing w:line="270" w:lineRule="exact"/>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0.2</w:t>
            </w:r>
          </w:p>
        </w:tc>
        <w:tc>
          <w:tcPr>
            <w:tcW w:w="1202" w:type="dxa"/>
            <w:tcBorders>
              <w:tl2br w:val="nil"/>
              <w:tr2bl w:val="nil"/>
            </w:tcBorders>
            <w:noWrap w:val="0"/>
            <w:vAlign w:val="center"/>
          </w:tcPr>
          <w:p w14:paraId="4054BF67">
            <w:pPr>
              <w:snapToGrid w:val="0"/>
              <w:spacing w:line="270" w:lineRule="exact"/>
              <w:jc w:val="center"/>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0.2</w:t>
            </w:r>
          </w:p>
        </w:tc>
      </w:tr>
      <w:tr w14:paraId="33BF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19" w:type="dxa"/>
            <w:vMerge w:val="continue"/>
            <w:tcBorders>
              <w:tl2br w:val="nil"/>
              <w:tr2bl w:val="nil"/>
            </w:tcBorders>
            <w:noWrap w:val="0"/>
            <w:vAlign w:val="center"/>
          </w:tcPr>
          <w:p w14:paraId="3C468AAD">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606F32A0">
            <w:pPr>
              <w:adjustRightInd w:val="0"/>
              <w:snapToGrid w:val="0"/>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含铁杂质</w:t>
            </w:r>
          </w:p>
        </w:tc>
        <w:tc>
          <w:tcPr>
            <w:tcW w:w="1447" w:type="dxa"/>
            <w:tcBorders>
              <w:tl2br w:val="nil"/>
              <w:tr2bl w:val="nil"/>
            </w:tcBorders>
            <w:noWrap w:val="0"/>
            <w:vAlign w:val="center"/>
          </w:tcPr>
          <w:p w14:paraId="4E9F472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61B9470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13B4CC3A">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45A6337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180</w:t>
            </w:r>
          </w:p>
        </w:tc>
        <w:tc>
          <w:tcPr>
            <w:tcW w:w="1697" w:type="dxa"/>
            <w:tcBorders>
              <w:tl2br w:val="nil"/>
              <w:tr2bl w:val="nil"/>
            </w:tcBorders>
            <w:noWrap w:val="0"/>
            <w:vAlign w:val="center"/>
          </w:tcPr>
          <w:p w14:paraId="6A7EE5C7">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36FD4AFE">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180</w:t>
            </w:r>
          </w:p>
        </w:tc>
        <w:tc>
          <w:tcPr>
            <w:tcW w:w="1202" w:type="dxa"/>
            <w:tcBorders>
              <w:tl2br w:val="nil"/>
              <w:tr2bl w:val="nil"/>
            </w:tcBorders>
            <w:noWrap w:val="0"/>
            <w:vAlign w:val="center"/>
          </w:tcPr>
          <w:p w14:paraId="08C34F20">
            <w:pPr>
              <w:snapToGrid w:val="0"/>
              <w:spacing w:line="270" w:lineRule="exact"/>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180</w:t>
            </w:r>
          </w:p>
        </w:tc>
      </w:tr>
      <w:tr w14:paraId="354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19" w:type="dxa"/>
            <w:vMerge w:val="continue"/>
            <w:tcBorders>
              <w:tl2br w:val="nil"/>
              <w:tr2bl w:val="nil"/>
            </w:tcBorders>
            <w:noWrap w:val="0"/>
            <w:vAlign w:val="center"/>
          </w:tcPr>
          <w:p w14:paraId="4DA1C3A5">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592BEE20">
            <w:pPr>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布袋除尘器收集粉尘</w:t>
            </w:r>
          </w:p>
        </w:tc>
        <w:tc>
          <w:tcPr>
            <w:tcW w:w="1447" w:type="dxa"/>
            <w:tcBorders>
              <w:tl2br w:val="nil"/>
              <w:tr2bl w:val="nil"/>
            </w:tcBorders>
            <w:noWrap w:val="0"/>
            <w:vAlign w:val="center"/>
          </w:tcPr>
          <w:p w14:paraId="3820100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cs="Times New Roman"/>
                <w:b w:val="0"/>
                <w:bCs w:val="0"/>
                <w:snapToGrid w:val="0"/>
                <w:color w:val="auto"/>
                <w:kern w:val="21"/>
                <w:sz w:val="21"/>
                <w:szCs w:val="21"/>
                <w:highlight w:val="none"/>
                <w:lang w:val="en-US" w:eastAsia="zh-CN"/>
              </w:rPr>
              <w:t>11.0</w:t>
            </w:r>
          </w:p>
        </w:tc>
        <w:tc>
          <w:tcPr>
            <w:tcW w:w="1280" w:type="dxa"/>
            <w:tcBorders>
              <w:tl2br w:val="nil"/>
              <w:tr2bl w:val="nil"/>
            </w:tcBorders>
            <w:noWrap w:val="0"/>
            <w:vAlign w:val="center"/>
          </w:tcPr>
          <w:p w14:paraId="08C18A1E">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6AC2839F">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0DC6AFDE">
            <w:pPr>
              <w:snapToGrid w:val="0"/>
              <w:spacing w:line="270" w:lineRule="exact"/>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10.279</w:t>
            </w:r>
          </w:p>
        </w:tc>
        <w:tc>
          <w:tcPr>
            <w:tcW w:w="1697" w:type="dxa"/>
            <w:tcBorders>
              <w:tl2br w:val="nil"/>
              <w:tr2bl w:val="nil"/>
            </w:tcBorders>
            <w:noWrap w:val="0"/>
            <w:vAlign w:val="center"/>
          </w:tcPr>
          <w:p w14:paraId="794C562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cs="Times New Roman"/>
                <w:b w:val="0"/>
                <w:bCs w:val="0"/>
                <w:snapToGrid w:val="0"/>
                <w:color w:val="auto"/>
                <w:kern w:val="21"/>
                <w:sz w:val="21"/>
                <w:szCs w:val="21"/>
                <w:highlight w:val="none"/>
                <w:lang w:val="en-US" w:eastAsia="zh-CN"/>
              </w:rPr>
              <w:t>11.0</w:t>
            </w:r>
          </w:p>
        </w:tc>
        <w:tc>
          <w:tcPr>
            <w:tcW w:w="1680" w:type="dxa"/>
            <w:tcBorders>
              <w:tl2br w:val="nil"/>
              <w:tr2bl w:val="nil"/>
            </w:tcBorders>
            <w:noWrap w:val="0"/>
            <w:vAlign w:val="center"/>
          </w:tcPr>
          <w:p w14:paraId="466F4729">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10.279</w:t>
            </w:r>
          </w:p>
        </w:tc>
        <w:tc>
          <w:tcPr>
            <w:tcW w:w="1202" w:type="dxa"/>
            <w:tcBorders>
              <w:tl2br w:val="nil"/>
              <w:tr2bl w:val="nil"/>
            </w:tcBorders>
            <w:noWrap w:val="0"/>
            <w:vAlign w:val="center"/>
          </w:tcPr>
          <w:p w14:paraId="118ECEA7">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-0.721</w:t>
            </w:r>
          </w:p>
        </w:tc>
      </w:tr>
      <w:tr w14:paraId="197D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19" w:type="dxa"/>
            <w:vMerge w:val="continue"/>
            <w:tcBorders>
              <w:tl2br w:val="nil"/>
              <w:tr2bl w:val="nil"/>
            </w:tcBorders>
            <w:noWrap w:val="0"/>
            <w:vAlign w:val="center"/>
          </w:tcPr>
          <w:p w14:paraId="74AEC090">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2F710BF2">
            <w:pPr>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废布袋</w:t>
            </w:r>
          </w:p>
        </w:tc>
        <w:tc>
          <w:tcPr>
            <w:tcW w:w="1447" w:type="dxa"/>
            <w:tcBorders>
              <w:tl2br w:val="nil"/>
              <w:tr2bl w:val="nil"/>
            </w:tcBorders>
            <w:noWrap w:val="0"/>
            <w:vAlign w:val="center"/>
          </w:tcPr>
          <w:p w14:paraId="1B15035B">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46C72F98">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4C3C203A">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5BBE5380">
            <w:pPr>
              <w:snapToGrid w:val="0"/>
              <w:spacing w:line="270" w:lineRule="exact"/>
              <w:jc w:val="center"/>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0.1</w:t>
            </w:r>
          </w:p>
        </w:tc>
        <w:tc>
          <w:tcPr>
            <w:tcW w:w="1697" w:type="dxa"/>
            <w:tcBorders>
              <w:tl2br w:val="nil"/>
              <w:tr2bl w:val="nil"/>
            </w:tcBorders>
            <w:noWrap w:val="0"/>
            <w:vAlign w:val="center"/>
          </w:tcPr>
          <w:p w14:paraId="5380C6F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57DD34EF">
            <w:pPr>
              <w:snapToGrid w:val="0"/>
              <w:spacing w:line="270" w:lineRule="exact"/>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0.1</w:t>
            </w:r>
          </w:p>
        </w:tc>
        <w:tc>
          <w:tcPr>
            <w:tcW w:w="1202" w:type="dxa"/>
            <w:tcBorders>
              <w:tl2br w:val="nil"/>
              <w:tr2bl w:val="nil"/>
            </w:tcBorders>
            <w:noWrap w:val="0"/>
            <w:vAlign w:val="center"/>
          </w:tcPr>
          <w:p w14:paraId="6148C351">
            <w:pPr>
              <w:snapToGrid w:val="0"/>
              <w:spacing w:line="270" w:lineRule="exac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0.1</w:t>
            </w:r>
          </w:p>
        </w:tc>
      </w:tr>
      <w:tr w14:paraId="6AA5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19" w:type="dxa"/>
            <w:vMerge w:val="continue"/>
            <w:tcBorders>
              <w:tl2br w:val="nil"/>
              <w:tr2bl w:val="nil"/>
            </w:tcBorders>
            <w:noWrap w:val="0"/>
            <w:vAlign w:val="center"/>
          </w:tcPr>
          <w:p w14:paraId="502E2F34">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0D0D4C4F">
            <w:pPr>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废活性炭</w:t>
            </w:r>
          </w:p>
        </w:tc>
        <w:tc>
          <w:tcPr>
            <w:tcW w:w="1447" w:type="dxa"/>
            <w:tcBorders>
              <w:tl2br w:val="nil"/>
              <w:tr2bl w:val="nil"/>
            </w:tcBorders>
            <w:noWrap w:val="0"/>
            <w:vAlign w:val="center"/>
          </w:tcPr>
          <w:p w14:paraId="672ADD28">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280" w:type="dxa"/>
            <w:tcBorders>
              <w:tl2br w:val="nil"/>
              <w:tr2bl w:val="nil"/>
            </w:tcBorders>
            <w:noWrap w:val="0"/>
            <w:vAlign w:val="center"/>
          </w:tcPr>
          <w:p w14:paraId="6A0FE705">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376D2927">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47C7A9C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cs="Times New Roman"/>
                <w:b w:val="0"/>
                <w:bCs w:val="0"/>
                <w:color w:val="auto"/>
                <w:sz w:val="21"/>
                <w:szCs w:val="21"/>
                <w:highlight w:val="none"/>
                <w:lang w:val="en-US" w:eastAsia="zh-CN"/>
              </w:rPr>
              <w:t>12.1</w:t>
            </w:r>
          </w:p>
        </w:tc>
        <w:tc>
          <w:tcPr>
            <w:tcW w:w="1697" w:type="dxa"/>
            <w:tcBorders>
              <w:tl2br w:val="nil"/>
              <w:tr2bl w:val="nil"/>
            </w:tcBorders>
            <w:noWrap w:val="0"/>
            <w:vAlign w:val="center"/>
          </w:tcPr>
          <w:p w14:paraId="402E77F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80" w:type="dxa"/>
            <w:tcBorders>
              <w:tl2br w:val="nil"/>
              <w:tr2bl w:val="nil"/>
            </w:tcBorders>
            <w:noWrap w:val="0"/>
            <w:vAlign w:val="center"/>
          </w:tcPr>
          <w:p w14:paraId="72D6560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12.1</w:t>
            </w:r>
          </w:p>
        </w:tc>
        <w:tc>
          <w:tcPr>
            <w:tcW w:w="1202" w:type="dxa"/>
            <w:tcBorders>
              <w:tl2br w:val="nil"/>
              <w:tr2bl w:val="nil"/>
            </w:tcBorders>
            <w:noWrap w:val="0"/>
            <w:vAlign w:val="center"/>
          </w:tcPr>
          <w:p w14:paraId="1E57F3F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w:t>
            </w:r>
            <w:r>
              <w:rPr>
                <w:rFonts w:hint="eastAsia" w:cs="Times New Roman"/>
                <w:b w:val="0"/>
                <w:bCs w:val="0"/>
                <w:color w:val="auto"/>
                <w:sz w:val="21"/>
                <w:szCs w:val="21"/>
                <w:highlight w:val="none"/>
                <w:lang w:val="en-US" w:eastAsia="zh-CN"/>
              </w:rPr>
              <w:t>12.1</w:t>
            </w:r>
          </w:p>
        </w:tc>
      </w:tr>
      <w:tr w14:paraId="56B8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019" w:type="dxa"/>
            <w:vMerge w:val="continue"/>
            <w:tcBorders>
              <w:tl2br w:val="nil"/>
              <w:tr2bl w:val="nil"/>
            </w:tcBorders>
            <w:noWrap w:val="0"/>
            <w:vAlign w:val="center"/>
          </w:tcPr>
          <w:p w14:paraId="09ABA934">
            <w:pPr>
              <w:pStyle w:val="63"/>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宋体"/>
                <w:b w:val="0"/>
                <w:bCs w:val="0"/>
                <w:snapToGrid w:val="0"/>
                <w:color w:val="auto"/>
                <w:kern w:val="21"/>
                <w:sz w:val="21"/>
                <w:szCs w:val="21"/>
                <w:highlight w:val="none"/>
              </w:rPr>
            </w:pPr>
          </w:p>
        </w:tc>
        <w:tc>
          <w:tcPr>
            <w:tcW w:w="2024" w:type="dxa"/>
            <w:tcBorders>
              <w:tl2br w:val="nil"/>
              <w:tr2bl w:val="nil"/>
            </w:tcBorders>
            <w:noWrap w:val="0"/>
            <w:vAlign w:val="center"/>
          </w:tcPr>
          <w:p w14:paraId="7BB4F7AE">
            <w:pPr>
              <w:jc w:val="center"/>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olor w:val="auto"/>
                <w:kern w:val="2"/>
                <w:sz w:val="21"/>
                <w:szCs w:val="21"/>
                <w:highlight w:val="none"/>
                <w:lang w:val="en-US" w:eastAsia="zh-CN" w:bidi="ar-SA"/>
              </w:rPr>
              <w:t>废机油及桶</w:t>
            </w:r>
          </w:p>
        </w:tc>
        <w:tc>
          <w:tcPr>
            <w:tcW w:w="1447" w:type="dxa"/>
            <w:tcBorders>
              <w:tl2br w:val="nil"/>
              <w:tr2bl w:val="nil"/>
            </w:tcBorders>
            <w:noWrap w:val="0"/>
            <w:vAlign w:val="center"/>
          </w:tcPr>
          <w:p w14:paraId="1E96EC50">
            <w:pPr>
              <w:jc w:val="center"/>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0</w:t>
            </w:r>
          </w:p>
        </w:tc>
        <w:tc>
          <w:tcPr>
            <w:tcW w:w="1280" w:type="dxa"/>
            <w:tcBorders>
              <w:tl2br w:val="nil"/>
              <w:tr2bl w:val="nil"/>
            </w:tcBorders>
            <w:noWrap w:val="0"/>
            <w:vAlign w:val="center"/>
          </w:tcPr>
          <w:p w14:paraId="27094D38">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640" w:type="dxa"/>
            <w:tcBorders>
              <w:tl2br w:val="nil"/>
              <w:tr2bl w:val="nil"/>
            </w:tcBorders>
            <w:noWrap w:val="0"/>
            <w:vAlign w:val="center"/>
          </w:tcPr>
          <w:p w14:paraId="5A57FA4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w:t>
            </w:r>
          </w:p>
        </w:tc>
        <w:tc>
          <w:tcPr>
            <w:tcW w:w="1503" w:type="dxa"/>
            <w:tcBorders>
              <w:tl2br w:val="nil"/>
              <w:tr2bl w:val="nil"/>
            </w:tcBorders>
            <w:noWrap w:val="0"/>
            <w:vAlign w:val="center"/>
          </w:tcPr>
          <w:p w14:paraId="37E66E4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0.1</w:t>
            </w:r>
          </w:p>
        </w:tc>
        <w:tc>
          <w:tcPr>
            <w:tcW w:w="1697" w:type="dxa"/>
            <w:tcBorders>
              <w:tl2br w:val="nil"/>
              <w:tr2bl w:val="nil"/>
            </w:tcBorders>
            <w:noWrap w:val="0"/>
            <w:vAlign w:val="center"/>
          </w:tcPr>
          <w:p w14:paraId="18385F01">
            <w:pPr>
              <w:jc w:val="center"/>
              <w:rPr>
                <w:rFonts w:hint="eastAsia" w:ascii="Times New Roman" w:hAnsi="Times New Roman" w:eastAsia="宋体" w:cs="Times New Roman"/>
                <w:b w:val="0"/>
                <w:bCs w:val="0"/>
                <w:snapToGrid w:val="0"/>
                <w:color w:val="auto"/>
                <w:kern w:val="21"/>
                <w:sz w:val="21"/>
                <w:szCs w:val="21"/>
                <w:highlight w:val="none"/>
                <w:lang w:val="en-US" w:eastAsia="zh-CN"/>
              </w:rPr>
            </w:pPr>
            <w:r>
              <w:rPr>
                <w:rFonts w:hint="eastAsia" w:ascii="Times New Roman" w:hAnsi="Times New Roman" w:eastAsia="宋体"/>
                <w:color w:val="auto"/>
                <w:sz w:val="21"/>
                <w:szCs w:val="21"/>
                <w:highlight w:val="none"/>
                <w:lang w:val="en-US" w:eastAsia="zh-CN"/>
              </w:rPr>
              <w:t>0</w:t>
            </w:r>
          </w:p>
        </w:tc>
        <w:tc>
          <w:tcPr>
            <w:tcW w:w="1680" w:type="dxa"/>
            <w:tcBorders>
              <w:tl2br w:val="nil"/>
              <w:tr2bl w:val="nil"/>
            </w:tcBorders>
            <w:noWrap w:val="0"/>
            <w:vAlign w:val="center"/>
          </w:tcPr>
          <w:p w14:paraId="3D4CD3B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snapToGrid w:val="0"/>
                <w:color w:val="auto"/>
                <w:kern w:val="21"/>
                <w:sz w:val="21"/>
                <w:szCs w:val="21"/>
                <w:highlight w:val="none"/>
                <w:lang w:val="en-US" w:eastAsia="zh-CN"/>
              </w:rPr>
              <w:t>0.1</w:t>
            </w:r>
          </w:p>
        </w:tc>
        <w:tc>
          <w:tcPr>
            <w:tcW w:w="1202" w:type="dxa"/>
            <w:tcBorders>
              <w:tl2br w:val="nil"/>
              <w:tr2bl w:val="nil"/>
            </w:tcBorders>
            <w:noWrap w:val="0"/>
            <w:vAlign w:val="center"/>
          </w:tcPr>
          <w:p w14:paraId="4478AB9D">
            <w:pPr>
              <w:jc w:val="center"/>
              <w:rPr>
                <w:rFonts w:hint="default" w:ascii="Times New Roman" w:hAnsi="Times New Roman" w:eastAsia="宋体" w:cs="Times New Roman"/>
                <w:b w:val="0"/>
                <w:bCs w:val="0"/>
                <w:snapToGrid w:val="0"/>
                <w:color w:val="auto"/>
                <w:kern w:val="21"/>
                <w:sz w:val="21"/>
                <w:szCs w:val="21"/>
                <w:highlight w:val="none"/>
                <w:lang w:val="en-US" w:eastAsia="zh-CN" w:bidi="ar-SA"/>
              </w:rPr>
            </w:pPr>
            <w:r>
              <w:rPr>
                <w:rFonts w:hint="eastAsia" w:ascii="Times New Roman" w:hAnsi="Times New Roman" w:eastAsia="宋体" w:cs="Times New Roman"/>
                <w:b w:val="0"/>
                <w:bCs w:val="0"/>
                <w:snapToGrid w:val="0"/>
                <w:color w:val="auto"/>
                <w:kern w:val="21"/>
                <w:sz w:val="21"/>
                <w:szCs w:val="21"/>
                <w:highlight w:val="none"/>
                <w:lang w:val="en-US" w:eastAsia="zh-CN"/>
              </w:rPr>
              <w:t>+</w:t>
            </w:r>
            <w:r>
              <w:rPr>
                <w:rFonts w:hint="eastAsia" w:ascii="Times New Roman" w:hAnsi="Times New Roman" w:eastAsia="宋体" w:cs="Times New Roman"/>
                <w:b w:val="0"/>
                <w:bCs w:val="0"/>
                <w:snapToGrid w:val="0"/>
                <w:color w:val="auto"/>
                <w:kern w:val="21"/>
                <w:sz w:val="21"/>
                <w:szCs w:val="21"/>
                <w:highlight w:val="none"/>
                <w:lang w:val="en-US" w:eastAsia="zh-CN" w:bidi="ar-SA"/>
              </w:rPr>
              <w:t>0.1</w:t>
            </w:r>
          </w:p>
        </w:tc>
      </w:tr>
    </w:tbl>
    <w:p w14:paraId="4531B7DB">
      <w:pPr>
        <w:pStyle w:val="63"/>
        <w:spacing w:before="192" w:beforeLines="80" w:after="24"/>
        <w:jc w:val="left"/>
        <w:rPr>
          <w:rFonts w:hAnsi="宋体"/>
          <w:snapToGrid w:val="0"/>
          <w:color w:val="auto"/>
          <w:spacing w:val="-6"/>
          <w:kern w:val="21"/>
          <w:sz w:val="22"/>
          <w:szCs w:val="20"/>
          <w:highlight w:val="none"/>
        </w:rPr>
      </w:pPr>
      <w:r>
        <w:rPr>
          <w:rFonts w:hAnsi="宋体"/>
          <w:snapToGrid w:val="0"/>
          <w:color w:val="auto"/>
          <w:kern w:val="21"/>
          <w:sz w:val="22"/>
          <w:szCs w:val="20"/>
          <w:highlight w:val="none"/>
        </w:rPr>
        <w:t>注：</w:t>
      </w:r>
      <w:r>
        <w:rPr>
          <w:rFonts w:hAnsi="宋体"/>
          <w:snapToGrid w:val="0"/>
          <w:color w:val="auto"/>
          <w:spacing w:val="-16"/>
          <w:kern w:val="21"/>
          <w:sz w:val="22"/>
          <w:szCs w:val="20"/>
          <w:highlight w:val="none"/>
        </w:rPr>
        <w:fldChar w:fldCharType="begin"/>
      </w:r>
      <w:r>
        <w:rPr>
          <w:rFonts w:hAnsi="宋体"/>
          <w:snapToGrid w:val="0"/>
          <w:color w:val="auto"/>
          <w:spacing w:val="-16"/>
          <w:kern w:val="21"/>
          <w:sz w:val="22"/>
          <w:szCs w:val="20"/>
          <w:highlight w:val="none"/>
        </w:rPr>
        <w:instrText xml:space="preserve"> = 6 \* GB3 \* MERGEFORMAT </w:instrText>
      </w:r>
      <w:r>
        <w:rPr>
          <w:rFonts w:hAnsi="宋体"/>
          <w:snapToGrid w:val="0"/>
          <w:color w:val="auto"/>
          <w:spacing w:val="-16"/>
          <w:kern w:val="21"/>
          <w:sz w:val="22"/>
          <w:szCs w:val="20"/>
          <w:highlight w:val="none"/>
        </w:rPr>
        <w:fldChar w:fldCharType="separate"/>
      </w:r>
      <w:r>
        <w:rPr>
          <w:rFonts w:hint="eastAsia" w:hAnsi="宋体"/>
          <w:color w:val="auto"/>
          <w:sz w:val="22"/>
          <w:szCs w:val="20"/>
          <w:highlight w:val="none"/>
        </w:rPr>
        <w:t>⑥</w:t>
      </w:r>
      <w:r>
        <w:rPr>
          <w:rFonts w:hAnsi="宋体"/>
          <w:snapToGrid w:val="0"/>
          <w:color w:val="auto"/>
          <w:spacing w:val="-16"/>
          <w:kern w:val="21"/>
          <w:sz w:val="22"/>
          <w:szCs w:val="20"/>
          <w:highlight w:val="none"/>
        </w:rPr>
        <w:fldChar w:fldCharType="end"/>
      </w:r>
      <w:r>
        <w:rPr>
          <w:rFonts w:hAnsi="宋体"/>
          <w:snapToGrid w:val="0"/>
          <w:color w:val="auto"/>
          <w:spacing w:val="-16"/>
          <w:kern w:val="21"/>
          <w:sz w:val="22"/>
          <w:szCs w:val="20"/>
          <w:highlight w:val="none"/>
        </w:rPr>
        <w:t>=</w:t>
      </w:r>
      <w:r>
        <w:rPr>
          <w:rFonts w:hAnsi="宋体"/>
          <w:snapToGrid w:val="0"/>
          <w:color w:val="auto"/>
          <w:spacing w:val="-6"/>
          <w:kern w:val="21"/>
          <w:sz w:val="22"/>
          <w:szCs w:val="20"/>
          <w:highlight w:val="none"/>
        </w:rPr>
        <w:fldChar w:fldCharType="begin"/>
      </w:r>
      <w:r>
        <w:rPr>
          <w:rFonts w:hAnsi="宋体"/>
          <w:snapToGrid w:val="0"/>
          <w:color w:val="auto"/>
          <w:spacing w:val="-6"/>
          <w:kern w:val="21"/>
          <w:sz w:val="22"/>
          <w:szCs w:val="20"/>
          <w:highlight w:val="none"/>
        </w:rPr>
        <w:instrText xml:space="preserve"> = 1 \* GB3 \* MERGEFORMAT </w:instrText>
      </w:r>
      <w:r>
        <w:rPr>
          <w:rFonts w:hAnsi="宋体"/>
          <w:snapToGrid w:val="0"/>
          <w:color w:val="auto"/>
          <w:spacing w:val="-6"/>
          <w:kern w:val="21"/>
          <w:sz w:val="22"/>
          <w:szCs w:val="20"/>
          <w:highlight w:val="none"/>
        </w:rPr>
        <w:fldChar w:fldCharType="separate"/>
      </w:r>
      <w:r>
        <w:rPr>
          <w:rFonts w:hint="eastAsia" w:hAnsi="宋体"/>
          <w:color w:val="auto"/>
          <w:sz w:val="22"/>
          <w:szCs w:val="20"/>
          <w:highlight w:val="none"/>
        </w:rPr>
        <w:t>①</w:t>
      </w:r>
      <w:r>
        <w:rPr>
          <w:rFonts w:hAnsi="宋体"/>
          <w:snapToGrid w:val="0"/>
          <w:color w:val="auto"/>
          <w:spacing w:val="-6"/>
          <w:kern w:val="21"/>
          <w:sz w:val="22"/>
          <w:szCs w:val="20"/>
          <w:highlight w:val="none"/>
        </w:rPr>
        <w:fldChar w:fldCharType="end"/>
      </w:r>
      <w:r>
        <w:rPr>
          <w:rFonts w:hAnsi="宋体"/>
          <w:snapToGrid w:val="0"/>
          <w:color w:val="auto"/>
          <w:spacing w:val="-6"/>
          <w:kern w:val="21"/>
          <w:sz w:val="22"/>
          <w:szCs w:val="20"/>
          <w:highlight w:val="none"/>
        </w:rPr>
        <w:t>+</w:t>
      </w:r>
      <w:r>
        <w:rPr>
          <w:rFonts w:hAnsi="宋体"/>
          <w:snapToGrid w:val="0"/>
          <w:color w:val="auto"/>
          <w:spacing w:val="-6"/>
          <w:kern w:val="21"/>
          <w:sz w:val="22"/>
          <w:szCs w:val="20"/>
          <w:highlight w:val="none"/>
        </w:rPr>
        <w:fldChar w:fldCharType="begin"/>
      </w:r>
      <w:r>
        <w:rPr>
          <w:rFonts w:hAnsi="宋体"/>
          <w:snapToGrid w:val="0"/>
          <w:color w:val="auto"/>
          <w:spacing w:val="-6"/>
          <w:kern w:val="21"/>
          <w:sz w:val="22"/>
          <w:szCs w:val="20"/>
          <w:highlight w:val="none"/>
        </w:rPr>
        <w:instrText xml:space="preserve"> = 3 \* GB3 \* MERGEFORMAT </w:instrText>
      </w:r>
      <w:r>
        <w:rPr>
          <w:rFonts w:hAnsi="宋体"/>
          <w:snapToGrid w:val="0"/>
          <w:color w:val="auto"/>
          <w:spacing w:val="-6"/>
          <w:kern w:val="21"/>
          <w:sz w:val="22"/>
          <w:szCs w:val="20"/>
          <w:highlight w:val="none"/>
        </w:rPr>
        <w:fldChar w:fldCharType="separate"/>
      </w:r>
      <w:r>
        <w:rPr>
          <w:rFonts w:hint="eastAsia" w:hAnsi="宋体"/>
          <w:color w:val="auto"/>
          <w:sz w:val="22"/>
          <w:szCs w:val="20"/>
          <w:highlight w:val="none"/>
        </w:rPr>
        <w:t>③</w:t>
      </w:r>
      <w:r>
        <w:rPr>
          <w:rFonts w:hAnsi="宋体"/>
          <w:snapToGrid w:val="0"/>
          <w:color w:val="auto"/>
          <w:spacing w:val="-6"/>
          <w:kern w:val="21"/>
          <w:sz w:val="22"/>
          <w:szCs w:val="20"/>
          <w:highlight w:val="none"/>
        </w:rPr>
        <w:fldChar w:fldCharType="end"/>
      </w:r>
      <w:r>
        <w:rPr>
          <w:rFonts w:hAnsi="宋体"/>
          <w:snapToGrid w:val="0"/>
          <w:color w:val="auto"/>
          <w:spacing w:val="-6"/>
          <w:kern w:val="21"/>
          <w:sz w:val="22"/>
          <w:szCs w:val="20"/>
          <w:highlight w:val="none"/>
        </w:rPr>
        <w:t>+</w:t>
      </w:r>
      <w:r>
        <w:rPr>
          <w:rFonts w:hAnsi="宋体"/>
          <w:snapToGrid w:val="0"/>
          <w:color w:val="auto"/>
          <w:spacing w:val="-6"/>
          <w:kern w:val="21"/>
          <w:sz w:val="22"/>
          <w:szCs w:val="20"/>
          <w:highlight w:val="none"/>
        </w:rPr>
        <w:fldChar w:fldCharType="begin"/>
      </w:r>
      <w:r>
        <w:rPr>
          <w:rFonts w:hAnsi="宋体"/>
          <w:snapToGrid w:val="0"/>
          <w:color w:val="auto"/>
          <w:spacing w:val="-6"/>
          <w:kern w:val="21"/>
          <w:sz w:val="22"/>
          <w:szCs w:val="20"/>
          <w:highlight w:val="none"/>
        </w:rPr>
        <w:instrText xml:space="preserve"> = 4 \* GB3 \* MERGEFORMAT </w:instrText>
      </w:r>
      <w:r>
        <w:rPr>
          <w:rFonts w:hAnsi="宋体"/>
          <w:snapToGrid w:val="0"/>
          <w:color w:val="auto"/>
          <w:spacing w:val="-6"/>
          <w:kern w:val="21"/>
          <w:sz w:val="22"/>
          <w:szCs w:val="20"/>
          <w:highlight w:val="none"/>
        </w:rPr>
        <w:fldChar w:fldCharType="separate"/>
      </w:r>
      <w:r>
        <w:rPr>
          <w:rFonts w:hint="eastAsia" w:hAnsi="宋体"/>
          <w:color w:val="auto"/>
          <w:sz w:val="22"/>
          <w:szCs w:val="20"/>
          <w:highlight w:val="none"/>
        </w:rPr>
        <w:t>④</w:t>
      </w:r>
      <w:r>
        <w:rPr>
          <w:rFonts w:hAnsi="宋体"/>
          <w:snapToGrid w:val="0"/>
          <w:color w:val="auto"/>
          <w:spacing w:val="-6"/>
          <w:kern w:val="21"/>
          <w:sz w:val="22"/>
          <w:szCs w:val="20"/>
          <w:highlight w:val="none"/>
        </w:rPr>
        <w:fldChar w:fldCharType="end"/>
      </w:r>
      <w:r>
        <w:rPr>
          <w:rFonts w:hAnsi="宋体"/>
          <w:snapToGrid w:val="0"/>
          <w:color w:val="auto"/>
          <w:spacing w:val="-6"/>
          <w:kern w:val="21"/>
          <w:sz w:val="22"/>
          <w:szCs w:val="20"/>
          <w:highlight w:val="none"/>
        </w:rPr>
        <w:t>-</w:t>
      </w:r>
      <w:r>
        <w:rPr>
          <w:rFonts w:hAnsi="宋体"/>
          <w:snapToGrid w:val="0"/>
          <w:color w:val="auto"/>
          <w:spacing w:val="-16"/>
          <w:kern w:val="21"/>
          <w:sz w:val="22"/>
          <w:szCs w:val="20"/>
          <w:highlight w:val="none"/>
        </w:rPr>
        <w:fldChar w:fldCharType="begin"/>
      </w:r>
      <w:r>
        <w:rPr>
          <w:rFonts w:hAnsi="宋体"/>
          <w:snapToGrid w:val="0"/>
          <w:color w:val="auto"/>
          <w:spacing w:val="-16"/>
          <w:kern w:val="21"/>
          <w:sz w:val="22"/>
          <w:szCs w:val="20"/>
          <w:highlight w:val="none"/>
        </w:rPr>
        <w:instrText xml:space="preserve"> = 5 \* GB3 \* MERGEFORMAT </w:instrText>
      </w:r>
      <w:r>
        <w:rPr>
          <w:rFonts w:hAnsi="宋体"/>
          <w:snapToGrid w:val="0"/>
          <w:color w:val="auto"/>
          <w:spacing w:val="-16"/>
          <w:kern w:val="21"/>
          <w:sz w:val="22"/>
          <w:szCs w:val="20"/>
          <w:highlight w:val="none"/>
        </w:rPr>
        <w:fldChar w:fldCharType="separate"/>
      </w:r>
      <w:r>
        <w:rPr>
          <w:rFonts w:hint="eastAsia" w:hAnsi="宋体"/>
          <w:color w:val="auto"/>
          <w:sz w:val="22"/>
          <w:szCs w:val="20"/>
          <w:highlight w:val="none"/>
        </w:rPr>
        <w:t>⑤</w:t>
      </w:r>
      <w:r>
        <w:rPr>
          <w:rFonts w:hAnsi="宋体"/>
          <w:snapToGrid w:val="0"/>
          <w:color w:val="auto"/>
          <w:spacing w:val="-16"/>
          <w:kern w:val="21"/>
          <w:sz w:val="22"/>
          <w:szCs w:val="20"/>
          <w:highlight w:val="none"/>
        </w:rPr>
        <w:fldChar w:fldCharType="end"/>
      </w:r>
      <w:r>
        <w:rPr>
          <w:rFonts w:hAnsi="宋体"/>
          <w:snapToGrid w:val="0"/>
          <w:color w:val="auto"/>
          <w:spacing w:val="-16"/>
          <w:kern w:val="21"/>
          <w:sz w:val="22"/>
          <w:szCs w:val="20"/>
          <w:highlight w:val="none"/>
        </w:rPr>
        <w:t>；</w:t>
      </w:r>
      <w:r>
        <w:rPr>
          <w:rFonts w:hAnsi="宋体"/>
          <w:snapToGrid w:val="0"/>
          <w:color w:val="auto"/>
          <w:spacing w:val="-6"/>
          <w:kern w:val="21"/>
          <w:sz w:val="22"/>
          <w:szCs w:val="20"/>
          <w:highlight w:val="none"/>
        </w:rPr>
        <w:fldChar w:fldCharType="begin"/>
      </w:r>
      <w:r>
        <w:rPr>
          <w:rFonts w:hAnsi="宋体"/>
          <w:snapToGrid w:val="0"/>
          <w:color w:val="auto"/>
          <w:spacing w:val="-6"/>
          <w:kern w:val="21"/>
          <w:sz w:val="22"/>
          <w:szCs w:val="20"/>
          <w:highlight w:val="none"/>
        </w:rPr>
        <w:instrText xml:space="preserve"> = 7 \* GB3 \* MERGEFORMAT </w:instrText>
      </w:r>
      <w:r>
        <w:rPr>
          <w:rFonts w:hAnsi="宋体"/>
          <w:snapToGrid w:val="0"/>
          <w:color w:val="auto"/>
          <w:spacing w:val="-6"/>
          <w:kern w:val="21"/>
          <w:sz w:val="22"/>
          <w:szCs w:val="20"/>
          <w:highlight w:val="none"/>
        </w:rPr>
        <w:fldChar w:fldCharType="separate"/>
      </w:r>
      <w:r>
        <w:rPr>
          <w:rFonts w:hint="eastAsia" w:hAnsi="宋体"/>
          <w:color w:val="auto"/>
          <w:sz w:val="22"/>
          <w:szCs w:val="20"/>
          <w:highlight w:val="none"/>
        </w:rPr>
        <w:t>⑦</w:t>
      </w:r>
      <w:r>
        <w:rPr>
          <w:rFonts w:hAnsi="宋体"/>
          <w:snapToGrid w:val="0"/>
          <w:color w:val="auto"/>
          <w:spacing w:val="-6"/>
          <w:kern w:val="21"/>
          <w:sz w:val="22"/>
          <w:szCs w:val="20"/>
          <w:highlight w:val="none"/>
        </w:rPr>
        <w:fldChar w:fldCharType="end"/>
      </w:r>
      <w:r>
        <w:rPr>
          <w:rFonts w:hAnsi="宋体"/>
          <w:snapToGrid w:val="0"/>
          <w:color w:val="auto"/>
          <w:spacing w:val="-6"/>
          <w:kern w:val="21"/>
          <w:sz w:val="22"/>
          <w:szCs w:val="20"/>
          <w:highlight w:val="none"/>
        </w:rPr>
        <w:t>=</w:t>
      </w:r>
      <w:r>
        <w:rPr>
          <w:rFonts w:hAnsi="宋体"/>
          <w:snapToGrid w:val="0"/>
          <w:color w:val="auto"/>
          <w:spacing w:val="-16"/>
          <w:kern w:val="21"/>
          <w:sz w:val="22"/>
          <w:szCs w:val="20"/>
          <w:highlight w:val="none"/>
        </w:rPr>
        <w:fldChar w:fldCharType="begin"/>
      </w:r>
      <w:r>
        <w:rPr>
          <w:rFonts w:hAnsi="宋体"/>
          <w:snapToGrid w:val="0"/>
          <w:color w:val="auto"/>
          <w:spacing w:val="-16"/>
          <w:kern w:val="21"/>
          <w:sz w:val="22"/>
          <w:szCs w:val="20"/>
          <w:highlight w:val="none"/>
        </w:rPr>
        <w:instrText xml:space="preserve"> = 6 \* GB3 \* MERGEFORMAT </w:instrText>
      </w:r>
      <w:r>
        <w:rPr>
          <w:rFonts w:hAnsi="宋体"/>
          <w:snapToGrid w:val="0"/>
          <w:color w:val="auto"/>
          <w:spacing w:val="-16"/>
          <w:kern w:val="21"/>
          <w:sz w:val="22"/>
          <w:szCs w:val="20"/>
          <w:highlight w:val="none"/>
        </w:rPr>
        <w:fldChar w:fldCharType="separate"/>
      </w:r>
      <w:r>
        <w:rPr>
          <w:rFonts w:hint="eastAsia" w:hAnsi="宋体"/>
          <w:color w:val="auto"/>
          <w:sz w:val="22"/>
          <w:szCs w:val="20"/>
          <w:highlight w:val="none"/>
        </w:rPr>
        <w:t>⑥</w:t>
      </w:r>
      <w:r>
        <w:rPr>
          <w:rFonts w:hAnsi="宋体"/>
          <w:snapToGrid w:val="0"/>
          <w:color w:val="auto"/>
          <w:spacing w:val="-16"/>
          <w:kern w:val="21"/>
          <w:sz w:val="22"/>
          <w:szCs w:val="20"/>
          <w:highlight w:val="none"/>
        </w:rPr>
        <w:fldChar w:fldCharType="end"/>
      </w:r>
      <w:r>
        <w:rPr>
          <w:rFonts w:hAnsi="宋体"/>
          <w:snapToGrid w:val="0"/>
          <w:color w:val="auto"/>
          <w:spacing w:val="-16"/>
          <w:kern w:val="21"/>
          <w:sz w:val="22"/>
          <w:szCs w:val="20"/>
          <w:highlight w:val="none"/>
        </w:rPr>
        <w:t>-</w:t>
      </w:r>
      <w:r>
        <w:rPr>
          <w:rFonts w:hAnsi="宋体"/>
          <w:snapToGrid w:val="0"/>
          <w:color w:val="auto"/>
          <w:spacing w:val="-6"/>
          <w:kern w:val="21"/>
          <w:sz w:val="22"/>
          <w:szCs w:val="20"/>
          <w:highlight w:val="none"/>
        </w:rPr>
        <w:fldChar w:fldCharType="begin"/>
      </w:r>
      <w:r>
        <w:rPr>
          <w:rFonts w:hAnsi="宋体"/>
          <w:snapToGrid w:val="0"/>
          <w:color w:val="auto"/>
          <w:spacing w:val="-6"/>
          <w:kern w:val="21"/>
          <w:sz w:val="22"/>
          <w:szCs w:val="20"/>
          <w:highlight w:val="none"/>
        </w:rPr>
        <w:instrText xml:space="preserve"> = 1 \* GB3 \* MERGEFORMAT </w:instrText>
      </w:r>
      <w:r>
        <w:rPr>
          <w:rFonts w:hAnsi="宋体"/>
          <w:snapToGrid w:val="0"/>
          <w:color w:val="auto"/>
          <w:spacing w:val="-6"/>
          <w:kern w:val="21"/>
          <w:sz w:val="22"/>
          <w:szCs w:val="20"/>
          <w:highlight w:val="none"/>
        </w:rPr>
        <w:fldChar w:fldCharType="separate"/>
      </w:r>
      <w:r>
        <w:rPr>
          <w:rFonts w:hint="eastAsia" w:hAnsi="宋体"/>
          <w:color w:val="auto"/>
          <w:sz w:val="22"/>
          <w:szCs w:val="20"/>
          <w:highlight w:val="none"/>
        </w:rPr>
        <w:t>①</w:t>
      </w:r>
      <w:r>
        <w:rPr>
          <w:rFonts w:hAnsi="宋体"/>
          <w:snapToGrid w:val="0"/>
          <w:color w:val="auto"/>
          <w:spacing w:val="-6"/>
          <w:kern w:val="21"/>
          <w:sz w:val="22"/>
          <w:szCs w:val="20"/>
          <w:highlight w:val="none"/>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gsana New">
    <w:altName w:val="Microsoft Sans Serif"/>
    <w:panose1 w:val="02020603050405020304"/>
    <w:charset w:val="00"/>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1FE29">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296CC">
    <w:pPr>
      <w:pStyle w:val="20"/>
      <w:framePr w:wrap="around" w:vAnchor="text" w:hAnchor="margin" w:xAlign="center" w:y="1"/>
      <w:rPr>
        <w:rStyle w:val="34"/>
      </w:rPr>
    </w:pPr>
    <w:r>
      <w:fldChar w:fldCharType="begin"/>
    </w:r>
    <w:r>
      <w:rPr>
        <w:rStyle w:val="34"/>
      </w:rPr>
      <w:instrText xml:space="preserve">PAGE  </w:instrText>
    </w:r>
    <w:r>
      <w:fldChar w:fldCharType="end"/>
    </w:r>
  </w:p>
  <w:p w14:paraId="0B7E7021">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4EB8">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DDA5F">
                          <w:pPr>
                            <w:pStyle w:val="20"/>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N4d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uw5MwJSxM/f/92/vHr/PMr&#10;u07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Ic3h3gEAAL8DAAAOAAAAAAAA&#10;AAEAIAAAAB4BAABkcnMvZTJvRG9jLnhtbFBLBQYAAAAABgAGAFkBAABuBQAAAAA=&#10;">
              <v:fill on="f" focussize="0,0"/>
              <v:stroke on="f"/>
              <v:imagedata o:title=""/>
              <o:lock v:ext="edit" aspectratio="f"/>
              <v:textbox inset="0mm,0mm,0mm,0mm" style="mso-fit-shape-to-text:t;">
                <w:txbxContent>
                  <w:p w14:paraId="7E8DDA5F">
                    <w:pPr>
                      <w:pStyle w:val="20"/>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F48E1">
    <w:pPr>
      <w:pStyle w:val="20"/>
      <w:rPr>
        <w:rFonts w:hint="default" w:ascii="Times New Roman" w:hAnsi="Times New Roman" w:eastAsia="宋体"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EEB11">
                          <w:pPr>
                            <w:pStyle w:val="20"/>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ij0d0BAAC/AwAADgAAAGRycy9lMm9Eb2MueG1srVNBrtMwEN0jcQfL&#10;e5q0Q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mHJmROWJn75/u3y49fl51f2&#10;POnTe6wo7c5TYhxewUC5sx/JmWgPbbDpT4QYxUnd81VdNUQm06X1ar0uKSQpNh8Iv7i/7gPGNwos&#10;S0bNA40vqypO7zCOqXNKqubgVhuTR2jcXw7CTJ4i9T72mKw47IeJ0B6aM/Ghd0B1OghfOOtpC2ru&#10;aOk5M28diZwWZjbCbOxnQzhJF2seORvN13FcrKMP+tDlVUtNoX95jNRpJpDaGGtP3dFcswTTDqbF&#10;+fOcs+7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Zoo9HdAQAAvwMAAA4AAAAAAAAA&#10;AQAgAAAAHgEAAGRycy9lMm9Eb2MueG1sUEsFBgAAAAAGAAYAWQEAAG0FAAAAAA==&#10;">
              <v:fill on="f" focussize="0,0"/>
              <v:stroke on="f"/>
              <v:imagedata o:title=""/>
              <o:lock v:ext="edit" aspectratio="f"/>
              <v:textbox inset="0mm,0mm,0mm,0mm" style="mso-fit-shape-to-text:t;">
                <w:txbxContent>
                  <w:p w14:paraId="423EEB11">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92CFD"/>
    <w:multiLevelType w:val="singleLevel"/>
    <w:tmpl w:val="89C92CFD"/>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1">
    <w:nsid w:val="8D2A318A"/>
    <w:multiLevelType w:val="singleLevel"/>
    <w:tmpl w:val="8D2A318A"/>
    <w:lvl w:ilvl="0" w:tentative="0">
      <w:start w:val="1"/>
      <w:numFmt w:val="decimal"/>
      <w:suff w:val="nothing"/>
      <w:lvlText w:val="%1"/>
      <w:lvlJc w:val="left"/>
      <w:pPr>
        <w:tabs>
          <w:tab w:val="left" w:pos="0"/>
        </w:tabs>
      </w:pPr>
      <w:rPr>
        <w:rFonts w:hint="default"/>
      </w:rPr>
    </w:lvl>
  </w:abstractNum>
  <w:abstractNum w:abstractNumId="2">
    <w:nsid w:val="C9CA53FD"/>
    <w:multiLevelType w:val="singleLevel"/>
    <w:tmpl w:val="C9CA53FD"/>
    <w:lvl w:ilvl="0" w:tentative="0">
      <w:start w:val="1"/>
      <w:numFmt w:val="chineseCounting"/>
      <w:suff w:val="nothing"/>
      <w:lvlText w:val="%1、"/>
      <w:lvlJc w:val="left"/>
      <w:rPr>
        <w:rFonts w:hint="eastAsia"/>
      </w:rPr>
    </w:lvl>
  </w:abstractNum>
  <w:abstractNum w:abstractNumId="3">
    <w:nsid w:val="0578E3E0"/>
    <w:multiLevelType w:val="singleLevel"/>
    <w:tmpl w:val="0578E3E0"/>
    <w:lvl w:ilvl="0" w:tentative="0">
      <w:start w:val="2"/>
      <w:numFmt w:val="decimal"/>
      <w:suff w:val="nothing"/>
      <w:lvlText w:val="（%1）"/>
      <w:lvlJc w:val="left"/>
    </w:lvl>
  </w:abstractNum>
  <w:abstractNum w:abstractNumId="4">
    <w:nsid w:val="16017A67"/>
    <w:multiLevelType w:val="singleLevel"/>
    <w:tmpl w:val="16017A67"/>
    <w:lvl w:ilvl="0" w:tentative="0">
      <w:start w:val="1"/>
      <w:numFmt w:val="decimal"/>
      <w:suff w:val="nothing"/>
      <w:lvlText w:val="%1、"/>
      <w:lvlJc w:val="left"/>
    </w:lvl>
  </w:abstractNum>
  <w:abstractNum w:abstractNumId="5">
    <w:nsid w:val="1D625EC6"/>
    <w:multiLevelType w:val="multilevel"/>
    <w:tmpl w:val="1D625EC6"/>
    <w:lvl w:ilvl="0" w:tentative="0">
      <w:start w:val="1"/>
      <w:numFmt w:val="decimal"/>
      <w:pStyle w:val="91"/>
      <w:lvlText w:val="表%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32889982"/>
    <w:multiLevelType w:val="singleLevel"/>
    <w:tmpl w:val="32889982"/>
    <w:lvl w:ilvl="0" w:tentative="0">
      <w:start w:val="2"/>
      <w:numFmt w:val="decimal"/>
      <w:suff w:val="nothing"/>
      <w:lvlText w:val="（%1）"/>
      <w:lvlJc w:val="left"/>
    </w:lvl>
  </w:abstractNum>
  <w:abstractNum w:abstractNumId="7">
    <w:nsid w:val="40DFC49F"/>
    <w:multiLevelType w:val="singleLevel"/>
    <w:tmpl w:val="40DFC49F"/>
    <w:lvl w:ilvl="0" w:tentative="0">
      <w:start w:val="1"/>
      <w:numFmt w:val="decimal"/>
      <w:suff w:val="nothing"/>
      <w:lvlText w:val="%1、"/>
      <w:lvlJc w:val="left"/>
      <w:pPr>
        <w:ind w:left="-2"/>
      </w:pPr>
    </w:lvl>
  </w:abstractNum>
  <w:abstractNum w:abstractNumId="8">
    <w:nsid w:val="467BAAA9"/>
    <w:multiLevelType w:val="singleLevel"/>
    <w:tmpl w:val="467BAAA9"/>
    <w:lvl w:ilvl="0" w:tentative="0">
      <w:start w:val="8"/>
      <w:numFmt w:val="decimal"/>
      <w:suff w:val="nothing"/>
      <w:lvlText w:val="%1）"/>
      <w:lvlJc w:val="left"/>
    </w:lvl>
  </w:abstractNum>
  <w:abstractNum w:abstractNumId="9">
    <w:nsid w:val="48273669"/>
    <w:multiLevelType w:val="multilevel"/>
    <w:tmpl w:val="48273669"/>
    <w:lvl w:ilvl="0" w:tentative="0">
      <w:start w:val="1"/>
      <w:numFmt w:val="decimal"/>
      <w:pStyle w:val="94"/>
      <w:suff w:val="nothing"/>
      <w:lvlText w:val="%1、"/>
      <w:lvlJc w:val="left"/>
      <w:pPr>
        <w:ind w:left="2121"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ABE7D1A"/>
    <w:multiLevelType w:val="singleLevel"/>
    <w:tmpl w:val="4ABE7D1A"/>
    <w:lvl w:ilvl="0" w:tentative="0">
      <w:start w:val="1"/>
      <w:numFmt w:val="decimal"/>
      <w:suff w:val="nothing"/>
      <w:lvlText w:val="（%1）"/>
      <w:lvlJc w:val="left"/>
    </w:lvl>
  </w:abstractNum>
  <w:abstractNum w:abstractNumId="11">
    <w:nsid w:val="53A81A61"/>
    <w:multiLevelType w:val="multilevel"/>
    <w:tmpl w:val="53A81A61"/>
    <w:lvl w:ilvl="0" w:tentative="0">
      <w:start w:val="1"/>
      <w:numFmt w:val="chineseCountingThousand"/>
      <w:pStyle w:val="110"/>
      <w:lvlText w:val="(%1)"/>
      <w:lvlJc w:val="left"/>
      <w:pPr>
        <w:ind w:left="4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615E7081"/>
    <w:multiLevelType w:val="singleLevel"/>
    <w:tmpl w:val="615E7081"/>
    <w:lvl w:ilvl="0" w:tentative="0">
      <w:start w:val="2"/>
      <w:numFmt w:val="chineseCounting"/>
      <w:suff w:val="nothing"/>
      <w:lvlText w:val="%1、"/>
      <w:lvlJc w:val="left"/>
      <w:rPr>
        <w:rFonts w:hint="eastAsia"/>
      </w:rPr>
    </w:lvl>
  </w:abstractNum>
  <w:abstractNum w:abstractNumId="13">
    <w:nsid w:val="6DC4B7AB"/>
    <w:multiLevelType w:val="singleLevel"/>
    <w:tmpl w:val="6DC4B7AB"/>
    <w:lvl w:ilvl="0" w:tentative="0">
      <w:start w:val="1"/>
      <w:numFmt w:val="decimal"/>
      <w:suff w:val="nothing"/>
      <w:lvlText w:val="（%1）"/>
      <w:lvlJc w:val="left"/>
    </w:lvl>
  </w:abstractNum>
  <w:abstractNum w:abstractNumId="14">
    <w:nsid w:val="7C27075F"/>
    <w:multiLevelType w:val="singleLevel"/>
    <w:tmpl w:val="7C27075F"/>
    <w:lvl w:ilvl="0" w:tentative="0">
      <w:start w:val="1"/>
      <w:numFmt w:val="decimal"/>
      <w:suff w:val="nothing"/>
      <w:lvlText w:val="（%1）"/>
      <w:lvlJc w:val="left"/>
    </w:lvl>
  </w:abstractNum>
  <w:num w:numId="1">
    <w:abstractNumId w:val="0"/>
  </w:num>
  <w:num w:numId="2">
    <w:abstractNumId w:val="5"/>
  </w:num>
  <w:num w:numId="3">
    <w:abstractNumId w:val="9"/>
  </w:num>
  <w:num w:numId="4">
    <w:abstractNumId w:val="11"/>
  </w:num>
  <w:num w:numId="5">
    <w:abstractNumId w:val="2"/>
  </w:num>
  <w:num w:numId="6">
    <w:abstractNumId w:val="1"/>
  </w:num>
  <w:num w:numId="7">
    <w:abstractNumId w:val="7"/>
  </w:num>
  <w:num w:numId="8">
    <w:abstractNumId w:val="3"/>
  </w:num>
  <w:num w:numId="9">
    <w:abstractNumId w:val="4"/>
  </w:num>
  <w:num w:numId="10">
    <w:abstractNumId w:val="13"/>
  </w:num>
  <w:num w:numId="11">
    <w:abstractNumId w:val="12"/>
  </w:num>
  <w:num w:numId="12">
    <w:abstractNumId w:val="14"/>
  </w:num>
  <w:num w:numId="13">
    <w:abstractNumId w:val="1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NTJhZDcxMzYxZGU3NWFmNjdmYmU3N2FiNmRkZDg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0D4C"/>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4310C"/>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839B9"/>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E3591"/>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1619E1"/>
    <w:rsid w:val="0126291C"/>
    <w:rsid w:val="01290F7E"/>
    <w:rsid w:val="012F269C"/>
    <w:rsid w:val="01462711"/>
    <w:rsid w:val="015D1E09"/>
    <w:rsid w:val="02697903"/>
    <w:rsid w:val="02F96569"/>
    <w:rsid w:val="037C377B"/>
    <w:rsid w:val="038D16A3"/>
    <w:rsid w:val="03EA7B21"/>
    <w:rsid w:val="04102749"/>
    <w:rsid w:val="042305AC"/>
    <w:rsid w:val="057005E8"/>
    <w:rsid w:val="05E337FC"/>
    <w:rsid w:val="05F83EAE"/>
    <w:rsid w:val="063E7D85"/>
    <w:rsid w:val="06501357"/>
    <w:rsid w:val="0658657B"/>
    <w:rsid w:val="066D02EB"/>
    <w:rsid w:val="06EB0BBA"/>
    <w:rsid w:val="071023CF"/>
    <w:rsid w:val="07293586"/>
    <w:rsid w:val="07295285"/>
    <w:rsid w:val="07636392"/>
    <w:rsid w:val="07770C56"/>
    <w:rsid w:val="08271083"/>
    <w:rsid w:val="08730EF9"/>
    <w:rsid w:val="092217DD"/>
    <w:rsid w:val="093A7294"/>
    <w:rsid w:val="09A11CD7"/>
    <w:rsid w:val="0A263993"/>
    <w:rsid w:val="0A2D3AC2"/>
    <w:rsid w:val="0A9A6B7F"/>
    <w:rsid w:val="0AA755DF"/>
    <w:rsid w:val="0AB44861"/>
    <w:rsid w:val="0AEE114C"/>
    <w:rsid w:val="0B04010A"/>
    <w:rsid w:val="0B120D44"/>
    <w:rsid w:val="0B1224D1"/>
    <w:rsid w:val="0B3969C8"/>
    <w:rsid w:val="0B52745A"/>
    <w:rsid w:val="0BD27BF6"/>
    <w:rsid w:val="0C3B3C7D"/>
    <w:rsid w:val="0CAB2EAE"/>
    <w:rsid w:val="0D3D5EE8"/>
    <w:rsid w:val="0D5D76AC"/>
    <w:rsid w:val="0D621C7D"/>
    <w:rsid w:val="0E4309E3"/>
    <w:rsid w:val="0E4312DC"/>
    <w:rsid w:val="0E73034D"/>
    <w:rsid w:val="0EAF5560"/>
    <w:rsid w:val="0F13775A"/>
    <w:rsid w:val="0F1E0BE6"/>
    <w:rsid w:val="0F5F45FE"/>
    <w:rsid w:val="0F9A112B"/>
    <w:rsid w:val="0FBD6E6C"/>
    <w:rsid w:val="103B2874"/>
    <w:rsid w:val="106D2F64"/>
    <w:rsid w:val="107514F4"/>
    <w:rsid w:val="10A83D36"/>
    <w:rsid w:val="10B63710"/>
    <w:rsid w:val="10F10820"/>
    <w:rsid w:val="111C2F7A"/>
    <w:rsid w:val="113B4433"/>
    <w:rsid w:val="114B75C4"/>
    <w:rsid w:val="11665CA1"/>
    <w:rsid w:val="122E7922"/>
    <w:rsid w:val="125E7405"/>
    <w:rsid w:val="126110E1"/>
    <w:rsid w:val="12B11DCF"/>
    <w:rsid w:val="13951726"/>
    <w:rsid w:val="14396509"/>
    <w:rsid w:val="14DD2C3C"/>
    <w:rsid w:val="14E233F1"/>
    <w:rsid w:val="14E569DF"/>
    <w:rsid w:val="14F50E56"/>
    <w:rsid w:val="14F60A9B"/>
    <w:rsid w:val="15B42ABF"/>
    <w:rsid w:val="16087E1D"/>
    <w:rsid w:val="16D36F75"/>
    <w:rsid w:val="17701D14"/>
    <w:rsid w:val="17735226"/>
    <w:rsid w:val="17AE14DB"/>
    <w:rsid w:val="17D17958"/>
    <w:rsid w:val="189F624C"/>
    <w:rsid w:val="18BA03EC"/>
    <w:rsid w:val="18CD6371"/>
    <w:rsid w:val="1927099B"/>
    <w:rsid w:val="195F3B89"/>
    <w:rsid w:val="1977230F"/>
    <w:rsid w:val="1A1C66C0"/>
    <w:rsid w:val="1A42393B"/>
    <w:rsid w:val="1A9677DC"/>
    <w:rsid w:val="1AAD45DE"/>
    <w:rsid w:val="1AF51BB0"/>
    <w:rsid w:val="1B046F80"/>
    <w:rsid w:val="1B146D56"/>
    <w:rsid w:val="1B3267B5"/>
    <w:rsid w:val="1B40161D"/>
    <w:rsid w:val="1B441859"/>
    <w:rsid w:val="1B466A63"/>
    <w:rsid w:val="1B6606B1"/>
    <w:rsid w:val="1C5E7925"/>
    <w:rsid w:val="1CB54469"/>
    <w:rsid w:val="1CFD070F"/>
    <w:rsid w:val="1D5F6196"/>
    <w:rsid w:val="1D6132A5"/>
    <w:rsid w:val="1D8E56D5"/>
    <w:rsid w:val="1DC66767"/>
    <w:rsid w:val="1E7A43DA"/>
    <w:rsid w:val="1EEA1E45"/>
    <w:rsid w:val="1F266ED2"/>
    <w:rsid w:val="1F4A3AC2"/>
    <w:rsid w:val="1F67134A"/>
    <w:rsid w:val="1F8971BC"/>
    <w:rsid w:val="1F9951FF"/>
    <w:rsid w:val="1FA67FFA"/>
    <w:rsid w:val="1FE7539E"/>
    <w:rsid w:val="201C7BDE"/>
    <w:rsid w:val="20462672"/>
    <w:rsid w:val="204A02A8"/>
    <w:rsid w:val="20671BE0"/>
    <w:rsid w:val="20963CB8"/>
    <w:rsid w:val="20A81A1B"/>
    <w:rsid w:val="20B07FB6"/>
    <w:rsid w:val="20B646FB"/>
    <w:rsid w:val="211A2370"/>
    <w:rsid w:val="213B74B1"/>
    <w:rsid w:val="215A2310"/>
    <w:rsid w:val="218B50E5"/>
    <w:rsid w:val="2194106F"/>
    <w:rsid w:val="21957370"/>
    <w:rsid w:val="21DE318A"/>
    <w:rsid w:val="21EF5B80"/>
    <w:rsid w:val="225304F1"/>
    <w:rsid w:val="22576990"/>
    <w:rsid w:val="228339E5"/>
    <w:rsid w:val="22F47480"/>
    <w:rsid w:val="231A567C"/>
    <w:rsid w:val="23A05EFB"/>
    <w:rsid w:val="23D52DB9"/>
    <w:rsid w:val="23DE1C48"/>
    <w:rsid w:val="23ED5DEF"/>
    <w:rsid w:val="23EF5C64"/>
    <w:rsid w:val="240210CD"/>
    <w:rsid w:val="241115F5"/>
    <w:rsid w:val="24BF09F7"/>
    <w:rsid w:val="252D53FE"/>
    <w:rsid w:val="256800A2"/>
    <w:rsid w:val="25781413"/>
    <w:rsid w:val="25CF0AB0"/>
    <w:rsid w:val="25EC2D81"/>
    <w:rsid w:val="25EF71CB"/>
    <w:rsid w:val="262773D0"/>
    <w:rsid w:val="26292C30"/>
    <w:rsid w:val="26AB0A7B"/>
    <w:rsid w:val="26C1503C"/>
    <w:rsid w:val="276513EC"/>
    <w:rsid w:val="27702CEA"/>
    <w:rsid w:val="277057A2"/>
    <w:rsid w:val="278A0CA7"/>
    <w:rsid w:val="28560B13"/>
    <w:rsid w:val="28E014B0"/>
    <w:rsid w:val="29206EB8"/>
    <w:rsid w:val="293A5C73"/>
    <w:rsid w:val="293F1C49"/>
    <w:rsid w:val="29595666"/>
    <w:rsid w:val="29874881"/>
    <w:rsid w:val="29B25772"/>
    <w:rsid w:val="29E325E0"/>
    <w:rsid w:val="2A452503"/>
    <w:rsid w:val="2A633F70"/>
    <w:rsid w:val="2B1132F6"/>
    <w:rsid w:val="2B884C5B"/>
    <w:rsid w:val="2BA936A8"/>
    <w:rsid w:val="2C315A5A"/>
    <w:rsid w:val="2C4B1C25"/>
    <w:rsid w:val="2C521FB0"/>
    <w:rsid w:val="2CA710BF"/>
    <w:rsid w:val="2CA942F1"/>
    <w:rsid w:val="2D9E56F5"/>
    <w:rsid w:val="2DE55AB4"/>
    <w:rsid w:val="2DEC7E30"/>
    <w:rsid w:val="2E52046A"/>
    <w:rsid w:val="2E667F96"/>
    <w:rsid w:val="2E8226AB"/>
    <w:rsid w:val="2FD065E6"/>
    <w:rsid w:val="2FD96870"/>
    <w:rsid w:val="2FF344B8"/>
    <w:rsid w:val="30580BC9"/>
    <w:rsid w:val="311E2ED7"/>
    <w:rsid w:val="312468F3"/>
    <w:rsid w:val="31495DDF"/>
    <w:rsid w:val="315619EE"/>
    <w:rsid w:val="315C449C"/>
    <w:rsid w:val="3186612F"/>
    <w:rsid w:val="319806B7"/>
    <w:rsid w:val="31B82709"/>
    <w:rsid w:val="31D05482"/>
    <w:rsid w:val="32400B34"/>
    <w:rsid w:val="32712B60"/>
    <w:rsid w:val="329E6876"/>
    <w:rsid w:val="32C20171"/>
    <w:rsid w:val="32D21D23"/>
    <w:rsid w:val="333015F2"/>
    <w:rsid w:val="334B6320"/>
    <w:rsid w:val="33D934D4"/>
    <w:rsid w:val="33FE2F6A"/>
    <w:rsid w:val="340E07E5"/>
    <w:rsid w:val="34235BF7"/>
    <w:rsid w:val="342F5CDB"/>
    <w:rsid w:val="34B91496"/>
    <w:rsid w:val="358C5FA8"/>
    <w:rsid w:val="35C0380F"/>
    <w:rsid w:val="35C15DF1"/>
    <w:rsid w:val="36074A7F"/>
    <w:rsid w:val="36150CDA"/>
    <w:rsid w:val="36883570"/>
    <w:rsid w:val="36923549"/>
    <w:rsid w:val="36A4650C"/>
    <w:rsid w:val="36A71B58"/>
    <w:rsid w:val="36B75FBF"/>
    <w:rsid w:val="36BD0C45"/>
    <w:rsid w:val="37D854FC"/>
    <w:rsid w:val="37E00298"/>
    <w:rsid w:val="38B302F9"/>
    <w:rsid w:val="38F12CD3"/>
    <w:rsid w:val="38F94775"/>
    <w:rsid w:val="392971ED"/>
    <w:rsid w:val="39325651"/>
    <w:rsid w:val="39412904"/>
    <w:rsid w:val="3A872856"/>
    <w:rsid w:val="3A8D1A3F"/>
    <w:rsid w:val="3AED3E97"/>
    <w:rsid w:val="3AFD61EB"/>
    <w:rsid w:val="3AFF6489"/>
    <w:rsid w:val="3B133C60"/>
    <w:rsid w:val="3B3210ED"/>
    <w:rsid w:val="3B3763D1"/>
    <w:rsid w:val="3B7017EA"/>
    <w:rsid w:val="3BC10CFC"/>
    <w:rsid w:val="3C2F6E1E"/>
    <w:rsid w:val="3C4F64BA"/>
    <w:rsid w:val="3CDA245A"/>
    <w:rsid w:val="3D1E06B7"/>
    <w:rsid w:val="3D531321"/>
    <w:rsid w:val="3D6A79A5"/>
    <w:rsid w:val="3EBC3A40"/>
    <w:rsid w:val="3EDA0523"/>
    <w:rsid w:val="3F7A2219"/>
    <w:rsid w:val="4019618E"/>
    <w:rsid w:val="40476117"/>
    <w:rsid w:val="407A6407"/>
    <w:rsid w:val="41387497"/>
    <w:rsid w:val="4183391D"/>
    <w:rsid w:val="4200449D"/>
    <w:rsid w:val="423A3BCC"/>
    <w:rsid w:val="424E57D2"/>
    <w:rsid w:val="429338D8"/>
    <w:rsid w:val="42B26C49"/>
    <w:rsid w:val="43193E9A"/>
    <w:rsid w:val="433A6FE6"/>
    <w:rsid w:val="43480868"/>
    <w:rsid w:val="4350713C"/>
    <w:rsid w:val="435B5B6B"/>
    <w:rsid w:val="436653E0"/>
    <w:rsid w:val="43C4431A"/>
    <w:rsid w:val="43E97C54"/>
    <w:rsid w:val="43EF6DA3"/>
    <w:rsid w:val="44224F14"/>
    <w:rsid w:val="445A46AE"/>
    <w:rsid w:val="445E2538"/>
    <w:rsid w:val="44B951CC"/>
    <w:rsid w:val="44CD14E0"/>
    <w:rsid w:val="44F20B0B"/>
    <w:rsid w:val="452E5F4C"/>
    <w:rsid w:val="45612018"/>
    <w:rsid w:val="458946E9"/>
    <w:rsid w:val="45A47C0E"/>
    <w:rsid w:val="45CF2E79"/>
    <w:rsid w:val="45D21CC4"/>
    <w:rsid w:val="45D70F8A"/>
    <w:rsid w:val="46577FD6"/>
    <w:rsid w:val="46D955A7"/>
    <w:rsid w:val="47133957"/>
    <w:rsid w:val="473F5DDD"/>
    <w:rsid w:val="4767517A"/>
    <w:rsid w:val="47A07E0C"/>
    <w:rsid w:val="480318FF"/>
    <w:rsid w:val="48555BFD"/>
    <w:rsid w:val="4870272E"/>
    <w:rsid w:val="48733F90"/>
    <w:rsid w:val="4968161B"/>
    <w:rsid w:val="497A75A0"/>
    <w:rsid w:val="49D02E94"/>
    <w:rsid w:val="49DC7715"/>
    <w:rsid w:val="4A023139"/>
    <w:rsid w:val="4A3D4856"/>
    <w:rsid w:val="4A7B576F"/>
    <w:rsid w:val="4A991356"/>
    <w:rsid w:val="4AF561A9"/>
    <w:rsid w:val="4B8A2B53"/>
    <w:rsid w:val="4BE156B5"/>
    <w:rsid w:val="4C3A3014"/>
    <w:rsid w:val="4C4A0649"/>
    <w:rsid w:val="4C7E5ECA"/>
    <w:rsid w:val="4C876AA5"/>
    <w:rsid w:val="4CBE2CCB"/>
    <w:rsid w:val="4D0E00FB"/>
    <w:rsid w:val="4D137AF0"/>
    <w:rsid w:val="4D153868"/>
    <w:rsid w:val="4D176606"/>
    <w:rsid w:val="4DEC4FB0"/>
    <w:rsid w:val="4E075D8A"/>
    <w:rsid w:val="4E597784"/>
    <w:rsid w:val="4EC00FAD"/>
    <w:rsid w:val="4F132029"/>
    <w:rsid w:val="4F2A7373"/>
    <w:rsid w:val="4F631DC8"/>
    <w:rsid w:val="4F9843DC"/>
    <w:rsid w:val="4FC62A8C"/>
    <w:rsid w:val="4FE20F0D"/>
    <w:rsid w:val="4FE51552"/>
    <w:rsid w:val="50504C4B"/>
    <w:rsid w:val="50711B37"/>
    <w:rsid w:val="509C6E7C"/>
    <w:rsid w:val="511F3097"/>
    <w:rsid w:val="5162104E"/>
    <w:rsid w:val="51DB6702"/>
    <w:rsid w:val="52070D62"/>
    <w:rsid w:val="52E11A47"/>
    <w:rsid w:val="53A039CC"/>
    <w:rsid w:val="53A1505A"/>
    <w:rsid w:val="53C52DC8"/>
    <w:rsid w:val="54063E08"/>
    <w:rsid w:val="543437E8"/>
    <w:rsid w:val="54624D7A"/>
    <w:rsid w:val="54BC55C9"/>
    <w:rsid w:val="54C829F5"/>
    <w:rsid w:val="54CB0CB0"/>
    <w:rsid w:val="54F73313"/>
    <w:rsid w:val="54F80955"/>
    <w:rsid w:val="553927F1"/>
    <w:rsid w:val="555170A7"/>
    <w:rsid w:val="5587536D"/>
    <w:rsid w:val="558F4F4B"/>
    <w:rsid w:val="559B174B"/>
    <w:rsid w:val="55CD2344"/>
    <w:rsid w:val="55CE0CF4"/>
    <w:rsid w:val="56510C3A"/>
    <w:rsid w:val="56671061"/>
    <w:rsid w:val="56B22A9C"/>
    <w:rsid w:val="56BB74DB"/>
    <w:rsid w:val="57461ACC"/>
    <w:rsid w:val="57677273"/>
    <w:rsid w:val="577B3D3C"/>
    <w:rsid w:val="578C02DB"/>
    <w:rsid w:val="57B72A76"/>
    <w:rsid w:val="57C3426C"/>
    <w:rsid w:val="57CE1F93"/>
    <w:rsid w:val="57EB61AD"/>
    <w:rsid w:val="580E7831"/>
    <w:rsid w:val="588743D1"/>
    <w:rsid w:val="5887701A"/>
    <w:rsid w:val="59195982"/>
    <w:rsid w:val="592117E6"/>
    <w:rsid w:val="596E165D"/>
    <w:rsid w:val="59735636"/>
    <w:rsid w:val="598B60BC"/>
    <w:rsid w:val="59C0439F"/>
    <w:rsid w:val="59F83C32"/>
    <w:rsid w:val="5A8429C9"/>
    <w:rsid w:val="5ABE2233"/>
    <w:rsid w:val="5AEE394A"/>
    <w:rsid w:val="5BD173CC"/>
    <w:rsid w:val="5BDF5D95"/>
    <w:rsid w:val="5BFE7528"/>
    <w:rsid w:val="5CA54726"/>
    <w:rsid w:val="5CA65E11"/>
    <w:rsid w:val="5CE67FA1"/>
    <w:rsid w:val="5DC55D1F"/>
    <w:rsid w:val="5DDA7079"/>
    <w:rsid w:val="5E186CB6"/>
    <w:rsid w:val="5E2467F1"/>
    <w:rsid w:val="5E394340"/>
    <w:rsid w:val="5EAF3706"/>
    <w:rsid w:val="5F1A2B43"/>
    <w:rsid w:val="5F244701"/>
    <w:rsid w:val="5FB837BB"/>
    <w:rsid w:val="5FD641E8"/>
    <w:rsid w:val="5FF83C6F"/>
    <w:rsid w:val="60CC405A"/>
    <w:rsid w:val="60DA29A7"/>
    <w:rsid w:val="61801B4A"/>
    <w:rsid w:val="61E215D8"/>
    <w:rsid w:val="61F81948"/>
    <w:rsid w:val="621B3775"/>
    <w:rsid w:val="623129E3"/>
    <w:rsid w:val="62364782"/>
    <w:rsid w:val="623F6541"/>
    <w:rsid w:val="62764951"/>
    <w:rsid w:val="6394356A"/>
    <w:rsid w:val="63A675B1"/>
    <w:rsid w:val="63C61B2C"/>
    <w:rsid w:val="63D40BE9"/>
    <w:rsid w:val="63F246FC"/>
    <w:rsid w:val="64102431"/>
    <w:rsid w:val="64A5243A"/>
    <w:rsid w:val="64A626CA"/>
    <w:rsid w:val="64E738E4"/>
    <w:rsid w:val="64F531DE"/>
    <w:rsid w:val="65373578"/>
    <w:rsid w:val="65694D21"/>
    <w:rsid w:val="656E232E"/>
    <w:rsid w:val="65C06054"/>
    <w:rsid w:val="65FB3F19"/>
    <w:rsid w:val="66187482"/>
    <w:rsid w:val="66B45F39"/>
    <w:rsid w:val="66DD6F57"/>
    <w:rsid w:val="671F124A"/>
    <w:rsid w:val="672D22FB"/>
    <w:rsid w:val="677A33C6"/>
    <w:rsid w:val="679E2F39"/>
    <w:rsid w:val="67C876E0"/>
    <w:rsid w:val="681F6961"/>
    <w:rsid w:val="6831196E"/>
    <w:rsid w:val="68514279"/>
    <w:rsid w:val="68610A2F"/>
    <w:rsid w:val="68805514"/>
    <w:rsid w:val="68AA2284"/>
    <w:rsid w:val="69316E2F"/>
    <w:rsid w:val="694E2071"/>
    <w:rsid w:val="69766163"/>
    <w:rsid w:val="697A3B33"/>
    <w:rsid w:val="69D44760"/>
    <w:rsid w:val="6A350C4E"/>
    <w:rsid w:val="6A3A02F3"/>
    <w:rsid w:val="6A520EC7"/>
    <w:rsid w:val="6AB72182"/>
    <w:rsid w:val="6AF87E20"/>
    <w:rsid w:val="6B033510"/>
    <w:rsid w:val="6B0C496B"/>
    <w:rsid w:val="6B322639"/>
    <w:rsid w:val="6B76151E"/>
    <w:rsid w:val="6BC91543"/>
    <w:rsid w:val="6C3867D3"/>
    <w:rsid w:val="6C573720"/>
    <w:rsid w:val="6C636C38"/>
    <w:rsid w:val="6C7D5F06"/>
    <w:rsid w:val="6C832144"/>
    <w:rsid w:val="6C861242"/>
    <w:rsid w:val="6CE95D1F"/>
    <w:rsid w:val="6D34599B"/>
    <w:rsid w:val="6D59665F"/>
    <w:rsid w:val="6DB34098"/>
    <w:rsid w:val="6DB545B6"/>
    <w:rsid w:val="6DBC6DF7"/>
    <w:rsid w:val="6DE02FB4"/>
    <w:rsid w:val="6DF40298"/>
    <w:rsid w:val="6E2C680B"/>
    <w:rsid w:val="6E514CED"/>
    <w:rsid w:val="6E6C7FDC"/>
    <w:rsid w:val="6E806599"/>
    <w:rsid w:val="6EA15191"/>
    <w:rsid w:val="6EB563D5"/>
    <w:rsid w:val="6ED92677"/>
    <w:rsid w:val="6EE3511C"/>
    <w:rsid w:val="6F225983"/>
    <w:rsid w:val="6FFC5590"/>
    <w:rsid w:val="705B5186"/>
    <w:rsid w:val="706D1DD0"/>
    <w:rsid w:val="706D23CC"/>
    <w:rsid w:val="70856B87"/>
    <w:rsid w:val="708E730A"/>
    <w:rsid w:val="70D527EE"/>
    <w:rsid w:val="70E50B6E"/>
    <w:rsid w:val="713C556D"/>
    <w:rsid w:val="7141612A"/>
    <w:rsid w:val="715B5300"/>
    <w:rsid w:val="71D27F8A"/>
    <w:rsid w:val="720F27CE"/>
    <w:rsid w:val="72447E14"/>
    <w:rsid w:val="72553024"/>
    <w:rsid w:val="729E03C9"/>
    <w:rsid w:val="72F0605A"/>
    <w:rsid w:val="73122968"/>
    <w:rsid w:val="731F5D5E"/>
    <w:rsid w:val="73631A38"/>
    <w:rsid w:val="73782B94"/>
    <w:rsid w:val="7386076C"/>
    <w:rsid w:val="739E6D2C"/>
    <w:rsid w:val="73A861F7"/>
    <w:rsid w:val="73AB01D2"/>
    <w:rsid w:val="73C51AD5"/>
    <w:rsid w:val="73D47729"/>
    <w:rsid w:val="741E793C"/>
    <w:rsid w:val="745E3944"/>
    <w:rsid w:val="74646577"/>
    <w:rsid w:val="75064F7A"/>
    <w:rsid w:val="75720C21"/>
    <w:rsid w:val="75DA08FB"/>
    <w:rsid w:val="7635099D"/>
    <w:rsid w:val="76A71125"/>
    <w:rsid w:val="76B12C5F"/>
    <w:rsid w:val="76E001E8"/>
    <w:rsid w:val="775D3592"/>
    <w:rsid w:val="77762421"/>
    <w:rsid w:val="77A23605"/>
    <w:rsid w:val="77B56B1F"/>
    <w:rsid w:val="77D62540"/>
    <w:rsid w:val="780F09F4"/>
    <w:rsid w:val="78964FAD"/>
    <w:rsid w:val="78A90480"/>
    <w:rsid w:val="79157FF1"/>
    <w:rsid w:val="798B088A"/>
    <w:rsid w:val="79FC43E8"/>
    <w:rsid w:val="7A364017"/>
    <w:rsid w:val="7A8265E1"/>
    <w:rsid w:val="7B0326A2"/>
    <w:rsid w:val="7B1D3764"/>
    <w:rsid w:val="7B4C229B"/>
    <w:rsid w:val="7B686D42"/>
    <w:rsid w:val="7B841746"/>
    <w:rsid w:val="7B9463F7"/>
    <w:rsid w:val="7C6C5AC7"/>
    <w:rsid w:val="7C9707B8"/>
    <w:rsid w:val="7CA0289E"/>
    <w:rsid w:val="7CC6544B"/>
    <w:rsid w:val="7D0239FF"/>
    <w:rsid w:val="7D5E40CD"/>
    <w:rsid w:val="7D7427E3"/>
    <w:rsid w:val="7D996EF9"/>
    <w:rsid w:val="7DCD56F2"/>
    <w:rsid w:val="7DCE673B"/>
    <w:rsid w:val="7E5455F4"/>
    <w:rsid w:val="7F001CE7"/>
    <w:rsid w:val="7F802FBA"/>
    <w:rsid w:val="7FA469D5"/>
    <w:rsid w:val="7FA501CC"/>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qFormat="1" w:unhideWhenUsed="0" w:uiPriority="99"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before="260" w:after="260" w:line="413" w:lineRule="auto"/>
      <w:outlineLvl w:val="1"/>
    </w:pPr>
    <w:rPr>
      <w:b/>
      <w:spacing w:val="5"/>
      <w:kern w:val="0"/>
      <w:sz w:val="28"/>
      <w:szCs w:val="32"/>
    </w:rPr>
  </w:style>
  <w:style w:type="paragraph" w:styleId="4">
    <w:name w:val="heading 3"/>
    <w:basedOn w:val="1"/>
    <w:next w:val="1"/>
    <w:qFormat/>
    <w:locked/>
    <w:uiPriority w:val="0"/>
    <w:pPr>
      <w:keepNext/>
      <w:keepLines/>
      <w:spacing w:before="260" w:after="260" w:line="413" w:lineRule="auto"/>
      <w:outlineLvl w:val="2"/>
    </w:pPr>
    <w:rPr>
      <w:b/>
      <w:spacing w:val="5"/>
      <w:kern w:val="0"/>
      <w:sz w:val="28"/>
      <w:szCs w:val="32"/>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5">
    <w:name w:val="Normal Indent"/>
    <w:basedOn w:val="1"/>
    <w:qFormat/>
    <w:locked/>
    <w:uiPriority w:val="0"/>
    <w:pPr>
      <w:ind w:firstLine="420" w:firstLineChars="200"/>
    </w:pPr>
  </w:style>
  <w:style w:type="paragraph" w:styleId="6">
    <w:name w:val="caption"/>
    <w:basedOn w:val="1"/>
    <w:next w:val="1"/>
    <w:qFormat/>
    <w:locked/>
    <w:uiPriority w:val="0"/>
    <w:pPr>
      <w:adjustRightInd w:val="0"/>
      <w:snapToGrid w:val="0"/>
      <w:ind w:firstLine="0" w:firstLineChars="0"/>
      <w:jc w:val="center"/>
    </w:pPr>
    <w:rPr>
      <w:rFonts w:eastAsia="黑体"/>
      <w:kern w:val="0"/>
      <w:szCs w:val="20"/>
    </w:rPr>
  </w:style>
  <w:style w:type="paragraph" w:styleId="7">
    <w:name w:val="annotation text"/>
    <w:basedOn w:val="1"/>
    <w:link w:val="40"/>
    <w:semiHidden/>
    <w:qFormat/>
    <w:uiPriority w:val="0"/>
    <w:pPr>
      <w:jc w:val="left"/>
    </w:pPr>
    <w:rPr>
      <w:kern w:val="0"/>
      <w:sz w:val="24"/>
      <w:szCs w:val="20"/>
    </w:rPr>
  </w:style>
  <w:style w:type="paragraph" w:styleId="8">
    <w:name w:val="Body Text"/>
    <w:basedOn w:val="1"/>
    <w:next w:val="9"/>
    <w:link w:val="41"/>
    <w:qFormat/>
    <w:uiPriority w:val="0"/>
    <w:pPr>
      <w:widowControl/>
      <w:snapToGrid w:val="0"/>
      <w:spacing w:before="60" w:after="160" w:line="259" w:lineRule="auto"/>
      <w:ind w:right="113"/>
    </w:pPr>
    <w:rPr>
      <w:kern w:val="0"/>
      <w:sz w:val="18"/>
      <w:szCs w:val="20"/>
    </w:rPr>
  </w:style>
  <w:style w:type="paragraph" w:styleId="9">
    <w:name w:val="List Bullet 5"/>
    <w:basedOn w:val="1"/>
    <w:qFormat/>
    <w:locked/>
    <w:uiPriority w:val="0"/>
    <w:pPr>
      <w:numPr>
        <w:ilvl w:val="0"/>
        <w:numId w:val="1"/>
      </w:numPr>
    </w:pPr>
  </w:style>
  <w:style w:type="paragraph" w:styleId="10">
    <w:name w:val="Body Text Indent"/>
    <w:basedOn w:val="1"/>
    <w:next w:val="11"/>
    <w:link w:val="42"/>
    <w:qFormat/>
    <w:uiPriority w:val="0"/>
    <w:pPr>
      <w:spacing w:after="120"/>
      <w:ind w:left="420" w:leftChars="200"/>
    </w:pPr>
    <w:rPr>
      <w:kern w:val="0"/>
      <w:sz w:val="24"/>
      <w:szCs w:val="20"/>
    </w:rPr>
  </w:style>
  <w:style w:type="paragraph" w:customStyle="1" w:styleId="11">
    <w:name w:val="样式 正文文本缩进 + 行距: 1.5 倍行距"/>
    <w:basedOn w:val="12"/>
    <w:qFormat/>
    <w:uiPriority w:val="0"/>
    <w:pPr>
      <w:spacing w:after="120" w:line="360" w:lineRule="auto"/>
      <w:ind w:left="90" w:leftChars="32" w:firstLine="560" w:firstLineChars="200"/>
    </w:pPr>
    <w:rPr>
      <w:rFonts w:cs="宋体"/>
    </w:rPr>
  </w:style>
  <w:style w:type="paragraph" w:customStyle="1" w:styleId="12">
    <w:name w:val="Body Text Indent"/>
    <w:basedOn w:val="13"/>
    <w:next w:val="11"/>
    <w:qFormat/>
    <w:uiPriority w:val="0"/>
    <w:pPr>
      <w:spacing w:after="120" w:afterLines="0"/>
      <w:ind w:left="420" w:leftChars="200"/>
    </w:pPr>
    <w:rPr>
      <w:rFonts w:ascii="Times New Roman" w:hAnsi="Times New Roman" w:eastAsia="宋体"/>
      <w:sz w:val="24"/>
    </w:rPr>
  </w:style>
  <w:style w:type="paragraph" w:customStyle="1" w:styleId="13">
    <w:name w:val="Normal"/>
    <w:qFormat/>
    <w:uiPriority w:val="0"/>
    <w:pPr>
      <w:widowControl w:val="0"/>
      <w:adjustRightInd w:val="0"/>
      <w:spacing w:line="360" w:lineRule="atLeast"/>
      <w:textAlignment w:val="baseline"/>
    </w:pPr>
    <w:rPr>
      <w:rFonts w:ascii="Tms Rmn" w:hAnsi="Tms Rmn" w:eastAsia="宋体" w:cs="Times New Roman"/>
      <w:lang w:val="en-US" w:eastAsia="zh-CN" w:bidi="ar-SA"/>
    </w:rPr>
  </w:style>
  <w:style w:type="paragraph" w:styleId="14">
    <w:name w:val="Plain Text"/>
    <w:basedOn w:val="1"/>
    <w:next w:val="10"/>
    <w:qFormat/>
    <w:locked/>
    <w:uiPriority w:val="0"/>
    <w:rPr>
      <w:rFonts w:ascii="宋体" w:hAnsi="Courier New" w:cs="Courier New"/>
      <w:szCs w:val="21"/>
    </w:rPr>
  </w:style>
  <w:style w:type="paragraph" w:styleId="15">
    <w:name w:val="Date"/>
    <w:basedOn w:val="1"/>
    <w:next w:val="1"/>
    <w:link w:val="43"/>
    <w:qFormat/>
    <w:uiPriority w:val="0"/>
    <w:pPr>
      <w:ind w:left="100" w:leftChars="2500"/>
    </w:pPr>
    <w:rPr>
      <w:kern w:val="0"/>
      <w:sz w:val="24"/>
      <w:szCs w:val="20"/>
    </w:rPr>
  </w:style>
  <w:style w:type="paragraph" w:styleId="16">
    <w:name w:val="Body Text Indent 2"/>
    <w:basedOn w:val="1"/>
    <w:next w:val="17"/>
    <w:qFormat/>
    <w:locked/>
    <w:uiPriority w:val="0"/>
    <w:pPr>
      <w:spacing w:after="120" w:line="480" w:lineRule="auto"/>
      <w:ind w:left="420" w:leftChars="200"/>
    </w:pPr>
    <w:rPr>
      <w:rFonts w:ascii="Calibri" w:hAnsi="Calibri"/>
      <w:kern w:val="0"/>
      <w:sz w:val="21"/>
      <w:szCs w:val="22"/>
    </w:rPr>
  </w:style>
  <w:style w:type="paragraph" w:customStyle="1" w:styleId="17">
    <w:name w:val="reader-word-layer reader-word-s46-2"/>
    <w:next w:val="18"/>
    <w:qFormat/>
    <w:uiPriority w:val="0"/>
    <w:pPr>
      <w:widowControl/>
      <w:spacing w:before="100" w:beforeAutospacing="1" w:after="100" w:afterAutospacing="1" w:line="240" w:lineRule="auto"/>
      <w:jc w:val="left"/>
    </w:pPr>
    <w:rPr>
      <w:rFonts w:ascii="宋体" w:hAnsi="宋体" w:eastAsia="Calibri" w:cs="宋体"/>
      <w:kern w:val="0"/>
      <w:sz w:val="24"/>
      <w:szCs w:val="24"/>
      <w:lang w:val="en-US" w:eastAsia="en-US" w:bidi="ar-SA"/>
    </w:rPr>
  </w:style>
  <w:style w:type="paragraph" w:customStyle="1" w:styleId="18">
    <w:name w:val="xl35"/>
    <w:next w:val="1"/>
    <w:qFormat/>
    <w:uiPriority w:val="0"/>
    <w:pPr>
      <w:widowControl/>
      <w:pBdr>
        <w:left w:val="single" w:color="000000" w:sz="4" w:space="0"/>
        <w:right w:val="single" w:color="000000" w:sz="4" w:space="0"/>
      </w:pBdr>
      <w:shd w:val="clear" w:color="FFFFFF" w:fill="FFFFFF"/>
      <w:spacing w:before="100" w:beforeLines="0" w:beforeAutospacing="1" w:after="100" w:afterLines="0" w:afterAutospacing="1" w:line="240" w:lineRule="auto"/>
      <w:jc w:val="left"/>
      <w:textAlignment w:val="center"/>
    </w:pPr>
    <w:rPr>
      <w:rFonts w:ascii="Arial Unicode MS" w:hAnsi="Arial Unicode MS" w:eastAsia="Arial Unicode MS" w:cs="Arial Unicode MS"/>
      <w:kern w:val="0"/>
      <w:sz w:val="24"/>
      <w:szCs w:val="24"/>
      <w:lang w:val="en-US" w:eastAsia="en-US" w:bidi="ar-SA"/>
    </w:rPr>
  </w:style>
  <w:style w:type="paragraph" w:styleId="19">
    <w:name w:val="Balloon Text"/>
    <w:basedOn w:val="1"/>
    <w:link w:val="44"/>
    <w:semiHidden/>
    <w:qFormat/>
    <w:uiPriority w:val="0"/>
    <w:rPr>
      <w:kern w:val="0"/>
      <w:sz w:val="18"/>
      <w:szCs w:val="20"/>
    </w:rPr>
  </w:style>
  <w:style w:type="paragraph" w:styleId="20">
    <w:name w:val="footer"/>
    <w:basedOn w:val="1"/>
    <w:link w:val="45"/>
    <w:qFormat/>
    <w:uiPriority w:val="99"/>
    <w:pPr>
      <w:tabs>
        <w:tab w:val="center" w:pos="4153"/>
        <w:tab w:val="right" w:pos="8306"/>
      </w:tabs>
      <w:snapToGrid w:val="0"/>
      <w:jc w:val="left"/>
    </w:pPr>
    <w:rPr>
      <w:kern w:val="0"/>
      <w:sz w:val="18"/>
      <w:szCs w:val="20"/>
    </w:rPr>
  </w:style>
  <w:style w:type="paragraph" w:styleId="21">
    <w:name w:val="envelope return"/>
    <w:basedOn w:val="1"/>
    <w:qFormat/>
    <w:locked/>
    <w:uiPriority w:val="0"/>
    <w:pPr>
      <w:snapToGrid w:val="0"/>
    </w:pPr>
    <w:rPr>
      <w:rFonts w:ascii="Arial" w:hAnsi="Arial" w:eastAsia="宋体" w:cs="Arial"/>
    </w:rPr>
  </w:style>
  <w:style w:type="paragraph" w:styleId="22">
    <w:name w:val="header"/>
    <w:basedOn w:val="1"/>
    <w:next w:val="23"/>
    <w:link w:val="46"/>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3">
    <w:name w:val="样式5"/>
    <w:basedOn w:val="8"/>
    <w:next w:val="1"/>
    <w:qFormat/>
    <w:uiPriority w:val="0"/>
    <w:pPr>
      <w:widowControl w:val="0"/>
      <w:snapToGrid w:val="0"/>
      <w:ind w:firstLine="0" w:firstLineChars="0"/>
      <w:jc w:val="center"/>
    </w:pPr>
    <w:rPr>
      <w:rFonts w:ascii="黑体" w:hAnsi="Calibri" w:eastAsia="黑体" w:cs="Times New Roman"/>
      <w:color w:val="000000"/>
      <w:kern w:val="2"/>
      <w:szCs w:val="24"/>
      <w:lang w:val="en-US" w:eastAsia="zh-CN"/>
    </w:rPr>
  </w:style>
  <w:style w:type="paragraph" w:styleId="24">
    <w:name w:val="Body Text Indent 3"/>
    <w:basedOn w:val="1"/>
    <w:qFormat/>
    <w:locked/>
    <w:uiPriority w:val="0"/>
    <w:pPr>
      <w:spacing w:line="440" w:lineRule="exact"/>
      <w:ind w:firstLine="425"/>
    </w:pPr>
    <w:rPr>
      <w:rFonts w:ascii="宋体"/>
      <w:b/>
      <w:bCs/>
      <w:i/>
      <w:iCs/>
      <w:sz w:val="24"/>
      <w:szCs w:val="20"/>
    </w:rPr>
  </w:style>
  <w:style w:type="paragraph" w:styleId="25">
    <w:name w:val="index 7"/>
    <w:basedOn w:val="1"/>
    <w:next w:val="1"/>
    <w:qFormat/>
    <w:locked/>
    <w:uiPriority w:val="99"/>
    <w:pPr>
      <w:ind w:left="1200" w:leftChars="1200"/>
    </w:pPr>
  </w:style>
  <w:style w:type="paragraph" w:styleId="26">
    <w:name w:val="Normal (Web)"/>
    <w:basedOn w:val="1"/>
    <w:link w:val="47"/>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7"/>
    <w:next w:val="7"/>
    <w:link w:val="48"/>
    <w:semiHidden/>
    <w:qFormat/>
    <w:uiPriority w:val="0"/>
    <w:rPr>
      <w:b/>
      <w:sz w:val="24"/>
      <w:szCs w:val="20"/>
    </w:rPr>
  </w:style>
  <w:style w:type="paragraph" w:styleId="28">
    <w:name w:val="Body Text First Indent"/>
    <w:basedOn w:val="8"/>
    <w:next w:val="1"/>
    <w:qFormat/>
    <w:locked/>
    <w:uiPriority w:val="0"/>
    <w:pPr>
      <w:ind w:firstLine="420" w:firstLineChars="100"/>
    </w:pPr>
  </w:style>
  <w:style w:type="paragraph" w:styleId="29">
    <w:name w:val="Body Text First Indent 2"/>
    <w:basedOn w:val="10"/>
    <w:next w:val="1"/>
    <w:qFormat/>
    <w:locked/>
    <w:uiPriority w:val="0"/>
    <w:pPr>
      <w:spacing w:line="312" w:lineRule="atLeast"/>
      <w:ind w:left="0" w:leftChars="0" w:firstLine="420"/>
    </w:pPr>
  </w:style>
  <w:style w:type="table" w:styleId="31">
    <w:name w:val="Table Grid"/>
    <w:basedOn w:val="3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locked/>
    <w:uiPriority w:val="0"/>
    <w:rPr>
      <w:b/>
      <w:bCs/>
    </w:rPr>
  </w:style>
  <w:style w:type="character" w:styleId="34">
    <w:name w:val="page number"/>
    <w:basedOn w:val="32"/>
    <w:qFormat/>
    <w:locked/>
    <w:uiPriority w:val="0"/>
  </w:style>
  <w:style w:type="character" w:styleId="35">
    <w:name w:val="Emphasis"/>
    <w:basedOn w:val="32"/>
    <w:qFormat/>
    <w:locked/>
    <w:uiPriority w:val="0"/>
    <w:rPr>
      <w:i/>
    </w:rPr>
  </w:style>
  <w:style w:type="character" w:styleId="36">
    <w:name w:val="Hyperlink"/>
    <w:basedOn w:val="32"/>
    <w:qFormat/>
    <w:locked/>
    <w:uiPriority w:val="99"/>
    <w:rPr>
      <w:rFonts w:cs="Times New Roman"/>
      <w:color w:val="3366CC"/>
      <w:u w:val="single"/>
    </w:rPr>
  </w:style>
  <w:style w:type="character" w:styleId="37">
    <w:name w:val="HTML Code"/>
    <w:basedOn w:val="32"/>
    <w:qFormat/>
    <w:locked/>
    <w:uiPriority w:val="0"/>
    <w:rPr>
      <w:rFonts w:ascii="Courier New" w:hAnsi="Courier New"/>
      <w:sz w:val="20"/>
    </w:rPr>
  </w:style>
  <w:style w:type="character" w:styleId="38">
    <w:name w:val="annotation reference"/>
    <w:basedOn w:val="32"/>
    <w:semiHidden/>
    <w:qFormat/>
    <w:uiPriority w:val="0"/>
    <w:rPr>
      <w:sz w:val="21"/>
    </w:rPr>
  </w:style>
  <w:style w:type="paragraph" w:customStyle="1" w:styleId="39">
    <w:name w:val="正文文本缩进1"/>
    <w:basedOn w:val="1"/>
    <w:next w:val="11"/>
    <w:qFormat/>
    <w:uiPriority w:val="0"/>
    <w:pPr>
      <w:spacing w:after="120"/>
      <w:ind w:left="420" w:leftChars="200"/>
    </w:pPr>
    <w:rPr>
      <w:sz w:val="24"/>
    </w:rPr>
  </w:style>
  <w:style w:type="character" w:customStyle="1" w:styleId="40">
    <w:name w:val="批注文字 Char"/>
    <w:link w:val="7"/>
    <w:qFormat/>
    <w:locked/>
    <w:uiPriority w:val="0"/>
    <w:rPr>
      <w:rFonts w:ascii="Times New Roman" w:hAnsi="Times New Roman" w:eastAsia="宋体"/>
      <w:sz w:val="24"/>
    </w:rPr>
  </w:style>
  <w:style w:type="character" w:customStyle="1" w:styleId="41">
    <w:name w:val="正文文本 Char"/>
    <w:link w:val="8"/>
    <w:qFormat/>
    <w:locked/>
    <w:uiPriority w:val="0"/>
    <w:rPr>
      <w:sz w:val="18"/>
    </w:rPr>
  </w:style>
  <w:style w:type="character" w:customStyle="1" w:styleId="42">
    <w:name w:val="正文文本缩进 Char"/>
    <w:link w:val="10"/>
    <w:semiHidden/>
    <w:qFormat/>
    <w:locked/>
    <w:uiPriority w:val="0"/>
    <w:rPr>
      <w:rFonts w:ascii="Times New Roman" w:hAnsi="Times New Roman" w:eastAsia="宋体"/>
      <w:sz w:val="24"/>
    </w:rPr>
  </w:style>
  <w:style w:type="character" w:customStyle="1" w:styleId="43">
    <w:name w:val="日期 Char"/>
    <w:link w:val="15"/>
    <w:qFormat/>
    <w:locked/>
    <w:uiPriority w:val="0"/>
    <w:rPr>
      <w:rFonts w:ascii="Times New Roman" w:hAnsi="Times New Roman" w:eastAsia="宋体"/>
      <w:sz w:val="24"/>
    </w:rPr>
  </w:style>
  <w:style w:type="character" w:customStyle="1" w:styleId="44">
    <w:name w:val="批注框文本 Char"/>
    <w:link w:val="19"/>
    <w:semiHidden/>
    <w:qFormat/>
    <w:locked/>
    <w:uiPriority w:val="0"/>
    <w:rPr>
      <w:rFonts w:ascii="Times New Roman" w:hAnsi="Times New Roman" w:eastAsia="宋体"/>
      <w:sz w:val="18"/>
    </w:rPr>
  </w:style>
  <w:style w:type="character" w:customStyle="1" w:styleId="45">
    <w:name w:val="页脚 Char"/>
    <w:link w:val="20"/>
    <w:qFormat/>
    <w:locked/>
    <w:uiPriority w:val="99"/>
    <w:rPr>
      <w:sz w:val="18"/>
    </w:rPr>
  </w:style>
  <w:style w:type="character" w:customStyle="1" w:styleId="46">
    <w:name w:val="页眉 Char"/>
    <w:link w:val="22"/>
    <w:qFormat/>
    <w:locked/>
    <w:uiPriority w:val="0"/>
    <w:rPr>
      <w:sz w:val="18"/>
    </w:rPr>
  </w:style>
  <w:style w:type="character" w:customStyle="1" w:styleId="47">
    <w:name w:val="普通(网站) Char"/>
    <w:link w:val="26"/>
    <w:qFormat/>
    <w:locked/>
    <w:uiPriority w:val="0"/>
    <w:rPr>
      <w:rFonts w:ascii="宋体" w:hAnsi="宋体" w:eastAsia="宋体"/>
      <w:sz w:val="24"/>
    </w:rPr>
  </w:style>
  <w:style w:type="character" w:customStyle="1" w:styleId="48">
    <w:name w:val="批注主题 Char"/>
    <w:link w:val="27"/>
    <w:semiHidden/>
    <w:qFormat/>
    <w:locked/>
    <w:uiPriority w:val="0"/>
    <w:rPr>
      <w:rFonts w:ascii="Times New Roman" w:hAnsi="Times New Roman" w:eastAsia="宋体"/>
      <w:b/>
      <w:kern w:val="2"/>
      <w:sz w:val="24"/>
    </w:rPr>
  </w:style>
  <w:style w:type="paragraph" w:customStyle="1" w:styleId="49">
    <w:name w:val="Default"/>
    <w:basedOn w:val="50"/>
    <w:qFormat/>
    <w:uiPriority w:val="0"/>
    <w:pPr>
      <w:widowControl w:val="0"/>
      <w:autoSpaceDE w:val="0"/>
      <w:autoSpaceDN w:val="0"/>
      <w:adjustRightInd w:val="0"/>
      <w:jc w:val="center"/>
    </w:pPr>
    <w:rPr>
      <w:rFonts w:ascii="仿宋_GB2312" w:hAnsi="仿宋_GB2312" w:eastAsia="宋体" w:cs="仿宋_GB2312"/>
      <w:color w:val="000000"/>
      <w:sz w:val="24"/>
      <w:szCs w:val="24"/>
      <w:lang w:val="en-US" w:eastAsia="zh-CN" w:bidi="ar-SA"/>
    </w:rPr>
  </w:style>
  <w:style w:type="paragraph" w:customStyle="1" w:styleId="50">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51">
    <w:name w:val="文本"/>
    <w:basedOn w:val="1"/>
    <w:next w:val="1"/>
    <w:qFormat/>
    <w:uiPriority w:val="0"/>
    <w:pPr>
      <w:adjustRightInd w:val="0"/>
      <w:snapToGrid w:val="0"/>
      <w:spacing w:line="360" w:lineRule="auto"/>
      <w:ind w:firstLine="1446" w:firstLineChars="200"/>
    </w:pPr>
    <w:rPr>
      <w:rFonts w:ascii="Times New Roman" w:hAnsi="Times New Roman" w:eastAsia="宋体"/>
      <w:sz w:val="24"/>
    </w:rPr>
  </w:style>
  <w:style w:type="paragraph" w:customStyle="1" w:styleId="52">
    <w:name w:val="常规"/>
    <w:basedOn w:val="1"/>
    <w:qFormat/>
    <w:uiPriority w:val="0"/>
    <w:pPr>
      <w:ind w:firstLine="200" w:firstLineChars="200"/>
      <w:jc w:val="left"/>
    </w:pPr>
    <w:rPr>
      <w:rFonts w:ascii="Arial" w:hAnsi="Arial" w:eastAsia="Arial"/>
      <w:color w:val="000000"/>
      <w:kern w:val="0"/>
      <w:sz w:val="20"/>
      <w:szCs w:val="20"/>
      <w:lang w:val="zh-CN"/>
    </w:rPr>
  </w:style>
  <w:style w:type="paragraph" w:customStyle="1" w:styleId="53">
    <w:name w:val="纯文本1"/>
    <w:basedOn w:val="1"/>
    <w:qFormat/>
    <w:uiPriority w:val="0"/>
    <w:pPr>
      <w:adjustRightInd w:val="0"/>
    </w:pPr>
    <w:rPr>
      <w:rFonts w:ascii="宋体" w:hAnsi="Courier New"/>
      <w:szCs w:val="20"/>
    </w:rPr>
  </w:style>
  <w:style w:type="paragraph" w:customStyle="1" w:styleId="54">
    <w:name w:val="样式35"/>
    <w:basedOn w:val="1"/>
    <w:next w:val="1"/>
    <w:qFormat/>
    <w:uiPriority w:val="0"/>
    <w:pPr>
      <w:spacing w:line="312" w:lineRule="auto"/>
      <w:ind w:firstLine="567"/>
    </w:pPr>
    <w:rPr>
      <w:rFonts w:ascii="宋体"/>
      <w:sz w:val="28"/>
    </w:rPr>
  </w:style>
  <w:style w:type="paragraph" w:customStyle="1" w:styleId="55">
    <w:name w:val="正文1"/>
    <w:basedOn w:val="8"/>
    <w:next w:val="1"/>
    <w:qFormat/>
    <w:uiPriority w:val="0"/>
    <w:pPr>
      <w:adjustRightInd w:val="0"/>
      <w:snapToGrid w:val="0"/>
      <w:spacing w:line="500" w:lineRule="atLeast"/>
      <w:ind w:firstLine="567"/>
    </w:pPr>
    <w:rPr>
      <w:rFonts w:cs="Angsana New"/>
      <w:sz w:val="28"/>
      <w:lang w:bidi="th-TH"/>
    </w:rPr>
  </w:style>
  <w:style w:type="paragraph" w:customStyle="1" w:styleId="56">
    <w:name w:val="xl27"/>
    <w:basedOn w:val="1"/>
    <w:qFormat/>
    <w:uiPriority w:val="0"/>
    <w:pPr>
      <w:widowControl/>
      <w:pBdr>
        <w:left w:val="single" w:color="auto" w:sz="12" w:space="0"/>
        <w:bottom w:val="single" w:color="auto" w:sz="12" w:space="0"/>
      </w:pBdr>
      <w:spacing w:before="100" w:beforeAutospacing="1" w:after="100" w:afterAutospacing="1"/>
      <w:jc w:val="left"/>
    </w:pPr>
    <w:rPr>
      <w:rFonts w:ascii="Arial Unicode MS" w:hAnsi="Arial Unicode MS"/>
      <w:kern w:val="0"/>
    </w:rPr>
  </w:style>
  <w:style w:type="character" w:customStyle="1" w:styleId="57">
    <w:name w:val="日期 字符"/>
    <w:semiHidden/>
    <w:qFormat/>
    <w:uiPriority w:val="0"/>
    <w:rPr>
      <w:rFonts w:ascii="Times New Roman" w:hAnsi="Times New Roman" w:eastAsia="宋体"/>
      <w:sz w:val="24"/>
    </w:rPr>
  </w:style>
  <w:style w:type="character" w:customStyle="1" w:styleId="58">
    <w:name w:val="正文文本 字符1"/>
    <w:semiHidden/>
    <w:qFormat/>
    <w:uiPriority w:val="0"/>
    <w:rPr>
      <w:rFonts w:ascii="Times New Roman" w:hAnsi="Times New Roman" w:eastAsia="宋体"/>
      <w:sz w:val="24"/>
    </w:rPr>
  </w:style>
  <w:style w:type="character" w:customStyle="1" w:styleId="59">
    <w:name w:val="批注文字 字符1"/>
    <w:semiHidden/>
    <w:qFormat/>
    <w:uiPriority w:val="0"/>
    <w:rPr>
      <w:rFonts w:ascii="Times New Roman" w:hAnsi="Times New Roman" w:eastAsia="宋体"/>
      <w:sz w:val="24"/>
    </w:rPr>
  </w:style>
  <w:style w:type="character" w:customStyle="1" w:styleId="60">
    <w:name w:val="页脚 字符"/>
    <w:basedOn w:val="32"/>
    <w:qFormat/>
    <w:uiPriority w:val="99"/>
  </w:style>
  <w:style w:type="character" w:customStyle="1" w:styleId="61">
    <w:name w:val="font01"/>
    <w:basedOn w:val="32"/>
    <w:qFormat/>
    <w:uiPriority w:val="0"/>
    <w:rPr>
      <w:rFonts w:hint="eastAsia" w:ascii="宋体" w:hAnsi="宋体" w:eastAsia="宋体" w:cs="宋体"/>
      <w:b/>
      <w:color w:val="000000"/>
      <w:sz w:val="22"/>
      <w:szCs w:val="22"/>
      <w:u w:val="none"/>
    </w:rPr>
  </w:style>
  <w:style w:type="character" w:customStyle="1" w:styleId="62">
    <w:name w:val="表格 Char"/>
    <w:link w:val="63"/>
    <w:qFormat/>
    <w:locked/>
    <w:uiPriority w:val="0"/>
    <w:rPr>
      <w:rFonts w:ascii="宋体"/>
      <w:sz w:val="21"/>
    </w:rPr>
  </w:style>
  <w:style w:type="paragraph" w:customStyle="1" w:styleId="63">
    <w:name w:val="表格"/>
    <w:basedOn w:val="1"/>
    <w:next w:val="1"/>
    <w:link w:val="62"/>
    <w:qFormat/>
    <w:uiPriority w:val="0"/>
    <w:pPr>
      <w:adjustRightInd w:val="0"/>
      <w:snapToGrid w:val="0"/>
      <w:spacing w:beforeLines="10" w:afterLines="10" w:line="259" w:lineRule="auto"/>
      <w:jc w:val="center"/>
    </w:pPr>
    <w:rPr>
      <w:rFonts w:ascii="宋体"/>
      <w:kern w:val="0"/>
      <w:szCs w:val="20"/>
    </w:rPr>
  </w:style>
  <w:style w:type="paragraph" w:customStyle="1" w:styleId="64">
    <w:name w:val="报告正文"/>
    <w:basedOn w:val="1"/>
    <w:qFormat/>
    <w:uiPriority w:val="0"/>
    <w:pPr>
      <w:spacing w:line="360" w:lineRule="auto"/>
      <w:ind w:firstLine="200" w:firstLineChars="200"/>
    </w:pPr>
    <w:rPr>
      <w:rFonts w:ascii="Verdana" w:hAnsi="Verdana" w:cs="”“Times New Roman”“"/>
      <w:color w:val="000000"/>
      <w:kern w:val="0"/>
      <w:sz w:val="24"/>
      <w:szCs w:val="24"/>
    </w:rPr>
  </w:style>
  <w:style w:type="paragraph" w:customStyle="1" w:styleId="65">
    <w:name w:val="表标题"/>
    <w:basedOn w:val="1"/>
    <w:qFormat/>
    <w:uiPriority w:val="0"/>
    <w:pPr>
      <w:spacing w:line="500" w:lineRule="exact"/>
      <w:ind w:firstLine="482" w:firstLineChars="200"/>
      <w:jc w:val="center"/>
    </w:pPr>
    <w:rPr>
      <w:rFonts w:ascii="仿宋_GB2312" w:eastAsia="仿宋_GB2312"/>
      <w:b/>
      <w:bCs/>
      <w:sz w:val="24"/>
    </w:rPr>
  </w:style>
  <w:style w:type="paragraph" w:customStyle="1" w:styleId="66">
    <w:name w:val="A正文"/>
    <w:basedOn w:val="1"/>
    <w:qFormat/>
    <w:uiPriority w:val="0"/>
    <w:pPr>
      <w:spacing w:line="360" w:lineRule="auto"/>
      <w:ind w:firstLine="480" w:firstLineChars="200"/>
    </w:pPr>
    <w:rPr>
      <w:kern w:val="0"/>
      <w:sz w:val="24"/>
    </w:rPr>
  </w:style>
  <w:style w:type="paragraph" w:customStyle="1" w:styleId="67">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HP正文"/>
    <w:basedOn w:val="1"/>
    <w:qFormat/>
    <w:uiPriority w:val="0"/>
    <w:pPr>
      <w:spacing w:line="360" w:lineRule="auto"/>
      <w:ind w:firstLine="480" w:firstLineChars="200"/>
    </w:pPr>
    <w:rPr>
      <w:rFonts w:ascii="Calibri" w:hAnsi="Calibri"/>
      <w:sz w:val="24"/>
      <w:szCs w:val="24"/>
    </w:rPr>
  </w:style>
  <w:style w:type="paragraph" w:customStyle="1" w:styleId="6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0">
    <w:name w:val="标题2"/>
    <w:unhideWhenUsed/>
    <w:qFormat/>
    <w:uiPriority w:val="2"/>
    <w:pPr>
      <w:outlineLvl w:val="2"/>
    </w:pPr>
    <w:rPr>
      <w:rFonts w:ascii="Calibri" w:hAnsi="Calibri" w:eastAsia="宋体" w:cs="Times New Roman"/>
      <w:kern w:val="2"/>
      <w:sz w:val="21"/>
      <w:szCs w:val="22"/>
      <w:lang w:val="en-US" w:eastAsia="zh-CN" w:bidi="ar-SA"/>
    </w:rPr>
  </w:style>
  <w:style w:type="paragraph" w:customStyle="1" w:styleId="71">
    <w:name w:val="正文 A"/>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shd w:val="clear" w:color="auto" w:fill="auto"/>
      <w:vertAlign w:val="baseline"/>
      <w:lang w:val="en-US"/>
    </w:rPr>
  </w:style>
  <w:style w:type="paragraph" w:customStyle="1" w:styleId="7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列出段落"/>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Calibri" w:cs="Arial Unicode MS"/>
      <w:color w:val="000000"/>
      <w:spacing w:val="0"/>
      <w:w w:val="100"/>
      <w:kern w:val="2"/>
      <w:position w:val="0"/>
      <w:sz w:val="21"/>
      <w:szCs w:val="21"/>
      <w:u w:val="none" w:color="000000"/>
      <w:shd w:val="clear" w:color="auto" w:fill="auto"/>
      <w:vertAlign w:val="baseline"/>
      <w:lang w:val="en-US"/>
    </w:rPr>
  </w:style>
  <w:style w:type="paragraph" w:customStyle="1" w:styleId="74">
    <w:name w:val="A表头"/>
    <w:basedOn w:val="66"/>
    <w:qFormat/>
    <w:uiPriority w:val="0"/>
    <w:pPr>
      <w:spacing w:line="240" w:lineRule="auto"/>
      <w:ind w:firstLine="0" w:firstLineChars="0"/>
      <w:jc w:val="center"/>
    </w:pPr>
    <w:rPr>
      <w:b/>
    </w:rPr>
  </w:style>
  <w:style w:type="paragraph" w:customStyle="1" w:styleId="75">
    <w:name w:val="Table Paragraph"/>
    <w:basedOn w:val="1"/>
    <w:qFormat/>
    <w:uiPriority w:val="1"/>
    <w:rPr>
      <w:rFonts w:ascii="宋体" w:hAnsi="宋体" w:eastAsia="宋体" w:cs="宋体"/>
      <w:lang w:val="zh-CN" w:eastAsia="zh-CN" w:bidi="zh-CN"/>
    </w:rPr>
  </w:style>
  <w:style w:type="paragraph" w:customStyle="1" w:styleId="76">
    <w:name w:val="图表文字"/>
    <w:basedOn w:val="1"/>
    <w:qFormat/>
    <w:uiPriority w:val="0"/>
    <w:pPr>
      <w:spacing w:line="300" w:lineRule="exact"/>
      <w:jc w:val="center"/>
    </w:pPr>
    <w:rPr>
      <w:bCs/>
      <w:szCs w:val="20"/>
    </w:rPr>
  </w:style>
  <w:style w:type="paragraph" w:customStyle="1" w:styleId="77">
    <w:name w:val="表头"/>
    <w:basedOn w:val="78"/>
    <w:qFormat/>
    <w:uiPriority w:val="0"/>
    <w:pPr>
      <w:ind w:firstLine="0" w:firstLineChars="0"/>
      <w:jc w:val="center"/>
    </w:pPr>
    <w:rPr>
      <w:b/>
      <w:sz w:val="21"/>
      <w:szCs w:val="21"/>
    </w:rPr>
  </w:style>
  <w:style w:type="paragraph" w:customStyle="1" w:styleId="78">
    <w:name w:val="正文d"/>
    <w:basedOn w:val="1"/>
    <w:qFormat/>
    <w:uiPriority w:val="0"/>
    <w:pPr>
      <w:autoSpaceDE w:val="0"/>
      <w:autoSpaceDN w:val="0"/>
      <w:adjustRightInd w:val="0"/>
      <w:snapToGrid w:val="0"/>
      <w:spacing w:line="360" w:lineRule="auto"/>
      <w:ind w:firstLine="200" w:firstLineChars="200"/>
    </w:pPr>
    <w:rPr>
      <w:rFonts w:cs="宋体"/>
      <w:kern w:val="0"/>
      <w:szCs w:val="21"/>
    </w:rPr>
  </w:style>
  <w:style w:type="paragraph" w:styleId="79">
    <w:name w:val="List Paragraph"/>
    <w:basedOn w:val="1"/>
    <w:qFormat/>
    <w:uiPriority w:val="1"/>
    <w:pPr>
      <w:ind w:left="724"/>
    </w:pPr>
    <w:rPr>
      <w:rFonts w:ascii="宋体" w:hAnsi="宋体" w:eastAsia="宋体" w:cs="宋体"/>
      <w:lang w:val="zh-CN" w:eastAsia="zh-CN" w:bidi="zh-CN"/>
    </w:rPr>
  </w:style>
  <w:style w:type="paragraph" w:customStyle="1" w:styleId="80">
    <w:name w:val="目录2"/>
    <w:basedOn w:val="1"/>
    <w:qFormat/>
    <w:uiPriority w:val="0"/>
    <w:pPr>
      <w:jc w:val="left"/>
    </w:pPr>
    <w:rPr>
      <w:rFonts w:ascii="Times New Roman" w:hAnsi="Times New Roman"/>
      <w:b/>
      <w:sz w:val="24"/>
    </w:rPr>
  </w:style>
  <w:style w:type="paragraph" w:customStyle="1" w:styleId="81">
    <w:name w:val="中文报告书样式"/>
    <w:basedOn w:val="1"/>
    <w:qFormat/>
    <w:uiPriority w:val="99"/>
    <w:pPr>
      <w:adjustRightInd w:val="0"/>
      <w:spacing w:line="480" w:lineRule="atLeast"/>
      <w:ind w:firstLine="482"/>
      <w:textAlignment w:val="baseline"/>
    </w:pPr>
    <w:rPr>
      <w:kern w:val="24"/>
      <w:sz w:val="24"/>
    </w:rPr>
  </w:style>
  <w:style w:type="paragraph" w:customStyle="1" w:styleId="82">
    <w:name w:val="二级标题"/>
    <w:basedOn w:val="1"/>
    <w:qFormat/>
    <w:uiPriority w:val="0"/>
    <w:pPr>
      <w:adjustRightInd w:val="0"/>
      <w:spacing w:before="120" w:after="120" w:line="400" w:lineRule="atLeast"/>
      <w:textAlignment w:val="baseline"/>
    </w:pPr>
    <w:rPr>
      <w:rFonts w:eastAsia="黑体"/>
      <w:kern w:val="0"/>
      <w:sz w:val="28"/>
    </w:rPr>
  </w:style>
  <w:style w:type="paragraph" w:customStyle="1" w:styleId="83">
    <w:name w:val="缩进正文"/>
    <w:qFormat/>
    <w:uiPriority w:val="0"/>
    <w:pPr>
      <w:adjustRightInd w:val="0"/>
      <w:snapToGrid w:val="0"/>
      <w:spacing w:line="360" w:lineRule="auto"/>
      <w:ind w:firstLine="200" w:firstLineChars="200"/>
      <w:jc w:val="both"/>
    </w:pPr>
    <w:rPr>
      <w:rFonts w:ascii="Times New Roman" w:hAnsi="Times New Roman" w:eastAsia="宋体" w:cs="Times New Roman"/>
      <w:kern w:val="0"/>
      <w:sz w:val="24"/>
      <w:szCs w:val="20"/>
      <w:lang w:val="en-US" w:eastAsia="zh-CN" w:bidi="ar-SA"/>
    </w:rPr>
  </w:style>
  <w:style w:type="paragraph" w:customStyle="1" w:styleId="84">
    <w:name w:val="表格内容"/>
    <w:basedOn w:val="85"/>
    <w:qFormat/>
    <w:uiPriority w:val="0"/>
    <w:pPr>
      <w:pBdr>
        <w:top w:val="none" w:color="auto" w:sz="0" w:space="1"/>
        <w:left w:val="none" w:color="auto" w:sz="0" w:space="4"/>
        <w:bottom w:val="none" w:color="auto" w:sz="0" w:space="1"/>
        <w:right w:val="none" w:color="auto" w:sz="0" w:space="4"/>
      </w:pBdr>
      <w:tabs>
        <w:tab w:val="center" w:pos="105"/>
        <w:tab w:val="center" w:pos="283"/>
      </w:tabs>
      <w:overflowPunct w:val="0"/>
      <w:adjustRightInd w:val="0"/>
      <w:spacing w:beforeLines="0" w:afterLines="0" w:line="240" w:lineRule="auto"/>
      <w:jc w:val="center"/>
      <w:textAlignment w:val="baseline"/>
    </w:pPr>
    <w:rPr>
      <w:rFonts w:cs="Times New Roman"/>
      <w:kern w:val="0"/>
      <w:sz w:val="21"/>
    </w:rPr>
  </w:style>
  <w:style w:type="paragraph" w:customStyle="1" w:styleId="85">
    <w:name w:val="wf-表格内容"/>
    <w:basedOn w:val="1"/>
    <w:qFormat/>
    <w:uiPriority w:val="0"/>
    <w:pPr>
      <w:adjustRightInd w:val="0"/>
      <w:spacing w:line="240" w:lineRule="auto"/>
      <w:jc w:val="center"/>
      <w:textAlignment w:val="baseline"/>
    </w:pPr>
    <w:rPr>
      <w:sz w:val="21"/>
      <w:szCs w:val="21"/>
    </w:rPr>
  </w:style>
  <w:style w:type="paragraph" w:customStyle="1" w:styleId="86">
    <w:name w:val="A表格"/>
    <w:basedOn w:val="1"/>
    <w:qFormat/>
    <w:uiPriority w:val="0"/>
    <w:pPr>
      <w:jc w:val="center"/>
    </w:pPr>
    <w:rPr>
      <w:kern w:val="0"/>
      <w:szCs w:val="21"/>
    </w:rPr>
  </w:style>
  <w:style w:type="paragraph" w:customStyle="1" w:styleId="87">
    <w:name w:val="表格题目"/>
    <w:basedOn w:val="1"/>
    <w:qFormat/>
    <w:uiPriority w:val="0"/>
    <w:pPr>
      <w:keepNext/>
      <w:autoSpaceDE w:val="0"/>
      <w:autoSpaceDN w:val="0"/>
      <w:adjustRightInd w:val="0"/>
      <w:snapToGrid w:val="0"/>
      <w:jc w:val="center"/>
    </w:pPr>
    <w:rPr>
      <w:rFonts w:ascii="Times New Roman" w:hAnsi="Times New Roman" w:eastAsia="宋体"/>
      <w:b/>
      <w:color w:val="000000"/>
      <w:sz w:val="24"/>
    </w:rPr>
  </w:style>
  <w:style w:type="character" w:customStyle="1" w:styleId="88">
    <w:name w:val="NormalCharacter"/>
    <w:qFormat/>
    <w:uiPriority w:val="0"/>
    <w:rPr>
      <w:kern w:val="2"/>
      <w:sz w:val="21"/>
      <w:szCs w:val="24"/>
      <w:lang w:val="en-US" w:eastAsia="zh-CN" w:bidi="ar-SA"/>
    </w:rPr>
  </w:style>
  <w:style w:type="paragraph" w:customStyle="1" w:styleId="89">
    <w:name w:val="li_正文"/>
    <w:basedOn w:val="1"/>
    <w:qFormat/>
    <w:uiPriority w:val="0"/>
    <w:pPr>
      <w:keepNext w:val="0"/>
      <w:keepLines w:val="0"/>
      <w:widowControl w:val="0"/>
      <w:suppressLineNumbers w:val="0"/>
      <w:tabs>
        <w:tab w:val="left" w:pos="2340"/>
        <w:tab w:val="left" w:pos="4320"/>
      </w:tabs>
      <w:spacing w:before="0" w:beforeAutospacing="0" w:after="0" w:afterAutospacing="0"/>
      <w:ind w:left="0" w:right="0" w:firstLine="530" w:firstLineChars="200"/>
      <w:jc w:val="left"/>
    </w:pPr>
    <w:rPr>
      <w:rFonts w:hint="default" w:ascii="Times New Roman" w:hAnsi="Times New Roman" w:eastAsia="宋体" w:cs="Times New Roman"/>
      <w:kern w:val="2"/>
      <w:sz w:val="28"/>
      <w:szCs w:val="28"/>
      <w:lang w:val="en-US" w:eastAsia="zh-CN" w:bidi="ar"/>
    </w:rPr>
  </w:style>
  <w:style w:type="character" w:customStyle="1" w:styleId="90">
    <w:name w:val="fontstyle01"/>
    <w:basedOn w:val="32"/>
    <w:qFormat/>
    <w:uiPriority w:val="0"/>
    <w:rPr>
      <w:rFonts w:ascii="TimesNewRomanPSMT" w:hAnsi="TimesNewRomanPSMT" w:eastAsia="TimesNewRomanPSMT" w:cs="TimesNewRomanPSMT"/>
      <w:color w:val="000000"/>
      <w:sz w:val="24"/>
      <w:szCs w:val="24"/>
    </w:rPr>
  </w:style>
  <w:style w:type="paragraph" w:customStyle="1" w:styleId="91">
    <w:name w:val="表标题编号"/>
    <w:basedOn w:val="1"/>
    <w:qFormat/>
    <w:uiPriority w:val="0"/>
    <w:pPr>
      <w:numPr>
        <w:ilvl w:val="0"/>
        <w:numId w:val="2"/>
      </w:numPr>
      <w:tabs>
        <w:tab w:val="left" w:pos="0"/>
      </w:tabs>
      <w:adjustRightInd w:val="0"/>
      <w:snapToGrid w:val="0"/>
      <w:jc w:val="center"/>
    </w:pPr>
    <w:rPr>
      <w:sz w:val="24"/>
      <w:szCs w:val="22"/>
    </w:rPr>
  </w:style>
  <w:style w:type="paragraph" w:customStyle="1" w:styleId="92">
    <w:name w:val="标准正文文本"/>
    <w:basedOn w:val="1"/>
    <w:qFormat/>
    <w:uiPriority w:val="0"/>
    <w:pPr>
      <w:adjustRightInd w:val="0"/>
      <w:snapToGrid w:val="0"/>
      <w:spacing w:line="360" w:lineRule="auto"/>
      <w:ind w:firstLine="643" w:firstLineChars="200"/>
    </w:pPr>
    <w:rPr>
      <w:kern w:val="0"/>
      <w:sz w:val="24"/>
      <w:szCs w:val="22"/>
    </w:rPr>
  </w:style>
  <w:style w:type="paragraph" w:customStyle="1" w:styleId="93">
    <w:name w:val="PlainText"/>
    <w:basedOn w:val="1"/>
    <w:qFormat/>
    <w:locked/>
    <w:uiPriority w:val="0"/>
    <w:pPr>
      <w:jc w:val="both"/>
      <w:textAlignment w:val="baseline"/>
    </w:pPr>
    <w:rPr>
      <w:rFonts w:ascii="宋体" w:hAnsi="Courier New"/>
      <w:kern w:val="2"/>
      <w:sz w:val="21"/>
      <w:szCs w:val="21"/>
      <w:lang w:val="en-US" w:eastAsia="zh-CN" w:bidi="ar-SA"/>
    </w:rPr>
  </w:style>
  <w:style w:type="paragraph" w:customStyle="1" w:styleId="94">
    <w:name w:val="小标题"/>
    <w:basedOn w:val="78"/>
    <w:qFormat/>
    <w:uiPriority w:val="0"/>
    <w:pPr>
      <w:numPr>
        <w:ilvl w:val="0"/>
        <w:numId w:val="3"/>
      </w:numPr>
      <w:ind w:left="0" w:firstLine="200"/>
    </w:pPr>
    <w:rPr>
      <w:rFonts w:cs="Times New Roman"/>
      <w:b/>
    </w:rPr>
  </w:style>
  <w:style w:type="paragraph" w:customStyle="1" w:styleId="95">
    <w:name w:val="表文"/>
    <w:basedOn w:val="78"/>
    <w:qFormat/>
    <w:uiPriority w:val="0"/>
    <w:pPr>
      <w:spacing w:line="360" w:lineRule="exact"/>
      <w:ind w:firstLine="0" w:firstLineChars="0"/>
      <w:jc w:val="center"/>
    </w:pPr>
  </w:style>
  <w:style w:type="paragraph" w:customStyle="1" w:styleId="96">
    <w:name w:val="正文四号"/>
    <w:basedOn w:val="1"/>
    <w:qFormat/>
    <w:uiPriority w:val="0"/>
    <w:pPr>
      <w:spacing w:line="360" w:lineRule="auto"/>
      <w:ind w:firstLine="200" w:firstLineChars="200"/>
    </w:pPr>
    <w:rPr>
      <w:rFonts w:cs="宋体"/>
      <w:sz w:val="28"/>
      <w:szCs w:val="20"/>
    </w:rPr>
  </w:style>
  <w:style w:type="paragraph" w:customStyle="1" w:styleId="97">
    <w:name w:val="报告书正文"/>
    <w:basedOn w:val="1"/>
    <w:qFormat/>
    <w:uiPriority w:val="0"/>
    <w:pPr>
      <w:spacing w:line="400" w:lineRule="exact"/>
      <w:ind w:firstLine="200" w:firstLineChars="200"/>
    </w:pPr>
    <w:rPr>
      <w:rFonts w:ascii="宋体" w:hAnsi="宋体" w:cs="宋体"/>
      <w:sz w:val="24"/>
      <w:szCs w:val="24"/>
    </w:rPr>
  </w:style>
  <w:style w:type="paragraph" w:customStyle="1" w:styleId="98">
    <w:name w:val="样式 宋体 红色 行距: 1.5 倍行距"/>
    <w:basedOn w:val="1"/>
    <w:qFormat/>
    <w:uiPriority w:val="0"/>
    <w:pPr>
      <w:adjustRightInd w:val="0"/>
      <w:snapToGrid w:val="0"/>
      <w:spacing w:line="360" w:lineRule="auto"/>
      <w:ind w:firstLine="560" w:firstLineChars="200"/>
    </w:pPr>
    <w:rPr>
      <w:rFonts w:ascii="宋体" w:hAnsi="宋体" w:cs="宋体"/>
      <w:color w:val="FF0000"/>
      <w:sz w:val="24"/>
      <w:szCs w:val="20"/>
    </w:rPr>
  </w:style>
  <w:style w:type="paragraph" w:customStyle="1" w:styleId="99">
    <w:name w:val="!正文"/>
    <w:qFormat/>
    <w:uiPriority w:val="0"/>
    <w:pPr>
      <w:widowControl w:val="0"/>
      <w:spacing w:line="480" w:lineRule="exact"/>
      <w:ind w:firstLine="480" w:firstLineChars="200"/>
      <w:jc w:val="both"/>
    </w:pPr>
    <w:rPr>
      <w:rFonts w:ascii="Times New Roman" w:hAnsi="宋体" w:eastAsia="宋体" w:cs="宋体"/>
      <w:kern w:val="2"/>
      <w:sz w:val="21"/>
      <w:szCs w:val="24"/>
      <w:lang w:val="en-US" w:eastAsia="zh-CN" w:bidi="ar-SA"/>
    </w:rPr>
  </w:style>
  <w:style w:type="paragraph" w:customStyle="1" w:styleId="100">
    <w:name w:val="Table Text"/>
    <w:semiHidden/>
    <w:qFormat/>
    <w:uiPriority w:val="0"/>
    <w:pPr>
      <w:widowControl/>
      <w:kinsoku w:val="0"/>
      <w:autoSpaceDE w:val="0"/>
      <w:autoSpaceDN w:val="0"/>
      <w:adjustRightInd w:val="0"/>
      <w:snapToGrid w:val="0"/>
      <w:jc w:val="left"/>
      <w:textAlignment w:val="baseline"/>
    </w:pPr>
    <w:rPr>
      <w:rFonts w:ascii="宋体" w:hAnsi="宋体" w:eastAsia="宋体" w:cs="宋体"/>
      <w:color w:val="000000"/>
      <w:kern w:val="0"/>
      <w:sz w:val="18"/>
      <w:szCs w:val="18"/>
      <w:lang w:val="en-US" w:eastAsia="zh-CN" w:bidi="ar-SA"/>
    </w:rPr>
  </w:style>
  <w:style w:type="paragraph" w:customStyle="1" w:styleId="101">
    <w:name w:val="wf-表格标题"/>
    <w:basedOn w:val="1"/>
    <w:qFormat/>
    <w:uiPriority w:val="0"/>
    <w:pPr>
      <w:adjustRightInd w:val="0"/>
      <w:snapToGrid w:val="0"/>
      <w:spacing w:line="240" w:lineRule="auto"/>
      <w:ind w:firstLine="0" w:firstLineChars="0"/>
      <w:jc w:val="center"/>
    </w:pPr>
    <w:rPr>
      <w:rFonts w:hint="eastAsia" w:ascii="Times New Roman" w:hAnsi="Times New Roman" w:eastAsia="黑体" w:cs="Times New Roman"/>
      <w:bCs/>
      <w:color w:val="auto"/>
      <w:sz w:val="24"/>
      <w:szCs w:val="32"/>
    </w:rPr>
  </w:style>
  <w:style w:type="table" w:customStyle="1" w:styleId="102">
    <w:name w:val="Table Normal"/>
    <w:unhideWhenUsed/>
    <w:qFormat/>
    <w:uiPriority w:val="0"/>
    <w:tblPr>
      <w:tblCellMar>
        <w:top w:w="0" w:type="dxa"/>
        <w:left w:w="0" w:type="dxa"/>
        <w:bottom w:w="0" w:type="dxa"/>
        <w:right w:w="0" w:type="dxa"/>
      </w:tblCellMar>
    </w:tblPr>
  </w:style>
  <w:style w:type="paragraph" w:customStyle="1" w:styleId="103">
    <w:name w:val="环评表格"/>
    <w:basedOn w:val="1"/>
    <w:qFormat/>
    <w:uiPriority w:val="0"/>
    <w:pPr>
      <w:jc w:val="center"/>
    </w:pPr>
    <w:rPr>
      <w:kern w:val="0"/>
      <w:szCs w:val="20"/>
    </w:rPr>
  </w:style>
  <w:style w:type="paragraph" w:customStyle="1" w:styleId="104">
    <w:name w:val="正文C1"/>
    <w:basedOn w:val="29"/>
    <w:qFormat/>
    <w:uiPriority w:val="0"/>
    <w:pPr>
      <w:tabs>
        <w:tab w:val="left" w:pos="420"/>
        <w:tab w:val="left" w:pos="870"/>
        <w:tab w:val="left" w:pos="3150"/>
      </w:tabs>
      <w:autoSpaceDE w:val="0"/>
      <w:autoSpaceDN w:val="0"/>
      <w:adjustRightInd w:val="0"/>
      <w:snapToGrid w:val="0"/>
      <w:spacing w:after="0" w:line="336" w:lineRule="auto"/>
      <w:ind w:left="0" w:leftChars="0" w:firstLine="397" w:firstLineChars="0"/>
      <w:textAlignment w:val="baseline"/>
    </w:pPr>
    <w:rPr>
      <w:rFonts w:ascii="宋体"/>
      <w:kern w:val="0"/>
      <w:szCs w:val="28"/>
    </w:rPr>
  </w:style>
  <w:style w:type="paragraph" w:customStyle="1" w:styleId="105">
    <w:name w:val="样式 正文 行距: 固定值 25 磅"/>
    <w:next w:val="25"/>
    <w:qFormat/>
    <w:uiPriority w:val="0"/>
    <w:pPr>
      <w:widowControl w:val="0"/>
      <w:adjustRightInd w:val="0"/>
      <w:spacing w:line="500" w:lineRule="exact"/>
      <w:ind w:firstLine="200" w:firstLineChars="200"/>
      <w:jc w:val="both"/>
    </w:pPr>
    <w:rPr>
      <w:rFonts w:ascii="Times New Roman" w:hAnsi="Times New Roman" w:eastAsia="宋体" w:cs="宋体"/>
      <w:kern w:val="2"/>
      <w:sz w:val="24"/>
      <w:szCs w:val="24"/>
      <w:lang w:val="en-US" w:eastAsia="zh-CN" w:bidi="ar-SA"/>
    </w:rPr>
  </w:style>
  <w:style w:type="character" w:customStyle="1" w:styleId="106">
    <w:name w:val="font61"/>
    <w:basedOn w:val="32"/>
    <w:qFormat/>
    <w:uiPriority w:val="0"/>
    <w:rPr>
      <w:rFonts w:hint="default" w:ascii="Times New Roman" w:hAnsi="Times New Roman" w:cs="Times New Roman"/>
      <w:b/>
      <w:bCs/>
      <w:color w:val="000000"/>
      <w:sz w:val="21"/>
      <w:szCs w:val="21"/>
      <w:u w:val="none"/>
    </w:rPr>
  </w:style>
  <w:style w:type="character" w:customStyle="1" w:styleId="107">
    <w:name w:val="font51"/>
    <w:basedOn w:val="32"/>
    <w:qFormat/>
    <w:uiPriority w:val="0"/>
    <w:rPr>
      <w:rFonts w:hint="eastAsia" w:ascii="宋体" w:hAnsi="宋体" w:eastAsia="宋体" w:cs="宋体"/>
      <w:color w:val="FF0000"/>
      <w:sz w:val="21"/>
      <w:szCs w:val="21"/>
      <w:u w:val="none"/>
    </w:rPr>
  </w:style>
  <w:style w:type="character" w:customStyle="1" w:styleId="108">
    <w:name w:val="font41"/>
    <w:basedOn w:val="32"/>
    <w:qFormat/>
    <w:uiPriority w:val="0"/>
    <w:rPr>
      <w:rFonts w:hint="default" w:ascii="Times New Roman" w:hAnsi="Times New Roman" w:cs="Times New Roman"/>
      <w:color w:val="FF0000"/>
      <w:sz w:val="21"/>
      <w:szCs w:val="21"/>
      <w:u w:val="none"/>
    </w:rPr>
  </w:style>
  <w:style w:type="paragraph" w:customStyle="1" w:styleId="109">
    <w:name w:val="1正文"/>
    <w:basedOn w:val="1"/>
    <w:qFormat/>
    <w:uiPriority w:val="0"/>
    <w:pPr>
      <w:spacing w:line="360" w:lineRule="auto"/>
      <w:ind w:firstLine="200" w:firstLineChars="200"/>
    </w:pPr>
    <w:rPr>
      <w:kern w:val="0"/>
      <w:sz w:val="24"/>
      <w:szCs w:val="20"/>
    </w:rPr>
  </w:style>
  <w:style w:type="paragraph" w:customStyle="1" w:styleId="110">
    <w:name w:val="大标题"/>
    <w:basedOn w:val="78"/>
    <w:qFormat/>
    <w:uiPriority w:val="0"/>
    <w:pPr>
      <w:numPr>
        <w:ilvl w:val="0"/>
        <w:numId w:val="4"/>
      </w:numPr>
      <w:autoSpaceDE/>
      <w:autoSpaceDN/>
      <w:spacing w:beforeLines="50"/>
      <w:ind w:firstLine="0" w:firstLineChars="0"/>
    </w:pPr>
    <w:rPr>
      <w:b/>
      <w:sz w:val="24"/>
    </w:rPr>
  </w:style>
  <w:style w:type="paragraph" w:customStyle="1" w:styleId="111">
    <w:name w:val="Default1"/>
    <w:basedOn w:val="1"/>
    <w:qFormat/>
    <w:uiPriority w:val="0"/>
    <w:pPr>
      <w:autoSpaceDE w:val="0"/>
      <w:autoSpaceDN w:val="0"/>
      <w:adjustRightInd w:val="0"/>
      <w:jc w:val="left"/>
    </w:pPr>
    <w:rPr>
      <w:rFonts w:ascii="宋体" w:cs="宋体"/>
      <w:color w:val="000000"/>
      <w:kern w:val="0"/>
      <w:sz w:val="24"/>
    </w:rPr>
  </w:style>
  <w:style w:type="paragraph" w:customStyle="1" w:styleId="112">
    <w:name w:val="TOAHeading"/>
    <w:basedOn w:val="1"/>
    <w:next w:val="1"/>
    <w:qFormat/>
    <w:uiPriority w:val="0"/>
    <w:rPr>
      <w:rFonts w:ascii="Arial" w:hAnsi="Arial"/>
      <w:sz w:val="24"/>
      <w:szCs w:val="22"/>
    </w:rPr>
  </w:style>
  <w:style w:type="paragraph" w:customStyle="1" w:styleId="113">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4">
    <w:name w:val="二级无标题条"/>
    <w:basedOn w:val="1"/>
    <w:qFormat/>
    <w:uiPriority w:val="0"/>
  </w:style>
  <w:style w:type="paragraph" w:customStyle="1" w:styleId="115">
    <w:name w:val="表格内容-gg"/>
    <w:basedOn w:val="1"/>
    <w:qFormat/>
    <w:uiPriority w:val="0"/>
    <w:pPr>
      <w:spacing w:line="240" w:lineRule="auto"/>
      <w:ind w:firstLine="0" w:firstLineChars="0"/>
      <w:jc w:val="center"/>
    </w:pPr>
    <w:rPr>
      <w:sz w:val="21"/>
    </w:rPr>
  </w:style>
  <w:style w:type="paragraph" w:customStyle="1" w:styleId="116">
    <w:name w:val="B正文"/>
    <w:basedOn w:val="1"/>
    <w:qFormat/>
    <w:uiPriority w:val="0"/>
    <w:pPr>
      <w:spacing w:line="360" w:lineRule="auto"/>
      <w:ind w:firstLine="200" w:firstLineChars="200"/>
    </w:pPr>
    <w:rPr>
      <w:kern w:val="0"/>
      <w:sz w:val="24"/>
    </w:rPr>
  </w:style>
  <w:style w:type="paragraph" w:customStyle="1" w:styleId="117">
    <w:name w:val="SpireTableThStyle1a98f599-3fdb-43b8-85d7-2c9ecaee1b336"/>
    <w:basedOn w:val="1"/>
    <w:qFormat/>
    <w:uiPriority w:val="0"/>
    <w:pPr>
      <w:jc w:val="center"/>
    </w:pPr>
    <w:rPr>
      <w:b/>
    </w:rPr>
  </w:style>
  <w:style w:type="paragraph" w:customStyle="1" w:styleId="118">
    <w:name w:val="SpireTableThStyle6342b05d-f090-4d99-a81f-1688b911074d"/>
    <w:basedOn w:val="1"/>
    <w:qFormat/>
    <w:uiPriority w:val="0"/>
    <w:pPr>
      <w:jc w:val="center"/>
    </w:pPr>
    <w:rPr>
      <w:b/>
    </w:rPr>
  </w:style>
  <w:style w:type="character" w:customStyle="1" w:styleId="119">
    <w:name w:val="font21"/>
    <w:basedOn w:val="32"/>
    <w:qFormat/>
    <w:uiPriority w:val="0"/>
    <w:rPr>
      <w:rFonts w:hint="eastAsia" w:ascii="宋体" w:hAnsi="宋体" w:eastAsia="宋体" w:cs="宋体"/>
      <w:b/>
      <w:bCs/>
      <w:color w:val="000000"/>
      <w:sz w:val="21"/>
      <w:szCs w:val="21"/>
      <w:u w:val="none"/>
    </w:rPr>
  </w:style>
  <w:style w:type="character" w:customStyle="1" w:styleId="120">
    <w:name w:val="font11"/>
    <w:basedOn w:val="32"/>
    <w:qFormat/>
    <w:uiPriority w:val="0"/>
    <w:rPr>
      <w:rFonts w:hint="default" w:ascii="Times New Roman" w:hAnsi="Times New Roman" w:cs="Times New Roman"/>
      <w:b/>
      <w:bCs/>
      <w:color w:val="000000"/>
      <w:sz w:val="21"/>
      <w:szCs w:val="21"/>
      <w:u w:val="none"/>
    </w:rPr>
  </w:style>
  <w:style w:type="character" w:customStyle="1" w:styleId="121">
    <w:name w:val="font31"/>
    <w:basedOn w:val="3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66</Pages>
  <Words>351</Words>
  <Characters>451</Characters>
  <Lines>13</Lines>
  <Paragraphs>3</Paragraphs>
  <TotalTime>7</TotalTime>
  <ScaleCrop>false</ScaleCrop>
  <LinksUpToDate>false</LinksUpToDate>
  <CharactersWithSpaces>478</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2021-03-22T23:25:00Z</dcterms:created>
  <dc:creator>lhj</dc:creator>
  <cp:lastModifiedBy>阳爸</cp:lastModifiedBy>
  <cp:lastPrinted>2023-06-08T00:48:00Z</cp:lastPrinted>
  <dcterms:modified xsi:type="dcterms:W3CDTF">2026-04-03T06:28:59Z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EA5D9388493F42E9B8C6F872C47A47B4_13</vt:lpwstr>
  </property>
  <property fmtid="{D5CDD505-2E9C-101B-9397-08002B2CF9AE}" pid="4" name="KSOTemplateDocerSaveRecord">
    <vt:lpwstr>eyJoZGlkIjoiMDNjNTJhZDcxMzYxZGU3NWFmNjdmYmU3N2FiNmRkZDgiLCJ1c2VySWQiOiIyMzY4NzI2ODkifQ==</vt:lpwstr>
  </property>
</Properties>
</file>