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8D975D">
      <w:pPr>
        <w:snapToGrid w:val="0"/>
        <w:spacing w:before="312" w:beforeLines="100" w:after="120"/>
        <w:rPr>
          <w:rFonts w:hint="default" w:ascii="Times New Roman" w:hAnsi="Times New Roman" w:cs="Times New Roman"/>
          <w:b/>
          <w:color w:val="auto"/>
          <w:sz w:val="52"/>
        </w:rPr>
      </w:pPr>
    </w:p>
    <w:p w14:paraId="5DE26176">
      <w:pPr>
        <w:snapToGrid w:val="0"/>
        <w:spacing w:after="120"/>
        <w:jc w:val="center"/>
        <w:rPr>
          <w:rFonts w:hint="default" w:ascii="Times New Roman" w:hAnsi="Times New Roman" w:eastAsia="方正姚体" w:cs="Times New Roman"/>
          <w:b/>
          <w:bCs/>
          <w:color w:val="auto"/>
          <w:spacing w:val="-94"/>
          <w:sz w:val="24"/>
          <w:szCs w:val="24"/>
        </w:rPr>
      </w:pPr>
    </w:p>
    <w:p w14:paraId="22DE9713">
      <w:pPr>
        <w:snapToGrid w:val="0"/>
        <w:spacing w:after="120"/>
        <w:jc w:val="center"/>
        <w:rPr>
          <w:rFonts w:hint="default" w:ascii="Times New Roman" w:hAnsi="Times New Roman" w:eastAsia="黑体" w:cs="Times New Roman"/>
          <w:color w:val="auto"/>
          <w:spacing w:val="16"/>
          <w:sz w:val="72"/>
          <w:szCs w:val="72"/>
        </w:rPr>
      </w:pPr>
      <w:r>
        <w:rPr>
          <w:rFonts w:hint="default" w:ascii="Times New Roman" w:hAnsi="Times New Roman" w:eastAsia="黑体" w:cs="Times New Roman"/>
          <w:color w:val="auto"/>
          <w:spacing w:val="16"/>
          <w:sz w:val="72"/>
          <w:szCs w:val="72"/>
        </w:rPr>
        <w:t>建设项目环境影响报告表</w:t>
      </w:r>
    </w:p>
    <w:p w14:paraId="7AF32681">
      <w:pPr>
        <w:pStyle w:val="61"/>
        <w:rPr>
          <w:rFonts w:hint="default"/>
          <w:color w:val="auto"/>
        </w:rPr>
      </w:pPr>
    </w:p>
    <w:p w14:paraId="35C2CF29">
      <w:pPr>
        <w:snapToGrid w:val="0"/>
        <w:jc w:val="center"/>
        <w:rPr>
          <w:rFonts w:hint="eastAsia" w:ascii="Times New Roman" w:hAnsi="Times New Roman" w:eastAsia="黑体" w:cs="Times New Roman"/>
          <w:color w:val="auto"/>
          <w:sz w:val="48"/>
          <w:szCs w:val="48"/>
          <w:lang w:eastAsia="zh-CN"/>
        </w:rPr>
      </w:pPr>
      <w:r>
        <w:rPr>
          <w:rFonts w:hint="eastAsia" w:ascii="Times New Roman" w:hAnsi="Times New Roman" w:eastAsia="黑体" w:cs="Times New Roman"/>
          <w:color w:val="auto"/>
          <w:sz w:val="48"/>
          <w:szCs w:val="48"/>
          <w:lang w:eastAsia="zh-CN"/>
        </w:rPr>
        <w:t>（</w:t>
      </w:r>
      <w:r>
        <w:rPr>
          <w:rFonts w:hint="eastAsia" w:ascii="Times New Roman" w:hAnsi="Times New Roman" w:eastAsia="黑体" w:cs="Times New Roman"/>
          <w:color w:val="auto"/>
          <w:sz w:val="48"/>
          <w:szCs w:val="48"/>
          <w:lang w:val="en-US" w:eastAsia="zh-CN"/>
        </w:rPr>
        <w:t>污染影响类</w:t>
      </w:r>
      <w:r>
        <w:rPr>
          <w:rFonts w:hint="eastAsia" w:ascii="Times New Roman" w:hAnsi="Times New Roman" w:eastAsia="黑体" w:cs="Times New Roman"/>
          <w:color w:val="auto"/>
          <w:sz w:val="48"/>
          <w:szCs w:val="48"/>
          <w:lang w:eastAsia="zh-CN"/>
        </w:rPr>
        <w:t>）</w:t>
      </w:r>
    </w:p>
    <w:p w14:paraId="6B661F3E">
      <w:pPr>
        <w:snapToGrid w:val="0"/>
        <w:jc w:val="center"/>
        <w:rPr>
          <w:rFonts w:hint="default" w:ascii="Times New Roman" w:hAnsi="Times New Roman" w:eastAsia="黑体" w:cs="Times New Roman"/>
          <w:color w:val="auto"/>
          <w:sz w:val="32"/>
        </w:rPr>
      </w:pPr>
    </w:p>
    <w:p w14:paraId="6B31C843">
      <w:pPr>
        <w:snapToGrid w:val="0"/>
        <w:jc w:val="center"/>
        <w:rPr>
          <w:rFonts w:hint="default" w:ascii="Times New Roman" w:hAnsi="Times New Roman" w:eastAsia="黑体" w:cs="Times New Roman"/>
          <w:color w:val="auto"/>
          <w:sz w:val="32"/>
        </w:rPr>
      </w:pPr>
    </w:p>
    <w:p w14:paraId="2B5F9602">
      <w:pPr>
        <w:snapToGrid w:val="0"/>
        <w:jc w:val="center"/>
        <w:rPr>
          <w:rFonts w:hint="default" w:ascii="Times New Roman" w:hAnsi="Times New Roman" w:eastAsia="黑体" w:cs="Times New Roman"/>
          <w:color w:val="auto"/>
          <w:sz w:val="32"/>
        </w:rPr>
      </w:pPr>
    </w:p>
    <w:p w14:paraId="3C744708">
      <w:pPr>
        <w:snapToGrid w:val="0"/>
        <w:jc w:val="center"/>
        <w:rPr>
          <w:rFonts w:hint="default" w:ascii="Times New Roman" w:hAnsi="Times New Roman" w:eastAsia="黑体" w:cs="Times New Roman"/>
          <w:color w:val="auto"/>
          <w:sz w:val="32"/>
        </w:rPr>
      </w:pPr>
    </w:p>
    <w:p w14:paraId="70D8322C">
      <w:pPr>
        <w:snapToGrid w:val="0"/>
        <w:jc w:val="center"/>
        <w:rPr>
          <w:rFonts w:hint="default" w:ascii="Times New Roman" w:hAnsi="Times New Roman" w:eastAsia="黑体" w:cs="Times New Roman"/>
          <w:color w:val="auto"/>
          <w:sz w:val="32"/>
        </w:rPr>
      </w:pPr>
    </w:p>
    <w:p w14:paraId="64DF647A">
      <w:pPr>
        <w:pStyle w:val="36"/>
        <w:rPr>
          <w:rFonts w:hint="default" w:ascii="Times New Roman" w:hAnsi="Times New Roman" w:cs="Times New Roman"/>
          <w:color w:val="auto"/>
          <w:lang w:val="en-US" w:eastAsia="zh-CN"/>
        </w:rPr>
      </w:pPr>
    </w:p>
    <w:p w14:paraId="46715328">
      <w:pPr>
        <w:snapToGrid w:val="0"/>
        <w:jc w:val="center"/>
        <w:rPr>
          <w:rFonts w:hint="default" w:ascii="Times New Roman" w:hAnsi="Times New Roman" w:eastAsia="黑体" w:cs="Times New Roman"/>
          <w:color w:val="auto"/>
          <w:sz w:val="32"/>
        </w:rPr>
      </w:pPr>
    </w:p>
    <w:p w14:paraId="4E27BC70">
      <w:pPr>
        <w:snapToGrid w:val="0"/>
        <w:spacing w:line="480" w:lineRule="auto"/>
        <w:rPr>
          <w:rFonts w:hint="default" w:ascii="Times New Roman" w:hAnsi="Times New Roman" w:eastAsia="黑体" w:cs="Times New Roman"/>
          <w:color w:val="auto"/>
          <w:sz w:val="32"/>
        </w:rPr>
      </w:pPr>
    </w:p>
    <w:p w14:paraId="51F6D4E9">
      <w:pPr>
        <w:keepNext w:val="0"/>
        <w:keepLines w:val="0"/>
        <w:pageBreakBefore w:val="0"/>
        <w:widowControl w:val="0"/>
        <w:kinsoku/>
        <w:wordWrap/>
        <w:overflowPunct/>
        <w:topLinePunct w:val="0"/>
        <w:autoSpaceDE/>
        <w:autoSpaceDN/>
        <w:bidi w:val="0"/>
        <w:adjustRightInd w:val="0"/>
        <w:snapToGrid w:val="0"/>
        <w:spacing w:line="480" w:lineRule="auto"/>
        <w:ind w:firstLine="600" w:firstLineChars="200"/>
        <w:jc w:val="both"/>
        <w:textAlignment w:val="auto"/>
        <w:rPr>
          <w:rFonts w:hint="default" w:ascii="Times New Roman" w:hAnsi="Times New Roman" w:eastAsia="黑体" w:cs="Times New Roman"/>
          <w:b w:val="0"/>
          <w:bCs w:val="0"/>
          <w:color w:val="auto"/>
          <w:sz w:val="30"/>
          <w:szCs w:val="30"/>
          <w:u w:val="thick"/>
          <w:lang w:val="en-US"/>
        </w:rPr>
      </w:pPr>
      <w:r>
        <w:rPr>
          <w:rFonts w:hint="default" w:ascii="Times New Roman" w:hAnsi="Times New Roman" w:eastAsia="黑体" w:cs="Times New Roman"/>
          <w:b w:val="0"/>
          <w:bCs w:val="0"/>
          <w:color w:val="auto"/>
          <w:sz w:val="30"/>
          <w:szCs w:val="30"/>
        </w:rPr>
        <w:t>项目名称</w:t>
      </w:r>
      <w:r>
        <w:rPr>
          <w:rFonts w:hint="default" w:ascii="Times New Roman" w:hAnsi="Times New Roman" w:eastAsia="黑体" w:cs="Times New Roman"/>
          <w:b w:val="0"/>
          <w:bCs w:val="0"/>
          <w:color w:val="auto"/>
          <w:spacing w:val="-16"/>
          <w:sz w:val="30"/>
          <w:szCs w:val="30"/>
        </w:rPr>
        <w:t>：</w:t>
      </w:r>
      <w:r>
        <w:rPr>
          <w:rFonts w:hint="eastAsia" w:eastAsia="黑体" w:cs="Times New Roman"/>
          <w:b w:val="0"/>
          <w:bCs w:val="0"/>
          <w:color w:val="auto"/>
          <w:sz w:val="30"/>
          <w:szCs w:val="30"/>
          <w:u w:val="thick"/>
          <w:lang w:val="en-US" w:eastAsia="zh-CN"/>
        </w:rPr>
        <w:t xml:space="preserve">        年产450万套机床附件包装盒项目        </w:t>
      </w:r>
    </w:p>
    <w:p w14:paraId="44C9EC2A">
      <w:pPr>
        <w:keepNext w:val="0"/>
        <w:keepLines w:val="0"/>
        <w:pageBreakBefore w:val="0"/>
        <w:widowControl w:val="0"/>
        <w:kinsoku/>
        <w:wordWrap/>
        <w:overflowPunct/>
        <w:topLinePunct w:val="0"/>
        <w:autoSpaceDE/>
        <w:autoSpaceDN/>
        <w:bidi w:val="0"/>
        <w:adjustRightInd w:val="0"/>
        <w:snapToGrid w:val="0"/>
        <w:spacing w:line="480" w:lineRule="auto"/>
        <w:ind w:firstLine="600" w:firstLineChars="200"/>
        <w:jc w:val="both"/>
        <w:textAlignment w:val="auto"/>
        <w:rPr>
          <w:rFonts w:hint="default" w:ascii="Times New Roman" w:hAnsi="Times New Roman" w:eastAsia="黑体" w:cs="Times New Roman"/>
          <w:b w:val="0"/>
          <w:bCs w:val="0"/>
          <w:color w:val="auto"/>
          <w:sz w:val="30"/>
          <w:szCs w:val="30"/>
          <w:lang w:val="en-US" w:eastAsia="zh-CN"/>
        </w:rPr>
      </w:pPr>
      <w:r>
        <w:rPr>
          <w:rFonts w:hint="default" w:ascii="Times New Roman" w:hAnsi="Times New Roman" w:eastAsia="黑体" w:cs="Times New Roman"/>
          <w:b w:val="0"/>
          <w:bCs w:val="0"/>
          <w:color w:val="auto"/>
          <w:sz w:val="30"/>
          <w:szCs w:val="30"/>
        </w:rPr>
        <w:t>建设单位</w:t>
      </w:r>
      <w:r>
        <w:rPr>
          <w:rFonts w:hint="eastAsia" w:eastAsia="黑体" w:cs="Times New Roman"/>
          <w:b w:val="0"/>
          <w:bCs w:val="0"/>
          <w:color w:val="auto"/>
          <w:sz w:val="30"/>
          <w:szCs w:val="30"/>
          <w:lang w:eastAsia="zh-CN"/>
        </w:rPr>
        <w:t>（</w:t>
      </w:r>
      <w:r>
        <w:rPr>
          <w:rFonts w:hint="default" w:ascii="Times New Roman" w:hAnsi="Times New Roman" w:eastAsia="黑体" w:cs="Times New Roman"/>
          <w:b w:val="0"/>
          <w:bCs w:val="0"/>
          <w:color w:val="auto"/>
          <w:sz w:val="30"/>
          <w:szCs w:val="30"/>
          <w:u w:val="none"/>
        </w:rPr>
        <w:t>盖章</w:t>
      </w:r>
      <w:r>
        <w:rPr>
          <w:rFonts w:hint="eastAsia" w:eastAsia="黑体" w:cs="Times New Roman"/>
          <w:b w:val="0"/>
          <w:bCs w:val="0"/>
          <w:color w:val="auto"/>
          <w:sz w:val="30"/>
          <w:szCs w:val="30"/>
          <w:u w:val="none"/>
          <w:lang w:eastAsia="zh-CN"/>
        </w:rPr>
        <w:t>）</w:t>
      </w:r>
      <w:r>
        <w:rPr>
          <w:rFonts w:hint="default" w:ascii="Times New Roman" w:hAnsi="Times New Roman" w:eastAsia="黑体" w:cs="Times New Roman"/>
          <w:b w:val="0"/>
          <w:bCs w:val="0"/>
          <w:color w:val="auto"/>
          <w:spacing w:val="-20"/>
          <w:sz w:val="30"/>
          <w:szCs w:val="30"/>
        </w:rPr>
        <w:t>：</w:t>
      </w:r>
      <w:r>
        <w:rPr>
          <w:rFonts w:hint="default" w:ascii="Times New Roman" w:hAnsi="Times New Roman" w:eastAsia="黑体" w:cs="Times New Roman"/>
          <w:b w:val="0"/>
          <w:bCs w:val="0"/>
          <w:color w:val="auto"/>
          <w:sz w:val="30"/>
          <w:szCs w:val="30"/>
          <w:u w:val="thick"/>
        </w:rPr>
        <w:t xml:space="preserve"> </w:t>
      </w:r>
      <w:r>
        <w:rPr>
          <w:rFonts w:hint="default" w:ascii="Times New Roman" w:hAnsi="Times New Roman" w:eastAsia="黑体" w:cs="Times New Roman"/>
          <w:b w:val="0"/>
          <w:bCs w:val="0"/>
          <w:color w:val="auto"/>
          <w:sz w:val="30"/>
          <w:szCs w:val="30"/>
          <w:u w:val="thick"/>
          <w:lang w:val="en-US" w:eastAsia="zh-CN"/>
        </w:rPr>
        <w:t xml:space="preserve"> </w:t>
      </w:r>
      <w:r>
        <w:rPr>
          <w:rFonts w:hint="eastAsia" w:eastAsia="黑体" w:cs="Times New Roman"/>
          <w:b w:val="0"/>
          <w:bCs w:val="0"/>
          <w:color w:val="auto"/>
          <w:sz w:val="30"/>
          <w:szCs w:val="30"/>
          <w:u w:val="thick"/>
          <w:lang w:val="en-US" w:eastAsia="zh-CN"/>
        </w:rPr>
        <w:t xml:space="preserve">  </w:t>
      </w:r>
      <w:r>
        <w:rPr>
          <w:rFonts w:hint="eastAsia" w:eastAsia="黑体" w:cs="Times New Roman"/>
          <w:b w:val="0"/>
          <w:bCs w:val="0"/>
          <w:color w:val="auto"/>
          <w:sz w:val="30"/>
          <w:szCs w:val="30"/>
          <w:u w:val="thick"/>
          <w:lang w:eastAsia="zh-CN"/>
        </w:rPr>
        <w:t>济宁凯漩包装制品有限公司</w:t>
      </w:r>
      <w:r>
        <w:rPr>
          <w:rFonts w:hint="eastAsia" w:ascii="Times New Roman" w:hAnsi="Times New Roman" w:eastAsia="黑体" w:cs="Times New Roman"/>
          <w:b w:val="0"/>
          <w:bCs w:val="0"/>
          <w:color w:val="auto"/>
          <w:sz w:val="30"/>
          <w:szCs w:val="30"/>
          <w:u w:val="thick"/>
          <w:lang w:val="en-US" w:eastAsia="zh-CN"/>
        </w:rPr>
        <w:t xml:space="preserve"> </w:t>
      </w:r>
      <w:r>
        <w:rPr>
          <w:rFonts w:hint="eastAsia" w:eastAsia="黑体" w:cs="Times New Roman"/>
          <w:b w:val="0"/>
          <w:bCs w:val="0"/>
          <w:color w:val="auto"/>
          <w:sz w:val="30"/>
          <w:szCs w:val="30"/>
          <w:u w:val="thick"/>
          <w:lang w:val="en-US" w:eastAsia="zh-CN"/>
        </w:rPr>
        <w:t xml:space="preserve">  </w:t>
      </w:r>
      <w:r>
        <w:rPr>
          <w:rFonts w:hint="eastAsia" w:ascii="Times New Roman" w:hAnsi="Times New Roman" w:eastAsia="黑体" w:cs="Times New Roman"/>
          <w:b w:val="0"/>
          <w:bCs w:val="0"/>
          <w:color w:val="auto"/>
          <w:sz w:val="30"/>
          <w:szCs w:val="30"/>
          <w:u w:val="thick"/>
          <w:lang w:val="en-US" w:eastAsia="zh-CN"/>
        </w:rPr>
        <w:t xml:space="preserve">  </w:t>
      </w:r>
      <w:r>
        <w:rPr>
          <w:rFonts w:hint="default" w:ascii="Times New Roman" w:hAnsi="Times New Roman" w:eastAsia="黑体" w:cs="Times New Roman"/>
          <w:b w:val="0"/>
          <w:bCs w:val="0"/>
          <w:color w:val="auto"/>
          <w:sz w:val="30"/>
          <w:szCs w:val="30"/>
          <w:u w:val="thick"/>
          <w:lang w:val="en-US" w:eastAsia="zh-CN"/>
        </w:rPr>
        <w:t xml:space="preserve">  </w:t>
      </w:r>
    </w:p>
    <w:p w14:paraId="4D6DB313">
      <w:pPr>
        <w:keepNext w:val="0"/>
        <w:keepLines w:val="0"/>
        <w:pageBreakBefore w:val="0"/>
        <w:widowControl w:val="0"/>
        <w:kinsoku/>
        <w:wordWrap/>
        <w:overflowPunct/>
        <w:topLinePunct w:val="0"/>
        <w:autoSpaceDE/>
        <w:autoSpaceDN/>
        <w:bidi w:val="0"/>
        <w:adjustRightInd w:val="0"/>
        <w:snapToGrid w:val="0"/>
        <w:spacing w:line="480" w:lineRule="auto"/>
        <w:ind w:firstLine="600" w:firstLineChars="200"/>
        <w:jc w:val="both"/>
        <w:textAlignment w:val="auto"/>
        <w:rPr>
          <w:rFonts w:hint="default" w:ascii="Times New Roman" w:hAnsi="Times New Roman" w:eastAsia="黑体" w:cs="Times New Roman"/>
          <w:b w:val="0"/>
          <w:bCs w:val="0"/>
          <w:color w:val="auto"/>
          <w:sz w:val="30"/>
          <w:szCs w:val="30"/>
          <w:lang w:val="en-US" w:eastAsia="zh-CN"/>
        </w:rPr>
      </w:pPr>
      <w:r>
        <w:rPr>
          <w:rFonts w:hint="default" w:ascii="Times New Roman" w:hAnsi="Times New Roman" w:eastAsia="黑体" w:cs="Times New Roman"/>
          <w:b w:val="0"/>
          <w:bCs w:val="0"/>
          <w:color w:val="auto"/>
          <w:sz w:val="30"/>
          <w:szCs w:val="30"/>
        </w:rPr>
        <w:t>编制日期：</w:t>
      </w:r>
      <w:r>
        <w:rPr>
          <w:rFonts w:hint="eastAsia" w:ascii="Times New Roman" w:hAnsi="Times New Roman" w:eastAsia="黑体" w:cs="Times New Roman"/>
          <w:b w:val="0"/>
          <w:bCs w:val="0"/>
          <w:color w:val="auto"/>
          <w:sz w:val="30"/>
          <w:szCs w:val="30"/>
          <w:lang w:val="en-US" w:eastAsia="zh-CN"/>
        </w:rPr>
        <w:t xml:space="preserve"> </w:t>
      </w:r>
      <w:r>
        <w:rPr>
          <w:rFonts w:hint="eastAsia" w:ascii="Times New Roman" w:hAnsi="Times New Roman" w:eastAsia="黑体" w:cs="Times New Roman"/>
          <w:b w:val="0"/>
          <w:bCs w:val="0"/>
          <w:color w:val="auto"/>
          <w:sz w:val="30"/>
          <w:szCs w:val="30"/>
          <w:u w:val="thick"/>
          <w:lang w:val="en-US" w:eastAsia="zh-CN"/>
        </w:rPr>
        <w:t xml:space="preserve">        </w:t>
      </w:r>
      <w:r>
        <w:rPr>
          <w:rFonts w:hint="eastAsia" w:eastAsia="黑体" w:cs="Times New Roman"/>
          <w:b w:val="0"/>
          <w:bCs w:val="0"/>
          <w:color w:val="auto"/>
          <w:sz w:val="30"/>
          <w:szCs w:val="30"/>
          <w:u w:val="thick"/>
          <w:lang w:val="en-US" w:eastAsia="zh-CN"/>
        </w:rPr>
        <w:t xml:space="preserve">      </w:t>
      </w:r>
      <w:r>
        <w:rPr>
          <w:rFonts w:hint="eastAsia" w:ascii="Times New Roman" w:hAnsi="Times New Roman" w:eastAsia="黑体" w:cs="Times New Roman"/>
          <w:b w:val="0"/>
          <w:bCs w:val="0"/>
          <w:color w:val="auto"/>
          <w:sz w:val="30"/>
          <w:szCs w:val="30"/>
          <w:u w:val="thick"/>
          <w:lang w:val="en-US" w:eastAsia="zh-CN"/>
        </w:rPr>
        <w:t xml:space="preserve"> </w:t>
      </w:r>
      <w:r>
        <w:rPr>
          <w:rFonts w:hint="default" w:ascii="Times New Roman" w:hAnsi="Times New Roman" w:eastAsia="黑体" w:cs="Times New Roman"/>
          <w:b w:val="0"/>
          <w:bCs w:val="0"/>
          <w:color w:val="auto"/>
          <w:sz w:val="30"/>
          <w:szCs w:val="30"/>
          <w:u w:val="thick"/>
        </w:rPr>
        <w:t>20</w:t>
      </w:r>
      <w:r>
        <w:rPr>
          <w:rFonts w:hint="default" w:ascii="Times New Roman" w:hAnsi="Times New Roman" w:eastAsia="黑体" w:cs="Times New Roman"/>
          <w:b w:val="0"/>
          <w:bCs w:val="0"/>
          <w:color w:val="auto"/>
          <w:sz w:val="30"/>
          <w:szCs w:val="30"/>
          <w:u w:val="thick"/>
          <w:lang w:val="en-US" w:eastAsia="zh-CN"/>
        </w:rPr>
        <w:t>2</w:t>
      </w:r>
      <w:r>
        <w:rPr>
          <w:rFonts w:hint="eastAsia" w:eastAsia="黑体" w:cs="Times New Roman"/>
          <w:b w:val="0"/>
          <w:bCs w:val="0"/>
          <w:color w:val="auto"/>
          <w:sz w:val="30"/>
          <w:szCs w:val="30"/>
          <w:u w:val="thick"/>
          <w:lang w:val="en-US" w:eastAsia="zh-CN"/>
        </w:rPr>
        <w:t>6</w:t>
      </w:r>
      <w:r>
        <w:rPr>
          <w:rFonts w:hint="default" w:ascii="Times New Roman" w:hAnsi="Times New Roman" w:eastAsia="黑体" w:cs="Times New Roman"/>
          <w:b w:val="0"/>
          <w:bCs w:val="0"/>
          <w:color w:val="auto"/>
          <w:sz w:val="30"/>
          <w:szCs w:val="30"/>
          <w:u w:val="thick"/>
        </w:rPr>
        <w:t>年</w:t>
      </w:r>
      <w:r>
        <w:rPr>
          <w:rFonts w:hint="eastAsia" w:eastAsia="黑体" w:cs="Times New Roman"/>
          <w:b w:val="0"/>
          <w:bCs w:val="0"/>
          <w:color w:val="auto"/>
          <w:sz w:val="30"/>
          <w:szCs w:val="30"/>
          <w:u w:val="thick"/>
          <w:lang w:val="en-US" w:eastAsia="zh-CN"/>
        </w:rPr>
        <w:t>3</w:t>
      </w:r>
      <w:r>
        <w:rPr>
          <w:rFonts w:hint="default" w:ascii="Times New Roman" w:hAnsi="Times New Roman" w:eastAsia="黑体" w:cs="Times New Roman"/>
          <w:b w:val="0"/>
          <w:bCs w:val="0"/>
          <w:color w:val="auto"/>
          <w:sz w:val="30"/>
          <w:szCs w:val="30"/>
          <w:u w:val="thick"/>
        </w:rPr>
        <w:t>月</w:t>
      </w:r>
      <w:r>
        <w:rPr>
          <w:rFonts w:hint="eastAsia" w:ascii="Times New Roman" w:hAnsi="Times New Roman" w:eastAsia="黑体" w:cs="Times New Roman"/>
          <w:b w:val="0"/>
          <w:bCs w:val="0"/>
          <w:color w:val="auto"/>
          <w:sz w:val="30"/>
          <w:szCs w:val="30"/>
          <w:u w:val="thick"/>
          <w:lang w:val="en-US" w:eastAsia="zh-CN"/>
        </w:rPr>
        <w:t xml:space="preserve">              </w:t>
      </w:r>
    </w:p>
    <w:p w14:paraId="3B2F11B9">
      <w:pPr>
        <w:snapToGrid w:val="0"/>
        <w:spacing w:line="480" w:lineRule="auto"/>
        <w:jc w:val="center"/>
        <w:rPr>
          <w:rFonts w:hint="default" w:ascii="Times New Roman" w:hAnsi="Times New Roman" w:eastAsia="黑体" w:cs="Times New Roman"/>
          <w:b/>
          <w:color w:val="auto"/>
          <w:sz w:val="32"/>
          <w:lang w:val="en-US" w:eastAsia="zh-CN"/>
        </w:rPr>
      </w:pPr>
    </w:p>
    <w:p w14:paraId="41C88E64">
      <w:pPr>
        <w:snapToGrid w:val="0"/>
        <w:spacing w:line="480" w:lineRule="auto"/>
        <w:jc w:val="center"/>
        <w:rPr>
          <w:rFonts w:hint="default" w:ascii="Times New Roman" w:hAnsi="Times New Roman" w:eastAsia="黑体" w:cs="Times New Roman"/>
          <w:b/>
          <w:color w:val="auto"/>
          <w:sz w:val="32"/>
          <w:lang w:val="en-US" w:eastAsia="zh-CN"/>
        </w:rPr>
      </w:pPr>
    </w:p>
    <w:p w14:paraId="2224F193">
      <w:pPr>
        <w:snapToGrid w:val="0"/>
        <w:spacing w:line="480" w:lineRule="auto"/>
        <w:jc w:val="center"/>
        <w:rPr>
          <w:rFonts w:hint="default" w:ascii="Times New Roman" w:hAnsi="Times New Roman" w:eastAsia="黑体" w:cs="Times New Roman"/>
          <w:b/>
          <w:color w:val="auto"/>
          <w:sz w:val="32"/>
          <w:lang w:val="en-US" w:eastAsia="zh-CN"/>
        </w:rPr>
      </w:pPr>
    </w:p>
    <w:p w14:paraId="304BC425">
      <w:pPr>
        <w:snapToGrid w:val="0"/>
        <w:spacing w:line="480" w:lineRule="auto"/>
        <w:jc w:val="center"/>
        <w:rPr>
          <w:rFonts w:hint="default" w:ascii="Times New Roman" w:hAnsi="Times New Roman" w:eastAsia="黑体" w:cs="Times New Roman"/>
          <w:b/>
          <w:color w:val="auto"/>
          <w:sz w:val="32"/>
          <w:lang w:val="en-US" w:eastAsia="zh-CN"/>
        </w:rPr>
      </w:pPr>
    </w:p>
    <w:p w14:paraId="6716A160">
      <w:pPr>
        <w:snapToGrid w:val="0"/>
        <w:spacing w:line="480" w:lineRule="auto"/>
        <w:jc w:val="center"/>
        <w:rPr>
          <w:rFonts w:hint="default" w:ascii="Times New Roman" w:hAnsi="Times New Roman" w:cs="Times New Roman"/>
          <w:b/>
          <w:bCs/>
          <w:color w:val="auto"/>
          <w:sz w:val="32"/>
          <w:szCs w:val="32"/>
        </w:rPr>
        <w:sectPr>
          <w:headerReference r:id="rId3" w:type="default"/>
          <w:footerReference r:id="rId4" w:type="default"/>
          <w:pgSz w:w="11907" w:h="16840"/>
          <w:pgMar w:top="1440" w:right="1797" w:bottom="1440" w:left="1797"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b/>
          <w:color w:val="auto"/>
          <w:sz w:val="32"/>
          <w:lang w:val="en-US" w:eastAsia="zh-CN"/>
        </w:rPr>
        <w:t>中华人民共和国</w:t>
      </w:r>
      <w:r>
        <w:rPr>
          <w:rFonts w:hint="default" w:ascii="Times New Roman" w:hAnsi="Times New Roman" w:eastAsia="黑体" w:cs="Times New Roman"/>
          <w:b/>
          <w:color w:val="auto"/>
          <w:sz w:val="32"/>
          <w:lang w:val="en-US" w:eastAsia="zh-CN"/>
        </w:rPr>
        <w:t>生态环境</w:t>
      </w:r>
      <w:r>
        <w:rPr>
          <w:rFonts w:hint="default" w:ascii="Times New Roman" w:hAnsi="Times New Roman" w:eastAsia="黑体" w:cs="Times New Roman"/>
          <w:b/>
          <w:color w:val="auto"/>
          <w:sz w:val="32"/>
        </w:rPr>
        <w:t>部制</w:t>
      </w:r>
    </w:p>
    <w:p w14:paraId="3FDE38EF">
      <w:pPr>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outlineLvl w:val="0"/>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一、建设项目基本情况</w:t>
      </w:r>
    </w:p>
    <w:tbl>
      <w:tblPr>
        <w:tblStyle w:val="37"/>
        <w:tblW w:w="85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3057"/>
        <w:gridCol w:w="2028"/>
        <w:gridCol w:w="2317"/>
      </w:tblGrid>
      <w:tr w14:paraId="3B43AD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111" w:type="dxa"/>
            <w:tcBorders>
              <w:tl2br w:val="nil"/>
              <w:tr2bl w:val="nil"/>
            </w:tcBorders>
            <w:noWrap w:val="0"/>
            <w:vAlign w:val="center"/>
          </w:tcPr>
          <w:p w14:paraId="6372CC9E">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建设</w:t>
            </w:r>
            <w:r>
              <w:rPr>
                <w:rFonts w:hint="default" w:ascii="Times New Roman" w:hAnsi="Times New Roman" w:eastAsia="宋体" w:cs="Times New Roman"/>
                <w:color w:val="auto"/>
                <w:sz w:val="21"/>
                <w:szCs w:val="21"/>
                <w:highlight w:val="none"/>
              </w:rPr>
              <w:t>项目名称</w:t>
            </w:r>
          </w:p>
        </w:tc>
        <w:tc>
          <w:tcPr>
            <w:tcW w:w="7402" w:type="dxa"/>
            <w:gridSpan w:val="3"/>
            <w:tcBorders>
              <w:tl2br w:val="nil"/>
              <w:tr2bl w:val="nil"/>
            </w:tcBorders>
            <w:noWrap w:val="0"/>
            <w:vAlign w:val="center"/>
          </w:tcPr>
          <w:p w14:paraId="2F0BB8BF">
            <w:pPr>
              <w:snapToGrid w:val="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年产450万套机床附件包装盒项目</w:t>
            </w:r>
          </w:p>
        </w:tc>
      </w:tr>
      <w:tr w14:paraId="5D614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11" w:type="dxa"/>
            <w:tcBorders>
              <w:tl2br w:val="nil"/>
              <w:tr2bl w:val="nil"/>
            </w:tcBorders>
            <w:noWrap w:val="0"/>
            <w:vAlign w:val="center"/>
          </w:tcPr>
          <w:p w14:paraId="13E8CFD3">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项目代码</w:t>
            </w:r>
          </w:p>
        </w:tc>
        <w:tc>
          <w:tcPr>
            <w:tcW w:w="7402" w:type="dxa"/>
            <w:gridSpan w:val="3"/>
            <w:tcBorders>
              <w:tl2br w:val="nil"/>
              <w:tr2bl w:val="nil"/>
            </w:tcBorders>
            <w:noWrap w:val="0"/>
            <w:vAlign w:val="center"/>
          </w:tcPr>
          <w:p w14:paraId="47C7CBE3">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2512-370831-04-01-523468</w:t>
            </w:r>
          </w:p>
        </w:tc>
      </w:tr>
      <w:tr w14:paraId="4AF72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11" w:type="dxa"/>
            <w:tcBorders>
              <w:tl2br w:val="nil"/>
              <w:tr2bl w:val="nil"/>
            </w:tcBorders>
            <w:noWrap w:val="0"/>
            <w:vAlign w:val="center"/>
          </w:tcPr>
          <w:p w14:paraId="32B4CE2E">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建设单位</w:t>
            </w:r>
            <w:r>
              <w:rPr>
                <w:rFonts w:hint="default" w:ascii="Times New Roman" w:hAnsi="Times New Roman" w:eastAsia="宋体" w:cs="Times New Roman"/>
                <w:color w:val="auto"/>
                <w:sz w:val="21"/>
                <w:szCs w:val="21"/>
                <w:highlight w:val="none"/>
                <w:lang w:val="en-US" w:eastAsia="zh-CN"/>
              </w:rPr>
              <w:t>联系人</w:t>
            </w:r>
          </w:p>
        </w:tc>
        <w:tc>
          <w:tcPr>
            <w:tcW w:w="3057" w:type="dxa"/>
            <w:tcBorders>
              <w:tl2br w:val="nil"/>
              <w:tr2bl w:val="nil"/>
            </w:tcBorders>
            <w:noWrap w:val="0"/>
            <w:vAlign w:val="center"/>
          </w:tcPr>
          <w:p w14:paraId="58B155D2">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王常兵</w:t>
            </w:r>
          </w:p>
        </w:tc>
        <w:tc>
          <w:tcPr>
            <w:tcW w:w="2028" w:type="dxa"/>
            <w:tcBorders>
              <w:tl2br w:val="nil"/>
              <w:tr2bl w:val="nil"/>
            </w:tcBorders>
            <w:noWrap w:val="0"/>
            <w:vAlign w:val="center"/>
          </w:tcPr>
          <w:p w14:paraId="21DDB136">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联系</w:t>
            </w:r>
            <w:r>
              <w:rPr>
                <w:rFonts w:hint="default" w:ascii="Times New Roman" w:hAnsi="Times New Roman" w:eastAsia="宋体" w:cs="Times New Roman"/>
                <w:color w:val="auto"/>
                <w:sz w:val="21"/>
                <w:szCs w:val="21"/>
                <w:highlight w:val="none"/>
                <w:lang w:val="en-US" w:eastAsia="zh-CN"/>
              </w:rPr>
              <w:t>方式</w:t>
            </w:r>
          </w:p>
        </w:tc>
        <w:tc>
          <w:tcPr>
            <w:tcW w:w="2317" w:type="dxa"/>
            <w:tcBorders>
              <w:tl2br w:val="nil"/>
              <w:tr2bl w:val="nil"/>
            </w:tcBorders>
            <w:noWrap w:val="0"/>
            <w:vAlign w:val="center"/>
          </w:tcPr>
          <w:p w14:paraId="1F259EFB">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15322255678</w:t>
            </w:r>
          </w:p>
        </w:tc>
      </w:tr>
      <w:tr w14:paraId="4E57E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11" w:type="dxa"/>
            <w:tcBorders>
              <w:tl2br w:val="nil"/>
              <w:tr2bl w:val="nil"/>
            </w:tcBorders>
            <w:noWrap w:val="0"/>
            <w:vAlign w:val="center"/>
          </w:tcPr>
          <w:p w14:paraId="1AFBF34B">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402" w:type="dxa"/>
            <w:gridSpan w:val="3"/>
            <w:tcBorders>
              <w:tl2br w:val="nil"/>
              <w:tr2bl w:val="nil"/>
            </w:tcBorders>
            <w:noWrap w:val="0"/>
            <w:vAlign w:val="center"/>
          </w:tcPr>
          <w:p w14:paraId="13EFE628">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u w:val="none"/>
                <w:lang w:val="en-US" w:eastAsia="zh-CN" w:bidi="ar-SA"/>
              </w:rPr>
              <w:t>济宁市泗水县泉林镇泉林村原泗水县纺织厂院内</w:t>
            </w:r>
          </w:p>
        </w:tc>
      </w:tr>
      <w:tr w14:paraId="5E7F5C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11" w:type="dxa"/>
            <w:tcBorders>
              <w:tl2br w:val="nil"/>
              <w:tr2bl w:val="nil"/>
            </w:tcBorders>
            <w:noWrap w:val="0"/>
            <w:vAlign w:val="center"/>
          </w:tcPr>
          <w:p w14:paraId="2F9B2D01">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地理坐标</w:t>
            </w:r>
          </w:p>
        </w:tc>
        <w:tc>
          <w:tcPr>
            <w:tcW w:w="7402" w:type="dxa"/>
            <w:gridSpan w:val="3"/>
            <w:tcBorders>
              <w:tl2br w:val="nil"/>
              <w:tr2bl w:val="nil"/>
            </w:tcBorders>
            <w:noWrap w:val="0"/>
            <w:vAlign w:val="center"/>
          </w:tcPr>
          <w:p w14:paraId="2274322F">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（东经</w:t>
            </w:r>
            <w:r>
              <w:rPr>
                <w:rFonts w:hint="eastAsia" w:cs="Times New Roman"/>
                <w:color w:val="auto"/>
                <w:sz w:val="21"/>
                <w:szCs w:val="21"/>
                <w:highlight w:val="none"/>
                <w:lang w:val="en-US" w:eastAsia="zh-CN"/>
              </w:rPr>
              <w:t>117度30分56.192秒</w:t>
            </w:r>
            <w:r>
              <w:rPr>
                <w:rFonts w:hint="default" w:ascii="Times New Roman" w:hAnsi="Times New Roman" w:eastAsia="宋体" w:cs="Times New Roman"/>
                <w:color w:val="auto"/>
                <w:sz w:val="21"/>
                <w:szCs w:val="21"/>
                <w:highlight w:val="none"/>
                <w:lang w:val="en-US" w:eastAsia="zh-CN"/>
              </w:rPr>
              <w:t>，北纬</w:t>
            </w:r>
            <w:r>
              <w:rPr>
                <w:rFonts w:hint="eastAsia" w:cs="Times New Roman"/>
                <w:color w:val="auto"/>
                <w:sz w:val="21"/>
                <w:szCs w:val="21"/>
                <w:highlight w:val="none"/>
                <w:lang w:val="en-US" w:eastAsia="zh-CN"/>
              </w:rPr>
              <w:t>35度37分8.718秒）</w:t>
            </w:r>
          </w:p>
        </w:tc>
      </w:tr>
      <w:tr w14:paraId="4EC57D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1111" w:type="dxa"/>
            <w:tcBorders>
              <w:tl2br w:val="nil"/>
              <w:tr2bl w:val="nil"/>
            </w:tcBorders>
            <w:noWrap w:val="0"/>
            <w:vAlign w:val="center"/>
          </w:tcPr>
          <w:p w14:paraId="6209DBB1">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国民经济</w:t>
            </w:r>
          </w:p>
          <w:p w14:paraId="6B53AD26">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行业类别</w:t>
            </w:r>
          </w:p>
        </w:tc>
        <w:tc>
          <w:tcPr>
            <w:tcW w:w="3057" w:type="dxa"/>
            <w:tcBorders>
              <w:tl2br w:val="nil"/>
              <w:tr2bl w:val="nil"/>
            </w:tcBorders>
            <w:noWrap w:val="0"/>
            <w:vAlign w:val="center"/>
          </w:tcPr>
          <w:p w14:paraId="6494AD55">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w:t>
            </w:r>
            <w:r>
              <w:rPr>
                <w:rFonts w:hint="eastAsia" w:cs="Times New Roman"/>
                <w:color w:val="auto"/>
                <w:sz w:val="21"/>
                <w:szCs w:val="21"/>
                <w:highlight w:val="none"/>
                <w:lang w:val="en-US" w:eastAsia="zh-CN"/>
              </w:rPr>
              <w:t>2926塑料包装箱及容器制造</w:t>
            </w:r>
          </w:p>
        </w:tc>
        <w:tc>
          <w:tcPr>
            <w:tcW w:w="2028" w:type="dxa"/>
            <w:tcBorders>
              <w:tl2br w:val="nil"/>
              <w:tr2bl w:val="nil"/>
            </w:tcBorders>
            <w:noWrap w:val="0"/>
            <w:vAlign w:val="center"/>
          </w:tcPr>
          <w:p w14:paraId="740F0EF8">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建设项目</w:t>
            </w:r>
          </w:p>
          <w:p w14:paraId="20830BD3">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行业类别</w:t>
            </w:r>
          </w:p>
        </w:tc>
        <w:tc>
          <w:tcPr>
            <w:tcW w:w="2317" w:type="dxa"/>
            <w:tcBorders>
              <w:tl2br w:val="nil"/>
              <w:tr2bl w:val="nil"/>
            </w:tcBorders>
            <w:noWrap w:val="0"/>
            <w:vAlign w:val="center"/>
          </w:tcPr>
          <w:p w14:paraId="70BF7C58">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二十六、橡胶和塑料制品业5</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塑料制品业</w:t>
            </w:r>
            <w:r>
              <w:rPr>
                <w:rFonts w:hint="default" w:ascii="Times New Roman" w:hAnsi="Times New Roman" w:eastAsia="宋体" w:cs="Times New Roman"/>
                <w:color w:val="auto"/>
                <w:sz w:val="21"/>
                <w:szCs w:val="21"/>
                <w:highlight w:val="none"/>
                <w:lang w:val="en-US" w:eastAsia="zh-CN"/>
              </w:rPr>
              <w:t>-其他；</w:t>
            </w:r>
          </w:p>
        </w:tc>
      </w:tr>
      <w:tr w14:paraId="51A31C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0070C0A3">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3057" w:type="dxa"/>
            <w:tcBorders>
              <w:tl2br w:val="nil"/>
              <w:tr2bl w:val="nil"/>
            </w:tcBorders>
            <w:noWrap w:val="0"/>
            <w:vAlign w:val="center"/>
          </w:tcPr>
          <w:p w14:paraId="33A48EED">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新建（迁建）</w:t>
            </w:r>
          </w:p>
          <w:p w14:paraId="1E7A81EF">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改建</w:t>
            </w:r>
          </w:p>
          <w:p w14:paraId="6A52DCED">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扩建</w:t>
            </w:r>
          </w:p>
          <w:p w14:paraId="13068744">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技术改造</w:t>
            </w:r>
          </w:p>
        </w:tc>
        <w:tc>
          <w:tcPr>
            <w:tcW w:w="2028" w:type="dxa"/>
            <w:tcBorders>
              <w:tl2br w:val="nil"/>
              <w:tr2bl w:val="nil"/>
            </w:tcBorders>
            <w:noWrap w:val="0"/>
            <w:vAlign w:val="center"/>
          </w:tcPr>
          <w:p w14:paraId="3DCFBA48">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w:t>
            </w:r>
          </w:p>
          <w:p w14:paraId="3BE25C2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申报情形</w:t>
            </w:r>
          </w:p>
        </w:tc>
        <w:tc>
          <w:tcPr>
            <w:tcW w:w="2317" w:type="dxa"/>
            <w:tcBorders>
              <w:tl2br w:val="nil"/>
              <w:tr2bl w:val="nil"/>
            </w:tcBorders>
            <w:noWrap w:val="0"/>
            <w:vAlign w:val="center"/>
          </w:tcPr>
          <w:p w14:paraId="5C927963">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52"/>
            </w:r>
            <w:r>
              <w:rPr>
                <w:rFonts w:hint="default" w:ascii="Times New Roman" w:hAnsi="Times New Roman" w:eastAsia="宋体" w:cs="Times New Roman"/>
                <w:color w:val="auto"/>
                <w:sz w:val="21"/>
                <w:szCs w:val="21"/>
              </w:rPr>
              <w:t xml:space="preserve">首次申报项目             </w:t>
            </w:r>
          </w:p>
          <w:p w14:paraId="67C74343">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不予批准后再次申报项目</w:t>
            </w:r>
          </w:p>
          <w:p w14:paraId="08CC9D30">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 xml:space="preserve">超五年重新审核项目     </w:t>
            </w:r>
          </w:p>
          <w:p w14:paraId="1CBF1D55">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sym w:font="Wingdings 2" w:char="00A3"/>
            </w:r>
            <w:r>
              <w:rPr>
                <w:rFonts w:hint="default" w:ascii="Times New Roman" w:hAnsi="Times New Roman" w:eastAsia="宋体" w:cs="Times New Roman"/>
                <w:color w:val="auto"/>
                <w:sz w:val="21"/>
                <w:szCs w:val="21"/>
              </w:rPr>
              <w:t>重大变动重新报批项目</w:t>
            </w:r>
          </w:p>
        </w:tc>
      </w:tr>
      <w:tr w14:paraId="56587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1111" w:type="dxa"/>
            <w:tcBorders>
              <w:tl2br w:val="nil"/>
              <w:tr2bl w:val="nil"/>
            </w:tcBorders>
            <w:noWrap w:val="0"/>
            <w:vAlign w:val="center"/>
          </w:tcPr>
          <w:p w14:paraId="5C541DA1">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项目审批（核准/备案）部门（选填）</w:t>
            </w:r>
          </w:p>
        </w:tc>
        <w:tc>
          <w:tcPr>
            <w:tcW w:w="3057" w:type="dxa"/>
            <w:tcBorders>
              <w:tl2br w:val="nil"/>
              <w:tr2bl w:val="nil"/>
            </w:tcBorders>
            <w:noWrap w:val="0"/>
            <w:vAlign w:val="center"/>
          </w:tcPr>
          <w:p w14:paraId="1F5496A0">
            <w:pPr>
              <w:snapToGrid w:val="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济宁市泗水县行政审批服务局</w:t>
            </w:r>
          </w:p>
        </w:tc>
        <w:tc>
          <w:tcPr>
            <w:tcW w:w="2028" w:type="dxa"/>
            <w:tcBorders>
              <w:tl2br w:val="nil"/>
              <w:tr2bl w:val="nil"/>
            </w:tcBorders>
            <w:noWrap w:val="0"/>
            <w:vAlign w:val="center"/>
          </w:tcPr>
          <w:p w14:paraId="301A66B0">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项目审批（核准/备案）文号（选填）</w:t>
            </w:r>
          </w:p>
        </w:tc>
        <w:tc>
          <w:tcPr>
            <w:tcW w:w="2317" w:type="dxa"/>
            <w:tcBorders>
              <w:tl2br w:val="nil"/>
              <w:tr2bl w:val="nil"/>
            </w:tcBorders>
            <w:noWrap w:val="0"/>
            <w:vAlign w:val="center"/>
          </w:tcPr>
          <w:p w14:paraId="5847EF55">
            <w:pPr>
              <w:pStyle w:val="61"/>
              <w:keepNext w:val="0"/>
              <w:keepLines w:val="0"/>
              <w:pageBreakBefore w:val="0"/>
              <w:widowControl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2512-370831-04-01-523468</w:t>
            </w:r>
          </w:p>
        </w:tc>
      </w:tr>
      <w:tr w14:paraId="10475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111" w:type="dxa"/>
            <w:tcBorders>
              <w:tl2br w:val="nil"/>
              <w:tr2bl w:val="nil"/>
            </w:tcBorders>
            <w:noWrap w:val="0"/>
            <w:vAlign w:val="center"/>
          </w:tcPr>
          <w:p w14:paraId="6AE3B615">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万元</w:t>
            </w:r>
            <w:r>
              <w:rPr>
                <w:rFonts w:hint="eastAsia" w:cs="Times New Roman"/>
                <w:color w:val="auto"/>
                <w:sz w:val="21"/>
                <w:szCs w:val="21"/>
                <w:highlight w:val="none"/>
                <w:lang w:eastAsia="zh-CN"/>
              </w:rPr>
              <w:t>）</w:t>
            </w:r>
          </w:p>
        </w:tc>
        <w:tc>
          <w:tcPr>
            <w:tcW w:w="3057" w:type="dxa"/>
            <w:tcBorders>
              <w:tl2br w:val="nil"/>
              <w:tr2bl w:val="nil"/>
            </w:tcBorders>
            <w:noWrap w:val="0"/>
            <w:vAlign w:val="center"/>
          </w:tcPr>
          <w:p w14:paraId="095D770A">
            <w:pPr>
              <w:snapToGrid w:val="0"/>
              <w:jc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lang w:val="en-US" w:eastAsia="zh-CN"/>
              </w:rPr>
              <w:t>.00</w:t>
            </w:r>
          </w:p>
        </w:tc>
        <w:tc>
          <w:tcPr>
            <w:tcW w:w="2028" w:type="dxa"/>
            <w:tcBorders>
              <w:tl2br w:val="nil"/>
              <w:tr2bl w:val="nil"/>
            </w:tcBorders>
            <w:noWrap w:val="0"/>
            <w:vAlign w:val="center"/>
          </w:tcPr>
          <w:p w14:paraId="764A0830">
            <w:pPr>
              <w:snapToGrid w:val="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环保投资</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万元</w:t>
            </w:r>
            <w:r>
              <w:rPr>
                <w:rFonts w:hint="eastAsia" w:cs="Times New Roman"/>
                <w:color w:val="auto"/>
                <w:sz w:val="21"/>
                <w:szCs w:val="21"/>
                <w:highlight w:val="none"/>
                <w:lang w:eastAsia="zh-CN"/>
              </w:rPr>
              <w:t>）</w:t>
            </w:r>
          </w:p>
        </w:tc>
        <w:tc>
          <w:tcPr>
            <w:tcW w:w="2317" w:type="dxa"/>
            <w:tcBorders>
              <w:tl2br w:val="nil"/>
              <w:tr2bl w:val="nil"/>
            </w:tcBorders>
            <w:noWrap w:val="0"/>
            <w:vAlign w:val="center"/>
          </w:tcPr>
          <w:p w14:paraId="4524D3CE">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20.00</w:t>
            </w:r>
          </w:p>
        </w:tc>
      </w:tr>
      <w:tr w14:paraId="39A93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3B7E4ECD">
            <w:pPr>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环保投资占比</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w:t>
            </w:r>
          </w:p>
        </w:tc>
        <w:tc>
          <w:tcPr>
            <w:tcW w:w="3057" w:type="dxa"/>
            <w:tcBorders>
              <w:tl2br w:val="nil"/>
              <w:tr2bl w:val="nil"/>
            </w:tcBorders>
            <w:noWrap w:val="0"/>
            <w:vAlign w:val="center"/>
          </w:tcPr>
          <w:p w14:paraId="56767322">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6.7</w:t>
            </w:r>
          </w:p>
        </w:tc>
        <w:tc>
          <w:tcPr>
            <w:tcW w:w="2028" w:type="dxa"/>
            <w:tcBorders>
              <w:tl2br w:val="nil"/>
              <w:tr2bl w:val="nil"/>
            </w:tcBorders>
            <w:noWrap w:val="0"/>
            <w:vAlign w:val="center"/>
          </w:tcPr>
          <w:p w14:paraId="781EB0A5">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施工工期</w:t>
            </w:r>
          </w:p>
        </w:tc>
        <w:tc>
          <w:tcPr>
            <w:tcW w:w="2317" w:type="dxa"/>
            <w:tcBorders>
              <w:tl2br w:val="nil"/>
              <w:tr2bl w:val="nil"/>
            </w:tcBorders>
            <w:noWrap w:val="0"/>
            <w:vAlign w:val="center"/>
          </w:tcPr>
          <w:p w14:paraId="70FF392D">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个月</w:t>
            </w:r>
          </w:p>
        </w:tc>
      </w:tr>
      <w:tr w14:paraId="71D1E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07BCF679">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是否开工建设</w:t>
            </w:r>
          </w:p>
        </w:tc>
        <w:tc>
          <w:tcPr>
            <w:tcW w:w="3057" w:type="dxa"/>
            <w:tcBorders>
              <w:tl2br w:val="nil"/>
              <w:tr2bl w:val="nil"/>
            </w:tcBorders>
            <w:noWrap w:val="0"/>
            <w:vAlign w:val="center"/>
          </w:tcPr>
          <w:p w14:paraId="684C82EB">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☑否</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是</w:t>
            </w:r>
          </w:p>
        </w:tc>
        <w:tc>
          <w:tcPr>
            <w:tcW w:w="2028" w:type="dxa"/>
            <w:tcBorders>
              <w:tl2br w:val="nil"/>
              <w:tr2bl w:val="nil"/>
            </w:tcBorders>
            <w:noWrap w:val="0"/>
            <w:vAlign w:val="center"/>
          </w:tcPr>
          <w:p w14:paraId="3F2DDB5A">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用地（用海）面积（m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2317" w:type="dxa"/>
            <w:tcBorders>
              <w:tl2br w:val="nil"/>
              <w:tr2bl w:val="nil"/>
            </w:tcBorders>
            <w:noWrap w:val="0"/>
            <w:vAlign w:val="center"/>
          </w:tcPr>
          <w:p w14:paraId="07C43659">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1300</w:t>
            </w:r>
          </w:p>
        </w:tc>
      </w:tr>
      <w:tr w14:paraId="4F26AD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249EE3B2">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专项评价设置情况</w:t>
            </w:r>
          </w:p>
        </w:tc>
        <w:tc>
          <w:tcPr>
            <w:tcW w:w="7402" w:type="dxa"/>
            <w:gridSpan w:val="3"/>
            <w:tcBorders>
              <w:tl2br w:val="nil"/>
              <w:tr2bl w:val="nil"/>
            </w:tcBorders>
            <w:noWrap w:val="0"/>
            <w:vAlign w:val="center"/>
          </w:tcPr>
          <w:p w14:paraId="6B5A7C68">
            <w:pPr>
              <w:keepNext w:val="0"/>
              <w:keepLines w:val="0"/>
              <w:widowControl/>
              <w:suppressLineNumbers w:val="0"/>
              <w:snapToGrid w:val="0"/>
              <w:spacing w:beforeLines="0" w:line="360" w:lineRule="auto"/>
              <w:ind w:firstLine="480" w:firstLineChars="200"/>
              <w:jc w:val="left"/>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1</w:t>
            </w:r>
            <w:r>
              <w:rPr>
                <w:rFonts w:hint="eastAsia" w:ascii="Times New Roman" w:hAnsi="Times New Roman" w:eastAsia="宋体" w:cs="Times New Roman"/>
                <w:color w:val="auto"/>
                <w:kern w:val="2"/>
                <w:sz w:val="24"/>
                <w:szCs w:val="32"/>
                <w:lang w:val="en-US" w:eastAsia="zh-CN" w:bidi="ar-SA"/>
              </w:rPr>
              <w:t>、本项目排放的废气不属于专项评价设置表中有毒有害污染物</w:t>
            </w:r>
            <w:r>
              <w:rPr>
                <w:rFonts w:hint="default" w:ascii="Times New Roman" w:hAnsi="Times New Roman" w:cs="Times New Roman"/>
                <w:color w:val="auto"/>
                <w:spacing w:val="0"/>
                <w:sz w:val="24"/>
                <w:szCs w:val="22"/>
                <w:highlight w:val="none"/>
                <w:lang w:val="en-US" w:eastAsia="zh-CN"/>
              </w:rPr>
              <w:t>、二噁英、苯并[a]芘、氰化物、氯气</w:t>
            </w:r>
            <w:r>
              <w:rPr>
                <w:rFonts w:hint="eastAsia" w:ascii="Times New Roman" w:hAnsi="Times New Roman" w:eastAsia="宋体" w:cs="Times New Roman"/>
                <w:color w:val="auto"/>
                <w:kern w:val="2"/>
                <w:sz w:val="24"/>
                <w:szCs w:val="32"/>
                <w:lang w:val="en-US" w:eastAsia="zh-CN" w:bidi="ar-SA"/>
              </w:rPr>
              <w:t xml:space="preserve">，因此不需要设置大气专项评价。 </w:t>
            </w:r>
          </w:p>
          <w:p w14:paraId="37EF39E6">
            <w:pPr>
              <w:keepNext w:val="0"/>
              <w:keepLines w:val="0"/>
              <w:widowControl/>
              <w:suppressLineNumbers w:val="0"/>
              <w:snapToGrid w:val="0"/>
              <w:spacing w:beforeLines="0" w:line="360" w:lineRule="auto"/>
              <w:ind w:firstLine="480" w:firstLineChars="200"/>
              <w:jc w:val="left"/>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2</w:t>
            </w:r>
            <w:r>
              <w:rPr>
                <w:rFonts w:hint="eastAsia" w:ascii="Times New Roman" w:hAnsi="Times New Roman" w:eastAsia="宋体" w:cs="Times New Roman"/>
                <w:color w:val="auto"/>
                <w:kern w:val="2"/>
                <w:sz w:val="24"/>
                <w:szCs w:val="32"/>
                <w:lang w:val="en-US" w:eastAsia="zh-CN" w:bidi="ar-SA"/>
              </w:rPr>
              <w:t>、</w:t>
            </w:r>
            <w:r>
              <w:rPr>
                <w:rFonts w:hint="default" w:ascii="Times New Roman" w:hAnsi="Times New Roman" w:eastAsia="宋体" w:cs="Times New Roman"/>
                <w:b w:val="0"/>
                <w:bCs w:val="0"/>
                <w:color w:val="auto"/>
                <w:kern w:val="24"/>
                <w:sz w:val="24"/>
                <w:szCs w:val="24"/>
                <w:lang w:val="en-US" w:eastAsia="zh-CN" w:bidi="ar-SA"/>
              </w:rPr>
              <w:t>本项目无生活污水和生产废水外排</w:t>
            </w:r>
            <w:r>
              <w:rPr>
                <w:rFonts w:hint="eastAsia" w:ascii="Times New Roman" w:hAnsi="Times New Roman" w:eastAsia="宋体" w:cs="Times New Roman"/>
                <w:color w:val="auto"/>
                <w:kern w:val="2"/>
                <w:sz w:val="24"/>
                <w:szCs w:val="32"/>
                <w:lang w:val="en-US" w:eastAsia="zh-CN" w:bidi="ar-SA"/>
              </w:rPr>
              <w:t xml:space="preserve">。不属于废水直排项目，因此，本项目不需要设置地表水专项评价。 </w:t>
            </w:r>
          </w:p>
          <w:p w14:paraId="4949FCAE">
            <w:pPr>
              <w:keepNext w:val="0"/>
              <w:keepLines w:val="0"/>
              <w:widowControl/>
              <w:suppressLineNumbers w:val="0"/>
              <w:snapToGrid w:val="0"/>
              <w:spacing w:beforeLines="0" w:line="360" w:lineRule="auto"/>
              <w:ind w:firstLine="480" w:firstLineChars="200"/>
              <w:jc w:val="left"/>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3</w:t>
            </w:r>
            <w:r>
              <w:rPr>
                <w:rFonts w:hint="eastAsia" w:ascii="Times New Roman" w:hAnsi="Times New Roman" w:eastAsia="宋体" w:cs="Times New Roman"/>
                <w:color w:val="auto"/>
                <w:kern w:val="2"/>
                <w:sz w:val="24"/>
                <w:szCs w:val="32"/>
                <w:lang w:val="en-US" w:eastAsia="zh-CN" w:bidi="ar-SA"/>
              </w:rPr>
              <w:t>、本项目处在环境低敏感度区，涉及的物料主要是</w:t>
            </w:r>
            <w:r>
              <w:rPr>
                <w:rFonts w:hint="eastAsia" w:cs="Times New Roman"/>
                <w:b w:val="0"/>
                <w:bCs w:val="0"/>
                <w:color w:val="FF0000"/>
                <w:sz w:val="24"/>
                <w:szCs w:val="24"/>
                <w:highlight w:val="none"/>
                <w:lang w:val="en-US" w:eastAsia="zh-CN"/>
              </w:rPr>
              <w:t>矿物油、</w:t>
            </w:r>
            <w:r>
              <w:rPr>
                <w:rFonts w:hint="eastAsia" w:cs="Times New Roman"/>
                <w:color w:val="FF0000"/>
                <w:sz w:val="24"/>
                <w:szCs w:val="24"/>
                <w:highlight w:val="none"/>
                <w:lang w:val="en-US" w:eastAsia="zh-CN"/>
              </w:rPr>
              <w:t>废过滤棉、废活性炭、废矿物油、废油桶等</w:t>
            </w:r>
            <w:r>
              <w:rPr>
                <w:rFonts w:hint="eastAsia" w:ascii="Times New Roman" w:hAnsi="Times New Roman" w:eastAsia="宋体" w:cs="Times New Roman"/>
                <w:color w:val="auto"/>
                <w:kern w:val="2"/>
                <w:sz w:val="24"/>
                <w:szCs w:val="32"/>
                <w:lang w:val="en-US" w:eastAsia="zh-CN" w:bidi="ar-SA"/>
              </w:rPr>
              <w:t>，根据《建设项目环境风险评价技术导则》（</w:t>
            </w:r>
            <w:r>
              <w:rPr>
                <w:rFonts w:hint="default" w:ascii="Times New Roman" w:hAnsi="Times New Roman" w:eastAsia="宋体" w:cs="Times New Roman"/>
                <w:color w:val="auto"/>
                <w:kern w:val="2"/>
                <w:sz w:val="24"/>
                <w:szCs w:val="32"/>
                <w:lang w:val="en-US" w:eastAsia="zh-CN" w:bidi="ar-SA"/>
              </w:rPr>
              <w:t>HJ169-2018</w:t>
            </w:r>
            <w:r>
              <w:rPr>
                <w:rFonts w:hint="eastAsia" w:ascii="Times New Roman" w:hAnsi="Times New Roman" w:eastAsia="宋体" w:cs="Times New Roman"/>
                <w:color w:val="auto"/>
                <w:kern w:val="2"/>
                <w:sz w:val="24"/>
                <w:szCs w:val="32"/>
                <w:lang w:val="en-US" w:eastAsia="zh-CN" w:bidi="ar-SA"/>
              </w:rPr>
              <w:t>） 可知，</w:t>
            </w:r>
            <w:r>
              <w:rPr>
                <w:rFonts w:hint="eastAsia" w:cs="Times New Roman"/>
                <w:color w:val="auto"/>
                <w:kern w:val="2"/>
                <w:sz w:val="24"/>
                <w:szCs w:val="32"/>
                <w:lang w:val="en-US" w:eastAsia="zh-CN" w:bidi="ar-SA"/>
              </w:rPr>
              <w:t>根据计算可知</w:t>
            </w:r>
            <w:r>
              <w:rPr>
                <w:rFonts w:hint="eastAsia" w:ascii="Times New Roman" w:hAnsi="Times New Roman" w:cs="Times New Roman"/>
                <w:bCs/>
                <w:color w:val="auto"/>
                <w:sz w:val="24"/>
                <w:szCs w:val="22"/>
                <w:lang w:eastAsia="zh-CN"/>
              </w:rPr>
              <w:t>本项目风险物质总量与其临界量</w:t>
            </w:r>
            <w:r>
              <w:rPr>
                <w:rFonts w:hint="eastAsia" w:cs="Times New Roman"/>
                <w:bCs/>
                <w:color w:val="auto"/>
                <w:sz w:val="24"/>
                <w:szCs w:val="22"/>
                <w:lang w:eastAsia="zh-CN"/>
              </w:rPr>
              <w:t>比值为</w:t>
            </w:r>
            <w:r>
              <w:rPr>
                <w:rFonts w:hint="eastAsia" w:cs="Times New Roman"/>
                <w:color w:val="auto"/>
                <w:sz w:val="24"/>
                <w:szCs w:val="24"/>
                <w:lang w:val="en-US" w:eastAsia="zh-CN"/>
              </w:rPr>
              <w:t>0.028188</w:t>
            </w:r>
            <w:r>
              <w:rPr>
                <w:rFonts w:hint="default" w:ascii="Times New Roman" w:hAnsi="Times New Roman" w:cs="Times New Roman"/>
                <w:bCs/>
                <w:color w:val="auto"/>
                <w:sz w:val="24"/>
                <w:szCs w:val="22"/>
              </w:rPr>
              <w:t>，</w:t>
            </w:r>
            <w:r>
              <w:rPr>
                <w:rFonts w:hint="default" w:ascii="Times New Roman" w:hAnsi="Times New Roman" w:eastAsia="宋体" w:cs="Times New Roman"/>
                <w:color w:val="auto"/>
                <w:kern w:val="2"/>
                <w:sz w:val="24"/>
                <w:szCs w:val="32"/>
                <w:lang w:val="en-US" w:eastAsia="zh-CN" w:bidi="ar-SA"/>
              </w:rPr>
              <w:t>Q</w:t>
            </w:r>
            <w:r>
              <w:rPr>
                <w:rFonts w:hint="eastAsia" w:ascii="Times New Roman" w:hAnsi="Times New Roman" w:eastAsia="宋体" w:cs="Times New Roman"/>
                <w:color w:val="auto"/>
                <w:kern w:val="2"/>
                <w:sz w:val="24"/>
                <w:szCs w:val="32"/>
                <w:lang w:val="en-US" w:eastAsia="zh-CN" w:bidi="ar-SA"/>
              </w:rPr>
              <w:t>＜</w:t>
            </w:r>
            <w:r>
              <w:rPr>
                <w:rFonts w:hint="default" w:ascii="Times New Roman" w:hAnsi="Times New Roman" w:eastAsia="宋体" w:cs="Times New Roman"/>
                <w:color w:val="auto"/>
                <w:kern w:val="2"/>
                <w:sz w:val="24"/>
                <w:szCs w:val="32"/>
                <w:lang w:val="en-US" w:eastAsia="zh-CN" w:bidi="ar-SA"/>
              </w:rPr>
              <w:t>1</w:t>
            </w:r>
            <w:r>
              <w:rPr>
                <w:rFonts w:hint="eastAsia" w:ascii="Times New Roman" w:hAnsi="Times New Roman" w:eastAsia="宋体" w:cs="Times New Roman"/>
                <w:color w:val="auto"/>
                <w:kern w:val="2"/>
                <w:sz w:val="24"/>
                <w:szCs w:val="32"/>
                <w:lang w:val="en-US" w:eastAsia="zh-CN" w:bidi="ar-SA"/>
              </w:rPr>
              <w:t xml:space="preserve">。因此，本项目不需要设置环境风险专项评价。 </w:t>
            </w:r>
          </w:p>
          <w:p w14:paraId="19FB5AED">
            <w:pPr>
              <w:keepNext w:val="0"/>
              <w:keepLines w:val="0"/>
              <w:widowControl/>
              <w:suppressLineNumbers w:val="0"/>
              <w:snapToGrid w:val="0"/>
              <w:spacing w:beforeLines="0" w:line="360" w:lineRule="auto"/>
              <w:ind w:firstLine="480" w:firstLineChars="200"/>
              <w:jc w:val="left"/>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4</w:t>
            </w:r>
            <w:r>
              <w:rPr>
                <w:rFonts w:hint="eastAsia" w:ascii="Times New Roman" w:hAnsi="Times New Roman" w:eastAsia="宋体" w:cs="Times New Roman"/>
                <w:color w:val="auto"/>
                <w:kern w:val="2"/>
                <w:sz w:val="24"/>
                <w:szCs w:val="32"/>
                <w:lang w:val="en-US" w:eastAsia="zh-CN" w:bidi="ar-SA"/>
              </w:rPr>
              <w:t xml:space="preserve">、本项目不属于取水口下游 </w:t>
            </w:r>
            <w:r>
              <w:rPr>
                <w:rFonts w:hint="default" w:ascii="Times New Roman" w:hAnsi="Times New Roman" w:eastAsia="宋体" w:cs="Times New Roman"/>
                <w:color w:val="auto"/>
                <w:kern w:val="2"/>
                <w:sz w:val="24"/>
                <w:szCs w:val="32"/>
                <w:lang w:val="en-US" w:eastAsia="zh-CN" w:bidi="ar-SA"/>
              </w:rPr>
              <w:t xml:space="preserve">500m </w:t>
            </w:r>
            <w:r>
              <w:rPr>
                <w:rFonts w:hint="eastAsia" w:ascii="Times New Roman" w:hAnsi="Times New Roman" w:eastAsia="宋体" w:cs="Times New Roman"/>
                <w:color w:val="auto"/>
                <w:kern w:val="2"/>
                <w:sz w:val="24"/>
                <w:szCs w:val="32"/>
                <w:lang w:val="en-US" w:eastAsia="zh-CN" w:bidi="ar-SA"/>
              </w:rPr>
              <w:t xml:space="preserve">范围内有重要的水生生物自然产卵场、索饵场、越冬场和洄游通道新增河道取水的污染类建设项目，不需要设置生态专项评价。 </w:t>
            </w:r>
          </w:p>
          <w:p w14:paraId="7D207C1D">
            <w:pPr>
              <w:keepNext w:val="0"/>
              <w:keepLines w:val="0"/>
              <w:widowControl/>
              <w:suppressLineNumbers w:val="0"/>
              <w:snapToGrid w:val="0"/>
              <w:spacing w:beforeLines="0" w:line="360" w:lineRule="auto"/>
              <w:ind w:firstLine="480" w:firstLineChars="200"/>
              <w:jc w:val="left"/>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5</w:t>
            </w:r>
            <w:r>
              <w:rPr>
                <w:rFonts w:hint="eastAsia" w:ascii="Times New Roman" w:hAnsi="Times New Roman" w:eastAsia="宋体" w:cs="Times New Roman"/>
                <w:color w:val="auto"/>
                <w:kern w:val="2"/>
                <w:sz w:val="24"/>
                <w:szCs w:val="32"/>
                <w:lang w:val="en-US" w:eastAsia="zh-CN" w:bidi="ar-SA"/>
              </w:rPr>
              <w:t xml:space="preserve">、本项目不属于直接向海洋排放污染物的海洋工程建设项目，不需要设置海洋专项评价。 </w:t>
            </w:r>
          </w:p>
          <w:p w14:paraId="1E863440">
            <w:pPr>
              <w:keepNext w:val="0"/>
              <w:keepLines w:val="0"/>
              <w:pageBreakBefore w:val="0"/>
              <w:widowControl w:val="0"/>
              <w:kinsoku/>
              <w:wordWrap/>
              <w:overflowPunct/>
              <w:topLinePunct w:val="0"/>
              <w:autoSpaceDE/>
              <w:autoSpaceDN/>
              <w:bidi w:val="0"/>
              <w:adjustRightInd w:val="0"/>
              <w:snapToGrid w:val="0"/>
              <w:spacing w:before="0" w:beforeLines="0" w:line="360" w:lineRule="auto"/>
              <w:ind w:firstLine="48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4"/>
                <w:szCs w:val="32"/>
                <w:lang w:val="en-US" w:eastAsia="zh-CN" w:bidi="ar-SA"/>
              </w:rPr>
              <w:t xml:space="preserve">综上所述，本项目不需要设置专项评价。 </w:t>
            </w:r>
          </w:p>
        </w:tc>
      </w:tr>
      <w:tr w14:paraId="513B50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217D5F62">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规划情况</w:t>
            </w:r>
          </w:p>
        </w:tc>
        <w:tc>
          <w:tcPr>
            <w:tcW w:w="7402" w:type="dxa"/>
            <w:gridSpan w:val="3"/>
            <w:tcBorders>
              <w:tl2br w:val="nil"/>
              <w:tr2bl w:val="nil"/>
            </w:tcBorders>
            <w:noWrap w:val="0"/>
            <w:vAlign w:val="center"/>
          </w:tcPr>
          <w:p w14:paraId="21D82ADF">
            <w:pPr>
              <w:pStyle w:val="13"/>
              <w:adjustRightInd w:val="0"/>
              <w:snapToGrid w:val="0"/>
              <w:spacing w:before="0" w:line="360" w:lineRule="auto"/>
              <w:ind w:left="0" w:leftChars="0" w:firstLine="480" w:firstLineChars="20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kern w:val="0"/>
                <w:sz w:val="24"/>
                <w:szCs w:val="24"/>
                <w:lang w:val="en-US" w:eastAsia="zh-CN" w:bidi="ar-SA"/>
              </w:rPr>
              <w:t>无</w:t>
            </w:r>
          </w:p>
        </w:tc>
      </w:tr>
      <w:tr w14:paraId="3AE7D6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0B7AFD0F">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规划环境影响</w:t>
            </w:r>
          </w:p>
          <w:p w14:paraId="626679CE">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评价情况</w:t>
            </w:r>
          </w:p>
        </w:tc>
        <w:tc>
          <w:tcPr>
            <w:tcW w:w="7402" w:type="dxa"/>
            <w:gridSpan w:val="3"/>
            <w:tcBorders>
              <w:tl2br w:val="nil"/>
              <w:tr2bl w:val="nil"/>
            </w:tcBorders>
            <w:noWrap w:val="0"/>
            <w:vAlign w:val="center"/>
          </w:tcPr>
          <w:p w14:paraId="1249557B">
            <w:pPr>
              <w:pStyle w:val="13"/>
              <w:adjustRightInd w:val="0"/>
              <w:snapToGrid w:val="0"/>
              <w:spacing w:before="0" w:line="360" w:lineRule="auto"/>
              <w:ind w:left="0" w:leftChars="0" w:firstLine="480" w:firstLineChars="200"/>
              <w:jc w:val="center"/>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无</w:t>
            </w:r>
          </w:p>
        </w:tc>
      </w:tr>
      <w:tr w14:paraId="777EE0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11" w:type="dxa"/>
            <w:tcBorders>
              <w:tl2br w:val="nil"/>
              <w:tr2bl w:val="nil"/>
            </w:tcBorders>
            <w:noWrap w:val="0"/>
            <w:vAlign w:val="center"/>
          </w:tcPr>
          <w:p w14:paraId="1CD74819">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规划及规划环境</w:t>
            </w:r>
          </w:p>
          <w:p w14:paraId="67731C58">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影响评价符合性分析</w:t>
            </w:r>
          </w:p>
        </w:tc>
        <w:tc>
          <w:tcPr>
            <w:tcW w:w="7402" w:type="dxa"/>
            <w:gridSpan w:val="3"/>
            <w:tcBorders>
              <w:tl2br w:val="nil"/>
              <w:tr2bl w:val="nil"/>
            </w:tcBorders>
            <w:noWrap w:val="0"/>
            <w:vAlign w:val="center"/>
          </w:tcPr>
          <w:p w14:paraId="62F3FF26">
            <w:pPr>
              <w:pStyle w:val="13"/>
              <w:adjustRightInd w:val="0"/>
              <w:snapToGrid w:val="0"/>
              <w:spacing w:before="0" w:line="360" w:lineRule="auto"/>
              <w:ind w:left="0" w:leftChars="0" w:firstLine="480" w:firstLineChars="200"/>
              <w:jc w:val="center"/>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无</w:t>
            </w:r>
          </w:p>
        </w:tc>
      </w:tr>
      <w:tr w14:paraId="261F96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7" w:hRule="atLeast"/>
          <w:jc w:val="center"/>
        </w:trPr>
        <w:tc>
          <w:tcPr>
            <w:tcW w:w="1111" w:type="dxa"/>
            <w:tcBorders>
              <w:tl2br w:val="nil"/>
              <w:tr2bl w:val="nil"/>
            </w:tcBorders>
            <w:noWrap w:val="0"/>
            <w:vAlign w:val="center"/>
          </w:tcPr>
          <w:p w14:paraId="40CE745C">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其他符合性分析</w:t>
            </w:r>
          </w:p>
        </w:tc>
        <w:tc>
          <w:tcPr>
            <w:tcW w:w="7402" w:type="dxa"/>
            <w:gridSpan w:val="3"/>
            <w:tcBorders>
              <w:tl2br w:val="nil"/>
              <w:tr2bl w:val="nil"/>
            </w:tcBorders>
            <w:noWrap w:val="0"/>
            <w:vAlign w:val="center"/>
          </w:tcPr>
          <w:p w14:paraId="4F56ACFF">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157" w:beforeLines="50" w:line="360" w:lineRule="auto"/>
              <w:ind w:firstLine="482" w:firstLineChars="200"/>
              <w:jc w:val="both"/>
              <w:textAlignment w:val="auto"/>
              <w:outlineLvl w:val="9"/>
              <w:rPr>
                <w:rFonts w:hint="default" w:ascii="Times New Roman" w:hAnsi="Times New Roman" w:cs="Times New Roman"/>
                <w:b/>
                <w:bCs w:val="0"/>
                <w:color w:val="auto"/>
                <w:sz w:val="24"/>
                <w:szCs w:val="24"/>
                <w:highlight w:val="none"/>
              </w:rPr>
            </w:pPr>
            <w:r>
              <w:rPr>
                <w:rFonts w:hint="default" w:ascii="Times New Roman" w:hAnsi="Times New Roman" w:cs="Times New Roman"/>
                <w:b/>
                <w:bCs w:val="0"/>
                <w:color w:val="auto"/>
                <w:sz w:val="24"/>
                <w:szCs w:val="24"/>
                <w:highlight w:val="none"/>
                <w:lang w:val="en-US" w:eastAsia="zh-CN"/>
              </w:rPr>
              <w:t>1</w:t>
            </w:r>
            <w:r>
              <w:rPr>
                <w:rFonts w:hint="default" w:ascii="Times New Roman" w:hAnsi="Times New Roman" w:cs="Times New Roman"/>
                <w:b/>
                <w:bCs w:val="0"/>
                <w:color w:val="auto"/>
                <w:sz w:val="24"/>
                <w:szCs w:val="24"/>
                <w:highlight w:val="none"/>
              </w:rPr>
              <w:t>、选址</w:t>
            </w:r>
            <w:r>
              <w:rPr>
                <w:rFonts w:hint="default" w:ascii="Times New Roman" w:hAnsi="Times New Roman" w:cs="Times New Roman"/>
                <w:b/>
                <w:bCs w:val="0"/>
                <w:color w:val="auto"/>
                <w:sz w:val="24"/>
                <w:szCs w:val="24"/>
                <w:highlight w:val="none"/>
                <w:lang w:eastAsia="zh-CN"/>
              </w:rPr>
              <w:t>合</w:t>
            </w:r>
            <w:r>
              <w:rPr>
                <w:rFonts w:hint="default" w:ascii="Times New Roman" w:hAnsi="Times New Roman" w:cs="Times New Roman"/>
                <w:b/>
                <w:bCs w:val="0"/>
                <w:color w:val="auto"/>
                <w:sz w:val="24"/>
                <w:szCs w:val="24"/>
                <w:highlight w:val="none"/>
              </w:rPr>
              <w:t>理性分析</w:t>
            </w:r>
          </w:p>
          <w:p w14:paraId="3E9FFE63">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rPr>
              <w:t>根据自然资源部 国家发展和改革委员会 国家林业和草原局关于印发《自然资源要素支撑产业高质量发展指导目录（2024年本）》的通知</w:t>
            </w:r>
            <w:r>
              <w:rPr>
                <w:rFonts w:hint="eastAsia" w:cs="Times New Roman"/>
                <w:b w:val="0"/>
                <w:bCs/>
                <w:color w:val="auto"/>
                <w:sz w:val="24"/>
                <w:szCs w:val="24"/>
                <w:highlight w:val="none"/>
                <w:lang w:eastAsia="zh-CN"/>
              </w:rPr>
              <w:t>（</w:t>
            </w:r>
            <w:r>
              <w:rPr>
                <w:rFonts w:hint="default" w:ascii="Times New Roman" w:hAnsi="Times New Roman" w:cs="Times New Roman"/>
                <w:b w:val="0"/>
                <w:bCs/>
                <w:color w:val="auto"/>
                <w:sz w:val="24"/>
                <w:szCs w:val="24"/>
                <w:highlight w:val="none"/>
              </w:rPr>
              <w:t>自然资发〔2024〕273号</w:t>
            </w:r>
            <w:r>
              <w:rPr>
                <w:rFonts w:hint="eastAsia" w:cs="Times New Roman"/>
                <w:b w:val="0"/>
                <w:bCs/>
                <w:color w:val="auto"/>
                <w:sz w:val="24"/>
                <w:szCs w:val="24"/>
                <w:highlight w:val="none"/>
                <w:lang w:eastAsia="zh-CN"/>
              </w:rPr>
              <w:t>），</w:t>
            </w:r>
            <w:r>
              <w:rPr>
                <w:rFonts w:hint="eastAsia" w:cs="Times New Roman"/>
                <w:b w:val="0"/>
                <w:bCs/>
                <w:color w:val="auto"/>
                <w:sz w:val="24"/>
                <w:szCs w:val="24"/>
                <w:highlight w:val="none"/>
                <w:lang w:val="en-US" w:eastAsia="zh-CN"/>
              </w:rPr>
              <w:t>新上建设项目首先要利用现有建设用地，严格控制建设占用耕地、林地、草地和湿地等。</w:t>
            </w:r>
          </w:p>
          <w:p w14:paraId="17B9C34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outlineLvl w:val="9"/>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本项目</w:t>
            </w:r>
            <w:r>
              <w:rPr>
                <w:rFonts w:hint="default" w:ascii="Times New Roman" w:hAnsi="Times New Roman" w:eastAsia="宋体" w:cs="Times New Roman"/>
                <w:b w:val="0"/>
                <w:bCs/>
                <w:color w:val="auto"/>
                <w:sz w:val="24"/>
                <w:szCs w:val="24"/>
                <w:highlight w:val="none"/>
              </w:rPr>
              <w:t>位于</w:t>
            </w:r>
            <w:r>
              <w:rPr>
                <w:rFonts w:hint="eastAsia" w:cs="Times New Roman"/>
                <w:color w:val="auto"/>
                <w:kern w:val="2"/>
                <w:sz w:val="24"/>
                <w:szCs w:val="24"/>
                <w:highlight w:val="none"/>
                <w:u w:val="none"/>
                <w:lang w:val="en-US" w:eastAsia="zh-CN" w:bidi="ar-SA"/>
              </w:rPr>
              <w:t>济宁市泗水县泉林镇泉林村原泗水县纺织厂院内</w:t>
            </w:r>
            <w:r>
              <w:rPr>
                <w:rFonts w:hint="default" w:ascii="Times New Roman" w:hAnsi="Times New Roman" w:eastAsia="宋体" w:cs="Times New Roman"/>
                <w:b w:val="0"/>
                <w:bCs/>
                <w:color w:val="auto"/>
                <w:sz w:val="24"/>
                <w:szCs w:val="24"/>
                <w:highlight w:val="none"/>
              </w:rPr>
              <w:t>，项目所在地交通运输便</w:t>
            </w:r>
            <w:r>
              <w:rPr>
                <w:rFonts w:hint="default" w:ascii="Times New Roman" w:hAnsi="Times New Roman" w:cs="Times New Roman"/>
                <w:b w:val="0"/>
                <w:bCs/>
                <w:color w:val="auto"/>
                <w:sz w:val="24"/>
                <w:szCs w:val="24"/>
                <w:highlight w:val="none"/>
              </w:rPr>
              <w:t>利。</w:t>
            </w:r>
            <w:r>
              <w:rPr>
                <w:rFonts w:hint="default" w:ascii="Times New Roman" w:hAnsi="Times New Roman" w:eastAsia="宋体" w:cs="Times New Roman"/>
                <w:color w:val="auto"/>
                <w:sz w:val="24"/>
                <w:szCs w:val="24"/>
                <w:lang w:eastAsia="zh-CN"/>
              </w:rPr>
              <w:t>根据《</w:t>
            </w:r>
            <w:r>
              <w:rPr>
                <w:rFonts w:hint="eastAsia" w:cs="Times New Roman"/>
                <w:color w:val="auto"/>
                <w:sz w:val="24"/>
                <w:szCs w:val="24"/>
                <w:lang w:val="en-US" w:eastAsia="zh-CN"/>
              </w:rPr>
              <w:t>泗水县</w:t>
            </w:r>
            <w:r>
              <w:rPr>
                <w:rFonts w:hint="default" w:ascii="Times New Roman" w:hAnsi="Times New Roman" w:eastAsia="宋体" w:cs="Times New Roman"/>
                <w:color w:val="auto"/>
                <w:sz w:val="24"/>
                <w:szCs w:val="24"/>
                <w:lang w:eastAsia="zh-CN"/>
              </w:rPr>
              <w:t>国土空间总体规划</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2021-2035年）》</w:t>
            </w:r>
            <w:r>
              <w:rPr>
                <w:rFonts w:hint="eastAsia" w:cs="Times New Roman"/>
                <w:b w:val="0"/>
                <w:bCs/>
                <w:color w:val="auto"/>
                <w:sz w:val="24"/>
                <w:szCs w:val="24"/>
                <w:highlight w:val="none"/>
                <w:lang w:val="en-US" w:eastAsia="zh-CN"/>
              </w:rPr>
              <w:t>、</w:t>
            </w:r>
            <w:r>
              <w:rPr>
                <w:rFonts w:hint="default"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泗水县泉林镇</w:t>
            </w:r>
            <w:r>
              <w:rPr>
                <w:rFonts w:hint="default" w:cs="Times New Roman"/>
                <w:b w:val="0"/>
                <w:bCs/>
                <w:color w:val="auto"/>
                <w:sz w:val="24"/>
                <w:szCs w:val="24"/>
                <w:highlight w:val="none"/>
                <w:lang w:val="en-US" w:eastAsia="zh-CN"/>
              </w:rPr>
              <w:t>国土空间总体规划</w:t>
            </w:r>
            <w:r>
              <w:rPr>
                <w:rFonts w:hint="eastAsia" w:cs="Times New Roman"/>
                <w:b w:val="0"/>
                <w:bCs/>
                <w:color w:val="auto"/>
                <w:sz w:val="24"/>
                <w:szCs w:val="24"/>
                <w:highlight w:val="none"/>
                <w:lang w:val="en-US" w:eastAsia="zh-CN"/>
              </w:rPr>
              <w:t>（</w:t>
            </w:r>
            <w:r>
              <w:rPr>
                <w:rFonts w:hint="default" w:cs="Times New Roman"/>
                <w:b w:val="0"/>
                <w:bCs/>
                <w:color w:val="auto"/>
                <w:sz w:val="24"/>
                <w:szCs w:val="24"/>
                <w:highlight w:val="none"/>
                <w:lang w:val="en-US" w:eastAsia="zh-CN"/>
              </w:rPr>
              <w:t>2021-2035年）》，</w:t>
            </w:r>
            <w:r>
              <w:rPr>
                <w:rFonts w:hint="eastAsia" w:cs="Times New Roman"/>
                <w:b w:val="0"/>
                <w:bCs/>
                <w:color w:val="auto"/>
                <w:sz w:val="24"/>
                <w:szCs w:val="24"/>
                <w:highlight w:val="none"/>
                <w:lang w:val="en-US" w:eastAsia="zh-CN"/>
              </w:rPr>
              <w:t>本项目位于城镇开发边界内，为工业用地，不占用耕地、林地、草地和湿地等。</w:t>
            </w:r>
          </w:p>
          <w:p w14:paraId="75BBCE15">
            <w:pPr>
              <w:pStyle w:val="147"/>
              <w:keepNext w:val="0"/>
              <w:keepLines w:val="0"/>
              <w:pageBreakBefore w:val="0"/>
              <w:widowControl/>
              <w:kinsoku/>
              <w:wordWrap/>
              <w:overflowPunct/>
              <w:topLinePunct w:val="0"/>
              <w:autoSpaceDE/>
              <w:autoSpaceDN/>
              <w:bidi w:val="0"/>
              <w:adjustRightInd w:val="0"/>
              <w:snapToGrid w:val="0"/>
              <w:ind w:firstLine="482"/>
              <w:jc w:val="both"/>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、产业政策符合性分析</w:t>
            </w:r>
          </w:p>
          <w:p w14:paraId="190F57C3">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本项目为</w:t>
            </w:r>
            <w:r>
              <w:rPr>
                <w:rFonts w:hint="eastAsia" w:cs="Times New Roman"/>
                <w:color w:val="auto"/>
                <w:sz w:val="24"/>
                <w:szCs w:val="24"/>
                <w:highlight w:val="none"/>
                <w:lang w:eastAsia="zh-CN"/>
              </w:rPr>
              <w:t>年产450万套机床附件包装盒项目</w:t>
            </w:r>
            <w:r>
              <w:rPr>
                <w:rFonts w:hint="default" w:ascii="Times New Roman" w:hAnsi="Times New Roman" w:cs="Times New Roman"/>
                <w:color w:val="auto"/>
                <w:sz w:val="24"/>
                <w:szCs w:val="24"/>
                <w:highlight w:val="none"/>
              </w:rPr>
              <w:t>，对照《</w:t>
            </w:r>
            <w:r>
              <w:rPr>
                <w:rFonts w:hint="eastAsia" w:cs="Times New Roman"/>
                <w:color w:val="auto"/>
                <w:sz w:val="24"/>
                <w:szCs w:val="24"/>
                <w:highlight w:val="none"/>
                <w:lang w:eastAsia="zh-CN"/>
              </w:rPr>
              <w:t>产业结构调整指导目录（2024年本）</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项目采用的工艺、设备</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产品等均</w:t>
            </w:r>
            <w:r>
              <w:rPr>
                <w:rFonts w:hint="default" w:ascii="Times New Roman" w:hAnsi="Times New Roman" w:cs="Times New Roman"/>
                <w:color w:val="auto"/>
                <w:sz w:val="24"/>
                <w:szCs w:val="24"/>
                <w:highlight w:val="none"/>
              </w:rPr>
              <w:t>不在限制类和淘汰类之列，</w:t>
            </w:r>
            <w:r>
              <w:rPr>
                <w:rFonts w:hint="eastAsia" w:ascii="Times New Roman" w:hAnsi="Times New Roman" w:cs="Times New Roman"/>
                <w:color w:val="auto"/>
                <w:sz w:val="24"/>
                <w:szCs w:val="24"/>
                <w:highlight w:val="none"/>
                <w:lang w:val="en-US" w:eastAsia="zh-CN"/>
              </w:rPr>
              <w:t>为允许类建设项目，</w:t>
            </w:r>
            <w:r>
              <w:rPr>
                <w:rFonts w:hint="default" w:ascii="Times New Roman" w:hAnsi="Times New Roman" w:cs="Times New Roman"/>
                <w:color w:val="auto"/>
                <w:sz w:val="24"/>
                <w:szCs w:val="24"/>
                <w:highlight w:val="none"/>
              </w:rPr>
              <w:t>符合国家产业政策要求。</w:t>
            </w:r>
          </w:p>
          <w:p w14:paraId="504133A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、项目“</w:t>
            </w:r>
            <w:r>
              <w:rPr>
                <w:rFonts w:hint="eastAsia" w:cs="Times New Roman"/>
                <w:b/>
                <w:bCs/>
                <w:color w:val="auto"/>
                <w:sz w:val="24"/>
                <w:szCs w:val="24"/>
                <w:highlight w:val="none"/>
                <w:lang w:val="en-US" w:eastAsia="zh-CN"/>
              </w:rPr>
              <w:t>生态环境分区管控</w:t>
            </w:r>
            <w:r>
              <w:rPr>
                <w:rFonts w:hint="default" w:ascii="Times New Roman" w:hAnsi="Times New Roman" w:eastAsia="宋体" w:cs="Times New Roman"/>
                <w:b/>
                <w:bCs/>
                <w:color w:val="auto"/>
                <w:sz w:val="24"/>
                <w:szCs w:val="24"/>
                <w:highlight w:val="none"/>
              </w:rPr>
              <w:t>”符合性分析</w:t>
            </w:r>
          </w:p>
          <w:p w14:paraId="46DA2E9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（1）资源利用上线</w:t>
            </w:r>
          </w:p>
          <w:p w14:paraId="1724CD9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项目运营过程消耗一定的电、水等能源，整体消耗量相对于区域而言较小，不属于高耗能行业，资源消耗量相对区域资源利用总量较少，不会触及当地资源分配的上线，符合资源利用上限要求。</w:t>
            </w:r>
          </w:p>
          <w:p w14:paraId="392CCDF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（2）环境质量底线</w:t>
            </w:r>
          </w:p>
          <w:p w14:paraId="00EF909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项目所在地环境质量良好，该项目运营时会产生一定的污染物：废气、</w:t>
            </w:r>
            <w:r>
              <w:rPr>
                <w:rFonts w:hint="default" w:ascii="Times New Roman" w:hAnsi="Times New Roman" w:eastAsia="宋体" w:cs="Times New Roman"/>
                <w:color w:val="auto"/>
                <w:sz w:val="24"/>
                <w:szCs w:val="24"/>
                <w:highlight w:val="none"/>
                <w:lang w:val="en-US" w:eastAsia="zh-CN"/>
              </w:rPr>
              <w:t>废水、</w:t>
            </w:r>
            <w:r>
              <w:rPr>
                <w:rFonts w:hint="default" w:ascii="Times New Roman" w:hAnsi="Times New Roman" w:eastAsia="宋体" w:cs="Times New Roman"/>
                <w:color w:val="auto"/>
                <w:sz w:val="24"/>
                <w:szCs w:val="24"/>
                <w:highlight w:val="none"/>
              </w:rPr>
              <w:t>生产设备运行时噪声、固废等，但企业采取了相应的污染防治措施，各类污染物不会对周围环境造成不良影响，</w:t>
            </w:r>
            <w:r>
              <w:rPr>
                <w:rFonts w:hint="eastAsia" w:cs="Times New Roman"/>
                <w:color w:val="auto"/>
                <w:sz w:val="24"/>
                <w:szCs w:val="24"/>
                <w:highlight w:val="none"/>
                <w:lang w:val="en-US" w:eastAsia="zh-CN"/>
              </w:rPr>
              <w:t>既</w:t>
            </w:r>
            <w:r>
              <w:rPr>
                <w:rFonts w:hint="default" w:ascii="Times New Roman" w:hAnsi="Times New Roman" w:eastAsia="宋体" w:cs="Times New Roman"/>
                <w:color w:val="auto"/>
                <w:sz w:val="24"/>
                <w:szCs w:val="24"/>
                <w:highlight w:val="none"/>
              </w:rPr>
              <w:t>不会改变区域环境功能区质量要求，不会降低周围环境质量。</w:t>
            </w:r>
          </w:p>
          <w:p w14:paraId="32EF827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（3）生态保护红线</w:t>
            </w:r>
          </w:p>
          <w:p w14:paraId="6B030C8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态保护红线原则上按禁止开发区域的要求进行管理，应符合《关于在国土空间规划中统筹划定落实三条控制线的指导意见》及国家、省有关要求。根据主导生态功能定位，实施差别化管理，生态保护红线要保证生态功能的系统性和完整性。生态保护红线内，自然保护地核心保护区原则上禁止人为活动，其他区域严格禁止开发性、生产性建设活动，在符合现行法律法规前提下，除国家重大战略项目外，仅允许对生态功能不造成破坏的有限人为活动。评估调整后的自然保护地应划入生态保护红线，自然保护地发生调整的，生态保护红线相应调整。</w:t>
            </w:r>
            <w:r>
              <w:rPr>
                <w:rFonts w:hint="default" w:ascii="Times New Roman" w:hAnsi="Times New Roman" w:eastAsia="宋体" w:cs="Times New Roman"/>
                <w:color w:val="auto"/>
                <w:sz w:val="24"/>
                <w:szCs w:val="24"/>
                <w:lang w:eastAsia="zh-CN"/>
              </w:rPr>
              <w:t>根据《</w:t>
            </w:r>
            <w:r>
              <w:rPr>
                <w:rFonts w:hint="eastAsia" w:cs="Times New Roman"/>
                <w:color w:val="auto"/>
                <w:sz w:val="24"/>
                <w:szCs w:val="24"/>
                <w:lang w:val="en-US" w:eastAsia="zh-CN"/>
              </w:rPr>
              <w:t>泗水县</w:t>
            </w:r>
            <w:r>
              <w:rPr>
                <w:rFonts w:hint="default" w:ascii="Times New Roman" w:hAnsi="Times New Roman" w:eastAsia="宋体" w:cs="Times New Roman"/>
                <w:color w:val="auto"/>
                <w:sz w:val="24"/>
                <w:szCs w:val="24"/>
                <w:lang w:eastAsia="zh-CN"/>
              </w:rPr>
              <w:t>国土空间总体规划</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2021-2035年）》</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泗水县泉林镇</w:t>
            </w:r>
            <w:r>
              <w:rPr>
                <w:rFonts w:hint="default" w:ascii="Times New Roman" w:hAnsi="Times New Roman" w:eastAsia="宋体" w:cs="Times New Roman"/>
                <w:color w:val="auto"/>
                <w:sz w:val="24"/>
                <w:szCs w:val="24"/>
                <w:lang w:eastAsia="zh-CN"/>
              </w:rPr>
              <w:t>国土空间总体规划</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2021-2035年）》，</w:t>
            </w:r>
            <w:r>
              <w:rPr>
                <w:rFonts w:hint="eastAsia" w:cs="Times New Roman"/>
                <w:b w:val="0"/>
                <w:bCs/>
                <w:color w:val="auto"/>
                <w:sz w:val="24"/>
                <w:szCs w:val="24"/>
                <w:highlight w:val="none"/>
                <w:lang w:val="en-US" w:eastAsia="zh-CN"/>
              </w:rPr>
              <w:t>本项目为工业用地，</w:t>
            </w:r>
            <w:r>
              <w:rPr>
                <w:rFonts w:hint="default" w:ascii="Times New Roman" w:hAnsi="Times New Roman" w:eastAsia="宋体" w:cs="Times New Roman"/>
                <w:color w:val="auto"/>
                <w:sz w:val="24"/>
                <w:szCs w:val="24"/>
              </w:rPr>
              <w:t>项目不在济宁市生态保护红线范围内，不占用基本农田，满足规划要求。</w:t>
            </w:r>
          </w:p>
          <w:p w14:paraId="0A3F49DE">
            <w:pPr>
              <w:pStyle w:val="159"/>
              <w:ind w:firstLine="48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（4）</w:t>
            </w:r>
            <w:r>
              <w:rPr>
                <w:rFonts w:hint="eastAsia" w:ascii="Times New Roman" w:hAnsi="Times New Roman" w:eastAsia="宋体" w:cs="Times New Roman"/>
                <w:color w:val="auto"/>
                <w:sz w:val="24"/>
                <w:szCs w:val="24"/>
              </w:rPr>
              <w:t>本项目位于</w:t>
            </w:r>
            <w:r>
              <w:rPr>
                <w:rFonts w:hint="default" w:ascii="Times New Roman" w:hAnsi="Times New Roman" w:eastAsia="宋体" w:cs="Times New Roman"/>
                <w:color w:val="auto"/>
                <w:sz w:val="24"/>
                <w:szCs w:val="24"/>
                <w:lang w:val="en-US" w:eastAsia="zh-CN"/>
              </w:rPr>
              <w:t>济宁市</w:t>
            </w:r>
            <w:r>
              <w:rPr>
                <w:rFonts w:hint="eastAsia" w:cs="Times New Roman"/>
                <w:color w:val="auto"/>
                <w:sz w:val="24"/>
                <w:szCs w:val="24"/>
                <w:lang w:val="en-US" w:eastAsia="zh-CN"/>
              </w:rPr>
              <w:t>泗水县泉林镇泉林村原泗水县纺织厂院内</w:t>
            </w:r>
            <w:r>
              <w:rPr>
                <w:rFonts w:hint="eastAsia" w:ascii="Times New Roman" w:hAnsi="Times New Roman" w:eastAsia="宋体" w:cs="Times New Roman"/>
                <w:color w:val="auto"/>
                <w:sz w:val="24"/>
                <w:szCs w:val="24"/>
              </w:rPr>
              <w:t>，根据</w:t>
            </w:r>
            <w:r>
              <w:rPr>
                <w:rFonts w:hint="eastAsia" w:ascii="Times New Roman" w:hAnsi="Times New Roman" w:eastAsia="宋体" w:cs="Times New Roman"/>
                <w:color w:val="auto"/>
                <w:sz w:val="24"/>
                <w:szCs w:val="24"/>
                <w:lang w:val="en-US" w:eastAsia="zh-CN"/>
              </w:rPr>
              <w:t>《济宁市生态环境委员会办公室关于发布2023年生态环境分区管控动态更新成果的通知》（济环委办[2024]5号）</w:t>
            </w:r>
            <w:r>
              <w:rPr>
                <w:rFonts w:hint="eastAsia" w:ascii="Times New Roman" w:hAnsi="Times New Roman" w:eastAsia="宋体" w:cs="Times New Roman"/>
                <w:color w:val="auto"/>
                <w:sz w:val="24"/>
                <w:szCs w:val="24"/>
              </w:rPr>
              <w:t>，</w:t>
            </w:r>
            <w:r>
              <w:rPr>
                <w:rFonts w:hint="eastAsia" w:cs="Times New Roman"/>
                <w:color w:val="auto"/>
                <w:sz w:val="24"/>
                <w:szCs w:val="24"/>
                <w:lang w:val="en-US" w:eastAsia="zh-CN"/>
              </w:rPr>
              <w:t>泉林镇</w:t>
            </w:r>
            <w:r>
              <w:rPr>
                <w:rFonts w:hint="default" w:ascii="Times New Roman" w:hAnsi="Times New Roman" w:eastAsia="宋体" w:cs="Times New Roman"/>
                <w:color w:val="auto"/>
                <w:sz w:val="24"/>
                <w:szCs w:val="24"/>
                <w:lang w:val="en-US" w:eastAsia="zh-CN"/>
              </w:rPr>
              <w:t>属于</w:t>
            </w:r>
            <w:r>
              <w:rPr>
                <w:rFonts w:hint="eastAsia" w:cs="Times New Roman"/>
                <w:color w:val="auto"/>
                <w:sz w:val="24"/>
                <w:szCs w:val="24"/>
                <w:lang w:val="en-US" w:eastAsia="zh-CN"/>
              </w:rPr>
              <w:t>一般</w:t>
            </w:r>
            <w:r>
              <w:rPr>
                <w:rFonts w:hint="default" w:ascii="Times New Roman" w:hAnsi="Times New Roman" w:eastAsia="宋体" w:cs="Times New Roman"/>
                <w:color w:val="auto"/>
                <w:sz w:val="24"/>
                <w:szCs w:val="24"/>
                <w:lang w:val="en-US" w:eastAsia="zh-CN"/>
              </w:rPr>
              <w:t>管控单元，</w:t>
            </w:r>
            <w:r>
              <w:rPr>
                <w:rFonts w:hint="eastAsia" w:ascii="Times New Roman" w:hAnsi="Times New Roman" w:eastAsia="宋体" w:cs="Times New Roman"/>
                <w:color w:val="auto"/>
                <w:sz w:val="24"/>
                <w:szCs w:val="24"/>
                <w:lang w:val="en-US" w:eastAsia="zh-CN"/>
              </w:rPr>
              <w:t>环境管控单元编码为ZH37083130001。与</w:t>
            </w:r>
            <w:r>
              <w:rPr>
                <w:rFonts w:hint="eastAsia" w:ascii="Times New Roman" w:hAnsi="Times New Roman" w:eastAsia="宋体" w:cs="Times New Roman"/>
                <w:color w:val="auto"/>
                <w:sz w:val="24"/>
                <w:szCs w:val="24"/>
              </w:rPr>
              <w:t>生态环境准入清单要求符合性分析具体见</w:t>
            </w:r>
            <w:r>
              <w:rPr>
                <w:rFonts w:hint="eastAsia" w:ascii="Times New Roman" w:hAnsi="Times New Roman" w:eastAsia="宋体" w:cs="Times New Roman"/>
                <w:color w:val="auto"/>
                <w:sz w:val="24"/>
                <w:szCs w:val="24"/>
                <w:lang w:val="en-US" w:eastAsia="zh-CN"/>
              </w:rPr>
              <w:t>下</w:t>
            </w:r>
            <w:r>
              <w:rPr>
                <w:rFonts w:hint="eastAsia" w:ascii="Times New Roman" w:hAnsi="Times New Roman" w:eastAsia="宋体" w:cs="Times New Roman"/>
                <w:color w:val="auto"/>
                <w:sz w:val="24"/>
                <w:szCs w:val="24"/>
              </w:rPr>
              <w:t>表。</w:t>
            </w:r>
          </w:p>
          <w:p w14:paraId="6FC58118">
            <w:pPr>
              <w:pStyle w:val="160"/>
              <w:snapToGrid/>
              <w:spacing w:line="240" w:lineRule="auto"/>
              <w:ind w:left="0" w:leftChars="0" w:firstLine="0" w:firstLineChars="0"/>
              <w:jc w:val="center"/>
              <w:rPr>
                <w:rFonts w:hint="default" w:ascii="Times New Roman" w:hAnsi="Times New Roman" w:cs="Times New Roman"/>
                <w:b/>
                <w:color w:val="auto"/>
                <w:kern w:val="0"/>
                <w:sz w:val="24"/>
                <w:szCs w:val="24"/>
              </w:rPr>
            </w:pPr>
            <w:r>
              <w:rPr>
                <w:rFonts w:hint="default" w:ascii="Times New Roman" w:hAnsi="Times New Roman" w:cs="Times New Roman"/>
                <w:b/>
                <w:bCs/>
                <w:color w:val="auto"/>
                <w:sz w:val="24"/>
                <w:szCs w:val="24"/>
                <w:lang w:val="en-US" w:eastAsia="zh-CN"/>
              </w:rPr>
              <w:t>表1-</w:t>
            </w:r>
            <w:r>
              <w:rPr>
                <w:rFonts w:hint="eastAsia"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lang w:val="en-US" w:eastAsia="zh-CN"/>
              </w:rPr>
              <w:t xml:space="preserve"> </w:t>
            </w:r>
            <w:r>
              <w:rPr>
                <w:rFonts w:hint="default" w:ascii="Times New Roman" w:hAnsi="Times New Roman" w:cs="Times New Roman"/>
                <w:b/>
                <w:color w:val="auto"/>
                <w:kern w:val="0"/>
                <w:sz w:val="24"/>
                <w:szCs w:val="24"/>
              </w:rPr>
              <w:t>项目与“济宁市市级生态环境准入清单”符合性分析</w:t>
            </w:r>
          </w:p>
          <w:tbl>
            <w:tblPr>
              <w:tblStyle w:val="37"/>
              <w:tblW w:w="72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3"/>
              <w:gridCol w:w="3555"/>
              <w:gridCol w:w="2067"/>
              <w:gridCol w:w="713"/>
            </w:tblGrid>
            <w:tr w14:paraId="2EED4F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3" w:type="dxa"/>
                  <w:noWrap w:val="0"/>
                  <w:vAlign w:val="center"/>
                </w:tcPr>
                <w:p w14:paraId="79469238">
                  <w:pPr>
                    <w:pStyle w:val="36"/>
                    <w:spacing w:after="0"/>
                    <w:ind w:left="0" w:leftChars="0" w:firstLine="0" w:firstLineChars="0"/>
                    <w:jc w:val="center"/>
                    <w:rPr>
                      <w:b/>
                      <w:bCs/>
                      <w:color w:val="auto"/>
                      <w:sz w:val="21"/>
                      <w:szCs w:val="21"/>
                      <w:lang w:val="en-US" w:eastAsia="zh-CN"/>
                    </w:rPr>
                  </w:pPr>
                  <w:r>
                    <w:rPr>
                      <w:b/>
                      <w:bCs/>
                      <w:color w:val="auto"/>
                      <w:sz w:val="21"/>
                      <w:szCs w:val="21"/>
                      <w:lang w:val="en-US" w:eastAsia="zh-CN"/>
                    </w:rPr>
                    <w:t>生态环境准入清单</w:t>
                  </w:r>
                </w:p>
              </w:tc>
              <w:tc>
                <w:tcPr>
                  <w:tcW w:w="3555" w:type="dxa"/>
                  <w:noWrap w:val="0"/>
                  <w:vAlign w:val="center"/>
                </w:tcPr>
                <w:p w14:paraId="75CA6DAE">
                  <w:pPr>
                    <w:pStyle w:val="36"/>
                    <w:spacing w:after="0"/>
                    <w:ind w:left="0" w:leftChars="0" w:firstLine="0" w:firstLineChars="0"/>
                    <w:jc w:val="center"/>
                    <w:rPr>
                      <w:b/>
                      <w:bCs/>
                      <w:color w:val="auto"/>
                      <w:sz w:val="21"/>
                      <w:szCs w:val="21"/>
                      <w:lang w:val="en-US" w:eastAsia="zh-CN"/>
                    </w:rPr>
                  </w:pPr>
                  <w:r>
                    <w:rPr>
                      <w:b/>
                      <w:bCs/>
                      <w:color w:val="auto"/>
                      <w:sz w:val="21"/>
                      <w:szCs w:val="21"/>
                      <w:lang w:val="en-US" w:eastAsia="zh-CN"/>
                    </w:rPr>
                    <w:t>具体要求</w:t>
                  </w:r>
                </w:p>
              </w:tc>
              <w:tc>
                <w:tcPr>
                  <w:tcW w:w="2067" w:type="dxa"/>
                  <w:noWrap w:val="0"/>
                  <w:vAlign w:val="center"/>
                </w:tcPr>
                <w:p w14:paraId="6CA30208">
                  <w:pPr>
                    <w:pStyle w:val="36"/>
                    <w:spacing w:after="0"/>
                    <w:ind w:left="0" w:leftChars="0" w:firstLine="0" w:firstLineChars="0"/>
                    <w:jc w:val="center"/>
                    <w:rPr>
                      <w:b/>
                      <w:bCs/>
                      <w:color w:val="auto"/>
                      <w:sz w:val="21"/>
                      <w:szCs w:val="21"/>
                      <w:lang w:val="en-US" w:eastAsia="zh-CN"/>
                    </w:rPr>
                  </w:pPr>
                  <w:r>
                    <w:rPr>
                      <w:b/>
                      <w:bCs/>
                      <w:color w:val="auto"/>
                      <w:sz w:val="21"/>
                      <w:szCs w:val="21"/>
                      <w:lang w:val="en-US" w:eastAsia="zh-CN"/>
                    </w:rPr>
                    <w:t>本</w:t>
                  </w:r>
                  <w:r>
                    <w:rPr>
                      <w:rFonts w:hint="eastAsia"/>
                      <w:b/>
                      <w:bCs/>
                      <w:color w:val="auto"/>
                      <w:sz w:val="21"/>
                      <w:szCs w:val="21"/>
                      <w:lang w:val="en-US" w:eastAsia="zh-CN"/>
                    </w:rPr>
                    <w:t>项目</w:t>
                  </w:r>
                  <w:r>
                    <w:rPr>
                      <w:b/>
                      <w:bCs/>
                      <w:color w:val="auto"/>
                      <w:sz w:val="21"/>
                      <w:szCs w:val="21"/>
                      <w:lang w:val="en-US" w:eastAsia="zh-CN"/>
                    </w:rPr>
                    <w:t>情况</w:t>
                  </w:r>
                </w:p>
              </w:tc>
              <w:tc>
                <w:tcPr>
                  <w:tcW w:w="713" w:type="dxa"/>
                  <w:noWrap w:val="0"/>
                  <w:vAlign w:val="center"/>
                </w:tcPr>
                <w:p w14:paraId="59781020">
                  <w:pPr>
                    <w:pStyle w:val="36"/>
                    <w:spacing w:after="0"/>
                    <w:ind w:left="0" w:leftChars="0" w:firstLine="0" w:firstLineChars="0"/>
                    <w:jc w:val="center"/>
                    <w:rPr>
                      <w:b/>
                      <w:bCs/>
                      <w:color w:val="auto"/>
                      <w:sz w:val="21"/>
                      <w:szCs w:val="21"/>
                      <w:lang w:val="en-US" w:eastAsia="zh-CN"/>
                    </w:rPr>
                  </w:pPr>
                  <w:r>
                    <w:rPr>
                      <w:b/>
                      <w:bCs/>
                      <w:color w:val="auto"/>
                      <w:sz w:val="21"/>
                      <w:szCs w:val="21"/>
                      <w:lang w:val="en-US" w:eastAsia="zh-CN"/>
                    </w:rPr>
                    <w:t>符合性</w:t>
                  </w:r>
                </w:p>
              </w:tc>
            </w:tr>
            <w:tr w14:paraId="19295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3" w:type="dxa"/>
                  <w:noWrap w:val="0"/>
                  <w:vAlign w:val="center"/>
                </w:tcPr>
                <w:p w14:paraId="418CFF5F">
                  <w:pPr>
                    <w:pStyle w:val="36"/>
                    <w:spacing w:after="0"/>
                    <w:ind w:left="0" w:leftChars="0" w:firstLine="0" w:firstLineChars="0"/>
                    <w:jc w:val="center"/>
                    <w:rPr>
                      <w:color w:val="auto"/>
                      <w:sz w:val="21"/>
                      <w:szCs w:val="21"/>
                      <w:lang w:val="en-US" w:eastAsia="zh-CN"/>
                    </w:rPr>
                  </w:pPr>
                  <w:r>
                    <w:rPr>
                      <w:color w:val="auto"/>
                      <w:sz w:val="21"/>
                      <w:szCs w:val="21"/>
                      <w:lang w:val="en-US" w:eastAsia="zh-CN"/>
                    </w:rPr>
                    <w:t>空间布局约束</w:t>
                  </w:r>
                </w:p>
              </w:tc>
              <w:tc>
                <w:tcPr>
                  <w:tcW w:w="3555" w:type="dxa"/>
                  <w:noWrap w:val="0"/>
                  <w:vAlign w:val="center"/>
                </w:tcPr>
                <w:p w14:paraId="53F551EF">
                  <w:pPr>
                    <w:keepNext w:val="0"/>
                    <w:keepLines w:val="0"/>
                    <w:widowControl/>
                    <w:suppressLineNumbers w:val="0"/>
                    <w:jc w:val="left"/>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1.新建、改建、扩建项目，满足产业准入、总量控制、排放标准等管理制度要求的前提下，积极推进工业项目进园、集约高效发展。</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2.根据区域不同属性，区域内湿地公园、森林公园空间布局约束严格执行国家、省、市湿地公园及森林公园相关规定。</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3.生态保护红线应符合《关于划定并严守生态保护红线的若干意见》及国家、省有关要求，原则上按禁止开发区域的要求进行管理，严禁不符合主体功能定位的各类开发活动，严禁任意改变土地用途。</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4.一般生态空间原则上按限制开发区域的要求进行管理。</w:t>
                  </w:r>
                </w:p>
              </w:tc>
              <w:tc>
                <w:tcPr>
                  <w:tcW w:w="2067" w:type="dxa"/>
                  <w:noWrap w:val="0"/>
                  <w:vAlign w:val="center"/>
                </w:tcPr>
                <w:p w14:paraId="67B5BE27">
                  <w:pPr>
                    <w:keepNext w:val="0"/>
                    <w:keepLines w:val="0"/>
                    <w:widowControl/>
                    <w:suppressLineNumbers w:val="0"/>
                    <w:jc w:val="center"/>
                    <w:rPr>
                      <w:rFonts w:hint="default"/>
                      <w:color w:val="auto"/>
                      <w:sz w:val="21"/>
                      <w:szCs w:val="21"/>
                      <w:lang w:val="en-US" w:eastAsia="zh-CN"/>
                    </w:rPr>
                  </w:pPr>
                  <w:r>
                    <w:rPr>
                      <w:rFonts w:hint="eastAsia" w:ascii="Times New Roman" w:hAnsi="Times New Roman" w:eastAsia="宋体" w:cs="Times New Roman"/>
                      <w:color w:val="auto"/>
                      <w:kern w:val="2"/>
                      <w:sz w:val="21"/>
                      <w:szCs w:val="21"/>
                      <w:lang w:val="en-US" w:eastAsia="zh-CN" w:bidi="ar-SA"/>
                    </w:rPr>
                    <w:t>项目</w:t>
                  </w:r>
                  <w:r>
                    <w:rPr>
                      <w:rFonts w:hint="eastAsia" w:cs="Times New Roman"/>
                      <w:color w:val="auto"/>
                      <w:kern w:val="2"/>
                      <w:sz w:val="21"/>
                      <w:szCs w:val="21"/>
                      <w:lang w:val="en-US" w:eastAsia="zh-CN" w:bidi="ar-SA"/>
                    </w:rPr>
                    <w:t>位于泉林镇工业聚集区</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vertAlign w:val="baseline"/>
                      <w:lang w:val="en-US" w:eastAsia="zh-CN"/>
                    </w:rPr>
                    <w:t>为《产业结构调整指导目录》中允许类产业</w:t>
                  </w:r>
                  <w:r>
                    <w:rPr>
                      <w:rFonts w:hint="eastAsia"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项目不涉及生态红线及基本农田，项目不位于一般生态空间。</w:t>
                  </w:r>
                </w:p>
              </w:tc>
              <w:tc>
                <w:tcPr>
                  <w:tcW w:w="713" w:type="dxa"/>
                  <w:noWrap w:val="0"/>
                  <w:vAlign w:val="center"/>
                </w:tcPr>
                <w:p w14:paraId="79DF8A71">
                  <w:pPr>
                    <w:pStyle w:val="36"/>
                    <w:spacing w:after="0"/>
                    <w:ind w:left="0" w:leftChars="0" w:firstLine="0" w:firstLineChars="0"/>
                    <w:jc w:val="center"/>
                    <w:rPr>
                      <w:color w:val="auto"/>
                      <w:sz w:val="21"/>
                      <w:szCs w:val="21"/>
                      <w:lang w:val="en-US" w:eastAsia="zh-CN"/>
                    </w:rPr>
                  </w:pPr>
                  <w:r>
                    <w:rPr>
                      <w:color w:val="auto"/>
                      <w:sz w:val="21"/>
                      <w:szCs w:val="21"/>
                      <w:lang w:val="en-US" w:eastAsia="zh-CN"/>
                    </w:rPr>
                    <w:t>符合</w:t>
                  </w:r>
                </w:p>
              </w:tc>
            </w:tr>
            <w:tr w14:paraId="0CD35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3" w:type="dxa"/>
                  <w:noWrap w:val="0"/>
                  <w:vAlign w:val="center"/>
                </w:tcPr>
                <w:p w14:paraId="4B1D2BA6">
                  <w:pPr>
                    <w:pStyle w:val="36"/>
                    <w:spacing w:after="0"/>
                    <w:ind w:left="0" w:leftChars="0" w:firstLine="0" w:firstLineChars="0"/>
                    <w:jc w:val="center"/>
                    <w:rPr>
                      <w:color w:val="auto"/>
                      <w:sz w:val="21"/>
                      <w:szCs w:val="21"/>
                      <w:lang w:val="en-US" w:eastAsia="zh-CN"/>
                    </w:rPr>
                  </w:pPr>
                  <w:r>
                    <w:rPr>
                      <w:color w:val="auto"/>
                      <w:sz w:val="21"/>
                      <w:szCs w:val="21"/>
                      <w:lang w:val="en-US" w:eastAsia="zh-CN"/>
                    </w:rPr>
                    <w:t xml:space="preserve">污染物排放管控 </w:t>
                  </w:r>
                </w:p>
                <w:p w14:paraId="3F13E117">
                  <w:pPr>
                    <w:pStyle w:val="36"/>
                    <w:spacing w:after="0"/>
                    <w:ind w:left="0" w:leftChars="0" w:firstLine="0" w:firstLineChars="0"/>
                    <w:jc w:val="center"/>
                    <w:rPr>
                      <w:color w:val="auto"/>
                      <w:sz w:val="21"/>
                      <w:szCs w:val="21"/>
                      <w:lang w:val="en-US" w:eastAsia="zh-CN"/>
                    </w:rPr>
                  </w:pPr>
                </w:p>
              </w:tc>
              <w:tc>
                <w:tcPr>
                  <w:tcW w:w="3555" w:type="dxa"/>
                  <w:noWrap w:val="0"/>
                  <w:vAlign w:val="center"/>
                </w:tcPr>
                <w:p w14:paraId="50FEE706">
                  <w:pPr>
                    <w:keepNext w:val="0"/>
                    <w:keepLines w:val="0"/>
                    <w:widowControl/>
                    <w:suppressLineNumbers w:val="0"/>
                    <w:jc w:val="left"/>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1.落实水环境保护的普适性要求。推进城乡生活污染和农业面源污染治理，加强污染物排放管控，推动水环境质量不断改善。</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2.根据区域不同属性，区域内湿地公园、森林公园污染物排放管控分别执行国家、省、市湿地公园及森林公园相关规定。</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3.严格执行山东省《区域性大气污染物综合排放标准》（DB37/2376-2019）排放要求，SO2、NOx、烟粉尘、VOCs排放量不得超过区域允许排放量。全面加强VOCs污染管控。加大秸秆禁烧管控力度。</w:t>
                  </w:r>
                </w:p>
              </w:tc>
              <w:tc>
                <w:tcPr>
                  <w:tcW w:w="2067" w:type="dxa"/>
                  <w:noWrap w:val="0"/>
                  <w:vAlign w:val="center"/>
                </w:tcPr>
                <w:p w14:paraId="7DC2338E">
                  <w:pPr>
                    <w:numPr>
                      <w:ilvl w:val="0"/>
                      <w:numId w:val="0"/>
                    </w:numPr>
                    <w:jc w:val="center"/>
                    <w:rPr>
                      <w:rFonts w:hint="default"/>
                      <w:color w:val="auto"/>
                      <w:sz w:val="21"/>
                      <w:szCs w:val="21"/>
                      <w:lang w:val="en-US" w:eastAsia="zh-CN"/>
                    </w:rPr>
                  </w:pPr>
                  <w:r>
                    <w:rPr>
                      <w:rFonts w:hint="eastAsia" w:cs="Times New Roman"/>
                      <w:color w:val="auto"/>
                      <w:sz w:val="21"/>
                      <w:szCs w:val="21"/>
                      <w:lang w:val="en-US" w:eastAsia="zh-CN"/>
                    </w:rPr>
                    <w:t>项目无生产废水产生及排放，生活污水经化粪池处理后外运做农肥；</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b w:val="0"/>
                      <w:bCs w:val="0"/>
                      <w:color w:val="auto"/>
                      <w:sz w:val="21"/>
                      <w:szCs w:val="21"/>
                      <w:highlight w:val="none"/>
                      <w:lang w:val="en-US" w:eastAsia="zh-CN"/>
                    </w:rPr>
                    <w:t>，废气排放能够满足</w:t>
                  </w:r>
                  <w:r>
                    <w:rPr>
                      <w:rFonts w:hint="eastAsia" w:cs="Times New Roman"/>
                      <w:color w:val="auto"/>
                      <w:sz w:val="21"/>
                      <w:szCs w:val="21"/>
                      <w:vertAlign w:val="baseline"/>
                      <w:lang w:val="en-US" w:eastAsia="zh-CN"/>
                    </w:rPr>
                    <w:t>相应排放标准要求</w:t>
                  </w:r>
                  <w:r>
                    <w:rPr>
                      <w:rFonts w:hint="eastAsia" w:ascii="Times New Roman" w:hAnsi="Times New Roman" w:eastAsia="宋体" w:cs="Times New Roman"/>
                      <w:color w:val="auto"/>
                      <w:sz w:val="21"/>
                      <w:szCs w:val="21"/>
                      <w:vertAlign w:val="baseline"/>
                      <w:lang w:val="en-US" w:eastAsia="zh-CN"/>
                    </w:rPr>
                    <w:t>。</w:t>
                  </w:r>
                </w:p>
              </w:tc>
              <w:tc>
                <w:tcPr>
                  <w:tcW w:w="713" w:type="dxa"/>
                  <w:noWrap w:val="0"/>
                  <w:vAlign w:val="center"/>
                </w:tcPr>
                <w:p w14:paraId="0EB0CECB">
                  <w:pPr>
                    <w:pStyle w:val="36"/>
                    <w:spacing w:after="0"/>
                    <w:ind w:left="0" w:leftChars="0" w:firstLine="0" w:firstLineChars="0"/>
                    <w:jc w:val="center"/>
                    <w:rPr>
                      <w:color w:val="auto"/>
                      <w:sz w:val="21"/>
                      <w:szCs w:val="21"/>
                      <w:lang w:val="en-US" w:eastAsia="zh-CN"/>
                    </w:rPr>
                  </w:pPr>
                  <w:r>
                    <w:rPr>
                      <w:color w:val="auto"/>
                      <w:sz w:val="21"/>
                      <w:szCs w:val="21"/>
                      <w:lang w:val="en-US" w:eastAsia="zh-CN"/>
                    </w:rPr>
                    <w:t>符合</w:t>
                  </w:r>
                </w:p>
              </w:tc>
            </w:tr>
            <w:tr w14:paraId="263905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3" w:type="dxa"/>
                  <w:noWrap w:val="0"/>
                  <w:vAlign w:val="center"/>
                </w:tcPr>
                <w:p w14:paraId="7329B3C4">
                  <w:pPr>
                    <w:pStyle w:val="36"/>
                    <w:spacing w:after="0"/>
                    <w:ind w:left="0" w:leftChars="0" w:firstLine="0" w:firstLineChars="0"/>
                    <w:jc w:val="center"/>
                    <w:rPr>
                      <w:color w:val="auto"/>
                      <w:sz w:val="21"/>
                      <w:szCs w:val="21"/>
                      <w:lang w:val="en-US" w:eastAsia="zh-CN"/>
                    </w:rPr>
                  </w:pPr>
                  <w:r>
                    <w:rPr>
                      <w:color w:val="auto"/>
                      <w:sz w:val="21"/>
                      <w:szCs w:val="21"/>
                      <w:lang w:val="en-US" w:eastAsia="zh-CN"/>
                    </w:rPr>
                    <w:t xml:space="preserve">环境风险防控 </w:t>
                  </w:r>
                </w:p>
              </w:tc>
              <w:tc>
                <w:tcPr>
                  <w:tcW w:w="3555" w:type="dxa"/>
                  <w:noWrap w:val="0"/>
                  <w:vAlign w:val="center"/>
                </w:tcPr>
                <w:p w14:paraId="764A09D5">
                  <w:pPr>
                    <w:keepNext w:val="0"/>
                    <w:keepLines w:val="0"/>
                    <w:widowControl/>
                    <w:suppressLineNumbers w:val="0"/>
                    <w:jc w:val="left"/>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1.根据区域不同属性，区域内湿地公园、森林公园环境风险防控分别执行国家、省、市湿地公园及森林公园的相关规定。</w:t>
                  </w:r>
                  <w:r>
                    <w:rPr>
                      <w:rFonts w:hint="eastAsia" w:ascii="Times New Roman" w:hAnsi="Times New Roman" w:eastAsia="宋体" w:cs="Times New Roman"/>
                      <w:color w:val="auto"/>
                      <w:kern w:val="2"/>
                      <w:sz w:val="21"/>
                      <w:szCs w:val="21"/>
                      <w:lang w:val="en-US" w:eastAsia="zh-CN" w:bidi="ar-SA"/>
                    </w:rPr>
                    <w:br w:type="textWrapping"/>
                  </w:r>
                  <w:r>
                    <w:rPr>
                      <w:rFonts w:hint="eastAsia" w:ascii="Times New Roman" w:hAnsi="Times New Roman" w:eastAsia="宋体" w:cs="Times New Roman"/>
                      <w:color w:val="auto"/>
                      <w:kern w:val="2"/>
                      <w:sz w:val="21"/>
                      <w:szCs w:val="21"/>
                      <w:lang w:val="en-US" w:eastAsia="zh-CN" w:bidi="ar-SA"/>
                    </w:rPr>
                    <w:t>2.当预测到区域将出现重污染天气时，根据预警发布，按级别启动应急响应，落实各项应急减排措施。</w:t>
                  </w:r>
                </w:p>
              </w:tc>
              <w:tc>
                <w:tcPr>
                  <w:tcW w:w="2067" w:type="dxa"/>
                  <w:noWrap w:val="0"/>
                  <w:vAlign w:val="center"/>
                </w:tcPr>
                <w:p w14:paraId="5B5BD9CF">
                  <w:pPr>
                    <w:keepNext w:val="0"/>
                    <w:keepLines w:val="0"/>
                    <w:widowControl/>
                    <w:suppressLineNumbers w:val="0"/>
                    <w:jc w:val="center"/>
                    <w:rPr>
                      <w:rFonts w:hint="default"/>
                      <w:color w:val="auto"/>
                      <w:sz w:val="21"/>
                      <w:szCs w:val="21"/>
                      <w:lang w:val="en-US" w:eastAsia="zh-CN"/>
                    </w:rPr>
                  </w:pPr>
                  <w:r>
                    <w:rPr>
                      <w:rFonts w:hint="default" w:ascii="Times New Roman" w:hAnsi="Times New Roman" w:cs="Times New Roman"/>
                      <w:color w:val="auto"/>
                      <w:kern w:val="2"/>
                      <w:sz w:val="21"/>
                      <w:szCs w:val="21"/>
                    </w:rPr>
                    <w:t>企业按要求制定</w:t>
                  </w:r>
                  <w:r>
                    <w:rPr>
                      <w:rFonts w:hint="eastAsia" w:ascii="Times New Roman" w:hAnsi="Times New Roman" w:cs="Times New Roman"/>
                      <w:color w:val="auto"/>
                      <w:kern w:val="2"/>
                      <w:sz w:val="21"/>
                      <w:szCs w:val="21"/>
                      <w:lang w:val="en-US" w:eastAsia="zh-CN"/>
                    </w:rPr>
                    <w:t>环境风险</w:t>
                  </w:r>
                  <w:r>
                    <w:rPr>
                      <w:rFonts w:hint="default" w:ascii="Times New Roman" w:hAnsi="Times New Roman" w:cs="Times New Roman"/>
                      <w:color w:val="auto"/>
                      <w:kern w:val="2"/>
                      <w:sz w:val="21"/>
                      <w:szCs w:val="21"/>
                    </w:rPr>
                    <w:t>应急预案，根据预警，按级别启动应急响应，落实各项应急减排措施。</w:t>
                  </w:r>
                </w:p>
              </w:tc>
              <w:tc>
                <w:tcPr>
                  <w:tcW w:w="713" w:type="dxa"/>
                  <w:noWrap w:val="0"/>
                  <w:vAlign w:val="center"/>
                </w:tcPr>
                <w:p w14:paraId="344AD7D6">
                  <w:pPr>
                    <w:pStyle w:val="36"/>
                    <w:spacing w:after="0"/>
                    <w:ind w:left="0" w:leftChars="0" w:firstLine="0" w:firstLineChars="0"/>
                    <w:jc w:val="center"/>
                    <w:rPr>
                      <w:color w:val="auto"/>
                      <w:sz w:val="21"/>
                      <w:szCs w:val="21"/>
                      <w:lang w:val="en-US" w:eastAsia="zh-CN"/>
                    </w:rPr>
                  </w:pPr>
                  <w:r>
                    <w:rPr>
                      <w:color w:val="auto"/>
                      <w:sz w:val="21"/>
                      <w:szCs w:val="21"/>
                      <w:lang w:val="en-US" w:eastAsia="zh-CN"/>
                    </w:rPr>
                    <w:t>符合</w:t>
                  </w:r>
                </w:p>
              </w:tc>
            </w:tr>
            <w:tr w14:paraId="550A1E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903" w:type="dxa"/>
                  <w:noWrap w:val="0"/>
                  <w:vAlign w:val="center"/>
                </w:tcPr>
                <w:p w14:paraId="36B1CC78">
                  <w:pPr>
                    <w:pStyle w:val="36"/>
                    <w:spacing w:after="0"/>
                    <w:ind w:left="0" w:leftChars="0" w:firstLine="0" w:firstLineChars="0"/>
                    <w:jc w:val="center"/>
                    <w:rPr>
                      <w:color w:val="auto"/>
                      <w:sz w:val="21"/>
                      <w:szCs w:val="21"/>
                      <w:lang w:val="en-US" w:eastAsia="zh-CN"/>
                    </w:rPr>
                  </w:pPr>
                  <w:r>
                    <w:rPr>
                      <w:color w:val="auto"/>
                      <w:sz w:val="21"/>
                      <w:szCs w:val="21"/>
                      <w:lang w:val="en-US" w:eastAsia="zh-CN"/>
                    </w:rPr>
                    <w:t xml:space="preserve">资源开发效率要求 </w:t>
                  </w:r>
                </w:p>
              </w:tc>
              <w:tc>
                <w:tcPr>
                  <w:tcW w:w="3555" w:type="dxa"/>
                  <w:noWrap w:val="0"/>
                  <w:vAlign w:val="center"/>
                </w:tcPr>
                <w:p w14:paraId="6C00BB94">
                  <w:pPr>
                    <w:keepNext w:val="0"/>
                    <w:keepLines w:val="0"/>
                    <w:widowControl/>
                    <w:suppressLineNumbers w:val="0"/>
                    <w:jc w:val="left"/>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1.严控高耗水项目。水资源开发应当优先利用地表水，严格控制开采地下水。</w:t>
                  </w:r>
                </w:p>
                <w:p w14:paraId="05874F21">
                  <w:pPr>
                    <w:keepNext w:val="0"/>
                    <w:keepLines w:val="0"/>
                    <w:widowControl/>
                    <w:suppressLineNumbers w:val="0"/>
                    <w:jc w:val="left"/>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2.推进冬季清洁取暖，实现清洁能源逐步替代散煤。严防散煤复烧，对暂未实施清洁取暖的地区，确保使用的散煤质量符合标准要求。</w:t>
                  </w:r>
                </w:p>
              </w:tc>
              <w:tc>
                <w:tcPr>
                  <w:tcW w:w="2067" w:type="dxa"/>
                  <w:noWrap w:val="0"/>
                  <w:vAlign w:val="center"/>
                </w:tcPr>
                <w:p w14:paraId="3426A67B">
                  <w:pPr>
                    <w:pStyle w:val="36"/>
                    <w:spacing w:after="0"/>
                    <w:ind w:left="0" w:leftChars="0" w:firstLine="0" w:firstLineChars="0"/>
                    <w:jc w:val="center"/>
                    <w:rPr>
                      <w:rFonts w:hint="default"/>
                      <w:color w:val="auto"/>
                      <w:sz w:val="21"/>
                      <w:szCs w:val="21"/>
                      <w:lang w:val="en-US" w:eastAsia="zh-CN"/>
                    </w:rPr>
                  </w:pPr>
                  <w:r>
                    <w:rPr>
                      <w:color w:val="auto"/>
                      <w:sz w:val="21"/>
                      <w:szCs w:val="21"/>
                      <w:lang w:val="en-US" w:eastAsia="zh-CN"/>
                    </w:rPr>
                    <w:t>项目</w:t>
                  </w:r>
                  <w:r>
                    <w:rPr>
                      <w:rFonts w:hint="eastAsia" w:cs="Times New Roman"/>
                      <w:color w:val="auto"/>
                      <w:kern w:val="2"/>
                      <w:sz w:val="21"/>
                      <w:szCs w:val="21"/>
                      <w:vertAlign w:val="baseline"/>
                      <w:lang w:val="en-US" w:eastAsia="zh-CN" w:bidi="ar-SA"/>
                    </w:rPr>
                    <w:t>不属于高耗水项目；项目使用水、电等清洁能源。</w:t>
                  </w:r>
                </w:p>
              </w:tc>
              <w:tc>
                <w:tcPr>
                  <w:tcW w:w="713" w:type="dxa"/>
                  <w:noWrap w:val="0"/>
                  <w:vAlign w:val="center"/>
                </w:tcPr>
                <w:p w14:paraId="34C0BE22">
                  <w:pPr>
                    <w:pStyle w:val="36"/>
                    <w:spacing w:after="0"/>
                    <w:ind w:left="0" w:leftChars="0" w:firstLine="0" w:firstLineChars="0"/>
                    <w:jc w:val="center"/>
                    <w:rPr>
                      <w:color w:val="auto"/>
                      <w:sz w:val="21"/>
                      <w:szCs w:val="21"/>
                      <w:lang w:val="en-US" w:eastAsia="zh-CN"/>
                    </w:rPr>
                  </w:pPr>
                  <w:r>
                    <w:rPr>
                      <w:color w:val="auto"/>
                      <w:sz w:val="21"/>
                      <w:szCs w:val="21"/>
                      <w:lang w:val="en-US" w:eastAsia="zh-CN"/>
                    </w:rPr>
                    <w:t>符合</w:t>
                  </w:r>
                </w:p>
              </w:tc>
            </w:tr>
          </w:tbl>
          <w:p w14:paraId="158B462B">
            <w:pPr>
              <w:pStyle w:val="71"/>
              <w:snapToGrid w:val="0"/>
              <w:spacing w:line="360" w:lineRule="auto"/>
              <w:ind w:firstLine="480" w:firstLineChars="200"/>
              <w:jc w:val="both"/>
              <w:rPr>
                <w:rFonts w:hint="default" w:ascii="Times New Roman" w:hAnsi="Times New Roman" w:cs="Times New Roman"/>
                <w:b w:val="0"/>
                <w:bCs w:val="0"/>
                <w:color w:val="auto"/>
                <w:spacing w:val="0"/>
                <w:sz w:val="24"/>
                <w:szCs w:val="24"/>
              </w:rPr>
            </w:pPr>
            <w:r>
              <w:rPr>
                <w:color w:val="auto"/>
                <w:sz w:val="24"/>
                <w:szCs w:val="24"/>
                <w:lang w:val="en-US" w:eastAsia="zh-CN"/>
              </w:rPr>
              <w:t>结合上述表格内容，项目不在济宁市</w:t>
            </w:r>
            <w:r>
              <w:rPr>
                <w:rFonts w:hint="eastAsia"/>
                <w:color w:val="auto"/>
                <w:sz w:val="24"/>
                <w:szCs w:val="24"/>
                <w:lang w:val="en-US" w:eastAsia="zh-CN"/>
              </w:rPr>
              <w:t>泗水县</w:t>
            </w:r>
            <w:r>
              <w:rPr>
                <w:color w:val="auto"/>
                <w:sz w:val="24"/>
                <w:szCs w:val="24"/>
                <w:lang w:val="en-US" w:eastAsia="zh-CN"/>
              </w:rPr>
              <w:t>生态保护红线范围内，同时项目建设不触及环境质量底线和资源利用上线，符合</w:t>
            </w:r>
            <w:r>
              <w:rPr>
                <w:rFonts w:hint="eastAsia" w:cs="Times New Roman"/>
                <w:color w:val="auto"/>
                <w:sz w:val="24"/>
                <w:szCs w:val="24"/>
                <w:lang w:val="en-US" w:eastAsia="zh-CN"/>
              </w:rPr>
              <w:t>泉林镇</w:t>
            </w:r>
            <w:r>
              <w:rPr>
                <w:color w:val="auto"/>
                <w:sz w:val="24"/>
                <w:szCs w:val="24"/>
                <w:lang w:val="en-US" w:eastAsia="zh-CN"/>
              </w:rPr>
              <w:t>环境准入清单要求，符合</w:t>
            </w:r>
            <w:r>
              <w:rPr>
                <w:rFonts w:hint="eastAsia" w:ascii="Times New Roman" w:hAnsi="Times New Roman" w:eastAsia="宋体" w:cs="Times New Roman"/>
                <w:color w:val="auto"/>
                <w:sz w:val="24"/>
                <w:szCs w:val="24"/>
                <w:lang w:val="en-US" w:eastAsia="zh-CN"/>
              </w:rPr>
              <w:t>《济宁市生态环境委员会办公室关于发布2023年生态环境分区管控动态更新成果的通知》（济环委办[2024]5号）</w:t>
            </w:r>
            <w:r>
              <w:rPr>
                <w:color w:val="auto"/>
                <w:sz w:val="24"/>
                <w:szCs w:val="24"/>
                <w:lang w:val="en-US" w:eastAsia="zh-CN"/>
              </w:rPr>
              <w:t>的要求</w:t>
            </w:r>
            <w:r>
              <w:rPr>
                <w:rFonts w:hint="default" w:ascii="Times New Roman" w:hAnsi="Times New Roman" w:eastAsia="宋体" w:cs="Times New Roman"/>
                <w:b w:val="0"/>
                <w:bCs w:val="0"/>
                <w:color w:val="auto"/>
                <w:spacing w:val="0"/>
                <w:sz w:val="24"/>
                <w:szCs w:val="24"/>
              </w:rPr>
              <w:t>。</w:t>
            </w:r>
          </w:p>
          <w:p w14:paraId="0B9B6EA7">
            <w:pPr>
              <w:numPr>
                <w:ilvl w:val="0"/>
                <w:numId w:val="0"/>
              </w:numPr>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与《山东省深入打好蓝天、碧水、净土保卫战行动计划（2021-2025</w:t>
            </w:r>
            <w:r>
              <w:rPr>
                <w:rFonts w:hint="eastAsia"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val="en-US" w:eastAsia="zh-CN"/>
              </w:rPr>
              <w:t>》的符合性</w:t>
            </w:r>
            <w:r>
              <w:rPr>
                <w:rFonts w:hint="eastAsia" w:cs="Times New Roman"/>
                <w:b/>
                <w:bCs/>
                <w:color w:val="auto"/>
                <w:sz w:val="24"/>
                <w:szCs w:val="24"/>
                <w:highlight w:val="none"/>
                <w:lang w:val="en-US" w:eastAsia="zh-CN"/>
              </w:rPr>
              <w:t>分析</w:t>
            </w:r>
          </w:p>
          <w:p w14:paraId="06E8ED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 xml:space="preserve"> 与</w:t>
            </w:r>
            <w:r>
              <w:rPr>
                <w:rFonts w:hint="default" w:ascii="Times New Roman" w:hAnsi="Times New Roman" w:eastAsia="宋体" w:cs="Times New Roman"/>
                <w:b/>
                <w:bCs/>
                <w:color w:val="auto"/>
                <w:sz w:val="24"/>
                <w:szCs w:val="24"/>
                <w:highlight w:val="none"/>
                <w:lang w:val="en-US" w:eastAsia="zh-CN"/>
              </w:rPr>
              <w:t>《山东省深入打好蓝天、碧水、净土保卫战行动计划（2021-2025》的</w:t>
            </w:r>
            <w:r>
              <w:rPr>
                <w:rFonts w:hint="default" w:ascii="Times New Roman" w:hAnsi="Times New Roman" w:eastAsia="宋体" w:cs="Times New Roman"/>
                <w:b/>
                <w:bCs/>
                <w:color w:val="auto"/>
                <w:sz w:val="24"/>
                <w:szCs w:val="24"/>
                <w:highlight w:val="none"/>
              </w:rPr>
              <w:t>符合性</w:t>
            </w:r>
          </w:p>
          <w:tbl>
            <w:tblPr>
              <w:tblStyle w:val="37"/>
              <w:tblW w:w="7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59"/>
              <w:gridCol w:w="4521"/>
              <w:gridCol w:w="1050"/>
              <w:gridCol w:w="682"/>
            </w:tblGrid>
            <w:tr w14:paraId="185B6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jc w:val="center"/>
              </w:trPr>
              <w:tc>
                <w:tcPr>
                  <w:tcW w:w="1044" w:type="dxa"/>
                  <w:gridSpan w:val="2"/>
                  <w:tcBorders>
                    <w:tl2br w:val="nil"/>
                    <w:tr2bl w:val="nil"/>
                  </w:tcBorders>
                  <w:noWrap w:val="0"/>
                  <w:vAlign w:val="center"/>
                </w:tcPr>
                <w:p w14:paraId="7BB1499C">
                  <w:pPr>
                    <w:snapToGrid w:val="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分类</w:t>
                  </w:r>
                </w:p>
              </w:tc>
              <w:tc>
                <w:tcPr>
                  <w:tcW w:w="4521" w:type="dxa"/>
                  <w:tcBorders>
                    <w:tl2br w:val="nil"/>
                    <w:tr2bl w:val="nil"/>
                  </w:tcBorders>
                  <w:noWrap w:val="0"/>
                  <w:vAlign w:val="center"/>
                </w:tcPr>
                <w:p w14:paraId="75E920BB">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050" w:type="dxa"/>
                  <w:tcBorders>
                    <w:tl2br w:val="nil"/>
                    <w:tr2bl w:val="nil"/>
                  </w:tcBorders>
                  <w:noWrap w:val="0"/>
                  <w:vAlign w:val="center"/>
                </w:tcPr>
                <w:p w14:paraId="78ABCD40">
                  <w:pPr>
                    <w:snapToGrid w:val="0"/>
                    <w:jc w:val="center"/>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本项目</w:t>
                  </w:r>
                  <w:r>
                    <w:rPr>
                      <w:rFonts w:hint="eastAsia" w:cs="Times New Roman"/>
                      <w:b/>
                      <w:bCs/>
                      <w:color w:val="auto"/>
                      <w:sz w:val="21"/>
                      <w:szCs w:val="21"/>
                      <w:highlight w:val="none"/>
                      <w:lang w:val="en-US" w:eastAsia="zh-CN"/>
                    </w:rPr>
                    <w:t>情况</w:t>
                  </w:r>
                </w:p>
              </w:tc>
              <w:tc>
                <w:tcPr>
                  <w:tcW w:w="682" w:type="dxa"/>
                  <w:tcBorders>
                    <w:tl2br w:val="nil"/>
                    <w:tr2bl w:val="nil"/>
                  </w:tcBorders>
                  <w:noWrap w:val="0"/>
                  <w:vAlign w:val="center"/>
                </w:tcPr>
                <w:p w14:paraId="7B2B9C0B">
                  <w:pPr>
                    <w:snapToGrid w:val="0"/>
                    <w:jc w:val="center"/>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val="en-US" w:eastAsia="zh-CN"/>
                    </w:rPr>
                    <w:t>符合性</w:t>
                  </w:r>
                </w:p>
              </w:tc>
            </w:tr>
            <w:tr w14:paraId="1459D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5" w:type="dxa"/>
                  <w:vMerge w:val="restart"/>
                  <w:tcBorders>
                    <w:tl2br w:val="nil"/>
                    <w:tr2bl w:val="nil"/>
                  </w:tcBorders>
                  <w:noWrap w:val="0"/>
                  <w:vAlign w:val="center"/>
                </w:tcPr>
                <w:p w14:paraId="4D0414DA">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蓝天</w:t>
                  </w:r>
                </w:p>
                <w:p w14:paraId="4568EDF9">
                  <w:pPr>
                    <w:pStyle w:val="36"/>
                    <w:rPr>
                      <w:rFonts w:hint="default" w:ascii="Times New Roman" w:hAnsi="Times New Roman" w:eastAsia="宋体" w:cs="Times New Roman"/>
                      <w:color w:val="auto"/>
                      <w:sz w:val="21"/>
                      <w:szCs w:val="21"/>
                      <w:highlight w:val="none"/>
                      <w:lang w:val="en-US" w:eastAsia="zh-CN"/>
                    </w:rPr>
                  </w:pPr>
                </w:p>
              </w:tc>
              <w:tc>
                <w:tcPr>
                  <w:tcW w:w="659" w:type="dxa"/>
                  <w:tcBorders>
                    <w:tl2br w:val="nil"/>
                    <w:tr2bl w:val="nil"/>
                  </w:tcBorders>
                  <w:noWrap w:val="0"/>
                  <w:vAlign w:val="center"/>
                </w:tcPr>
                <w:p w14:paraId="31D6F708">
                  <w:pPr>
                    <w:pStyle w:val="3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实施</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全过程污染防治</w:t>
                  </w:r>
                </w:p>
              </w:tc>
              <w:tc>
                <w:tcPr>
                  <w:tcW w:w="4521" w:type="dxa"/>
                  <w:tcBorders>
                    <w:tl2br w:val="nil"/>
                    <w:tr2bl w:val="nil"/>
                  </w:tcBorders>
                  <w:noWrap w:val="0"/>
                  <w:vAlign w:val="center"/>
                </w:tcPr>
                <w:p w14:paraId="712E727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实施低</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含量工业涂料、油墨、胶粘剂、清洗剂等原辅料使用替代。新、改、扩建工业涂装、包装印刷等含</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原辅材料使用的项目，原则上使用低（无）</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含量产品。</w:t>
                  </w:r>
                  <w:r>
                    <w:rPr>
                      <w:rFonts w:hint="default" w:ascii="Times New Roman" w:hAnsi="Times New Roman" w:eastAsia="宋体" w:cs="Times New Roman"/>
                      <w:color w:val="auto"/>
                      <w:kern w:val="2"/>
                      <w:sz w:val="21"/>
                      <w:szCs w:val="21"/>
                      <w:highlight w:val="none"/>
                      <w:lang w:val="en-US" w:eastAsia="zh-CN" w:bidi="ar-SA"/>
                    </w:rPr>
                    <w:t>2025</w:t>
                  </w:r>
                  <w:r>
                    <w:rPr>
                      <w:rFonts w:hint="eastAsia" w:ascii="Times New Roman" w:hAnsi="Times New Roman" w:eastAsia="宋体" w:cs="Times New Roman"/>
                      <w:color w:val="auto"/>
                      <w:kern w:val="2"/>
                      <w:sz w:val="21"/>
                      <w:szCs w:val="21"/>
                      <w:highlight w:val="none"/>
                      <w:lang w:val="en-US" w:eastAsia="zh-CN" w:bidi="ar-SA"/>
                    </w:rPr>
                    <w:t>年年底前，各市至少建立</w:t>
                  </w:r>
                  <w:r>
                    <w:rPr>
                      <w:rFonts w:hint="default" w:ascii="Times New Roman" w:hAnsi="Times New Roman" w:eastAsia="宋体" w:cs="Times New Roman"/>
                      <w:color w:val="auto"/>
                      <w:kern w:val="2"/>
                      <w:sz w:val="21"/>
                      <w:szCs w:val="21"/>
                      <w:highlight w:val="none"/>
                      <w:lang w:val="en-US" w:eastAsia="zh-CN" w:bidi="ar-SA"/>
                    </w:rPr>
                    <w:t>30</w:t>
                  </w:r>
                  <w:r>
                    <w:rPr>
                      <w:rFonts w:hint="eastAsia" w:ascii="Times New Roman" w:hAnsi="Times New Roman" w:eastAsia="宋体" w:cs="Times New Roman"/>
                      <w:color w:val="auto"/>
                      <w:kern w:val="2"/>
                      <w:sz w:val="21"/>
                      <w:szCs w:val="21"/>
                      <w:highlight w:val="none"/>
                      <w:lang w:val="en-US" w:eastAsia="zh-CN" w:bidi="ar-SA"/>
                    </w:rPr>
                    <w:t>个替代试点项目，全省溶剂型工业涂料、溶剂型油墨使用比例分别降低</w:t>
                  </w:r>
                  <w:r>
                    <w:rPr>
                      <w:rFonts w:hint="default" w:ascii="Times New Roman" w:hAnsi="Times New Roman" w:eastAsia="宋体" w:cs="Times New Roman"/>
                      <w:color w:val="auto"/>
                      <w:kern w:val="2"/>
                      <w:sz w:val="21"/>
                      <w:szCs w:val="21"/>
                      <w:highlight w:val="none"/>
                      <w:lang w:val="en-US" w:eastAsia="zh-CN" w:bidi="ar-SA"/>
                    </w:rPr>
                    <w:t>20</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15</w:t>
                  </w:r>
                  <w:r>
                    <w:rPr>
                      <w:rFonts w:hint="eastAsia" w:ascii="Times New Roman" w:hAnsi="Times New Roman" w:eastAsia="宋体" w:cs="Times New Roman"/>
                      <w:color w:val="auto"/>
                      <w:kern w:val="2"/>
                      <w:sz w:val="21"/>
                      <w:szCs w:val="21"/>
                      <w:highlight w:val="none"/>
                      <w:lang w:val="en-US" w:eastAsia="zh-CN" w:bidi="ar-SA"/>
                    </w:rPr>
                    <w:t>个百分点，溶剂型胶粘剂使用量下降</w:t>
                  </w:r>
                  <w:r>
                    <w:rPr>
                      <w:rFonts w:hint="default" w:ascii="Times New Roman" w:hAnsi="Times New Roman" w:eastAsia="宋体" w:cs="Times New Roman"/>
                      <w:color w:val="auto"/>
                      <w:kern w:val="2"/>
                      <w:sz w:val="21"/>
                      <w:szCs w:val="21"/>
                      <w:highlight w:val="none"/>
                      <w:lang w:val="en-US" w:eastAsia="zh-CN" w:bidi="ar-SA"/>
                    </w:rPr>
                    <w:t>20%</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2021</w:t>
                  </w:r>
                  <w:r>
                    <w:rPr>
                      <w:rFonts w:hint="eastAsia" w:ascii="Times New Roman" w:hAnsi="Times New Roman" w:eastAsia="宋体" w:cs="Times New Roman"/>
                      <w:color w:val="auto"/>
                      <w:kern w:val="2"/>
                      <w:sz w:val="21"/>
                      <w:szCs w:val="21"/>
                      <w:highlight w:val="none"/>
                      <w:lang w:val="en-US" w:eastAsia="zh-CN" w:bidi="ar-SA"/>
                    </w:rPr>
                    <w:t>年年底前，完成现有</w:t>
                  </w: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废气收集率、治理设施同步运行率和去除率排查工作，对达不到要求的收集、治理设施进行更换或升级改造；组织开展有机废气排放系统旁路摸底排查，取消非必要的旁路，确因安全生产等原因无法取消的，应安装有效的监控装置纳入监管。</w:t>
                  </w:r>
                  <w:r>
                    <w:rPr>
                      <w:rFonts w:hint="default" w:ascii="Times New Roman" w:hAnsi="Times New Roman" w:eastAsia="宋体" w:cs="Times New Roman"/>
                      <w:color w:val="auto"/>
                      <w:kern w:val="2"/>
                      <w:sz w:val="21"/>
                      <w:szCs w:val="21"/>
                      <w:highlight w:val="none"/>
                      <w:lang w:val="en-US" w:eastAsia="zh-CN" w:bidi="ar-SA"/>
                    </w:rPr>
                    <w:t>2025</w:t>
                  </w:r>
                  <w:r>
                    <w:rPr>
                      <w:rFonts w:hint="eastAsia" w:ascii="Times New Roman" w:hAnsi="Times New Roman" w:eastAsia="宋体" w:cs="Times New Roman"/>
                      <w:color w:val="auto"/>
                      <w:kern w:val="2"/>
                      <w:sz w:val="21"/>
                      <w:szCs w:val="21"/>
                      <w:highlight w:val="none"/>
                      <w:lang w:val="en-US" w:eastAsia="zh-CN" w:bidi="ar-SA"/>
                    </w:rPr>
                    <w:t>年年底前，炼化企业基本完成延迟焦化装置密闭除焦改造。强化装载废气收集治理，</w:t>
                  </w:r>
                  <w:r>
                    <w:rPr>
                      <w:rFonts w:hint="default" w:ascii="Times New Roman" w:hAnsi="Times New Roman" w:eastAsia="宋体" w:cs="Times New Roman"/>
                      <w:color w:val="auto"/>
                      <w:kern w:val="2"/>
                      <w:sz w:val="21"/>
                      <w:szCs w:val="21"/>
                      <w:highlight w:val="none"/>
                      <w:lang w:val="en-US" w:eastAsia="zh-CN" w:bidi="ar-SA"/>
                    </w:rPr>
                    <w:t>2022</w:t>
                  </w:r>
                  <w:r>
                    <w:rPr>
                      <w:rFonts w:hint="eastAsia" w:ascii="Times New Roman" w:hAnsi="Times New Roman" w:eastAsia="宋体" w:cs="Times New Roman"/>
                      <w:color w:val="auto"/>
                      <w:kern w:val="2"/>
                      <w:sz w:val="21"/>
                      <w:szCs w:val="21"/>
                      <w:highlight w:val="none"/>
                      <w:lang w:val="en-US" w:eastAsia="zh-CN" w:bidi="ar-SA"/>
                    </w:rPr>
                    <w:t>年年底前，万吨级以上原油、成品油码头全部完成油气回收治理。</w:t>
                  </w:r>
                  <w:r>
                    <w:rPr>
                      <w:rFonts w:hint="default" w:ascii="Times New Roman" w:hAnsi="Times New Roman" w:eastAsia="宋体" w:cs="Times New Roman"/>
                      <w:color w:val="auto"/>
                      <w:kern w:val="2"/>
                      <w:sz w:val="21"/>
                      <w:szCs w:val="21"/>
                      <w:highlight w:val="none"/>
                      <w:lang w:val="en-US" w:eastAsia="zh-CN" w:bidi="ar-SA"/>
                    </w:rPr>
                    <w:t>2025</w:t>
                  </w:r>
                  <w:r>
                    <w:rPr>
                      <w:rFonts w:hint="eastAsia" w:ascii="Times New Roman" w:hAnsi="Times New Roman" w:eastAsia="宋体" w:cs="Times New Roman"/>
                      <w:color w:val="auto"/>
                      <w:kern w:val="2"/>
                      <w:sz w:val="21"/>
                      <w:szCs w:val="21"/>
                      <w:highlight w:val="none"/>
                      <w:lang w:val="en-US" w:eastAsia="zh-CN" w:bidi="ar-SA"/>
                    </w:rPr>
                    <w:t>年年底前，</w:t>
                  </w:r>
                  <w:r>
                    <w:rPr>
                      <w:rFonts w:hint="default" w:ascii="Times New Roman" w:hAnsi="Times New Roman" w:eastAsia="宋体" w:cs="Times New Roman"/>
                      <w:color w:val="auto"/>
                      <w:kern w:val="2"/>
                      <w:sz w:val="21"/>
                      <w:szCs w:val="21"/>
                      <w:highlight w:val="none"/>
                      <w:lang w:val="en-US" w:eastAsia="zh-CN" w:bidi="ar-SA"/>
                    </w:rPr>
                    <w:t>80%</w:t>
                  </w:r>
                  <w:r>
                    <w:rPr>
                      <w:rFonts w:hint="eastAsia" w:ascii="Times New Roman" w:hAnsi="Times New Roman" w:eastAsia="宋体" w:cs="Times New Roman"/>
                      <w:color w:val="auto"/>
                      <w:kern w:val="2"/>
                      <w:sz w:val="21"/>
                      <w:szCs w:val="21"/>
                      <w:highlight w:val="none"/>
                      <w:lang w:val="en-US" w:eastAsia="zh-CN" w:bidi="ar-SA"/>
                    </w:rPr>
                    <w:t>以上的油品运输船舶具备油气回收条件。符合国家标准规定的储油库和依法被确定为重点排污单位的加油站，应安装油气回收自动监控设备并与生态环境部门联网。持续推行加油站、油库夜间加油、卸油措施。推动企业持续、规范开展泄漏检测与修复（</w:t>
                  </w:r>
                  <w:r>
                    <w:rPr>
                      <w:rFonts w:hint="default" w:ascii="Times New Roman" w:hAnsi="Times New Roman" w:eastAsia="宋体" w:cs="Times New Roman"/>
                      <w:color w:val="auto"/>
                      <w:kern w:val="2"/>
                      <w:sz w:val="21"/>
                      <w:szCs w:val="21"/>
                      <w:highlight w:val="none"/>
                      <w:lang w:val="en-US" w:eastAsia="zh-CN" w:bidi="ar-SA"/>
                    </w:rPr>
                    <w:t>LDAR</w:t>
                  </w:r>
                  <w:r>
                    <w:rPr>
                      <w:rFonts w:hint="eastAsia" w:ascii="Times New Roman" w:hAnsi="Times New Roman" w:eastAsia="宋体" w:cs="Times New Roman"/>
                      <w:color w:val="auto"/>
                      <w:kern w:val="2"/>
                      <w:sz w:val="21"/>
                      <w:szCs w:val="21"/>
                      <w:highlight w:val="none"/>
                      <w:lang w:val="en-US" w:eastAsia="zh-CN" w:bidi="ar-SA"/>
                    </w:rPr>
                    <w:t>），提升</w:t>
                  </w:r>
                  <w:r>
                    <w:rPr>
                      <w:rFonts w:hint="default" w:ascii="Times New Roman" w:hAnsi="Times New Roman" w:eastAsia="宋体" w:cs="Times New Roman"/>
                      <w:color w:val="auto"/>
                      <w:kern w:val="2"/>
                      <w:sz w:val="21"/>
                      <w:szCs w:val="21"/>
                      <w:highlight w:val="none"/>
                      <w:lang w:val="en-US" w:eastAsia="zh-CN" w:bidi="ar-SA"/>
                    </w:rPr>
                    <w:t>LDAR</w:t>
                  </w:r>
                  <w:r>
                    <w:rPr>
                      <w:rFonts w:hint="eastAsia" w:ascii="Times New Roman" w:hAnsi="Times New Roman" w:eastAsia="宋体" w:cs="Times New Roman"/>
                      <w:color w:val="auto"/>
                      <w:kern w:val="2"/>
                      <w:sz w:val="21"/>
                      <w:szCs w:val="21"/>
                      <w:highlight w:val="none"/>
                      <w:lang w:val="en-US" w:eastAsia="zh-CN" w:bidi="ar-SA"/>
                    </w:rPr>
                    <w:t>质量，鼓励石化、有机化工等大型企业自行开展</w:t>
                  </w:r>
                  <w:r>
                    <w:rPr>
                      <w:rFonts w:hint="default" w:ascii="Times New Roman" w:hAnsi="Times New Roman" w:eastAsia="宋体" w:cs="Times New Roman"/>
                      <w:color w:val="auto"/>
                      <w:kern w:val="2"/>
                      <w:sz w:val="21"/>
                      <w:szCs w:val="21"/>
                      <w:highlight w:val="none"/>
                      <w:lang w:val="en-US" w:eastAsia="zh-CN" w:bidi="ar-SA"/>
                    </w:rPr>
                    <w:t>LDAR</w:t>
                  </w:r>
                  <w:r>
                    <w:rPr>
                      <w:rFonts w:hint="eastAsia" w:ascii="Times New Roman" w:hAnsi="Times New Roman" w:eastAsia="宋体" w:cs="Times New Roman"/>
                      <w:color w:val="auto"/>
                      <w:kern w:val="2"/>
                      <w:sz w:val="21"/>
                      <w:szCs w:val="21"/>
                      <w:highlight w:val="none"/>
                      <w:lang w:val="en-US" w:eastAsia="zh-CN" w:bidi="ar-SA"/>
                    </w:rPr>
                    <w:t>。加强监督检查，每年</w:t>
                  </w:r>
                  <w:r>
                    <w:rPr>
                      <w:rFonts w:hint="default" w:ascii="Times New Roman" w:hAnsi="Times New Roman" w:eastAsia="宋体" w:cs="Times New Roman"/>
                      <w:color w:val="auto"/>
                      <w:kern w:val="2"/>
                      <w:sz w:val="21"/>
                      <w:szCs w:val="21"/>
                      <w:highlight w:val="none"/>
                      <w:lang w:val="en-US" w:eastAsia="zh-CN" w:bidi="ar-SA"/>
                    </w:rPr>
                    <w:t>O3</w:t>
                  </w:r>
                  <w:r>
                    <w:rPr>
                      <w:rFonts w:hint="eastAsia" w:ascii="Times New Roman" w:hAnsi="Times New Roman" w:eastAsia="宋体" w:cs="Times New Roman"/>
                      <w:color w:val="auto"/>
                      <w:kern w:val="2"/>
                      <w:sz w:val="21"/>
                      <w:szCs w:val="21"/>
                      <w:highlight w:val="none"/>
                      <w:lang w:val="en-US" w:eastAsia="zh-CN" w:bidi="ar-SA"/>
                    </w:rPr>
                    <w:t>污染高发季前，对</w:t>
                  </w:r>
                  <w:r>
                    <w:rPr>
                      <w:rFonts w:hint="default" w:ascii="Times New Roman" w:hAnsi="Times New Roman" w:eastAsia="宋体" w:cs="Times New Roman"/>
                      <w:color w:val="auto"/>
                      <w:kern w:val="2"/>
                      <w:sz w:val="21"/>
                      <w:szCs w:val="21"/>
                      <w:highlight w:val="none"/>
                      <w:lang w:val="en-US" w:eastAsia="zh-CN" w:bidi="ar-SA"/>
                    </w:rPr>
                    <w:t>LDAR</w:t>
                  </w:r>
                  <w:r>
                    <w:rPr>
                      <w:rFonts w:hint="eastAsia" w:ascii="Times New Roman" w:hAnsi="Times New Roman" w:eastAsia="宋体" w:cs="Times New Roman"/>
                      <w:color w:val="auto"/>
                      <w:kern w:val="2"/>
                      <w:sz w:val="21"/>
                      <w:szCs w:val="21"/>
                      <w:highlight w:val="none"/>
                      <w:lang w:val="en-US" w:eastAsia="zh-CN" w:bidi="ar-SA"/>
                    </w:rPr>
                    <w:t>开展情况进行抽测和检查。</w:t>
                  </w:r>
                  <w:r>
                    <w:rPr>
                      <w:rFonts w:hint="default" w:ascii="Times New Roman" w:hAnsi="Times New Roman" w:eastAsia="宋体" w:cs="Times New Roman"/>
                      <w:color w:val="auto"/>
                      <w:kern w:val="2"/>
                      <w:sz w:val="21"/>
                      <w:szCs w:val="21"/>
                      <w:highlight w:val="none"/>
                      <w:lang w:val="en-US" w:eastAsia="zh-CN" w:bidi="ar-SA"/>
                    </w:rPr>
                    <w:t>2023</w:t>
                  </w:r>
                  <w:r>
                    <w:rPr>
                      <w:rFonts w:hint="eastAsia" w:ascii="Times New Roman" w:hAnsi="Times New Roman" w:eastAsia="宋体" w:cs="Times New Roman"/>
                      <w:color w:val="auto"/>
                      <w:kern w:val="2"/>
                      <w:sz w:val="21"/>
                      <w:szCs w:val="21"/>
                      <w:highlight w:val="none"/>
                      <w:lang w:val="en-US" w:eastAsia="zh-CN" w:bidi="ar-SA"/>
                    </w:rPr>
                    <w:t>年年底前，石化、化工行业集中的城市和工业园区要建立统一的</w:t>
                  </w:r>
                  <w:r>
                    <w:rPr>
                      <w:rFonts w:hint="default" w:ascii="Times New Roman" w:hAnsi="Times New Roman" w:eastAsia="宋体" w:cs="Times New Roman"/>
                      <w:color w:val="auto"/>
                      <w:kern w:val="2"/>
                      <w:sz w:val="21"/>
                      <w:szCs w:val="21"/>
                      <w:highlight w:val="none"/>
                      <w:lang w:val="en-US" w:eastAsia="zh-CN" w:bidi="ar-SA"/>
                    </w:rPr>
                    <w:t>LDAR</w:t>
                  </w:r>
                  <w:r>
                    <w:rPr>
                      <w:rFonts w:hint="eastAsia" w:ascii="Times New Roman" w:hAnsi="Times New Roman" w:eastAsia="宋体" w:cs="Times New Roman"/>
                      <w:color w:val="auto"/>
                      <w:kern w:val="2"/>
                      <w:sz w:val="21"/>
                      <w:szCs w:val="21"/>
                      <w:highlight w:val="none"/>
                      <w:lang w:val="en-US" w:eastAsia="zh-CN" w:bidi="ar-SA"/>
                    </w:rPr>
                    <w:t>信息管理平台。</w:t>
                  </w:r>
                </w:p>
              </w:tc>
              <w:tc>
                <w:tcPr>
                  <w:tcW w:w="1050" w:type="dxa"/>
                  <w:tcBorders>
                    <w:tl2br w:val="nil"/>
                    <w:tr2bl w:val="nil"/>
                  </w:tcBorders>
                  <w:noWrap w:val="0"/>
                  <w:vAlign w:val="center"/>
                </w:tcPr>
                <w:p w14:paraId="498C17E0">
                  <w:pPr>
                    <w:snapToGrid w:val="0"/>
                    <w:jc w:val="center"/>
                    <w:rPr>
                      <w:rFonts w:hint="default" w:ascii="Times New Roman" w:hAnsi="Times New Roman" w:eastAsia="宋体" w:cs="Times New Roman"/>
                      <w:color w:val="auto"/>
                      <w:sz w:val="21"/>
                      <w:szCs w:val="21"/>
                      <w:highlight w:val="none"/>
                      <w:lang w:val="en-US" w:eastAsia="zh-CN"/>
                    </w:rPr>
                  </w:pP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p>
              </w:tc>
              <w:tc>
                <w:tcPr>
                  <w:tcW w:w="682" w:type="dxa"/>
                  <w:tcBorders>
                    <w:tl2br w:val="nil"/>
                    <w:tr2bl w:val="nil"/>
                  </w:tcBorders>
                  <w:noWrap w:val="0"/>
                  <w:vAlign w:val="center"/>
                </w:tcPr>
                <w:p w14:paraId="32D1218D">
                  <w:pPr>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14:paraId="68C477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5" w:type="dxa"/>
                  <w:vMerge w:val="continue"/>
                  <w:tcBorders>
                    <w:tl2br w:val="nil"/>
                    <w:tr2bl w:val="nil"/>
                  </w:tcBorders>
                  <w:noWrap w:val="0"/>
                  <w:vAlign w:val="center"/>
                </w:tcPr>
                <w:p w14:paraId="2755B5EE">
                  <w:pPr>
                    <w:snapToGrid w:val="0"/>
                    <w:jc w:val="center"/>
                    <w:rPr>
                      <w:color w:val="auto"/>
                      <w:highlight w:val="none"/>
                    </w:rPr>
                  </w:pPr>
                </w:p>
              </w:tc>
              <w:tc>
                <w:tcPr>
                  <w:tcW w:w="659" w:type="dxa"/>
                  <w:tcBorders>
                    <w:tl2br w:val="nil"/>
                    <w:tr2bl w:val="nil"/>
                  </w:tcBorders>
                  <w:noWrap w:val="0"/>
                  <w:vAlign w:val="center"/>
                </w:tcPr>
                <w:p w14:paraId="7310AB69">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严格扬尘污染管控</w:t>
                  </w:r>
                </w:p>
                <w:p w14:paraId="7633E0C1">
                  <w:pPr>
                    <w:pStyle w:val="36"/>
                    <w:ind w:left="420" w:leftChars="200" w:firstLine="420" w:firstLineChars="200"/>
                    <w:rPr>
                      <w:rFonts w:hint="default" w:ascii="Times New Roman" w:hAnsi="Times New Roman" w:eastAsia="宋体" w:cs="Times New Roman"/>
                      <w:color w:val="auto"/>
                      <w:kern w:val="2"/>
                      <w:sz w:val="21"/>
                      <w:szCs w:val="21"/>
                      <w:highlight w:val="none"/>
                      <w:lang w:val="en-US" w:eastAsia="zh-CN" w:bidi="ar-SA"/>
                    </w:rPr>
                  </w:pPr>
                </w:p>
              </w:tc>
              <w:tc>
                <w:tcPr>
                  <w:tcW w:w="4521" w:type="dxa"/>
                  <w:tcBorders>
                    <w:tl2br w:val="nil"/>
                    <w:tr2bl w:val="nil"/>
                  </w:tcBorders>
                  <w:noWrap w:val="0"/>
                  <w:vAlign w:val="center"/>
                </w:tcPr>
                <w:p w14:paraId="5F5741F9">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加强施工扬尘精细化管控，建立并动态更新施工工地清单。全面推行绿色施工，将扬尘污染防治费用纳入工程造价，各类施工工地严格落实扬尘污染防治措施，其中建筑施工工地严格执行“六项措施”。规模以上建筑施工工地安装在线监测和视频监控设施，并接入当地监管平台。加强执法监管，对问题严重的依法依规实施联合惩戒。强化道路扬尘综合治理，到2025年，设区市和县</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市</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城市建成区道路机械化清扫率达到85%。规范房屋建筑</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含拆除</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工程、市政工程建筑垃圾密闭运输和扬尘防控，通过视频监控、车牌号识别、安装卫星定位设备等措施，实行全过程监督。大型煤炭、矿石等干散货码头物料堆场全面完成围挡、苫盖、自动喷淋等抑尘设施建设和物料输送系统封闭改造，鼓励有条件的码头堆场实施全封闭改造。推进露天矿山生态保护和修复，加强对露天矿山生态环境的监测。实施城市降尘监测考核，各市平均降尘量不得高于7.5吨/月·平方公里。鼓励各市细化降尘控制要求，实施县</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市、区</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降尘量逐月监测排名。</w:t>
                  </w:r>
                </w:p>
              </w:tc>
              <w:tc>
                <w:tcPr>
                  <w:tcW w:w="1050" w:type="dxa"/>
                  <w:tcBorders>
                    <w:tl2br w:val="nil"/>
                    <w:tr2bl w:val="nil"/>
                  </w:tcBorders>
                  <w:noWrap w:val="0"/>
                  <w:vAlign w:val="center"/>
                </w:tcPr>
                <w:p w14:paraId="665A610A">
                  <w:pPr>
                    <w:snapToGrid w:val="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施工期严格</w:t>
                  </w:r>
                  <w:r>
                    <w:rPr>
                      <w:rFonts w:hint="default" w:ascii="Times New Roman" w:hAnsi="Times New Roman" w:eastAsia="宋体" w:cs="Times New Roman"/>
                      <w:color w:val="auto"/>
                      <w:sz w:val="21"/>
                      <w:szCs w:val="21"/>
                      <w:highlight w:val="none"/>
                      <w:lang w:val="en-US" w:eastAsia="zh-CN"/>
                    </w:rPr>
                    <w:t>加强施工扬尘精细化管控</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全面推行绿色施工</w:t>
                  </w:r>
                  <w:r>
                    <w:rPr>
                      <w:rFonts w:hint="eastAsia" w:ascii="Times New Roman" w:hAnsi="Times New Roman" w:cs="Times New Roman"/>
                      <w:color w:val="auto"/>
                      <w:sz w:val="21"/>
                      <w:szCs w:val="21"/>
                      <w:highlight w:val="none"/>
                      <w:lang w:val="en-US" w:eastAsia="zh-CN"/>
                    </w:rPr>
                    <w:t>。</w:t>
                  </w:r>
                </w:p>
              </w:tc>
              <w:tc>
                <w:tcPr>
                  <w:tcW w:w="682" w:type="dxa"/>
                  <w:tcBorders>
                    <w:tl2br w:val="nil"/>
                    <w:tr2bl w:val="nil"/>
                  </w:tcBorders>
                  <w:noWrap w:val="0"/>
                  <w:vAlign w:val="center"/>
                </w:tcPr>
                <w:p w14:paraId="52365E41">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符合</w:t>
                  </w:r>
                </w:p>
              </w:tc>
            </w:tr>
            <w:tr w14:paraId="615185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5" w:type="dxa"/>
                  <w:tcBorders>
                    <w:tl2br w:val="nil"/>
                    <w:tr2bl w:val="nil"/>
                  </w:tcBorders>
                  <w:noWrap w:val="0"/>
                  <w:vAlign w:val="center"/>
                </w:tcPr>
                <w:p w14:paraId="434EF9FD">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碧水</w:t>
                  </w:r>
                </w:p>
              </w:tc>
              <w:tc>
                <w:tcPr>
                  <w:tcW w:w="659" w:type="dxa"/>
                  <w:tcBorders>
                    <w:tl2br w:val="nil"/>
                    <w:tr2bl w:val="nil"/>
                  </w:tcBorders>
                  <w:noWrap w:val="0"/>
                  <w:vAlign w:val="center"/>
                </w:tcPr>
                <w:p w14:paraId="2D951732">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精准治理工业企业污染</w:t>
                  </w:r>
                </w:p>
                <w:p w14:paraId="3C56F28B">
                  <w:pPr>
                    <w:pStyle w:val="36"/>
                    <w:rPr>
                      <w:rFonts w:hint="default" w:ascii="Times New Roman" w:hAnsi="Times New Roman" w:eastAsia="宋体" w:cs="Times New Roman"/>
                      <w:color w:val="auto"/>
                      <w:sz w:val="21"/>
                      <w:szCs w:val="21"/>
                      <w:highlight w:val="none"/>
                      <w:lang w:val="en-US" w:eastAsia="zh-CN"/>
                    </w:rPr>
                  </w:pPr>
                </w:p>
              </w:tc>
              <w:tc>
                <w:tcPr>
                  <w:tcW w:w="4521" w:type="dxa"/>
                  <w:tcBorders>
                    <w:tl2br w:val="nil"/>
                    <w:tr2bl w:val="nil"/>
                  </w:tcBorders>
                  <w:noWrap w:val="0"/>
                  <w:vAlign w:val="center"/>
                </w:tcPr>
                <w:p w14:paraId="107BA613">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继续推进化工、有色金属、农副食品加工、印染、制革、原料药制造、电镀、冶金等行业退城入园，提高工业园区集聚水平。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鼓励有条件的园区引进“环保管家”服务，提供定制化、全产业链的第三方环保服务，实现园区污水精细化、专业化管理。</w:t>
                  </w:r>
                </w:p>
              </w:tc>
              <w:tc>
                <w:tcPr>
                  <w:tcW w:w="1050" w:type="dxa"/>
                  <w:tcBorders>
                    <w:tl2br w:val="nil"/>
                    <w:tr2bl w:val="nil"/>
                  </w:tcBorders>
                  <w:noWrap w:val="0"/>
                  <w:vAlign w:val="center"/>
                </w:tcPr>
                <w:p w14:paraId="36A45E63">
                  <w:pPr>
                    <w:snapToGrid w:val="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本项目</w:t>
                  </w:r>
                  <w:r>
                    <w:rPr>
                      <w:rFonts w:hint="eastAsia" w:cs="Times New Roman"/>
                      <w:color w:val="auto"/>
                      <w:sz w:val="21"/>
                      <w:szCs w:val="21"/>
                      <w:highlight w:val="none"/>
                      <w:lang w:val="en-US" w:eastAsia="zh-CN"/>
                    </w:rPr>
                    <w:t>无废水排放。</w:t>
                  </w:r>
                </w:p>
                <w:p w14:paraId="24ED01F7">
                  <w:pPr>
                    <w:snapToGrid w:val="0"/>
                    <w:jc w:val="both"/>
                    <w:rPr>
                      <w:rFonts w:hint="default" w:ascii="Times New Roman" w:hAnsi="Times New Roman" w:eastAsia="宋体" w:cs="Times New Roman"/>
                      <w:color w:val="auto"/>
                      <w:sz w:val="21"/>
                      <w:szCs w:val="21"/>
                      <w:highlight w:val="none"/>
                      <w:lang w:val="en-US" w:eastAsia="zh-CN"/>
                    </w:rPr>
                  </w:pPr>
                </w:p>
              </w:tc>
              <w:tc>
                <w:tcPr>
                  <w:tcW w:w="682" w:type="dxa"/>
                  <w:tcBorders>
                    <w:tl2br w:val="nil"/>
                    <w:tr2bl w:val="nil"/>
                  </w:tcBorders>
                  <w:noWrap w:val="0"/>
                  <w:vAlign w:val="center"/>
                </w:tcPr>
                <w:p w14:paraId="6E769F38">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符合</w:t>
                  </w:r>
                </w:p>
              </w:tc>
            </w:tr>
            <w:tr w14:paraId="64215B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5" w:type="dxa"/>
                  <w:vMerge w:val="restart"/>
                  <w:tcBorders>
                    <w:tl2br w:val="nil"/>
                    <w:tr2bl w:val="nil"/>
                  </w:tcBorders>
                  <w:noWrap w:val="0"/>
                  <w:vAlign w:val="center"/>
                </w:tcPr>
                <w:p w14:paraId="5D535240">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净土</w:t>
                  </w:r>
                </w:p>
              </w:tc>
              <w:tc>
                <w:tcPr>
                  <w:tcW w:w="659" w:type="dxa"/>
                  <w:tcBorders>
                    <w:tl2br w:val="nil"/>
                    <w:tr2bl w:val="nil"/>
                  </w:tcBorders>
                  <w:noWrap w:val="0"/>
                  <w:vAlign w:val="center"/>
                </w:tcPr>
                <w:p w14:paraId="4CCEE2B6">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加强土壤污染重点监管单位环境监管</w:t>
                  </w:r>
                </w:p>
              </w:tc>
              <w:tc>
                <w:tcPr>
                  <w:tcW w:w="4521" w:type="dxa"/>
                  <w:tcBorders>
                    <w:tl2br w:val="nil"/>
                    <w:tr2bl w:val="nil"/>
                  </w:tcBorders>
                  <w:noWrap w:val="0"/>
                  <w:vAlign w:val="center"/>
                </w:tcPr>
                <w:p w14:paraId="5337C940">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每年更新土壤污染重点监管单位名录并向社会公开。全省1415家土壤污染重点监管单位在2021年年底前应完成一轮隐患排查，制定整改方案并落实。新增纳入土壤污染重点监管单位名录的单位，在一年内应开展隐患排查，2025年年底前，至少完成一轮隐患排查。土壤污染重点监管单位应制定、实施自行监测方案，将监测数据公开并报生态环境部门；严格控制有毒有害物质排放，并按年度向生态环境部门报告排放情况；法定义务在排污许可证发放和变更时应予以载明。</w:t>
                  </w:r>
                </w:p>
              </w:tc>
              <w:tc>
                <w:tcPr>
                  <w:tcW w:w="1050" w:type="dxa"/>
                  <w:tcBorders>
                    <w:tl2br w:val="nil"/>
                    <w:tr2bl w:val="nil"/>
                  </w:tcBorders>
                  <w:noWrap w:val="0"/>
                  <w:vAlign w:val="center"/>
                </w:tcPr>
                <w:p w14:paraId="3E0B42D8">
                  <w:pPr>
                    <w:snapToGrid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危废间</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化粪池等</w:t>
                  </w:r>
                  <w:r>
                    <w:rPr>
                      <w:rFonts w:hint="default" w:ascii="Times New Roman" w:hAnsi="Times New Roman" w:eastAsia="宋体" w:cs="Times New Roman"/>
                      <w:color w:val="auto"/>
                      <w:sz w:val="21"/>
                      <w:szCs w:val="21"/>
                      <w:highlight w:val="none"/>
                      <w:lang w:val="en-US" w:eastAsia="zh-CN"/>
                    </w:rPr>
                    <w:t>均做重点防渗，防止土壤污染</w:t>
                  </w:r>
                  <w:r>
                    <w:rPr>
                      <w:rFonts w:hint="eastAsia" w:cs="Times New Roman"/>
                      <w:color w:val="auto"/>
                      <w:sz w:val="21"/>
                      <w:szCs w:val="21"/>
                      <w:highlight w:val="none"/>
                      <w:lang w:val="en-US" w:eastAsia="zh-CN"/>
                    </w:rPr>
                    <w:t>。</w:t>
                  </w:r>
                </w:p>
              </w:tc>
              <w:tc>
                <w:tcPr>
                  <w:tcW w:w="682" w:type="dxa"/>
                  <w:tcBorders>
                    <w:tl2br w:val="nil"/>
                    <w:tr2bl w:val="nil"/>
                  </w:tcBorders>
                  <w:noWrap w:val="0"/>
                  <w:vAlign w:val="center"/>
                </w:tcPr>
                <w:p w14:paraId="20A17864">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E4CF1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5" w:type="dxa"/>
                  <w:vMerge w:val="continue"/>
                  <w:tcBorders>
                    <w:tl2br w:val="nil"/>
                    <w:tr2bl w:val="nil"/>
                  </w:tcBorders>
                  <w:noWrap w:val="0"/>
                  <w:vAlign w:val="center"/>
                </w:tcPr>
                <w:p w14:paraId="3C22AC86">
                  <w:pPr>
                    <w:snapToGrid w:val="0"/>
                    <w:jc w:val="center"/>
                    <w:rPr>
                      <w:rFonts w:hint="default" w:ascii="Times New Roman" w:hAnsi="Times New Roman" w:eastAsia="宋体" w:cs="Times New Roman"/>
                      <w:i w:val="0"/>
                      <w:iCs w:val="0"/>
                      <w:caps w:val="0"/>
                      <w:color w:val="auto"/>
                      <w:spacing w:val="0"/>
                      <w:sz w:val="21"/>
                      <w:szCs w:val="21"/>
                      <w:highlight w:val="none"/>
                      <w:shd w:val="clear" w:fill="FFFFFF"/>
                    </w:rPr>
                  </w:pPr>
                </w:p>
              </w:tc>
              <w:tc>
                <w:tcPr>
                  <w:tcW w:w="659" w:type="dxa"/>
                  <w:tcBorders>
                    <w:tl2br w:val="nil"/>
                    <w:tr2bl w:val="nil"/>
                  </w:tcBorders>
                  <w:noWrap w:val="0"/>
                  <w:vAlign w:val="center"/>
                </w:tcPr>
                <w:p w14:paraId="57E0D02E">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加强固体废物环境管理</w:t>
                  </w:r>
                </w:p>
              </w:tc>
              <w:tc>
                <w:tcPr>
                  <w:tcW w:w="4521" w:type="dxa"/>
                  <w:tcBorders>
                    <w:tl2br w:val="nil"/>
                    <w:tr2bl w:val="nil"/>
                  </w:tcBorders>
                  <w:noWrap w:val="0"/>
                  <w:vAlign w:val="center"/>
                </w:tcPr>
                <w:p w14:paraId="4A3546B8">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构建集污水、垃圾、固废、危废、医废处理处置设施和监测监管能力于一体的环境基础设施体系，形成由城市向建制镇和乡村延伸覆盖的环境基础设施网络。到2025年，试点城市建立起“无废城市”建设综合管理制度和监管体系。</w:t>
                  </w:r>
                </w:p>
              </w:tc>
              <w:tc>
                <w:tcPr>
                  <w:tcW w:w="1050" w:type="dxa"/>
                  <w:tcBorders>
                    <w:tl2br w:val="nil"/>
                    <w:tr2bl w:val="nil"/>
                  </w:tcBorders>
                  <w:noWrap w:val="0"/>
                  <w:vAlign w:val="center"/>
                </w:tcPr>
                <w:p w14:paraId="061A3112">
                  <w:pPr>
                    <w:snapToGrid w:val="0"/>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建设单位按照相关要求进行管理</w:t>
                  </w:r>
                </w:p>
              </w:tc>
              <w:tc>
                <w:tcPr>
                  <w:tcW w:w="682" w:type="dxa"/>
                  <w:tcBorders>
                    <w:tl2br w:val="nil"/>
                    <w:tr2bl w:val="nil"/>
                  </w:tcBorders>
                  <w:noWrap w:val="0"/>
                  <w:vAlign w:val="center"/>
                </w:tcPr>
                <w:p w14:paraId="1B2F0380">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5E7BD982">
            <w:pPr>
              <w:numPr>
                <w:ilvl w:val="0"/>
                <w:numId w:val="0"/>
              </w:numPr>
              <w:spacing w:line="360" w:lineRule="auto"/>
              <w:ind w:firstLine="480" w:firstLineChars="200"/>
              <w:rPr>
                <w:rFonts w:hint="eastAsia" w:cs="Times New Roman"/>
                <w:b w:val="0"/>
                <w:bCs w:val="0"/>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由上表可知，</w:t>
            </w:r>
            <w:r>
              <w:rPr>
                <w:rFonts w:hint="eastAsia"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符</w:t>
            </w:r>
            <w:r>
              <w:rPr>
                <w:rFonts w:hint="default" w:ascii="Times New Roman" w:hAnsi="Times New Roman" w:eastAsia="宋体" w:cs="Times New Roman"/>
                <w:b w:val="0"/>
                <w:bCs w:val="0"/>
                <w:color w:val="auto"/>
                <w:sz w:val="24"/>
                <w:szCs w:val="24"/>
                <w:highlight w:val="none"/>
                <w:lang w:val="en-US" w:eastAsia="zh-CN"/>
              </w:rPr>
              <w:t>合《山东省深入打好蓝天、碧水、净土保卫战行动计划（2021-2025</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的相关要求</w:t>
            </w:r>
            <w:r>
              <w:rPr>
                <w:rFonts w:hint="default" w:ascii="Times New Roman" w:hAnsi="Times New Roman" w:eastAsia="宋体" w:cs="Times New Roman"/>
                <w:b w:val="0"/>
                <w:bCs w:val="0"/>
                <w:color w:val="auto"/>
                <w:sz w:val="24"/>
                <w:szCs w:val="24"/>
                <w:highlight w:val="none"/>
                <w:lang w:val="en-US" w:eastAsia="zh-CN"/>
              </w:rPr>
              <w:t>。</w:t>
            </w:r>
          </w:p>
          <w:p w14:paraId="43BF1160">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与《山东省“十四五”生态环境保护规划》的符合性分析</w:t>
            </w:r>
          </w:p>
          <w:p w14:paraId="1278D4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与《</w:t>
            </w:r>
            <w:r>
              <w:rPr>
                <w:rFonts w:hint="default" w:ascii="Times New Roman" w:hAnsi="Times New Roman" w:eastAsia="宋体" w:cs="Times New Roman"/>
                <w:b/>
                <w:bCs/>
                <w:color w:val="auto"/>
                <w:sz w:val="24"/>
                <w:szCs w:val="24"/>
                <w:highlight w:val="none"/>
                <w:lang w:val="en-US" w:eastAsia="zh-CN"/>
              </w:rPr>
              <w:t>山东省“十四五”生态环境保护规划</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的</w:t>
            </w:r>
            <w:r>
              <w:rPr>
                <w:rFonts w:hint="default" w:ascii="Times New Roman" w:hAnsi="Times New Roman" w:eastAsia="宋体" w:cs="Times New Roman"/>
                <w:b/>
                <w:bCs/>
                <w:color w:val="auto"/>
                <w:sz w:val="24"/>
                <w:szCs w:val="24"/>
                <w:highlight w:val="none"/>
              </w:rPr>
              <w:t>符合性</w:t>
            </w:r>
          </w:p>
          <w:tbl>
            <w:tblPr>
              <w:tblStyle w:val="37"/>
              <w:tblW w:w="727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8"/>
              <w:gridCol w:w="4329"/>
              <w:gridCol w:w="1365"/>
              <w:gridCol w:w="718"/>
            </w:tblGrid>
            <w:tr w14:paraId="7463E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8" w:type="dxa"/>
                  <w:tcBorders>
                    <w:tl2br w:val="nil"/>
                    <w:tr2bl w:val="nil"/>
                  </w:tcBorders>
                  <w:noWrap w:val="0"/>
                  <w:vAlign w:val="center"/>
                </w:tcPr>
                <w:p w14:paraId="1EF36A6D">
                  <w:pPr>
                    <w:snapToGrid w:val="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分类</w:t>
                  </w:r>
                </w:p>
              </w:tc>
              <w:tc>
                <w:tcPr>
                  <w:tcW w:w="4329" w:type="dxa"/>
                  <w:tcBorders>
                    <w:tl2br w:val="nil"/>
                    <w:tr2bl w:val="nil"/>
                  </w:tcBorders>
                  <w:noWrap w:val="0"/>
                  <w:vAlign w:val="center"/>
                </w:tcPr>
                <w:p w14:paraId="409DB795">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365" w:type="dxa"/>
                  <w:tcBorders>
                    <w:tl2br w:val="nil"/>
                    <w:tr2bl w:val="nil"/>
                  </w:tcBorders>
                  <w:noWrap w:val="0"/>
                  <w:vAlign w:val="center"/>
                </w:tcPr>
                <w:p w14:paraId="2AE1D646">
                  <w:pPr>
                    <w:snapToGrid w:val="0"/>
                    <w:jc w:val="center"/>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本项目</w:t>
                  </w:r>
                  <w:r>
                    <w:rPr>
                      <w:rFonts w:hint="eastAsia" w:cs="Times New Roman"/>
                      <w:b/>
                      <w:bCs/>
                      <w:color w:val="auto"/>
                      <w:sz w:val="21"/>
                      <w:szCs w:val="21"/>
                      <w:highlight w:val="none"/>
                      <w:lang w:val="en-US" w:eastAsia="zh-CN"/>
                    </w:rPr>
                    <w:t>情况</w:t>
                  </w:r>
                </w:p>
              </w:tc>
              <w:tc>
                <w:tcPr>
                  <w:tcW w:w="718" w:type="dxa"/>
                  <w:tcBorders>
                    <w:tl2br w:val="nil"/>
                    <w:tr2bl w:val="nil"/>
                  </w:tcBorders>
                  <w:noWrap w:val="0"/>
                  <w:vAlign w:val="center"/>
                </w:tcPr>
                <w:p w14:paraId="24F773B8">
                  <w:pPr>
                    <w:snapToGrid w:val="0"/>
                    <w:jc w:val="center"/>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val="en-US" w:eastAsia="zh-CN"/>
                    </w:rPr>
                    <w:t>符合性</w:t>
                  </w:r>
                </w:p>
              </w:tc>
            </w:tr>
            <w:tr w14:paraId="1FEF2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8" w:type="dxa"/>
                  <w:tcBorders>
                    <w:tl2br w:val="nil"/>
                    <w:tr2bl w:val="nil"/>
                  </w:tcBorders>
                  <w:noWrap w:val="0"/>
                  <w:vAlign w:val="center"/>
                </w:tcPr>
                <w:p w14:paraId="0F358CCC">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深化能源结构调整</w:t>
                  </w:r>
                </w:p>
              </w:tc>
              <w:tc>
                <w:tcPr>
                  <w:tcW w:w="4329" w:type="dxa"/>
                  <w:tcBorders>
                    <w:tl2br w:val="nil"/>
                    <w:tr2bl w:val="nil"/>
                  </w:tcBorders>
                  <w:noWrap w:val="0"/>
                  <w:vAlign w:val="center"/>
                </w:tcPr>
                <w:p w14:paraId="3E8ADA14">
                  <w:pPr>
                    <w:snapToGrid w:val="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实施终端用能清洁化替代</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完善清洁能源推广和提效政策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推行国际先进的能效标准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加快工业、建筑、交通等各用能领域电气化、智能化发展</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推行清洁能源替代</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按照集中使用、清洁利用原则</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重点削减小型燃煤锅炉、民用散煤与农业用煤消费量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对以煤、石焦油、渣油、重油等为燃料的锅炉和工业炉窑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实施清洁低碳能源、工厂余热、电力热力等替代</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实施乡村清洁能源建设工程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加大农村电网建设力度</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全面巩固提升农村电力保障水平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推进燃气下乡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支持建设安全可靠的乡村储气罐站和微管网供气系统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加强煤炭清洁化利用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发展农村生物质能源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持续推进清洁取暖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扩大集中供热范围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因地制宜推行气代煤、电代煤、热代煤、集中生物质等清洁采暖方式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2025年年底前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清洁取暖率提高到80</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以上</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2025年年底前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基本完成农村取暖、养殖业及农副产品加工业燃煤设施清洁能源替代</w:t>
                  </w:r>
                  <w:r>
                    <w:rPr>
                      <w:rFonts w:hint="default" w:ascii="Times New Roman" w:hAnsi="Times New Roman" w:eastAsia="宋体" w:cs="Times New Roman"/>
                      <w:color w:val="auto"/>
                      <w:sz w:val="21"/>
                      <w:szCs w:val="21"/>
                      <w:highlight w:val="none"/>
                      <w:lang w:eastAsia="zh-CN"/>
                    </w:rPr>
                    <w:t>。</w:t>
                  </w:r>
                </w:p>
              </w:tc>
              <w:tc>
                <w:tcPr>
                  <w:tcW w:w="1365" w:type="dxa"/>
                  <w:tcBorders>
                    <w:tl2br w:val="nil"/>
                    <w:tr2bl w:val="nil"/>
                  </w:tcBorders>
                  <w:noWrap w:val="0"/>
                  <w:vAlign w:val="center"/>
                </w:tcPr>
                <w:p w14:paraId="36DEBBF3">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运营过程消耗一定的电、水等能源，</w:t>
                  </w:r>
                  <w:r>
                    <w:rPr>
                      <w:rFonts w:hint="eastAsia"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lang w:val="en-US" w:eastAsia="zh-CN"/>
                    </w:rPr>
                    <w:t>属于清洁能源。</w:t>
                  </w:r>
                </w:p>
              </w:tc>
              <w:tc>
                <w:tcPr>
                  <w:tcW w:w="718" w:type="dxa"/>
                  <w:tcBorders>
                    <w:tl2br w:val="nil"/>
                    <w:tr2bl w:val="nil"/>
                  </w:tcBorders>
                  <w:noWrap w:val="0"/>
                  <w:vAlign w:val="center"/>
                </w:tcPr>
                <w:p w14:paraId="0857FCA1">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90908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8" w:type="dxa"/>
                  <w:tcBorders>
                    <w:tl2br w:val="nil"/>
                    <w:tr2bl w:val="nil"/>
                  </w:tcBorders>
                  <w:noWrap w:val="0"/>
                  <w:vAlign w:val="center"/>
                </w:tcPr>
                <w:p w14:paraId="618CDA4B">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建设清洁安全的能源支撑体系</w:t>
                  </w:r>
                </w:p>
              </w:tc>
              <w:tc>
                <w:tcPr>
                  <w:tcW w:w="4329" w:type="dxa"/>
                  <w:tcBorders>
                    <w:tl2br w:val="nil"/>
                    <w:tr2bl w:val="nil"/>
                  </w:tcBorders>
                  <w:noWrap w:val="0"/>
                  <w:vAlign w:val="center"/>
                </w:tcPr>
                <w:p w14:paraId="37A1B332">
                  <w:pPr>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遵循“四个革命、一个合作”能源战略，强化能源保障，转变能源生产消费模式，提高能源利用效率，构建清洁低碳、安全高效、智慧多元的现代能源体系。</w:t>
                  </w:r>
                </w:p>
              </w:tc>
              <w:tc>
                <w:tcPr>
                  <w:tcW w:w="1365" w:type="dxa"/>
                  <w:tcBorders>
                    <w:tl2br w:val="nil"/>
                    <w:tr2bl w:val="nil"/>
                  </w:tcBorders>
                  <w:noWrap w:val="0"/>
                  <w:vAlign w:val="center"/>
                </w:tcPr>
                <w:p w14:paraId="18A52288">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项目运营过程中主要使用电能，属于清洁能源</w:t>
                  </w:r>
                </w:p>
              </w:tc>
              <w:tc>
                <w:tcPr>
                  <w:tcW w:w="718" w:type="dxa"/>
                  <w:tcBorders>
                    <w:tl2br w:val="nil"/>
                    <w:tr2bl w:val="nil"/>
                  </w:tcBorders>
                  <w:noWrap w:val="0"/>
                  <w:vAlign w:val="center"/>
                </w:tcPr>
                <w:p w14:paraId="1DB946B8">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ACC26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8" w:type="dxa"/>
                  <w:tcBorders>
                    <w:tl2br w:val="nil"/>
                    <w:tr2bl w:val="nil"/>
                  </w:tcBorders>
                  <w:noWrap w:val="0"/>
                  <w:vAlign w:val="center"/>
                </w:tcPr>
                <w:p w14:paraId="58846B42">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建设坚实的水安全保障体系</w:t>
                  </w:r>
                </w:p>
              </w:tc>
              <w:tc>
                <w:tcPr>
                  <w:tcW w:w="4329" w:type="dxa"/>
                  <w:tcBorders>
                    <w:tl2br w:val="nil"/>
                    <w:tr2bl w:val="nil"/>
                  </w:tcBorders>
                  <w:noWrap w:val="0"/>
                  <w:vAlign w:val="center"/>
                </w:tcPr>
                <w:p w14:paraId="517B3B34">
                  <w:pPr>
                    <w:snapToGrid w:val="0"/>
                    <w:jc w:val="left"/>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加大城市污水处理厂与配套管网建设，实现城市污水全收集、全处理。加大地下水超采区综合整治力度，开展自备井专项整治，缩减地下水漏斗。</w:t>
                  </w:r>
                </w:p>
              </w:tc>
              <w:tc>
                <w:tcPr>
                  <w:tcW w:w="1365" w:type="dxa"/>
                  <w:tcBorders>
                    <w:tl2br w:val="nil"/>
                    <w:tr2bl w:val="nil"/>
                  </w:tcBorders>
                  <w:noWrap w:val="0"/>
                  <w:vAlign w:val="center"/>
                </w:tcPr>
                <w:p w14:paraId="699F6BED">
                  <w:pPr>
                    <w:snapToGrid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项目用水由</w:t>
                  </w:r>
                  <w:r>
                    <w:rPr>
                      <w:rFonts w:hint="eastAsia" w:cs="Times New Roman"/>
                      <w:color w:val="auto"/>
                      <w:sz w:val="21"/>
                      <w:szCs w:val="21"/>
                      <w:highlight w:val="none"/>
                      <w:lang w:val="en-US" w:eastAsia="zh-CN"/>
                    </w:rPr>
                    <w:t>市政</w:t>
                  </w:r>
                  <w:r>
                    <w:rPr>
                      <w:rFonts w:hint="default" w:ascii="Times New Roman" w:hAnsi="Times New Roman" w:eastAsia="宋体" w:cs="Times New Roman"/>
                      <w:color w:val="auto"/>
                      <w:sz w:val="21"/>
                      <w:szCs w:val="21"/>
                      <w:highlight w:val="none"/>
                      <w:lang w:val="en-US" w:eastAsia="zh-CN"/>
                    </w:rPr>
                    <w:t>供水管网提供，不使用地下水</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无废水排放</w:t>
                  </w:r>
                  <w:r>
                    <w:rPr>
                      <w:rFonts w:hint="eastAsia" w:ascii="Times New Roman" w:hAnsi="Times New Roman" w:eastAsia="宋体" w:cs="Times New Roman"/>
                      <w:color w:val="auto"/>
                      <w:sz w:val="21"/>
                      <w:szCs w:val="21"/>
                      <w:highlight w:val="none"/>
                      <w:lang w:val="en-US" w:eastAsia="zh-CN"/>
                    </w:rPr>
                    <w:t>。</w:t>
                  </w:r>
                </w:p>
                <w:p w14:paraId="163A35BB">
                  <w:pPr>
                    <w:snapToGrid w:val="0"/>
                    <w:jc w:val="center"/>
                    <w:rPr>
                      <w:rFonts w:hint="default" w:ascii="Times New Roman" w:hAnsi="Times New Roman" w:eastAsia="宋体" w:cs="Times New Roman"/>
                      <w:color w:val="auto"/>
                      <w:sz w:val="21"/>
                      <w:szCs w:val="21"/>
                      <w:highlight w:val="none"/>
                      <w:lang w:val="en-US" w:eastAsia="zh-CN"/>
                    </w:rPr>
                  </w:pPr>
                </w:p>
              </w:tc>
              <w:tc>
                <w:tcPr>
                  <w:tcW w:w="718" w:type="dxa"/>
                  <w:tcBorders>
                    <w:tl2br w:val="nil"/>
                    <w:tr2bl w:val="nil"/>
                  </w:tcBorders>
                  <w:noWrap w:val="0"/>
                  <w:vAlign w:val="center"/>
                </w:tcPr>
                <w:p w14:paraId="34EA75E7">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2D465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8" w:type="dxa"/>
                  <w:tcBorders>
                    <w:tl2br w:val="nil"/>
                    <w:tr2bl w:val="nil"/>
                  </w:tcBorders>
                  <w:noWrap w:val="0"/>
                  <w:vAlign w:val="center"/>
                </w:tcPr>
                <w:p w14:paraId="0BBBA7BF">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主要目标</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聚力突破生态强市。</w:t>
                  </w:r>
                </w:p>
              </w:tc>
              <w:tc>
                <w:tcPr>
                  <w:tcW w:w="4329" w:type="dxa"/>
                  <w:tcBorders>
                    <w:tl2br w:val="nil"/>
                    <w:tr2bl w:val="nil"/>
                  </w:tcBorders>
                  <w:noWrap w:val="0"/>
                  <w:vAlign w:val="center"/>
                </w:tcPr>
                <w:p w14:paraId="4451B15D">
                  <w:pPr>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污染物排放总量持续减少，科学谋划碳达峰、碳中和行动，南四湖生态保护和高质量发展取得显著成效，采煤塌陷地治理取得阶段性成果，“一环八水绕济宁、十二明珠映古城”城市生态格局基本形成，全域生态廊道初步构建，建成国际湿地城市、国家生态园林城市。</w:t>
                  </w:r>
                </w:p>
              </w:tc>
              <w:tc>
                <w:tcPr>
                  <w:tcW w:w="1365" w:type="dxa"/>
                  <w:tcBorders>
                    <w:tl2br w:val="nil"/>
                    <w:tr2bl w:val="nil"/>
                  </w:tcBorders>
                  <w:noWrap w:val="0"/>
                  <w:vAlign w:val="center"/>
                </w:tcPr>
                <w:p w14:paraId="75075DCF">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color w:val="auto"/>
                      <w:highlight w:val="none"/>
                      <w:lang w:val="en-US" w:eastAsia="zh-CN"/>
                    </w:rPr>
                    <w:t>项目</w:t>
                  </w:r>
                  <w:r>
                    <w:rPr>
                      <w:rFonts w:hint="eastAsia"/>
                      <w:color w:val="auto"/>
                      <w:highlight w:val="none"/>
                      <w:lang w:val="en-US" w:eastAsia="zh-CN"/>
                    </w:rPr>
                    <w:t>主要污染物进行倍量替代</w:t>
                  </w:r>
                </w:p>
              </w:tc>
              <w:tc>
                <w:tcPr>
                  <w:tcW w:w="718" w:type="dxa"/>
                  <w:tcBorders>
                    <w:tl2br w:val="nil"/>
                    <w:tr2bl w:val="nil"/>
                  </w:tcBorders>
                  <w:noWrap w:val="0"/>
                  <w:vAlign w:val="center"/>
                </w:tcPr>
                <w:p w14:paraId="6BEB3CDA">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4D0E7967">
            <w:pPr>
              <w:numPr>
                <w:ilvl w:val="0"/>
                <w:numId w:val="0"/>
              </w:numPr>
              <w:spacing w:line="360" w:lineRule="auto"/>
              <w:ind w:firstLine="480" w:firstLineChars="200"/>
              <w:rPr>
                <w:rFonts w:hint="eastAsia" w:cs="Times New Roman"/>
                <w:b w:val="0"/>
                <w:bCs w:val="0"/>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由上表可知，</w:t>
            </w:r>
            <w:r>
              <w:rPr>
                <w:rFonts w:hint="eastAsia"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符</w:t>
            </w:r>
            <w:r>
              <w:rPr>
                <w:rFonts w:hint="default" w:ascii="Times New Roman" w:hAnsi="Times New Roman" w:eastAsia="宋体" w:cs="Times New Roman"/>
                <w:b w:val="0"/>
                <w:bCs w:val="0"/>
                <w:color w:val="auto"/>
                <w:sz w:val="24"/>
                <w:szCs w:val="24"/>
                <w:highlight w:val="none"/>
                <w:lang w:val="en-US" w:eastAsia="zh-CN"/>
              </w:rPr>
              <w:t>合《山东省“十四五”生态环境保护规划》</w:t>
            </w:r>
            <w:r>
              <w:rPr>
                <w:rFonts w:hint="eastAsia" w:ascii="Times New Roman" w:hAnsi="Times New Roman" w:eastAsia="宋体" w:cs="Times New Roman"/>
                <w:b w:val="0"/>
                <w:bCs w:val="0"/>
                <w:color w:val="auto"/>
                <w:sz w:val="24"/>
                <w:szCs w:val="24"/>
                <w:highlight w:val="none"/>
                <w:lang w:val="en-US" w:eastAsia="zh-CN"/>
              </w:rPr>
              <w:t>的相关要求</w:t>
            </w:r>
            <w:r>
              <w:rPr>
                <w:rFonts w:hint="default" w:ascii="Times New Roman" w:hAnsi="Times New Roman" w:eastAsia="宋体" w:cs="Times New Roman"/>
                <w:b w:val="0"/>
                <w:bCs w:val="0"/>
                <w:color w:val="auto"/>
                <w:sz w:val="24"/>
                <w:szCs w:val="24"/>
                <w:highlight w:val="none"/>
                <w:lang w:val="en-US" w:eastAsia="zh-CN"/>
              </w:rPr>
              <w:t>。</w:t>
            </w:r>
          </w:p>
          <w:p w14:paraId="09BDD064">
            <w:pPr>
              <w:numPr>
                <w:ilvl w:val="0"/>
                <w:numId w:val="0"/>
              </w:numPr>
              <w:spacing w:line="360" w:lineRule="auto"/>
              <w:ind w:firstLine="482" w:firstLineChars="200"/>
              <w:jc w:val="both"/>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与</w:t>
            </w:r>
            <w:r>
              <w:rPr>
                <w:rFonts w:hint="eastAsia" w:ascii="Times New Roman" w:hAnsi="Times New Roman" w:eastAsia="宋体" w:cs="Times New Roman"/>
                <w:b/>
                <w:bCs/>
                <w:color w:val="auto"/>
                <w:sz w:val="24"/>
                <w:szCs w:val="24"/>
                <w:lang w:val="en-US" w:eastAsia="zh-CN"/>
              </w:rPr>
              <w:t>《生态环境部关于加快解决当前挥发性有机物治理突出问题的通知》环大气〔2021〕65号</w:t>
            </w:r>
            <w:r>
              <w:rPr>
                <w:rFonts w:hint="eastAsia" w:cs="Times New Roman"/>
                <w:b/>
                <w:bCs/>
                <w:color w:val="auto"/>
                <w:sz w:val="24"/>
                <w:szCs w:val="24"/>
                <w:lang w:val="en-US" w:eastAsia="zh-CN"/>
              </w:rPr>
              <w:t>符合性分析</w:t>
            </w:r>
          </w:p>
          <w:p w14:paraId="72528DA6">
            <w:pPr>
              <w:numPr>
                <w:ilvl w:val="0"/>
                <w:numId w:val="0"/>
              </w:numPr>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 xml:space="preserve">4 </w:t>
            </w:r>
            <w:r>
              <w:rPr>
                <w:rFonts w:hint="default" w:ascii="Times New Roman" w:hAnsi="Times New Roman" w:eastAsia="宋体" w:cs="Times New Roman"/>
                <w:b/>
                <w:bCs/>
                <w:color w:val="auto"/>
                <w:sz w:val="24"/>
                <w:szCs w:val="24"/>
                <w:highlight w:val="none"/>
              </w:rPr>
              <w:t>与</w:t>
            </w:r>
            <w:r>
              <w:rPr>
                <w:rFonts w:hint="default" w:ascii="Times New Roman" w:hAnsi="Times New Roman" w:eastAsia="宋体" w:cs="Times New Roman"/>
                <w:b/>
                <w:bCs/>
                <w:color w:val="auto"/>
                <w:sz w:val="24"/>
                <w:szCs w:val="24"/>
                <w:highlight w:val="none"/>
                <w:lang w:val="en-US" w:eastAsia="zh-CN"/>
              </w:rPr>
              <w:t>《生态环境部关于加快解决当前挥发性有机物治理突出问题的通知》环大气〔2021〕65号符合性</w:t>
            </w:r>
            <w:r>
              <w:rPr>
                <w:rFonts w:hint="eastAsia" w:eastAsia="宋体"/>
                <w:b/>
                <w:bCs/>
                <w:color w:val="auto"/>
                <w:sz w:val="24"/>
                <w:szCs w:val="24"/>
                <w:lang w:eastAsia="zh-CN"/>
              </w:rPr>
              <w:t>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42"/>
              <w:gridCol w:w="1640"/>
              <w:gridCol w:w="674"/>
            </w:tblGrid>
            <w:tr w14:paraId="11126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053DEE0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144" w:type="pct"/>
                  <w:tcBorders>
                    <w:tl2br w:val="nil"/>
                    <w:tr2bl w:val="nil"/>
                  </w:tcBorders>
                  <w:noWrap w:val="0"/>
                  <w:vAlign w:val="center"/>
                </w:tcPr>
                <w:p w14:paraId="368AE8B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w:t>
                  </w:r>
                  <w:r>
                    <w:rPr>
                      <w:rFonts w:hint="eastAsia" w:cs="Times New Roman"/>
                      <w:b/>
                      <w:bCs/>
                      <w:color w:val="auto"/>
                      <w:sz w:val="21"/>
                      <w:szCs w:val="21"/>
                      <w:highlight w:val="none"/>
                      <w:lang w:val="en-US" w:eastAsia="zh-CN"/>
                    </w:rPr>
                    <w:t>项目</w:t>
                  </w:r>
                  <w:r>
                    <w:rPr>
                      <w:rFonts w:hint="default" w:ascii="Times New Roman" w:hAnsi="Times New Roman" w:eastAsia="宋体" w:cs="Times New Roman"/>
                      <w:b/>
                      <w:bCs/>
                      <w:color w:val="auto"/>
                      <w:sz w:val="21"/>
                      <w:szCs w:val="21"/>
                      <w:highlight w:val="none"/>
                    </w:rPr>
                    <w:t>情况</w:t>
                  </w:r>
                </w:p>
              </w:tc>
              <w:tc>
                <w:tcPr>
                  <w:tcW w:w="471" w:type="pct"/>
                  <w:tcBorders>
                    <w:tl2br w:val="nil"/>
                    <w:tr2bl w:val="nil"/>
                  </w:tcBorders>
                  <w:noWrap w:val="0"/>
                  <w:vAlign w:val="center"/>
                </w:tcPr>
                <w:p w14:paraId="274CBA4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2FFB01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64B642BC">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五、废气收集设施治理要求。产生 VOCs 的生产环节优先采用密闭设备、在密闭空间中操作或采用全密闭集气罩收集方式，并保持负压运行。无尘等级要求车间需设置成正压的，宜建设内层正压、外层微负压的双层整体密闭收集空间。对采用局部收集方式的企业，距废气收集系统排风罩开口面最远处的 VOCs无组织排放位置控制风速不低于0.3m/s；推广以生产线或设备为单位设置隔间，收集风量应确保隔间保持微负压。当废气产生点较多、彼此距离较远时，在满足设计规范、风压平衡的基础上，适当分设多套收集系统或中继风机。废气收集系统的输送管道应密闭、无破损。焦化行业加强焦炉密封性检查，对于变形炉门、炉顶炉盖及时修复更换；加强焦炉工况监督，对焦炉墙串漏及时修缮。制药、农药、涂料、油墨、胶粘剂等间歇性生产工序较多的行业应对进出料、物料输送、搅拌、固液分离、干燥、灌装、取样等过程采取密闭化措施，提升工艺装备水平；含VOCs 物料输送原则上采用重力流或泵送方式；有机液体进料鼓励采用底部、浸入管给料方式；固体物料投加逐步推进采用密闭式投料装置。工业涂装行业建设密闭喷漆房，对于大型构件（船舶、钢结构）实施分段涂装，废气进行收集治理；对于确需露天涂装的，应采用符合国家或地方标准要求的低（无）VOCs 含量涂料，或使用移动式废气收集治理设施。包装印刷行业的印刷、复合、涂布工序实施密闭化改造，全面采用 VOCs 质量占比小于10%的原辅材料的除外。鼓励石油炼制企业开展冷焦水、切焦水等废气收集治理。使用VOCs质量占比大于等于 10%的涂料、油墨、胶粘剂、稀释剂、清洗剂等物料存储、调配、转移、输送等环节应密闭。</w:t>
                  </w:r>
                </w:p>
              </w:tc>
              <w:tc>
                <w:tcPr>
                  <w:tcW w:w="1144" w:type="pct"/>
                  <w:tcBorders>
                    <w:tl2br w:val="nil"/>
                    <w:tr2bl w:val="nil"/>
                  </w:tcBorders>
                  <w:noWrap w:val="0"/>
                  <w:vAlign w:val="center"/>
                </w:tcPr>
                <w:p w14:paraId="6EDE1189">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采用局部收集方式，距废气收集系统排风罩开口面最远处的 VOCs无组织排放位置控制风速不低于0.3m/s；废气收集系统的输送管道应密闭、无破损。</w:t>
                  </w: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p>
              </w:tc>
              <w:tc>
                <w:tcPr>
                  <w:tcW w:w="471" w:type="pct"/>
                  <w:tcBorders>
                    <w:tl2br w:val="nil"/>
                    <w:tr2bl w:val="nil"/>
                  </w:tcBorders>
                  <w:noWrap w:val="0"/>
                  <w:vAlign w:val="center"/>
                </w:tcPr>
                <w:p w14:paraId="517797E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1A1B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319DE27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七、有机废气治理设施治理要求。新建治理设施或对现有治理设施实施改造，应依据排放废气特征、VOCs 组分及浓度、生产工况等，合理选择治理技术；对治理难度大、单一治理工艺难以稳定达标的，宜采用多种技术的组合工艺；除恶臭异味治理外，一般不使用低温等离子、光催化、光氧化等技术。 加强运行维护管理，做到治理设施较生产设备“先启后停”，在治理设施达到正常运行条件后方可启动生产设备，在生产设备停止、残留 VOCs 废气收集处理完毕后，方可停运治理设施；及时清理、更换吸附剂、吸收剂、催化剂、蓄热体、过滤棉、灯管、电器元件等治理设施耗材，确保设施能够稳定高效运行；做好生产设备和治理设施启停机时间、检维修情况、治理设施耗材维护更换、处置情况等台账记录；对于 VOCs 治理设施产生的废过滤棉、废催化剂、废吸附剂、废吸收剂、废有机溶剂等，应及时清运，属于危险废物的应交有资质的单位处理处置。 采用活性炭吸附工艺的企业，应根据废气排放特征，按照相关工程技术规范设计净化工艺和设备，使废气在吸附装置中有足够的停留时间，选择符合相关产品质量标准的活性炭，并足额充填、及时更换。采用颗粒活性炭作为吸附剂时，其碘值不宜低于800mg/g； 采用蜂窝活性炭作为吸附剂时，其碘值不宜低于650mg/g；采用活性炭纤维作为吸附剂时，其比表面积不低于1100m 2/g（BET 法）。一次性活性炭吸附工艺宜采用颗粒活性炭作为吸附剂。活性炭、活性炭纤维产品销售时应提供产品质量证明材料。采用催化燃烧工艺的企业应使用合格的催化剂并足额添加，催化剂床层的设计空速宜低于 40000h -1。采用非连续吸脱附治理工艺的，应按设计要求及时解吸吸附的 VOCs，解吸气体应保证采用高效处理工艺处理后达标排放。蓄热式燃烧装置（RTO）燃烧温度一般不低于 760℃，催化燃烧装置（CO）燃烧温度一般不低于300℃，相关温度参数应自动记录存储。 有条件的工业园区和企业集群鼓励建设集中涂装中心，分散吸附、集中脱附模式的活性炭集中再生中心，溶剂回收中心等涉VOCs“绿岛”项目，实现 VOCs 集中高效处理</w:t>
                  </w:r>
                </w:p>
              </w:tc>
              <w:tc>
                <w:tcPr>
                  <w:tcW w:w="1144" w:type="pct"/>
                  <w:tcBorders>
                    <w:tl2br w:val="nil"/>
                    <w:tr2bl w:val="nil"/>
                  </w:tcBorders>
                  <w:noWrap w:val="0"/>
                  <w:vAlign w:val="center"/>
                </w:tcPr>
                <w:p w14:paraId="47E4D4C3">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hAnsi="Times New Roman" w:cs="Times New Roman"/>
                      <w:color w:val="auto"/>
                      <w:kern w:val="2"/>
                      <w:sz w:val="21"/>
                      <w:szCs w:val="21"/>
                      <w:highlight w:val="none"/>
                      <w:lang w:val="en-US" w:eastAsia="zh-CN" w:bidi="ar-SA"/>
                    </w:rPr>
                    <w:t>本项目吹塑工序产生的废气分别经集气罩收集后进入过滤棉+二级活性炭吸附装置处理后通过1根15m高的排气筒（DA001）排放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；项目建成后</w:t>
                  </w:r>
                  <w:r>
                    <w:rPr>
                      <w:rFonts w:hint="default" w:ascii="Times New Roman" w:hAnsi="Times New Roman" w:eastAsia="宋体" w:cs="Times New Roman"/>
                      <w:color w:val="auto"/>
                      <w:sz w:val="21"/>
                      <w:szCs w:val="21"/>
                      <w:highlight w:val="none"/>
                    </w:rPr>
                    <w:t>加强运行维护管理，做到治理设施较生产设备“先启后停”</w:t>
                  </w:r>
                  <w:r>
                    <w:rPr>
                      <w:rFonts w:hint="eastAsia" w:hAnsi="Times New Roman" w:cs="Times New Roman"/>
                      <w:color w:val="auto"/>
                      <w:sz w:val="21"/>
                      <w:szCs w:val="21"/>
                      <w:highlight w:val="none"/>
                      <w:lang w:eastAsia="zh-CN"/>
                    </w:rPr>
                    <w:t>；</w:t>
                  </w:r>
                  <w:r>
                    <w:rPr>
                      <w:rFonts w:hint="eastAsia" w:hAnsi="Times New Roman" w:cs="Times New Roman"/>
                      <w:color w:val="auto"/>
                      <w:sz w:val="21"/>
                      <w:szCs w:val="21"/>
                      <w:highlight w:val="none"/>
                      <w:lang w:val="en-US" w:eastAsia="zh-CN"/>
                    </w:rPr>
                    <w:t>项目废气处理产生的废活性炭委托有资质单位处理。项目</w:t>
                  </w:r>
                  <w:r>
                    <w:rPr>
                      <w:rFonts w:hint="default" w:ascii="Times New Roman" w:hAnsi="Times New Roman" w:eastAsia="宋体" w:cs="Times New Roman"/>
                      <w:color w:val="auto"/>
                      <w:sz w:val="21"/>
                      <w:szCs w:val="21"/>
                      <w:highlight w:val="none"/>
                    </w:rPr>
                    <w:t>采用蜂窝活性炭作为吸附剂，其碘值不低于650mg/g</w:t>
                  </w:r>
                  <w:r>
                    <w:rPr>
                      <w:rFonts w:hint="eastAsia" w:ascii="Times New Roman" w:hAnsi="Times New Roman" w:eastAsia="宋体" w:cs="Times New Roman"/>
                      <w:color w:val="auto"/>
                      <w:sz w:val="21"/>
                      <w:szCs w:val="21"/>
                      <w:highlight w:val="none"/>
                      <w:lang w:eastAsia="zh-CN"/>
                    </w:rPr>
                    <w:t>。</w:t>
                  </w:r>
                </w:p>
              </w:tc>
              <w:tc>
                <w:tcPr>
                  <w:tcW w:w="471" w:type="pct"/>
                  <w:tcBorders>
                    <w:tl2br w:val="nil"/>
                    <w:tr2bl w:val="nil"/>
                  </w:tcBorders>
                  <w:noWrap w:val="0"/>
                  <w:vAlign w:val="center"/>
                </w:tcPr>
                <w:p w14:paraId="679C46C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50C0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0FAFD6F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十、产品 VOCs 含量治理要求。工业涂装、包装印刷、鞋革箱包制造、竹木制品、电子等重点行业要加大低（无）VOCs 含量原辅材料的源头替代力度，加强成熟技术替代品的应用。涂料、油墨、胶粘剂、清洗剂等生产企业在产品出厂时应配有产品标签，注明产品名称、使用领域、施工配比以及 VOCs 含量等信息，提供载有详细技术信息的产品技术说明书或者产品安全数据表。含 VOCs 产品使用量大的国企、政府投资建设工程承建单位要自行或委托社会化检测机构进行抽检，鼓励其他企业主动委托社会化检测机构进行抽检。</w:t>
                  </w:r>
                </w:p>
              </w:tc>
              <w:tc>
                <w:tcPr>
                  <w:tcW w:w="1144" w:type="pct"/>
                  <w:tcBorders>
                    <w:tl2br w:val="nil"/>
                    <w:tr2bl w:val="nil"/>
                  </w:tcBorders>
                  <w:noWrap w:val="0"/>
                  <w:vAlign w:val="center"/>
                </w:tcPr>
                <w:p w14:paraId="4BD10FEE">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本项目不涉及高</w:t>
                  </w:r>
                  <w:r>
                    <w:rPr>
                      <w:rFonts w:hint="default" w:ascii="Times New Roman" w:hAnsi="Times New Roman" w:eastAsia="宋体" w:cs="Times New Roman"/>
                      <w:color w:val="auto"/>
                      <w:sz w:val="21"/>
                      <w:szCs w:val="21"/>
                      <w:highlight w:val="none"/>
                    </w:rPr>
                    <w:t>VOCs 含量原辅材料</w:t>
                  </w:r>
                  <w:r>
                    <w:rPr>
                      <w:rFonts w:hint="eastAsia" w:hAnsi="Times New Roman" w:cs="Times New Roman"/>
                      <w:color w:val="auto"/>
                      <w:sz w:val="21"/>
                      <w:szCs w:val="21"/>
                      <w:highlight w:val="none"/>
                      <w:lang w:eastAsia="zh-CN"/>
                    </w:rPr>
                    <w:t>。</w:t>
                  </w:r>
                </w:p>
              </w:tc>
              <w:tc>
                <w:tcPr>
                  <w:tcW w:w="471" w:type="pct"/>
                  <w:tcBorders>
                    <w:tl2br w:val="nil"/>
                    <w:tr2bl w:val="nil"/>
                  </w:tcBorders>
                  <w:noWrap w:val="0"/>
                  <w:vAlign w:val="center"/>
                </w:tcPr>
                <w:p w14:paraId="15A5149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r>
          </w:tbl>
          <w:p w14:paraId="172F184E">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由上表可知，项目符合</w:t>
            </w:r>
            <w:r>
              <w:rPr>
                <w:rFonts w:hint="default" w:ascii="Times New Roman" w:hAnsi="Times New Roman" w:eastAsia="宋体" w:cs="Times New Roman"/>
                <w:color w:val="auto"/>
                <w:sz w:val="24"/>
                <w:szCs w:val="24"/>
                <w:highlight w:val="none"/>
                <w:lang w:val="en-US" w:eastAsia="zh-CN"/>
              </w:rPr>
              <w:t>《生态环境部关于加快解决当前挥发性有机物治理突出问题的通知》环大气〔2021〕65号</w:t>
            </w:r>
            <w:r>
              <w:rPr>
                <w:rFonts w:hint="default" w:ascii="Times New Roman" w:hAnsi="Times New Roman" w:eastAsia="宋体" w:cs="Times New Roman"/>
                <w:color w:val="auto"/>
                <w:sz w:val="24"/>
                <w:szCs w:val="24"/>
                <w:highlight w:val="none"/>
              </w:rPr>
              <w:t>的要求。</w:t>
            </w:r>
          </w:p>
          <w:p w14:paraId="66833330">
            <w:pPr>
              <w:numPr>
                <w:ilvl w:val="0"/>
                <w:numId w:val="0"/>
              </w:numPr>
              <w:spacing w:line="360" w:lineRule="auto"/>
              <w:ind w:firstLine="482" w:firstLineChars="200"/>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7、项目与</w:t>
            </w:r>
            <w:r>
              <w:rPr>
                <w:rFonts w:hint="eastAsia" w:ascii="Times New Roman" w:eastAsia="宋体"/>
                <w:b/>
                <w:bCs/>
                <w:color w:val="auto"/>
                <w:sz w:val="24"/>
                <w:szCs w:val="24"/>
                <w:lang w:val="en-US" w:eastAsia="zh-CN"/>
              </w:rPr>
              <w:t>《山东省涉挥发性有机物企业分行业治理指导意见》（鲁环发〔2019〕146号）</w:t>
            </w:r>
            <w:r>
              <w:rPr>
                <w:b/>
                <w:bCs/>
                <w:color w:val="auto"/>
                <w:sz w:val="24"/>
                <w:szCs w:val="24"/>
              </w:rPr>
              <w:t>符合性</w:t>
            </w:r>
            <w:r>
              <w:rPr>
                <w:rFonts w:hint="eastAsia" w:eastAsia="宋体"/>
                <w:b/>
                <w:bCs/>
                <w:color w:val="auto"/>
                <w:sz w:val="24"/>
                <w:szCs w:val="24"/>
                <w:lang w:eastAsia="zh-CN"/>
              </w:rPr>
              <w:t>分析</w:t>
            </w:r>
          </w:p>
          <w:p w14:paraId="50695218">
            <w:pPr>
              <w:numPr>
                <w:ilvl w:val="0"/>
                <w:numId w:val="0"/>
              </w:numPr>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 xml:space="preserve">5 </w:t>
            </w:r>
            <w:r>
              <w:rPr>
                <w:rFonts w:hint="default" w:ascii="Times New Roman" w:hAnsi="Times New Roman" w:eastAsia="宋体" w:cs="Times New Roman"/>
                <w:b/>
                <w:bCs/>
                <w:color w:val="auto"/>
                <w:sz w:val="24"/>
                <w:szCs w:val="24"/>
                <w:highlight w:val="none"/>
              </w:rPr>
              <w:t>与</w:t>
            </w:r>
            <w:r>
              <w:rPr>
                <w:rFonts w:hint="eastAsia" w:ascii="Times New Roman" w:eastAsia="宋体"/>
                <w:b/>
                <w:bCs/>
                <w:color w:val="auto"/>
                <w:sz w:val="24"/>
                <w:szCs w:val="24"/>
                <w:lang w:val="en-US" w:eastAsia="zh-CN"/>
              </w:rPr>
              <w:t>《山东省涉挥发性有机物企业分行业治理指导意见》（鲁环发〔2019〕146号）</w:t>
            </w:r>
            <w:r>
              <w:rPr>
                <w:b/>
                <w:bCs/>
                <w:color w:val="auto"/>
                <w:sz w:val="24"/>
                <w:szCs w:val="24"/>
              </w:rPr>
              <w:t>符合性</w:t>
            </w:r>
            <w:r>
              <w:rPr>
                <w:rFonts w:hint="eastAsia" w:eastAsia="宋体"/>
                <w:b/>
                <w:bCs/>
                <w:color w:val="auto"/>
                <w:sz w:val="24"/>
                <w:szCs w:val="24"/>
                <w:lang w:eastAsia="zh-CN"/>
              </w:rPr>
              <w:t>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20"/>
              <w:gridCol w:w="1462"/>
              <w:gridCol w:w="674"/>
            </w:tblGrid>
            <w:tr w14:paraId="598222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7" w:type="pct"/>
                  <w:tcBorders>
                    <w:tl2br w:val="nil"/>
                    <w:tr2bl w:val="nil"/>
                  </w:tcBorders>
                  <w:noWrap w:val="0"/>
                  <w:vAlign w:val="center"/>
                </w:tcPr>
                <w:p w14:paraId="14C782B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021" w:type="pct"/>
                  <w:tcBorders>
                    <w:tl2br w:val="nil"/>
                    <w:tr2bl w:val="nil"/>
                  </w:tcBorders>
                  <w:noWrap w:val="0"/>
                  <w:vAlign w:val="center"/>
                </w:tcPr>
                <w:p w14:paraId="1F4DFB5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w:t>
                  </w:r>
                  <w:r>
                    <w:rPr>
                      <w:rFonts w:hint="default" w:ascii="Times New Roman" w:hAnsi="Times New Roman" w:eastAsia="宋体" w:cs="Times New Roman"/>
                      <w:b/>
                      <w:bCs/>
                      <w:color w:val="auto"/>
                      <w:sz w:val="21"/>
                      <w:szCs w:val="21"/>
                      <w:highlight w:val="none"/>
                    </w:rPr>
                    <w:cr/>
                  </w:r>
                  <w:r>
                    <w:rPr>
                      <w:rFonts w:hint="default" w:ascii="Times New Roman" w:hAnsi="Times New Roman" w:eastAsia="宋体" w:cs="Times New Roman"/>
                      <w:b/>
                      <w:bCs/>
                      <w:color w:val="auto"/>
                      <w:sz w:val="21"/>
                      <w:szCs w:val="21"/>
                      <w:highlight w:val="none"/>
                    </w:rPr>
                    <w:t>目情况</w:t>
                  </w:r>
                </w:p>
              </w:tc>
              <w:tc>
                <w:tcPr>
                  <w:tcW w:w="471" w:type="pct"/>
                  <w:tcBorders>
                    <w:tl2br w:val="nil"/>
                    <w:tr2bl w:val="nil"/>
                  </w:tcBorders>
                  <w:noWrap w:val="0"/>
                  <w:vAlign w:val="center"/>
                </w:tcPr>
                <w:p w14:paraId="7CAA15D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170C1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7" w:type="pct"/>
                  <w:tcBorders>
                    <w:tl2br w:val="nil"/>
                    <w:tr2bl w:val="nil"/>
                  </w:tcBorders>
                  <w:noWrap w:val="0"/>
                  <w:vAlign w:val="center"/>
                </w:tcPr>
                <w:p w14:paraId="7F674E68">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021" w:type="pct"/>
                  <w:tcBorders>
                    <w:tl2br w:val="nil"/>
                    <w:tr2bl w:val="nil"/>
                  </w:tcBorders>
                  <w:noWrap w:val="0"/>
                  <w:vAlign w:val="center"/>
                </w:tcPr>
                <w:p w14:paraId="19335FF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本项目不涉及高</w:t>
                  </w:r>
                  <w:r>
                    <w:rPr>
                      <w:rFonts w:hint="default" w:ascii="Times New Roman" w:hAnsi="Times New Roman" w:eastAsia="宋体" w:cs="Times New Roman"/>
                      <w:color w:val="auto"/>
                      <w:sz w:val="21"/>
                      <w:szCs w:val="21"/>
                      <w:highlight w:val="none"/>
                    </w:rPr>
                    <w:t>VOCs 含量原辅材料</w:t>
                  </w:r>
                  <w:r>
                    <w:rPr>
                      <w:rFonts w:hint="eastAsia" w:hAnsi="Times New Roman" w:cs="Times New Roman"/>
                      <w:color w:val="auto"/>
                      <w:sz w:val="21"/>
                      <w:szCs w:val="21"/>
                      <w:highlight w:val="none"/>
                      <w:lang w:eastAsia="zh-CN"/>
                    </w:rPr>
                    <w:t>。</w:t>
                  </w:r>
                </w:p>
              </w:tc>
              <w:tc>
                <w:tcPr>
                  <w:tcW w:w="471" w:type="pct"/>
                  <w:tcBorders>
                    <w:tl2br w:val="nil"/>
                    <w:tr2bl w:val="nil"/>
                  </w:tcBorders>
                  <w:noWrap w:val="0"/>
                  <w:vAlign w:val="center"/>
                </w:tcPr>
                <w:p w14:paraId="0EFA97C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1CD6D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7" w:type="pct"/>
                  <w:tcBorders>
                    <w:tl2br w:val="nil"/>
                    <w:tr2bl w:val="nil"/>
                  </w:tcBorders>
                  <w:noWrap w:val="0"/>
                  <w:vAlign w:val="center"/>
                </w:tcPr>
                <w:p w14:paraId="724660DD">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（二）加强过程控制。</w:t>
                  </w:r>
                </w:p>
                <w:p w14:paraId="3064713C">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p w14:paraId="2DDE372B">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收集运输、储存和处理过程，应加盖密闭。含VOCs物料生产和使用过程，应采取有效收集措施或在密闭空间中操作。</w:t>
                  </w:r>
                </w:p>
                <w:p w14:paraId="6566ED4E">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3.推进使用先进生产工艺。通过采用全密闭、连续化、自动化等生产技术，以及高效工艺与设备等，减少工艺过程无组织排放。挥发性有机液体装载优先采用底部装载方式。</w:t>
                  </w:r>
                </w:p>
                <w:p w14:paraId="163B198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 局部排气通风系统安全要求》（GB/T 35077），通风管路设计应符合《通风管道技术规程》（JGJ/T 141）等相关规范要求，VOCs废气管路不得与其他废气管路合并。</w:t>
                  </w:r>
                </w:p>
                <w:p w14:paraId="53944933">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p w14:paraId="39DAD3DF">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治污设施的设计与安装应充分考虑安全性、经济性及适用性。具有黏连性、积聚自燃性、高沸点、与碳发生化学反应的有机废气，不宜采用活性炭吸附、光催化氧化②、低温等离子③等治污设施。含有酸性物质的有机废气，应充分考虑对治污设施的腐蚀等影响因素。含有颗粒物的废气，为保障VOCs治污设施运行的稳定性，宜进行预处理降低颗粒物浓度。含卤素的有机废气，在使用直接燃烧、蓄热式燃烧等处理工艺时，宜采用急冷等方式减少二噁英④的产生。使用臭氧发生器等基于臭氧发生原理的治污设施，应采取有效措施降低臭氧逸散对周边环境的影响。采用吸附处理工艺的，应满足《吸附法工业有机废气治理工程技术规范》（HJ 2026）要求。采用催化燃烧工艺的，应满足《催化燃烧法工业有机废气治理工程技术规范》（HJ 2027）要求。采用蓄热燃烧等工艺的，应按相关技术规范要求设计。</w:t>
                  </w:r>
                </w:p>
                <w:p w14:paraId="4030CBC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021" w:type="pct"/>
                  <w:tcBorders>
                    <w:tl2br w:val="nil"/>
                    <w:tr2bl w:val="nil"/>
                  </w:tcBorders>
                  <w:noWrap w:val="0"/>
                  <w:vAlign w:val="center"/>
                </w:tcPr>
                <w:p w14:paraId="1E86E938">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本项目使用原料均存放于密闭仓库内，</w:t>
                  </w:r>
                  <w:r>
                    <w:rPr>
                      <w:rFonts w:hint="eastAsia" w:hAnsi="Times New Roman" w:cs="Times New Roman"/>
                      <w:color w:val="auto"/>
                      <w:kern w:val="2"/>
                      <w:sz w:val="21"/>
                      <w:szCs w:val="21"/>
                      <w:highlight w:val="none"/>
                      <w:lang w:val="en-US" w:eastAsia="zh-CN" w:bidi="ar-SA"/>
                    </w:rPr>
                    <w:t>本项目吹塑工序产生的废气分别经集气罩收集后进入过滤棉+二级活性炭吸附装置处理后通过1根15m高的排气筒（DA001）排放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p>
              </w:tc>
              <w:tc>
                <w:tcPr>
                  <w:tcW w:w="471" w:type="pct"/>
                  <w:tcBorders>
                    <w:tl2br w:val="nil"/>
                    <w:tr2bl w:val="nil"/>
                  </w:tcBorders>
                  <w:noWrap w:val="0"/>
                  <w:vAlign w:val="center"/>
                </w:tcPr>
                <w:p w14:paraId="630AF83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40AE5AD9">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由上表可知，项目符合</w:t>
            </w:r>
            <w:r>
              <w:rPr>
                <w:rFonts w:hint="default" w:ascii="Times New Roman" w:hAnsi="Times New Roman" w:eastAsia="宋体" w:cs="Times New Roman"/>
                <w:color w:val="auto"/>
                <w:sz w:val="24"/>
                <w:szCs w:val="24"/>
                <w:highlight w:val="none"/>
                <w:lang w:val="en-US" w:eastAsia="zh-CN"/>
              </w:rPr>
              <w:t>《山东省涉挥发性有机物企业分行业治理指导意见》（鲁环发〔2019〕146号）</w:t>
            </w:r>
            <w:r>
              <w:rPr>
                <w:rFonts w:hint="default" w:ascii="Times New Roman" w:hAnsi="Times New Roman" w:eastAsia="宋体" w:cs="Times New Roman"/>
                <w:color w:val="auto"/>
                <w:sz w:val="24"/>
                <w:szCs w:val="24"/>
                <w:highlight w:val="none"/>
              </w:rPr>
              <w:t>的要求。</w:t>
            </w:r>
          </w:p>
          <w:p w14:paraId="14A41772">
            <w:pPr>
              <w:numPr>
                <w:ilvl w:val="0"/>
                <w:numId w:val="0"/>
              </w:numPr>
              <w:spacing w:line="360" w:lineRule="auto"/>
              <w:ind w:firstLine="482" w:firstLineChars="200"/>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8、与</w:t>
            </w:r>
            <w:r>
              <w:rPr>
                <w:rFonts w:hint="eastAsia"/>
                <w:b/>
                <w:bCs/>
                <w:color w:val="auto"/>
                <w:sz w:val="24"/>
                <w:szCs w:val="24"/>
              </w:rPr>
              <w:t>《山东省工业企业无组织排放分行业管控指导意见》（鲁环发〔2020〕30号）</w:t>
            </w:r>
            <w:r>
              <w:rPr>
                <w:b/>
                <w:bCs/>
                <w:color w:val="auto"/>
                <w:sz w:val="24"/>
                <w:szCs w:val="24"/>
              </w:rPr>
              <w:t>符合性</w:t>
            </w:r>
            <w:r>
              <w:rPr>
                <w:rFonts w:hint="eastAsia" w:eastAsia="宋体"/>
                <w:b/>
                <w:bCs/>
                <w:color w:val="auto"/>
                <w:sz w:val="24"/>
                <w:szCs w:val="24"/>
                <w:lang w:eastAsia="zh-CN"/>
              </w:rPr>
              <w:t>分析</w:t>
            </w:r>
          </w:p>
          <w:p w14:paraId="645CBC02">
            <w:pPr>
              <w:numPr>
                <w:ilvl w:val="0"/>
                <w:numId w:val="0"/>
              </w:numPr>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 xml:space="preserve">6 </w:t>
            </w:r>
            <w:r>
              <w:rPr>
                <w:rFonts w:hint="default" w:ascii="Times New Roman" w:hAnsi="Times New Roman" w:eastAsia="宋体" w:cs="Times New Roman"/>
                <w:b/>
                <w:bCs/>
                <w:color w:val="auto"/>
                <w:sz w:val="24"/>
                <w:szCs w:val="24"/>
                <w:highlight w:val="none"/>
              </w:rPr>
              <w:t>与《山东省工业企业无组织排放分行业管控指导意见》（鲁环发〔2020〕30号）</w:t>
            </w:r>
            <w:r>
              <w:rPr>
                <w:b/>
                <w:bCs/>
                <w:color w:val="auto"/>
                <w:sz w:val="24"/>
                <w:szCs w:val="24"/>
              </w:rPr>
              <w:t>符合性</w:t>
            </w:r>
            <w:r>
              <w:rPr>
                <w:rFonts w:hint="eastAsia" w:eastAsia="宋体"/>
                <w:b/>
                <w:bCs/>
                <w:color w:val="auto"/>
                <w:sz w:val="24"/>
                <w:szCs w:val="24"/>
                <w:lang w:eastAsia="zh-CN"/>
              </w:rPr>
              <w:t>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42"/>
              <w:gridCol w:w="1640"/>
              <w:gridCol w:w="674"/>
            </w:tblGrid>
            <w:tr w14:paraId="6CD48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3DDEFBD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144" w:type="pct"/>
                  <w:tcBorders>
                    <w:tl2br w:val="nil"/>
                    <w:tr2bl w:val="nil"/>
                  </w:tcBorders>
                  <w:noWrap w:val="0"/>
                  <w:vAlign w:val="center"/>
                </w:tcPr>
                <w:p w14:paraId="21D0591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w:t>
                  </w:r>
                  <w:r>
                    <w:rPr>
                      <w:rFonts w:hint="default" w:ascii="Times New Roman" w:hAnsi="Times New Roman" w:eastAsia="宋体" w:cs="Times New Roman"/>
                      <w:b/>
                      <w:bCs/>
                      <w:color w:val="auto"/>
                      <w:sz w:val="21"/>
                      <w:szCs w:val="21"/>
                      <w:highlight w:val="none"/>
                    </w:rPr>
                    <w:cr/>
                  </w:r>
                  <w:r>
                    <w:rPr>
                      <w:rFonts w:hint="default" w:ascii="Times New Roman" w:hAnsi="Times New Roman" w:eastAsia="宋体" w:cs="Times New Roman"/>
                      <w:b/>
                      <w:bCs/>
                      <w:color w:val="auto"/>
                      <w:sz w:val="21"/>
                      <w:szCs w:val="21"/>
                      <w:highlight w:val="none"/>
                    </w:rPr>
                    <w:t>目情况</w:t>
                  </w:r>
                </w:p>
              </w:tc>
              <w:tc>
                <w:tcPr>
                  <w:tcW w:w="471" w:type="pct"/>
                  <w:tcBorders>
                    <w:tl2br w:val="nil"/>
                    <w:tr2bl w:val="nil"/>
                  </w:tcBorders>
                  <w:noWrap w:val="0"/>
                  <w:vAlign w:val="center"/>
                </w:tcPr>
                <w:p w14:paraId="692BFB4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3F24F9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58C10009">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十七）包装印刷行业。通过使用水性、辐射固化、植物基、低（无）醇润版液等低VOCs含量的油墨替代溶剂型油墨，从源头减少VOCs产生。油墨、胶黏剂、涂布液、润版液、稀释剂、上光剂、覆膜剂、修正液等含VOCs物料密闭储存。调墨、供墨、涂布、印刷、烘干、覆膜、复合、上光、清洗、烫箔、洗车、辐刷、覆压等工艺环节采用密闭设备或在密闭空间内操作，并配备VOCs有效收集处理设施。</w:t>
                  </w:r>
                </w:p>
              </w:tc>
              <w:tc>
                <w:tcPr>
                  <w:tcW w:w="1144" w:type="pct"/>
                  <w:tcBorders>
                    <w:tl2br w:val="nil"/>
                    <w:tr2bl w:val="nil"/>
                  </w:tcBorders>
                  <w:noWrap w:val="0"/>
                  <w:vAlign w:val="center"/>
                </w:tcPr>
                <w:p w14:paraId="760F1CF7">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本项目使用原料均存放于密闭仓库内，</w:t>
                  </w: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p>
              </w:tc>
              <w:tc>
                <w:tcPr>
                  <w:tcW w:w="471" w:type="pct"/>
                  <w:tcBorders>
                    <w:tl2br w:val="nil"/>
                    <w:tr2bl w:val="nil"/>
                  </w:tcBorders>
                  <w:noWrap w:val="0"/>
                  <w:vAlign w:val="center"/>
                </w:tcPr>
                <w:p w14:paraId="4ED0E33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4F8EEAD9">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由上表可知，项目符合《山东省工业企业无组织排放分行业管控指导意见》（鲁环发〔2020〕30号）的要求。</w:t>
            </w:r>
          </w:p>
          <w:p w14:paraId="647EAD7A">
            <w:pPr>
              <w:numPr>
                <w:ilvl w:val="0"/>
                <w:numId w:val="0"/>
              </w:numPr>
              <w:spacing w:line="360" w:lineRule="auto"/>
              <w:ind w:firstLine="482" w:firstLineChars="200"/>
              <w:rPr>
                <w:rFonts w:hint="default" w:ascii="Times New Roman" w:hAnsi="Times New Roman" w:eastAsia="宋体" w:cs="Times New Roman"/>
                <w:color w:val="auto"/>
                <w:sz w:val="24"/>
                <w:szCs w:val="24"/>
                <w:highlight w:val="none"/>
              </w:rPr>
            </w:pPr>
            <w:r>
              <w:rPr>
                <w:rFonts w:hint="eastAsia"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与</w:t>
            </w:r>
            <w:r>
              <w:rPr>
                <w:b/>
                <w:bCs/>
                <w:color w:val="auto"/>
                <w:sz w:val="24"/>
                <w:szCs w:val="24"/>
              </w:rPr>
              <w:t>《济宁市2020年挥发性有机物治理攻坚行动方案》</w:t>
            </w:r>
            <w:r>
              <w:rPr>
                <w:rFonts w:hint="eastAsia" w:eastAsia="宋体"/>
                <w:b/>
                <w:bCs/>
                <w:color w:val="auto"/>
                <w:sz w:val="24"/>
                <w:szCs w:val="24"/>
                <w:lang w:eastAsia="zh-CN"/>
              </w:rPr>
              <w:t>（济气综治办发〔2020〕25号）</w:t>
            </w:r>
            <w:r>
              <w:rPr>
                <w:b/>
                <w:bCs/>
                <w:color w:val="auto"/>
                <w:sz w:val="24"/>
                <w:szCs w:val="24"/>
              </w:rPr>
              <w:t>符合性</w:t>
            </w:r>
            <w:r>
              <w:rPr>
                <w:rFonts w:hint="eastAsia" w:eastAsia="宋体"/>
                <w:b/>
                <w:bCs/>
                <w:color w:val="auto"/>
                <w:sz w:val="24"/>
                <w:szCs w:val="24"/>
                <w:lang w:eastAsia="zh-CN"/>
              </w:rPr>
              <w:t>分析</w:t>
            </w:r>
          </w:p>
          <w:p w14:paraId="51DCE78A">
            <w:pPr>
              <w:numPr>
                <w:ilvl w:val="0"/>
                <w:numId w:val="0"/>
              </w:numPr>
              <w:spacing w:line="24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与</w:t>
            </w:r>
            <w:r>
              <w:rPr>
                <w:b/>
                <w:bCs/>
                <w:color w:val="auto"/>
                <w:sz w:val="24"/>
                <w:szCs w:val="24"/>
              </w:rPr>
              <w:t>《济宁市2020年挥发性有机物治理攻坚行动方案》</w:t>
            </w:r>
            <w:r>
              <w:rPr>
                <w:rFonts w:hint="eastAsia" w:eastAsia="宋体"/>
                <w:b/>
                <w:bCs/>
                <w:color w:val="auto"/>
                <w:sz w:val="24"/>
                <w:szCs w:val="24"/>
                <w:lang w:eastAsia="zh-CN"/>
              </w:rPr>
              <w:t>（济气综治办发〔2020〕25号）</w:t>
            </w:r>
            <w:r>
              <w:rPr>
                <w:b/>
                <w:bCs/>
                <w:color w:val="auto"/>
                <w:sz w:val="24"/>
                <w:szCs w:val="24"/>
              </w:rPr>
              <w:t>符合性</w:t>
            </w:r>
            <w:r>
              <w:rPr>
                <w:rFonts w:hint="eastAsia" w:eastAsia="宋体"/>
                <w:b/>
                <w:bCs/>
                <w:color w:val="auto"/>
                <w:sz w:val="24"/>
                <w:szCs w:val="24"/>
                <w:lang w:eastAsia="zh-CN"/>
              </w:rPr>
              <w:t>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42"/>
              <w:gridCol w:w="1640"/>
              <w:gridCol w:w="674"/>
            </w:tblGrid>
            <w:tr w14:paraId="1BDD93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666C20C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144" w:type="pct"/>
                  <w:tcBorders>
                    <w:tl2br w:val="nil"/>
                    <w:tr2bl w:val="nil"/>
                  </w:tcBorders>
                  <w:noWrap w:val="0"/>
                  <w:vAlign w:val="center"/>
                </w:tcPr>
                <w:p w14:paraId="2EB2B1D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w:t>
                  </w:r>
                  <w:r>
                    <w:rPr>
                      <w:rFonts w:hint="default" w:ascii="Times New Roman" w:hAnsi="Times New Roman" w:eastAsia="宋体" w:cs="Times New Roman"/>
                      <w:b/>
                      <w:bCs/>
                      <w:color w:val="auto"/>
                      <w:sz w:val="21"/>
                      <w:szCs w:val="21"/>
                      <w:highlight w:val="none"/>
                    </w:rPr>
                    <w:cr/>
                  </w:r>
                  <w:r>
                    <w:rPr>
                      <w:rFonts w:hint="default" w:ascii="Times New Roman" w:hAnsi="Times New Roman" w:eastAsia="宋体" w:cs="Times New Roman"/>
                      <w:b/>
                      <w:bCs/>
                      <w:color w:val="auto"/>
                      <w:sz w:val="21"/>
                      <w:szCs w:val="21"/>
                      <w:highlight w:val="none"/>
                    </w:rPr>
                    <w:t>目情况</w:t>
                  </w:r>
                </w:p>
              </w:tc>
              <w:tc>
                <w:tcPr>
                  <w:tcW w:w="471" w:type="pct"/>
                  <w:tcBorders>
                    <w:tl2br w:val="nil"/>
                    <w:tr2bl w:val="nil"/>
                  </w:tcBorders>
                  <w:noWrap w:val="0"/>
                  <w:vAlign w:val="center"/>
                </w:tcPr>
                <w:p w14:paraId="1B3D964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68DD3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1C95CFF4">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新、改、扩建涉VOCs排放项目，应从源头加强控制，使用低（无）VOCs含量的原辅材料，加强废气收集，安装高效治理设施</w:t>
                  </w:r>
                </w:p>
              </w:tc>
              <w:tc>
                <w:tcPr>
                  <w:tcW w:w="1144" w:type="pct"/>
                  <w:tcBorders>
                    <w:tl2br w:val="nil"/>
                    <w:tr2bl w:val="nil"/>
                  </w:tcBorders>
                  <w:noWrap w:val="0"/>
                  <w:vAlign w:val="center"/>
                </w:tcPr>
                <w:p w14:paraId="682CA875">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本项目使用原料均存放于密闭仓库内。</w:t>
                  </w: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p>
              </w:tc>
              <w:tc>
                <w:tcPr>
                  <w:tcW w:w="471" w:type="pct"/>
                  <w:tcBorders>
                    <w:tl2br w:val="nil"/>
                    <w:tr2bl w:val="nil"/>
                  </w:tcBorders>
                  <w:noWrap w:val="0"/>
                  <w:vAlign w:val="center"/>
                </w:tcPr>
                <w:p w14:paraId="2B3DEE5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7713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83" w:type="pct"/>
                  <w:tcBorders>
                    <w:tl2br w:val="nil"/>
                    <w:tr2bl w:val="nil"/>
                  </w:tcBorders>
                  <w:noWrap w:val="0"/>
                  <w:vAlign w:val="center"/>
                </w:tcPr>
                <w:p w14:paraId="3B9F0CAF">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 或在密闭空间中操作，有效收集废气，或进行局部气体收集；处置环节应将盛装过VOCs物料的废包装容器加盖密 闭，按要求妥善处置，不得随意丢弃</w:t>
                  </w:r>
                </w:p>
              </w:tc>
              <w:tc>
                <w:tcPr>
                  <w:tcW w:w="1144" w:type="pct"/>
                  <w:tcBorders>
                    <w:tl2br w:val="nil"/>
                    <w:tr2bl w:val="nil"/>
                  </w:tcBorders>
                  <w:noWrap w:val="0"/>
                  <w:vAlign w:val="center"/>
                </w:tcPr>
                <w:p w14:paraId="0726E97E">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本项目不使用助剂。</w:t>
                  </w:r>
                </w:p>
              </w:tc>
              <w:tc>
                <w:tcPr>
                  <w:tcW w:w="471" w:type="pct"/>
                  <w:tcBorders>
                    <w:tl2br w:val="nil"/>
                    <w:tr2bl w:val="nil"/>
                  </w:tcBorders>
                  <w:noWrap w:val="0"/>
                  <w:vAlign w:val="center"/>
                </w:tcPr>
                <w:p w14:paraId="75E592A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6C3ED127">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由上表可知，项目符合《济宁市2020年挥发性有机物治理攻坚行动方案》</w:t>
            </w:r>
            <w:r>
              <w:rPr>
                <w:rFonts w:hint="default" w:ascii="Times New Roman" w:hAnsi="Times New Roman" w:eastAsia="宋体" w:cs="Times New Roman"/>
                <w:color w:val="auto"/>
                <w:sz w:val="24"/>
                <w:szCs w:val="24"/>
                <w:highlight w:val="none"/>
                <w:lang w:eastAsia="zh-CN"/>
              </w:rPr>
              <w:t>（济气综治办发〔2020〕25号）</w:t>
            </w:r>
            <w:r>
              <w:rPr>
                <w:rFonts w:hint="default" w:ascii="Times New Roman" w:hAnsi="Times New Roman" w:eastAsia="宋体" w:cs="Times New Roman"/>
                <w:color w:val="auto"/>
                <w:sz w:val="24"/>
                <w:szCs w:val="24"/>
                <w:highlight w:val="none"/>
              </w:rPr>
              <w:t>的要求。</w:t>
            </w:r>
          </w:p>
          <w:p w14:paraId="4A1606FE">
            <w:pPr>
              <w:widowControl w:val="0"/>
              <w:topLinePunct/>
              <w:adjustRightInd w:val="0"/>
              <w:snapToGrid w:val="0"/>
              <w:spacing w:line="360" w:lineRule="auto"/>
              <w:ind w:firstLine="482" w:firstLineChars="200"/>
              <w:jc w:val="both"/>
              <w:rPr>
                <w:rFonts w:hint="default" w:ascii="Times New Roman" w:hAnsi="Times New Roman" w:eastAsia="宋体" w:cs="Times New Roman"/>
                <w:b/>
                <w:color w:val="auto"/>
                <w:kern w:val="2"/>
                <w:sz w:val="24"/>
                <w:szCs w:val="24"/>
                <w:highlight w:val="none"/>
                <w:lang w:val="en-US" w:eastAsia="zh-CN" w:bidi="ar-SA"/>
              </w:rPr>
            </w:pPr>
            <w:r>
              <w:rPr>
                <w:rFonts w:hint="eastAsia" w:cs="Times New Roman"/>
                <w:b/>
                <w:bCs/>
                <w:color w:val="auto"/>
                <w:sz w:val="24"/>
                <w:szCs w:val="24"/>
                <w:highlight w:val="none"/>
                <w:shd w:val="clear" w:color="auto" w:fill="auto"/>
                <w:lang w:val="en-US" w:eastAsia="zh-CN"/>
              </w:rPr>
              <w:t>10、</w:t>
            </w:r>
            <w:r>
              <w:rPr>
                <w:rFonts w:hint="default" w:ascii="Times New Roman" w:hAnsi="Times New Roman" w:eastAsia="宋体" w:cs="Times New Roman"/>
                <w:b/>
                <w:color w:val="auto"/>
                <w:kern w:val="2"/>
                <w:sz w:val="24"/>
                <w:szCs w:val="24"/>
                <w:highlight w:val="none"/>
                <w:lang w:val="en-US" w:eastAsia="zh-CN" w:bidi="ar-SA"/>
              </w:rPr>
              <w:t>与</w:t>
            </w:r>
            <w:r>
              <w:rPr>
                <w:rFonts w:hint="eastAsia" w:ascii="Times New Roman" w:hAnsi="Times New Roman" w:eastAsia="宋体" w:cs="Times New Roman"/>
                <w:b/>
                <w:color w:val="auto"/>
                <w:kern w:val="2"/>
                <w:sz w:val="24"/>
                <w:szCs w:val="24"/>
                <w:highlight w:val="none"/>
                <w:lang w:val="en-US" w:eastAsia="zh-CN" w:bidi="ar-SA"/>
              </w:rPr>
              <w:t>《山东省“两高”项目管理目录（2025年版）》</w:t>
            </w:r>
            <w:r>
              <w:rPr>
                <w:rFonts w:hint="default" w:ascii="Times New Roman" w:hAnsi="Times New Roman" w:eastAsia="宋体" w:cs="Times New Roman"/>
                <w:b/>
                <w:color w:val="auto"/>
                <w:kern w:val="2"/>
                <w:sz w:val="24"/>
                <w:szCs w:val="24"/>
                <w:highlight w:val="none"/>
                <w:lang w:val="en-US" w:eastAsia="zh-CN" w:bidi="ar-SA"/>
              </w:rPr>
              <w:t>符合性分析</w:t>
            </w:r>
          </w:p>
          <w:p w14:paraId="65320966">
            <w:pPr>
              <w:numPr>
                <w:ilvl w:val="0"/>
                <w:numId w:val="0"/>
              </w:numPr>
              <w:spacing w:line="360" w:lineRule="auto"/>
              <w:ind w:firstLine="480" w:firstLineChars="200"/>
              <w:rPr>
                <w:rFonts w:hint="eastAsia" w:cs="Times New Roman"/>
                <w:b w:val="0"/>
                <w:bCs w:val="0"/>
                <w:color w:val="auto"/>
                <w:sz w:val="24"/>
                <w:szCs w:val="24"/>
                <w:lang w:val="en-US" w:eastAsia="zh-CN"/>
              </w:rPr>
            </w:pPr>
            <w:r>
              <w:rPr>
                <w:rFonts w:hint="eastAsia" w:cs="Times New Roman"/>
                <w:b w:val="0"/>
                <w:bCs w:val="0"/>
                <w:color w:val="auto"/>
                <w:sz w:val="24"/>
                <w:szCs w:val="24"/>
                <w:lang w:val="en-US" w:eastAsia="zh-CN"/>
              </w:rPr>
              <w:t>根据《关于“两高”项目管理有关事项的补充通知》（鲁发改工业〔2023〕34 号）及《关于优化调整部分行业“两高”项目管理有关事项的通知》（鲁发改工业〔2024]828 号）和《山东省“两高”项目管理目录（2025 年版）》，所指“两高”行业，主要包括国家统计局国民经济和社会发展统计公报中明确的石油、煤炭及其他燃料加工业，化学原料和化学制品制造业，非金属矿物制品业，黑色金属冶炼和压延加工业，有色金属冶炼和压延加工业，电力、热力生产和供应业等“六大高耗能行业”。</w:t>
            </w:r>
          </w:p>
          <w:p w14:paraId="0B2DDEBE">
            <w:pPr>
              <w:numPr>
                <w:ilvl w:val="0"/>
                <w:numId w:val="0"/>
              </w:numPr>
              <w:spacing w:line="360" w:lineRule="auto"/>
              <w:ind w:firstLine="480" w:firstLineChars="200"/>
              <w:rPr>
                <w:rFonts w:hint="eastAsia" w:cs="Times New Roman"/>
                <w:b/>
                <w:bCs/>
                <w:color w:val="auto"/>
                <w:sz w:val="24"/>
                <w:szCs w:val="24"/>
                <w:highlight w:val="none"/>
                <w:lang w:val="en-US" w:eastAsia="zh-CN"/>
              </w:rPr>
            </w:pPr>
            <w:r>
              <w:rPr>
                <w:rFonts w:hint="eastAsia" w:cs="Times New Roman"/>
                <w:b w:val="0"/>
                <w:bCs w:val="0"/>
                <w:color w:val="auto"/>
                <w:sz w:val="24"/>
                <w:szCs w:val="24"/>
                <w:lang w:val="en-US" w:eastAsia="zh-CN"/>
              </w:rPr>
              <w:t>通过对照可知，</w:t>
            </w:r>
            <w:r>
              <w:rPr>
                <w:rFonts w:hint="default" w:ascii="Times New Roman" w:hAnsi="Times New Roman" w:eastAsia="宋体" w:cs="Times New Roman"/>
                <w:color w:val="auto"/>
                <w:sz w:val="24"/>
                <w:szCs w:val="24"/>
                <w:highlight w:val="none"/>
              </w:rPr>
              <w:t>本项目为</w:t>
            </w:r>
            <w:r>
              <w:rPr>
                <w:rFonts w:hint="eastAsia" w:cs="Times New Roman"/>
                <w:color w:val="auto"/>
                <w:sz w:val="24"/>
                <w:szCs w:val="24"/>
                <w:highlight w:val="none"/>
                <w:lang w:val="en-US" w:eastAsia="zh-CN"/>
              </w:rPr>
              <w:t>年产450万套机床附件包装盒项目</w:t>
            </w:r>
            <w:r>
              <w:rPr>
                <w:rFonts w:hint="default" w:ascii="Times New Roman" w:hAnsi="Times New Roman" w:eastAsia="宋体" w:cs="Times New Roman"/>
                <w:color w:val="auto"/>
                <w:sz w:val="24"/>
                <w:szCs w:val="24"/>
                <w:highlight w:val="none"/>
              </w:rPr>
              <w:t>，</w:t>
            </w:r>
            <w:r>
              <w:rPr>
                <w:rFonts w:hint="eastAsia" w:cs="Times New Roman"/>
                <w:color w:val="auto"/>
                <w:kern w:val="2"/>
                <w:sz w:val="24"/>
                <w:szCs w:val="24"/>
                <w:lang w:val="en-US" w:eastAsia="zh-CN" w:bidi="ar-SA"/>
              </w:rPr>
              <w:t>行业类别为</w:t>
            </w:r>
            <w:r>
              <w:rPr>
                <w:rFonts w:hint="default" w:ascii="Times New Roman" w:hAnsi="Times New Roman" w:eastAsia="宋体" w:cs="Times New Roman"/>
                <w:color w:val="auto"/>
                <w:sz w:val="24"/>
                <w:szCs w:val="24"/>
                <w:highlight w:val="none"/>
                <w:lang w:val="en-US" w:eastAsia="zh-CN"/>
              </w:rPr>
              <w:t>C</w:t>
            </w:r>
            <w:r>
              <w:rPr>
                <w:rFonts w:hint="eastAsia" w:cs="Times New Roman"/>
                <w:color w:val="auto"/>
                <w:sz w:val="24"/>
                <w:szCs w:val="24"/>
                <w:highlight w:val="none"/>
                <w:lang w:val="en-US" w:eastAsia="zh-CN"/>
              </w:rPr>
              <w:t>2926塑料包装箱及容器制造</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z w:val="24"/>
                <w:szCs w:val="24"/>
                <w:highlight w:val="none"/>
              </w:rPr>
              <w:t>不在山东省“两高”项目管理目录内，符合产业政策。</w:t>
            </w:r>
          </w:p>
          <w:p w14:paraId="3503900E">
            <w:pPr>
              <w:numPr>
                <w:ilvl w:val="0"/>
                <w:numId w:val="0"/>
              </w:numPr>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项目与南水北调工程的关系</w:t>
            </w:r>
          </w:p>
          <w:p w14:paraId="69D8E02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eastAsia" w:cs="Times New Roman"/>
                <w:color w:val="auto"/>
                <w:kern w:val="2"/>
                <w:sz w:val="24"/>
                <w:szCs w:val="24"/>
                <w:highlight w:val="none"/>
                <w:u w:val="none"/>
                <w:lang w:val="en-US" w:eastAsia="zh-CN" w:bidi="ar-SA"/>
              </w:rPr>
              <w:t>济宁市泗水县泉林镇泉林村原泗水县纺织厂院内</w:t>
            </w:r>
            <w:r>
              <w:rPr>
                <w:rFonts w:hint="default" w:ascii="Times New Roman" w:hAnsi="Times New Roman" w:eastAsia="宋体" w:cs="Times New Roman"/>
                <w:color w:val="auto"/>
                <w:sz w:val="24"/>
                <w:szCs w:val="24"/>
                <w:highlight w:val="none"/>
                <w:lang w:val="en-US" w:eastAsia="zh-CN"/>
              </w:rPr>
              <w:t>，距离南水北调济宁段最近距离约</w:t>
            </w:r>
            <w:r>
              <w:rPr>
                <w:rFonts w:hint="eastAsia" w:cs="Times New Roman"/>
                <w:color w:val="auto"/>
                <w:sz w:val="24"/>
                <w:szCs w:val="24"/>
                <w:highlight w:val="none"/>
                <w:lang w:val="en-US" w:eastAsia="zh-CN"/>
              </w:rPr>
              <w:t>86.9</w:t>
            </w:r>
            <w:r>
              <w:rPr>
                <w:rFonts w:hint="default" w:ascii="Times New Roman" w:hAnsi="Times New Roman" w:eastAsia="宋体" w:cs="Times New Roman"/>
                <w:color w:val="auto"/>
                <w:sz w:val="24"/>
                <w:szCs w:val="24"/>
                <w:highlight w:val="none"/>
                <w:lang w:val="en-US" w:eastAsia="zh-CN"/>
              </w:rPr>
              <w:t>km，故本项目厂区位于山东省南水北调沿线</w:t>
            </w:r>
            <w:r>
              <w:rPr>
                <w:rFonts w:hint="eastAsia" w:cs="Times New Roman"/>
                <w:color w:val="auto"/>
                <w:sz w:val="24"/>
                <w:szCs w:val="24"/>
                <w:highlight w:val="none"/>
                <w:lang w:val="en-US" w:eastAsia="zh-CN"/>
              </w:rPr>
              <w:t>一般</w:t>
            </w:r>
            <w:r>
              <w:rPr>
                <w:rFonts w:hint="default" w:ascii="Times New Roman" w:hAnsi="Times New Roman" w:eastAsia="宋体" w:cs="Times New Roman"/>
                <w:color w:val="auto"/>
                <w:sz w:val="24"/>
                <w:szCs w:val="24"/>
                <w:highlight w:val="none"/>
                <w:lang w:val="en-US" w:eastAsia="zh-CN"/>
              </w:rPr>
              <w:t>保护区域内，排放水需满足</w:t>
            </w:r>
            <w:r>
              <w:rPr>
                <w:rFonts w:hint="eastAsia" w:ascii="Times New Roman" w:hAnsi="Times New Roman" w:cs="Times New Roman"/>
                <w:color w:val="auto"/>
                <w:kern w:val="0"/>
                <w:sz w:val="24"/>
                <w:szCs w:val="24"/>
                <w:lang w:eastAsia="zh-CN"/>
              </w:rPr>
              <w:t>《流域水污染物综合排放标准</w:t>
            </w:r>
            <w:r>
              <w:rPr>
                <w:rFonts w:hint="default" w:ascii="Times New Roman" w:hAnsi="Times New Roman" w:cs="Times New Roman"/>
                <w:color w:val="auto"/>
                <w:kern w:val="0"/>
                <w:sz w:val="24"/>
                <w:szCs w:val="24"/>
              </w:rPr>
              <w:t xml:space="preserve"> 第1部分：南四湖东平湖流域》（</w:t>
            </w:r>
            <w:r>
              <w:rPr>
                <w:rFonts w:hint="default" w:ascii="Times New Roman" w:hAnsi="Times New Roman" w:cs="Times New Roman"/>
                <w:color w:val="auto"/>
                <w:kern w:val="0"/>
                <w:sz w:val="24"/>
                <w:szCs w:val="24"/>
                <w:lang w:eastAsia="zh-CN"/>
              </w:rPr>
              <w:t>DB 37 3416.1-2023</w:t>
            </w:r>
            <w:r>
              <w:rPr>
                <w:rFonts w:hint="default" w:ascii="Times New Roman" w:hAnsi="Times New Roman" w:cs="Times New Roman"/>
                <w:color w:val="auto"/>
                <w:kern w:val="0"/>
                <w:sz w:val="24"/>
                <w:szCs w:val="24"/>
              </w:rPr>
              <w:t>）表2</w:t>
            </w:r>
            <w:r>
              <w:rPr>
                <w:rFonts w:hint="eastAsia" w:cs="Times New Roman"/>
                <w:color w:val="auto"/>
                <w:kern w:val="0"/>
                <w:sz w:val="24"/>
                <w:szCs w:val="24"/>
                <w:lang w:val="en-US" w:eastAsia="zh-CN"/>
              </w:rPr>
              <w:t>一般</w:t>
            </w:r>
            <w:r>
              <w:rPr>
                <w:rFonts w:hint="default" w:ascii="Times New Roman" w:hAnsi="Times New Roman" w:cs="Times New Roman"/>
                <w:color w:val="auto"/>
                <w:kern w:val="0"/>
                <w:sz w:val="24"/>
                <w:szCs w:val="24"/>
                <w:lang w:eastAsia="zh-CN"/>
              </w:rPr>
              <w:t>控制区</w:t>
            </w:r>
            <w:r>
              <w:rPr>
                <w:rFonts w:hint="default" w:ascii="Times New Roman" w:hAnsi="Times New Roman" w:eastAsia="宋体" w:cs="Times New Roman"/>
                <w:color w:val="auto"/>
                <w:sz w:val="24"/>
                <w:szCs w:val="24"/>
                <w:highlight w:val="none"/>
                <w:lang w:val="en-US" w:eastAsia="zh-CN"/>
              </w:rPr>
              <w:t>排放标准的同时需满足地方政府要求。本项目运营过程中，</w:t>
            </w:r>
            <w:r>
              <w:rPr>
                <w:rFonts w:hint="eastAsia" w:cs="Times New Roman"/>
                <w:color w:val="auto"/>
                <w:sz w:val="24"/>
                <w:szCs w:val="24"/>
                <w:highlight w:val="none"/>
                <w:lang w:val="en-US" w:eastAsia="zh-CN"/>
              </w:rPr>
              <w:t>无生产及生活污水排放</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因此，建设项目对南水北调工程影响较小。</w:t>
            </w:r>
          </w:p>
          <w:p w14:paraId="576BBF5C">
            <w:pPr>
              <w:pStyle w:val="71"/>
              <w:adjustRightInd w:val="0"/>
              <w:snapToGrid w:val="0"/>
              <w:spacing w:line="360" w:lineRule="auto"/>
              <w:ind w:firstLine="482" w:firstLineChars="200"/>
              <w:rPr>
                <w:rFonts w:hint="default" w:ascii="Times New Roman" w:hAnsi="Times New Roman" w:eastAsia="宋体" w:cs="Times New Roman"/>
                <w:b w:val="0"/>
                <w:bCs w:val="0"/>
                <w:color w:val="auto"/>
                <w:spacing w:val="0"/>
                <w:sz w:val="24"/>
                <w:szCs w:val="24"/>
                <w:lang w:val="en-US" w:eastAsia="zh-CN"/>
              </w:rPr>
            </w:pPr>
            <w:r>
              <w:rPr>
                <w:rFonts w:hint="eastAsia" w:cs="Times New Roman"/>
                <w:b/>
                <w:bCs/>
                <w:color w:val="auto"/>
                <w:sz w:val="24"/>
                <w:szCs w:val="24"/>
                <w:lang w:val="en-US" w:eastAsia="zh-CN"/>
              </w:rPr>
              <w:t>12</w:t>
            </w:r>
            <w:r>
              <w:rPr>
                <w:rFonts w:hint="default" w:ascii="Times New Roman" w:hAnsi="Times New Roman" w:eastAsia="宋体" w:cs="Times New Roman"/>
                <w:b/>
                <w:bCs/>
                <w:color w:val="auto"/>
                <w:sz w:val="24"/>
                <w:szCs w:val="24"/>
                <w:lang w:val="en-US" w:eastAsia="zh-CN"/>
              </w:rPr>
              <w:t>、</w:t>
            </w:r>
            <w:r>
              <w:rPr>
                <w:rFonts w:hint="default" w:ascii="Times New Roman" w:hAnsi="Times New Roman" w:eastAsia="宋体" w:cs="Times New Roman"/>
                <w:b/>
                <w:bCs/>
                <w:color w:val="auto"/>
                <w:spacing w:val="0"/>
                <w:sz w:val="24"/>
                <w:szCs w:val="24"/>
                <w:lang w:val="en-US" w:eastAsia="zh-CN"/>
              </w:rPr>
              <w:t>与《山东省环境保护条例</w:t>
            </w:r>
            <w:r>
              <w:rPr>
                <w:rFonts w:hint="eastAsia" w:ascii="Times New Roman" w:hAnsi="Times New Roman" w:eastAsia="宋体" w:cs="Times New Roman"/>
                <w:b/>
                <w:bCs/>
                <w:color w:val="auto"/>
                <w:spacing w:val="0"/>
                <w:sz w:val="24"/>
                <w:szCs w:val="24"/>
                <w:lang w:val="en-US" w:eastAsia="zh-CN"/>
              </w:rPr>
              <w:t>（</w:t>
            </w:r>
            <w:r>
              <w:rPr>
                <w:rFonts w:hint="default" w:ascii="Times New Roman" w:hAnsi="Times New Roman" w:eastAsia="宋体" w:cs="Times New Roman"/>
                <w:b/>
                <w:bCs/>
                <w:color w:val="auto"/>
                <w:spacing w:val="0"/>
                <w:sz w:val="24"/>
                <w:szCs w:val="24"/>
                <w:lang w:val="en-US" w:eastAsia="zh-CN"/>
              </w:rPr>
              <w:t>2018年修订版</w:t>
            </w:r>
            <w:r>
              <w:rPr>
                <w:rFonts w:hint="eastAsia" w:ascii="Times New Roman" w:hAnsi="Times New Roman" w:eastAsia="宋体" w:cs="Times New Roman"/>
                <w:b/>
                <w:bCs/>
                <w:color w:val="auto"/>
                <w:spacing w:val="0"/>
                <w:sz w:val="24"/>
                <w:szCs w:val="24"/>
                <w:lang w:val="en-US" w:eastAsia="zh-CN"/>
              </w:rPr>
              <w:t>）</w:t>
            </w:r>
            <w:r>
              <w:rPr>
                <w:rFonts w:hint="default" w:ascii="Times New Roman" w:hAnsi="Times New Roman" w:eastAsia="宋体" w:cs="Times New Roman"/>
                <w:b/>
                <w:bCs/>
                <w:color w:val="auto"/>
                <w:spacing w:val="0"/>
                <w:sz w:val="24"/>
                <w:szCs w:val="24"/>
                <w:lang w:val="en-US" w:eastAsia="zh-CN"/>
              </w:rPr>
              <w:t>》的符合性分析</w:t>
            </w:r>
          </w:p>
          <w:p w14:paraId="558DF059">
            <w:pPr>
              <w:pStyle w:val="71"/>
              <w:adjustRightInd w:val="0"/>
              <w:snapToGrid w:val="0"/>
              <w:spacing w:line="240" w:lineRule="auto"/>
              <w:ind w:firstLine="0"/>
              <w:jc w:val="center"/>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rPr>
              <w:t>表1-</w:t>
            </w:r>
            <w:r>
              <w:rPr>
                <w:rFonts w:hint="eastAsia" w:cs="Times New Roman"/>
                <w:b/>
                <w:bCs/>
                <w:color w:val="auto"/>
                <w:spacing w:val="0"/>
                <w:sz w:val="24"/>
                <w:szCs w:val="24"/>
                <w:lang w:val="en-US" w:eastAsia="zh-CN"/>
              </w:rPr>
              <w:t>8</w:t>
            </w:r>
            <w:r>
              <w:rPr>
                <w:rFonts w:hint="default" w:ascii="Times New Roman" w:hAnsi="Times New Roman" w:eastAsia="宋体" w:cs="Times New Roman"/>
                <w:b/>
                <w:bCs/>
                <w:color w:val="auto"/>
                <w:spacing w:val="0"/>
                <w:sz w:val="24"/>
                <w:szCs w:val="24"/>
              </w:rPr>
              <w:t xml:space="preserve"> 与《山东省环境保护条例</w:t>
            </w:r>
            <w:r>
              <w:rPr>
                <w:rFonts w:hint="eastAsia" w:ascii="Times New Roman" w:hAnsi="Times New Roman" w:eastAsia="宋体" w:cs="Times New Roman"/>
                <w:b/>
                <w:bCs/>
                <w:color w:val="auto"/>
                <w:spacing w:val="0"/>
                <w:sz w:val="24"/>
                <w:szCs w:val="24"/>
                <w:lang w:eastAsia="zh-CN"/>
              </w:rPr>
              <w:t>（</w:t>
            </w:r>
            <w:r>
              <w:rPr>
                <w:rFonts w:hint="default" w:ascii="Times New Roman" w:hAnsi="Times New Roman" w:eastAsia="宋体" w:cs="Times New Roman"/>
                <w:b/>
                <w:bCs/>
                <w:color w:val="auto"/>
                <w:spacing w:val="0"/>
                <w:sz w:val="24"/>
                <w:szCs w:val="24"/>
              </w:rPr>
              <w:t>2018年修订版</w:t>
            </w:r>
            <w:r>
              <w:rPr>
                <w:rFonts w:hint="eastAsia" w:ascii="Times New Roman" w:hAnsi="Times New Roman" w:eastAsia="宋体" w:cs="Times New Roman"/>
                <w:b/>
                <w:bCs/>
                <w:color w:val="auto"/>
                <w:spacing w:val="0"/>
                <w:sz w:val="24"/>
                <w:szCs w:val="24"/>
                <w:lang w:eastAsia="zh-CN"/>
              </w:rPr>
              <w:t>）</w:t>
            </w:r>
            <w:r>
              <w:rPr>
                <w:rFonts w:hint="default" w:ascii="Times New Roman" w:hAnsi="Times New Roman" w:eastAsia="宋体" w:cs="Times New Roman"/>
                <w:b/>
                <w:bCs/>
                <w:color w:val="auto"/>
                <w:spacing w:val="0"/>
                <w:sz w:val="24"/>
                <w:szCs w:val="24"/>
              </w:rPr>
              <w:t>》符</w:t>
            </w:r>
            <w:r>
              <w:rPr>
                <w:rFonts w:hint="default" w:ascii="Times New Roman" w:hAnsi="Times New Roman" w:eastAsia="宋体" w:cs="Times New Roman"/>
                <w:b/>
                <w:bCs/>
                <w:color w:val="auto"/>
                <w:spacing w:val="0"/>
                <w:sz w:val="24"/>
                <w:szCs w:val="24"/>
                <w:lang w:val="en-US" w:eastAsia="zh-CN"/>
              </w:rPr>
              <w:t>合情况</w:t>
            </w:r>
          </w:p>
          <w:tbl>
            <w:tblPr>
              <w:tblStyle w:val="37"/>
              <w:tblW w:w="72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43"/>
              <w:gridCol w:w="1989"/>
              <w:gridCol w:w="706"/>
            </w:tblGrid>
            <w:tr w14:paraId="0FFA3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20E58C1E">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条例内容</w:t>
                  </w:r>
                </w:p>
              </w:tc>
              <w:tc>
                <w:tcPr>
                  <w:tcW w:w="1989" w:type="dxa"/>
                  <w:tcBorders>
                    <w:tl2br w:val="nil"/>
                    <w:tr2bl w:val="nil"/>
                  </w:tcBorders>
                  <w:noWrap w:val="0"/>
                  <w:vAlign w:val="center"/>
                </w:tcPr>
                <w:p w14:paraId="30E14BDB">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本项目情况</w:t>
                  </w:r>
                </w:p>
              </w:tc>
              <w:tc>
                <w:tcPr>
                  <w:tcW w:w="706" w:type="dxa"/>
                  <w:tcBorders>
                    <w:tl2br w:val="nil"/>
                    <w:tr2bl w:val="nil"/>
                  </w:tcBorders>
                  <w:noWrap w:val="0"/>
                  <w:vAlign w:val="center"/>
                </w:tcPr>
                <w:p w14:paraId="7E9029AE">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符合性</w:t>
                  </w:r>
                </w:p>
              </w:tc>
            </w:tr>
            <w:tr w14:paraId="407521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5C59863E">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第十五条 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989" w:type="dxa"/>
                  <w:tcBorders>
                    <w:tl2br w:val="nil"/>
                    <w:tr2bl w:val="nil"/>
                  </w:tcBorders>
                  <w:noWrap w:val="0"/>
                  <w:vAlign w:val="center"/>
                </w:tcPr>
                <w:p w14:paraId="29DA94BB">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项目不属于严重污染环境的项目。</w:t>
                  </w:r>
                </w:p>
              </w:tc>
              <w:tc>
                <w:tcPr>
                  <w:tcW w:w="706" w:type="dxa"/>
                  <w:tcBorders>
                    <w:tl2br w:val="nil"/>
                    <w:tr2bl w:val="nil"/>
                  </w:tcBorders>
                  <w:noWrap w:val="0"/>
                  <w:vAlign w:val="center"/>
                </w:tcPr>
                <w:p w14:paraId="4719BEF0">
                  <w:pPr>
                    <w:pStyle w:val="71"/>
                    <w:spacing w:line="240" w:lineRule="auto"/>
                    <w:ind w:firstLine="0" w:firstLine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r w14:paraId="39D953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7264C1D6">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第十八条 新建、改建、扩建建设项目，应当依法进行环境影响评价。</w:t>
                  </w:r>
                </w:p>
              </w:tc>
              <w:tc>
                <w:tcPr>
                  <w:tcW w:w="1989" w:type="dxa"/>
                  <w:tcBorders>
                    <w:tl2br w:val="nil"/>
                    <w:tr2bl w:val="nil"/>
                  </w:tcBorders>
                  <w:noWrap w:val="0"/>
                  <w:vAlign w:val="center"/>
                </w:tcPr>
                <w:p w14:paraId="5D8A3965">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项目</w:t>
                  </w:r>
                  <w:r>
                    <w:rPr>
                      <w:rFonts w:hint="default" w:ascii="Times New Roman" w:hAnsi="Times New Roman" w:eastAsia="宋体" w:cs="Times New Roman"/>
                      <w:color w:val="auto"/>
                      <w:spacing w:val="0"/>
                      <w:sz w:val="21"/>
                      <w:szCs w:val="21"/>
                      <w:highlight w:val="none"/>
                      <w:lang w:eastAsia="zh-CN"/>
                    </w:rPr>
                    <w:t>依法进行环境影响评价</w:t>
                  </w:r>
                </w:p>
              </w:tc>
              <w:tc>
                <w:tcPr>
                  <w:tcW w:w="706" w:type="dxa"/>
                  <w:tcBorders>
                    <w:tl2br w:val="nil"/>
                    <w:tr2bl w:val="nil"/>
                  </w:tcBorders>
                  <w:noWrap w:val="0"/>
                  <w:vAlign w:val="center"/>
                </w:tcPr>
                <w:p w14:paraId="4F80B6AE">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符合</w:t>
                  </w:r>
                </w:p>
              </w:tc>
            </w:tr>
            <w:tr w14:paraId="58A618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4D27C379">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第四十四条 新建有污染物排放的工业项目，除在安全生产等方面有特殊要求的以外，应当进入工业园区或者工业集聚区。</w:t>
                  </w:r>
                </w:p>
              </w:tc>
              <w:tc>
                <w:tcPr>
                  <w:tcW w:w="1989" w:type="dxa"/>
                  <w:tcBorders>
                    <w:tl2br w:val="nil"/>
                    <w:tr2bl w:val="nil"/>
                  </w:tcBorders>
                  <w:noWrap w:val="0"/>
                  <w:vAlign w:val="center"/>
                </w:tcPr>
                <w:p w14:paraId="78105A12">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本项目为</w:t>
                  </w:r>
                  <w:r>
                    <w:rPr>
                      <w:rFonts w:hint="eastAsia" w:cs="Times New Roman"/>
                      <w:color w:val="auto"/>
                      <w:spacing w:val="0"/>
                      <w:sz w:val="21"/>
                      <w:szCs w:val="21"/>
                      <w:highlight w:val="none"/>
                      <w:lang w:val="en-US" w:eastAsia="zh-CN"/>
                    </w:rPr>
                    <w:t>新建</w:t>
                  </w:r>
                  <w:r>
                    <w:rPr>
                      <w:rFonts w:hint="default" w:ascii="Times New Roman" w:hAnsi="Times New Roman" w:eastAsia="宋体" w:cs="Times New Roman"/>
                      <w:color w:val="auto"/>
                      <w:spacing w:val="0"/>
                      <w:sz w:val="21"/>
                      <w:szCs w:val="21"/>
                      <w:highlight w:val="none"/>
                      <w:lang w:val="en-US" w:eastAsia="zh-CN"/>
                    </w:rPr>
                    <w:t>项目，位于</w:t>
                  </w:r>
                  <w:r>
                    <w:rPr>
                      <w:rFonts w:hint="eastAsia" w:cs="Times New Roman"/>
                      <w:color w:val="auto"/>
                      <w:kern w:val="2"/>
                      <w:sz w:val="21"/>
                      <w:szCs w:val="21"/>
                      <w:highlight w:val="none"/>
                      <w:u w:val="none"/>
                      <w:lang w:val="en-US" w:eastAsia="zh-CN" w:bidi="ar-SA"/>
                    </w:rPr>
                    <w:t>济宁市泗水县泉林镇泉林村原泗水县纺织厂院内</w:t>
                  </w:r>
                  <w:r>
                    <w:rPr>
                      <w:rFonts w:hint="default" w:ascii="Times New Roman" w:hAnsi="Times New Roman" w:eastAsia="宋体" w:cs="Times New Roman"/>
                      <w:color w:val="auto"/>
                      <w:spacing w:val="0"/>
                      <w:sz w:val="21"/>
                      <w:szCs w:val="21"/>
                      <w:highlight w:val="none"/>
                      <w:lang w:eastAsia="zh-CN"/>
                    </w:rPr>
                    <w:t>。</w:t>
                  </w:r>
                </w:p>
              </w:tc>
              <w:tc>
                <w:tcPr>
                  <w:tcW w:w="706" w:type="dxa"/>
                  <w:tcBorders>
                    <w:tl2br w:val="nil"/>
                    <w:tr2bl w:val="nil"/>
                  </w:tcBorders>
                  <w:noWrap w:val="0"/>
                  <w:vAlign w:val="center"/>
                </w:tcPr>
                <w:p w14:paraId="21F0B0F0">
                  <w:pPr>
                    <w:pStyle w:val="71"/>
                    <w:spacing w:line="240" w:lineRule="auto"/>
                    <w:ind w:firstLine="0" w:firstLine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r w14:paraId="152293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08643AB7">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第四十五条 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w:t>
                  </w:r>
                </w:p>
              </w:tc>
              <w:tc>
                <w:tcPr>
                  <w:tcW w:w="1989" w:type="dxa"/>
                  <w:tcBorders>
                    <w:tl2br w:val="nil"/>
                    <w:tr2bl w:val="nil"/>
                  </w:tcBorders>
                  <w:noWrap w:val="0"/>
                  <w:vAlign w:val="center"/>
                </w:tcPr>
                <w:p w14:paraId="76900CAD">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eastAsia" w:cs="Times New Roman"/>
                      <w:color w:val="auto"/>
                      <w:spacing w:val="0"/>
                      <w:sz w:val="21"/>
                      <w:szCs w:val="21"/>
                      <w:highlight w:val="none"/>
                      <w:lang w:eastAsia="zh-CN"/>
                    </w:rPr>
                    <w:t>项目无废水</w:t>
                  </w:r>
                  <w:r>
                    <w:rPr>
                      <w:rFonts w:hint="default" w:ascii="Times New Roman" w:hAnsi="Times New Roman" w:eastAsia="宋体" w:cs="Times New Roman"/>
                      <w:color w:val="auto"/>
                      <w:spacing w:val="0"/>
                      <w:sz w:val="21"/>
                      <w:szCs w:val="21"/>
                      <w:highlight w:val="none"/>
                      <w:lang w:val="en-US" w:eastAsia="zh-CN"/>
                    </w:rPr>
                    <w:t>外排</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eastAsia="zh-CN"/>
                    </w:rPr>
                    <w:t>废气以及噪声确保</w:t>
                  </w:r>
                  <w:r>
                    <w:rPr>
                      <w:rFonts w:hint="eastAsia" w:ascii="Times New Roman" w:hAnsi="Times New Roman" w:eastAsia="宋体" w:cs="Times New Roman"/>
                      <w:color w:val="auto"/>
                      <w:spacing w:val="0"/>
                      <w:sz w:val="21"/>
                      <w:szCs w:val="21"/>
                      <w:highlight w:val="none"/>
                      <w:lang w:val="en-US" w:eastAsia="zh-CN"/>
                    </w:rPr>
                    <w:t>达标排放</w:t>
                  </w:r>
                  <w:r>
                    <w:rPr>
                      <w:rFonts w:hint="default" w:ascii="Times New Roman" w:hAnsi="Times New Roman" w:eastAsia="宋体" w:cs="Times New Roman"/>
                      <w:color w:val="auto"/>
                      <w:spacing w:val="0"/>
                      <w:sz w:val="21"/>
                      <w:szCs w:val="21"/>
                      <w:highlight w:val="none"/>
                      <w:lang w:eastAsia="zh-CN"/>
                    </w:rPr>
                    <w:t>。</w:t>
                  </w:r>
                </w:p>
              </w:tc>
              <w:tc>
                <w:tcPr>
                  <w:tcW w:w="706" w:type="dxa"/>
                  <w:tcBorders>
                    <w:tl2br w:val="nil"/>
                    <w:tr2bl w:val="nil"/>
                  </w:tcBorders>
                  <w:noWrap w:val="0"/>
                  <w:vAlign w:val="center"/>
                </w:tcPr>
                <w:p w14:paraId="1474FAE1">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符合</w:t>
                  </w:r>
                </w:p>
              </w:tc>
            </w:tr>
            <w:tr w14:paraId="4FB411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jc w:val="center"/>
              </w:trPr>
              <w:tc>
                <w:tcPr>
                  <w:tcW w:w="4543" w:type="dxa"/>
                  <w:tcBorders>
                    <w:tl2br w:val="nil"/>
                    <w:tr2bl w:val="nil"/>
                  </w:tcBorders>
                  <w:noWrap w:val="0"/>
                  <w:vAlign w:val="center"/>
                </w:tcPr>
                <w:p w14:paraId="52B07CA4">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第四十六条 新建、改建、扩建建设项目，应当根据环境影响评价文件以及生态环境主管部门审批决定的要求建设环境保护设施、落实环境保护措施。环境保护设施应当与主体工程同时设计、同时施工、同时投产使用。</w:t>
                  </w:r>
                </w:p>
              </w:tc>
              <w:tc>
                <w:tcPr>
                  <w:tcW w:w="1989" w:type="dxa"/>
                  <w:tcBorders>
                    <w:tl2br w:val="nil"/>
                    <w:tr2bl w:val="nil"/>
                  </w:tcBorders>
                  <w:noWrap w:val="0"/>
                  <w:vAlign w:val="center"/>
                </w:tcPr>
                <w:p w14:paraId="3FEE7D08">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本项目为</w:t>
                  </w:r>
                  <w:r>
                    <w:rPr>
                      <w:rFonts w:hint="eastAsia" w:cs="Times New Roman"/>
                      <w:color w:val="auto"/>
                      <w:spacing w:val="0"/>
                      <w:sz w:val="21"/>
                      <w:szCs w:val="21"/>
                      <w:highlight w:val="none"/>
                      <w:lang w:val="en-US" w:eastAsia="zh-CN"/>
                    </w:rPr>
                    <w:t>新建</w:t>
                  </w:r>
                  <w:r>
                    <w:rPr>
                      <w:rFonts w:hint="default" w:ascii="Times New Roman" w:hAnsi="Times New Roman" w:eastAsia="宋体" w:cs="Times New Roman"/>
                      <w:color w:val="auto"/>
                      <w:spacing w:val="0"/>
                      <w:sz w:val="21"/>
                      <w:szCs w:val="21"/>
                      <w:highlight w:val="none"/>
                      <w:lang w:val="en-US" w:eastAsia="zh-CN"/>
                    </w:rPr>
                    <w:t>项目，</w:t>
                  </w:r>
                  <w:r>
                    <w:rPr>
                      <w:rFonts w:hint="eastAsia" w:ascii="Times New Roman" w:hAnsi="Times New Roman" w:eastAsia="宋体" w:cs="Times New Roman"/>
                      <w:color w:val="auto"/>
                      <w:spacing w:val="0"/>
                      <w:sz w:val="21"/>
                      <w:szCs w:val="21"/>
                      <w:highlight w:val="none"/>
                      <w:lang w:val="en-US" w:eastAsia="zh-CN"/>
                    </w:rPr>
                    <w:t>严格落实“三同时”制度</w:t>
                  </w:r>
                  <w:r>
                    <w:rPr>
                      <w:rFonts w:hint="default" w:ascii="Times New Roman" w:hAnsi="Times New Roman" w:eastAsia="宋体" w:cs="Times New Roman"/>
                      <w:color w:val="auto"/>
                      <w:spacing w:val="0"/>
                      <w:sz w:val="21"/>
                      <w:szCs w:val="21"/>
                      <w:highlight w:val="none"/>
                      <w:lang w:val="en-US" w:eastAsia="zh-CN"/>
                    </w:rPr>
                    <w:t>。</w:t>
                  </w:r>
                </w:p>
              </w:tc>
              <w:tc>
                <w:tcPr>
                  <w:tcW w:w="706" w:type="dxa"/>
                  <w:tcBorders>
                    <w:tl2br w:val="nil"/>
                    <w:tr2bl w:val="nil"/>
                  </w:tcBorders>
                  <w:noWrap w:val="0"/>
                  <w:vAlign w:val="center"/>
                </w:tcPr>
                <w:p w14:paraId="6AC784BF">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符合</w:t>
                  </w:r>
                </w:p>
              </w:tc>
            </w:tr>
            <w:tr w14:paraId="767DBC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43" w:type="dxa"/>
                  <w:tcBorders>
                    <w:tl2br w:val="nil"/>
                    <w:tr2bl w:val="nil"/>
                  </w:tcBorders>
                  <w:noWrap w:val="0"/>
                  <w:vAlign w:val="center"/>
                </w:tcPr>
                <w:p w14:paraId="6C43FDC7">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第四十七条 排污单位应当按照环境保护设施的设计要求和排污许可证规定的排放要求，制定完善环境保护管理制度和操作规程，并保障环境保护设施正常运行。排污单位应当根据生产经营和污染防治的需要，建设应急环境保护设施。鼓励排污单位建设污染防治备用设施，在必要时投入使用。</w:t>
                  </w:r>
                </w:p>
              </w:tc>
              <w:tc>
                <w:tcPr>
                  <w:tcW w:w="1989" w:type="dxa"/>
                  <w:tcBorders>
                    <w:tl2br w:val="nil"/>
                    <w:tr2bl w:val="nil"/>
                  </w:tcBorders>
                  <w:noWrap w:val="0"/>
                  <w:vAlign w:val="center"/>
                </w:tcPr>
                <w:p w14:paraId="5773E6AE">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项目建成后，建设单位制定完善环境保护管理制度和操作规程，保证环境保护措施正常运行。</w:t>
                  </w:r>
                </w:p>
              </w:tc>
              <w:tc>
                <w:tcPr>
                  <w:tcW w:w="706" w:type="dxa"/>
                  <w:tcBorders>
                    <w:tl2br w:val="nil"/>
                    <w:tr2bl w:val="nil"/>
                  </w:tcBorders>
                  <w:noWrap w:val="0"/>
                  <w:vAlign w:val="center"/>
                </w:tcPr>
                <w:p w14:paraId="063DD651">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val="en-US" w:eastAsia="zh-CN"/>
                    </w:rPr>
                    <w:t>符合</w:t>
                  </w:r>
                </w:p>
              </w:tc>
            </w:tr>
          </w:tbl>
          <w:p w14:paraId="3C9AB369">
            <w:pPr>
              <w:numPr>
                <w:ilvl w:val="0"/>
                <w:numId w:val="0"/>
              </w:numPr>
              <w:spacing w:line="360" w:lineRule="auto"/>
              <w:ind w:firstLine="480" w:firstLineChars="200"/>
              <w:rPr>
                <w:rFonts w:hint="eastAsia" w:cs="Times New Roman"/>
                <w:b/>
                <w:bCs/>
                <w:color w:val="auto"/>
                <w:sz w:val="24"/>
                <w:szCs w:val="24"/>
                <w:highlight w:val="none"/>
                <w:lang w:val="en-US" w:eastAsia="zh-CN"/>
              </w:rPr>
            </w:pPr>
            <w:r>
              <w:rPr>
                <w:rFonts w:hint="eastAsia" w:cs="Times New Roman"/>
                <w:b w:val="0"/>
                <w:bCs w:val="0"/>
                <w:color w:val="auto"/>
                <w:sz w:val="24"/>
                <w:szCs w:val="24"/>
                <w:lang w:val="en-US" w:eastAsia="zh-CN"/>
              </w:rPr>
              <w:t>由上表可知</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符合</w:t>
            </w:r>
            <w:r>
              <w:rPr>
                <w:rFonts w:hint="default" w:ascii="Times New Roman" w:hAnsi="Times New Roman" w:eastAsia="宋体" w:cs="Times New Roman"/>
                <w:color w:val="auto"/>
                <w:sz w:val="24"/>
                <w:szCs w:val="24"/>
                <w:highlight w:val="none"/>
                <w:lang w:val="en-US" w:eastAsia="zh-CN"/>
              </w:rPr>
              <w:t>《山东省环境保护条例</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2018年修订版</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相关要求</w:t>
            </w:r>
            <w:r>
              <w:rPr>
                <w:rFonts w:hint="default" w:ascii="Times New Roman" w:hAnsi="Times New Roman" w:eastAsia="宋体" w:cs="Times New Roman"/>
                <w:color w:val="auto"/>
                <w:sz w:val="24"/>
                <w:szCs w:val="24"/>
                <w:highlight w:val="none"/>
              </w:rPr>
              <w:t>。</w:t>
            </w:r>
          </w:p>
          <w:p w14:paraId="29ACB4D7">
            <w:pPr>
              <w:pStyle w:val="71"/>
              <w:adjustRightInd w:val="0"/>
              <w:snapToGrid w:val="0"/>
              <w:spacing w:line="240" w:lineRule="auto"/>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13、</w:t>
            </w:r>
            <w:r>
              <w:rPr>
                <w:rFonts w:hint="default" w:ascii="Times New Roman" w:hAnsi="Times New Roman" w:eastAsia="宋体" w:cs="Times New Roman"/>
                <w:b/>
                <w:bCs/>
                <w:color w:val="auto"/>
                <w:spacing w:val="0"/>
                <w:sz w:val="24"/>
                <w:szCs w:val="24"/>
                <w:lang w:val="en-US" w:eastAsia="zh-CN"/>
              </w:rPr>
              <w:t>与《山东省空气质量持续改善暨第三轮“四减四增”行动实施方案》鲁政字〔2024〕102 号的符合性分析</w:t>
            </w:r>
          </w:p>
          <w:p w14:paraId="7E7B8EFC">
            <w:pPr>
              <w:pStyle w:val="71"/>
              <w:adjustRightInd w:val="0"/>
              <w:snapToGrid w:val="0"/>
              <w:spacing w:line="240" w:lineRule="auto"/>
              <w:ind w:firstLine="482" w:firstLineChars="200"/>
              <w:jc w:val="center"/>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rPr>
              <w:t>表1-</w:t>
            </w:r>
            <w:r>
              <w:rPr>
                <w:rFonts w:hint="eastAsia" w:cs="Times New Roman"/>
                <w:b/>
                <w:bCs/>
                <w:color w:val="auto"/>
                <w:spacing w:val="0"/>
                <w:sz w:val="24"/>
                <w:szCs w:val="24"/>
                <w:lang w:val="en-US" w:eastAsia="zh-CN"/>
              </w:rPr>
              <w:t>9</w:t>
            </w:r>
            <w:r>
              <w:rPr>
                <w:rFonts w:hint="default" w:ascii="Times New Roman" w:hAnsi="Times New Roman" w:eastAsia="宋体" w:cs="Times New Roman"/>
                <w:b/>
                <w:bCs/>
                <w:color w:val="auto"/>
                <w:spacing w:val="0"/>
                <w:sz w:val="24"/>
                <w:szCs w:val="24"/>
              </w:rPr>
              <w:t xml:space="preserve"> 与《山东省空气质量持续改善暨第三轮“四减四增”行动实施方案》鲁政字〔2024〕102号的符合性分析符</w:t>
            </w:r>
            <w:r>
              <w:rPr>
                <w:rFonts w:hint="default" w:ascii="Times New Roman" w:hAnsi="Times New Roman" w:eastAsia="宋体" w:cs="Times New Roman"/>
                <w:b/>
                <w:bCs/>
                <w:color w:val="auto"/>
                <w:spacing w:val="0"/>
                <w:sz w:val="24"/>
                <w:szCs w:val="24"/>
                <w:lang w:val="en-US" w:eastAsia="zh-CN"/>
              </w:rPr>
              <w:t>合情况</w:t>
            </w:r>
          </w:p>
          <w:tbl>
            <w:tblPr>
              <w:tblStyle w:val="37"/>
              <w:tblW w:w="7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92"/>
              <w:gridCol w:w="2003"/>
              <w:gridCol w:w="964"/>
            </w:tblGrid>
            <w:tr w14:paraId="607FD8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2" w:type="dxa"/>
                  <w:tcBorders>
                    <w:tl2br w:val="nil"/>
                    <w:tr2bl w:val="nil"/>
                  </w:tcBorders>
                  <w:noWrap w:val="0"/>
                  <w:vAlign w:val="center"/>
                </w:tcPr>
                <w:p w14:paraId="33E0B5EB">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条例内容</w:t>
                  </w:r>
                </w:p>
              </w:tc>
              <w:tc>
                <w:tcPr>
                  <w:tcW w:w="2003" w:type="dxa"/>
                  <w:tcBorders>
                    <w:tl2br w:val="nil"/>
                    <w:tr2bl w:val="nil"/>
                  </w:tcBorders>
                  <w:noWrap w:val="0"/>
                  <w:vAlign w:val="center"/>
                </w:tcPr>
                <w:p w14:paraId="1AF1830B">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本项目情况</w:t>
                  </w:r>
                </w:p>
              </w:tc>
              <w:tc>
                <w:tcPr>
                  <w:tcW w:w="964" w:type="dxa"/>
                  <w:tcBorders>
                    <w:tl2br w:val="nil"/>
                    <w:tr2bl w:val="nil"/>
                  </w:tcBorders>
                  <w:noWrap w:val="0"/>
                  <w:vAlign w:val="center"/>
                </w:tcPr>
                <w:p w14:paraId="75EAE1A6">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符合性</w:t>
                  </w:r>
                </w:p>
              </w:tc>
            </w:tr>
            <w:tr w14:paraId="6A7E4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2" w:type="dxa"/>
                  <w:tcBorders>
                    <w:tl2br w:val="nil"/>
                    <w:tr2bl w:val="nil"/>
                  </w:tcBorders>
                  <w:noWrap w:val="0"/>
                  <w:vAlign w:val="center"/>
                </w:tcPr>
                <w:p w14:paraId="62DD7EFA">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严格落实国家粗钢产量调控目标。推行钢铁、焦化、烧结一体化布局，有序引导高炉—转炉长流程炼钢转型为电炉短流程炼钢，到2025年，电炉钢占比达到7%左右。多措并举治理环保领域低价低质中标乱象，营造公平竞争环境，推动产业健康有序发展。</w:t>
                  </w:r>
                </w:p>
              </w:tc>
              <w:tc>
                <w:tcPr>
                  <w:tcW w:w="2003" w:type="dxa"/>
                  <w:tcBorders>
                    <w:tl2br w:val="nil"/>
                    <w:tr2bl w:val="nil"/>
                  </w:tcBorders>
                  <w:noWrap w:val="0"/>
                  <w:vAlign w:val="center"/>
                </w:tcPr>
                <w:p w14:paraId="4E1300A9">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项目行业类别为</w:t>
                  </w:r>
                  <w:r>
                    <w:rPr>
                      <w:rFonts w:hint="default" w:ascii="Times New Roman" w:hAnsi="Times New Roman" w:eastAsia="宋体" w:cs="Times New Roman"/>
                      <w:color w:val="auto"/>
                      <w:spacing w:val="0"/>
                      <w:sz w:val="21"/>
                      <w:szCs w:val="21"/>
                      <w:highlight w:val="none"/>
                      <w:lang w:val="en-US" w:eastAsia="zh-CN"/>
                    </w:rPr>
                    <w:t>C2926塑料包装箱及容器制造</w:t>
                  </w:r>
                  <w:r>
                    <w:rPr>
                      <w:rFonts w:hint="default" w:ascii="Times New Roman" w:hAnsi="Times New Roman" w:eastAsia="宋体" w:cs="Times New Roman"/>
                      <w:color w:val="auto"/>
                      <w:spacing w:val="0"/>
                      <w:sz w:val="21"/>
                      <w:szCs w:val="21"/>
                      <w:highlight w:val="none"/>
                      <w:lang w:eastAsia="zh-CN"/>
                    </w:rPr>
                    <w:t>，不属于两高项目。</w:t>
                  </w:r>
                </w:p>
              </w:tc>
              <w:tc>
                <w:tcPr>
                  <w:tcW w:w="964" w:type="dxa"/>
                  <w:tcBorders>
                    <w:tl2br w:val="nil"/>
                    <w:tr2bl w:val="nil"/>
                  </w:tcBorders>
                  <w:noWrap w:val="0"/>
                  <w:vAlign w:val="center"/>
                </w:tcPr>
                <w:p w14:paraId="715B32DF">
                  <w:pPr>
                    <w:pStyle w:val="71"/>
                    <w:spacing w:line="240" w:lineRule="auto"/>
                    <w:ind w:firstLine="0" w:firstLine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r w14:paraId="54B08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2" w:type="dxa"/>
                  <w:tcBorders>
                    <w:tl2br w:val="nil"/>
                    <w:tr2bl w:val="nil"/>
                  </w:tcBorders>
                  <w:noWrap w:val="0"/>
                  <w:vAlign w:val="center"/>
                </w:tcPr>
                <w:p w14:paraId="18E6148B">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w:t>
                  </w:r>
                </w:p>
              </w:tc>
              <w:tc>
                <w:tcPr>
                  <w:tcW w:w="2003" w:type="dxa"/>
                  <w:tcBorders>
                    <w:tl2br w:val="nil"/>
                    <w:tr2bl w:val="nil"/>
                  </w:tcBorders>
                  <w:noWrap w:val="0"/>
                  <w:vAlign w:val="center"/>
                </w:tcPr>
                <w:p w14:paraId="5A0AD9B5">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项目工艺以及设备不属于</w:t>
                  </w:r>
                  <w:r>
                    <w:rPr>
                      <w:rFonts w:hint="default" w:ascii="Times New Roman" w:hAnsi="Times New Roman" w:eastAsia="宋体" w:cs="Times New Roman"/>
                      <w:color w:val="auto"/>
                      <w:spacing w:val="0"/>
                      <w:sz w:val="21"/>
                      <w:szCs w:val="21"/>
                      <w:lang w:eastAsia="zh-CN"/>
                    </w:rPr>
                    <w:t>限制类涉气行业工艺和装备</w:t>
                  </w:r>
                  <w:r>
                    <w:rPr>
                      <w:rFonts w:hint="eastAsia" w:cs="Times New Roman"/>
                      <w:color w:val="auto"/>
                      <w:spacing w:val="0"/>
                      <w:sz w:val="21"/>
                      <w:szCs w:val="21"/>
                      <w:lang w:eastAsia="zh-CN"/>
                    </w:rPr>
                    <w:t>。</w:t>
                  </w:r>
                </w:p>
              </w:tc>
              <w:tc>
                <w:tcPr>
                  <w:tcW w:w="964" w:type="dxa"/>
                  <w:tcBorders>
                    <w:tl2br w:val="nil"/>
                    <w:tr2bl w:val="nil"/>
                  </w:tcBorders>
                  <w:noWrap w:val="0"/>
                  <w:vAlign w:val="center"/>
                </w:tcPr>
                <w:p w14:paraId="037919BF">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符合</w:t>
                  </w:r>
                </w:p>
              </w:tc>
            </w:tr>
            <w:tr w14:paraId="747113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2" w:type="dxa"/>
                  <w:tcBorders>
                    <w:tl2br w:val="nil"/>
                    <w:tr2bl w:val="nil"/>
                  </w:tcBorders>
                  <w:noWrap w:val="0"/>
                  <w:vAlign w:val="center"/>
                </w:tcPr>
                <w:p w14:paraId="0FF7ABFD">
                  <w:pPr>
                    <w:pStyle w:val="71"/>
                    <w:spacing w:line="240" w:lineRule="auto"/>
                    <w:ind w:firstLine="0" w:firstLineChars="0"/>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eastAsia="zh-CN"/>
                    </w:rPr>
                    <w:t>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在生产、销售、进口、使用等环节严格执行VOCs含量限值标准。</w:t>
                  </w:r>
                </w:p>
              </w:tc>
              <w:tc>
                <w:tcPr>
                  <w:tcW w:w="2003" w:type="dxa"/>
                  <w:tcBorders>
                    <w:tl2br w:val="nil"/>
                    <w:tr2bl w:val="nil"/>
                  </w:tcBorders>
                  <w:noWrap w:val="0"/>
                  <w:vAlign w:val="center"/>
                </w:tcPr>
                <w:p w14:paraId="24A3567D">
                  <w:pPr>
                    <w:pStyle w:val="71"/>
                    <w:spacing w:line="240" w:lineRule="auto"/>
                    <w:ind w:firstLine="0" w:firstLineChars="0"/>
                    <w:jc w:val="center"/>
                    <w:rPr>
                      <w:rFonts w:hint="default" w:ascii="Times New Roman" w:hAnsi="Times New Roman" w:eastAsia="宋体" w:cs="Times New Roman"/>
                      <w:color w:val="auto"/>
                      <w:spacing w:val="0"/>
                      <w:sz w:val="21"/>
                      <w:szCs w:val="21"/>
                      <w:highlight w:val="none"/>
                      <w:lang w:eastAsia="zh-CN"/>
                    </w:rPr>
                  </w:pPr>
                  <w:r>
                    <w:rPr>
                      <w:rFonts w:hint="eastAsia" w:cs="Times New Roman"/>
                      <w:color w:val="auto"/>
                      <w:sz w:val="21"/>
                      <w:szCs w:val="21"/>
                      <w:highlight w:val="none"/>
                      <w:lang w:val="en-US" w:eastAsia="zh-CN"/>
                    </w:rPr>
                    <w:t>本项目使用原料均存放于密闭仓库内，</w:t>
                  </w: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p>
              </w:tc>
              <w:tc>
                <w:tcPr>
                  <w:tcW w:w="964" w:type="dxa"/>
                  <w:tcBorders>
                    <w:tl2br w:val="nil"/>
                    <w:tr2bl w:val="nil"/>
                  </w:tcBorders>
                  <w:noWrap w:val="0"/>
                  <w:vAlign w:val="center"/>
                </w:tcPr>
                <w:p w14:paraId="22A55167">
                  <w:pPr>
                    <w:pStyle w:val="71"/>
                    <w:spacing w:line="240" w:lineRule="auto"/>
                    <w:ind w:firstLine="0" w:firstLineChars="0"/>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bl>
          <w:p w14:paraId="1A212FF1">
            <w:pPr>
              <w:numPr>
                <w:ilvl w:val="0"/>
                <w:numId w:val="0"/>
              </w:numPr>
              <w:spacing w:line="360" w:lineRule="auto"/>
              <w:ind w:firstLine="480" w:firstLineChars="200"/>
              <w:rPr>
                <w:rFonts w:hint="eastAsia" w:cs="Times New Roman"/>
                <w:b/>
                <w:bCs/>
                <w:color w:val="auto"/>
                <w:sz w:val="24"/>
                <w:szCs w:val="24"/>
                <w:highlight w:val="none"/>
                <w:lang w:val="en-US" w:eastAsia="zh-CN"/>
              </w:rPr>
            </w:pPr>
            <w:r>
              <w:rPr>
                <w:rFonts w:hint="eastAsia" w:cs="Times New Roman"/>
                <w:b w:val="0"/>
                <w:bCs w:val="0"/>
                <w:color w:val="auto"/>
                <w:sz w:val="24"/>
                <w:szCs w:val="24"/>
                <w:lang w:val="en-US" w:eastAsia="zh-CN"/>
              </w:rPr>
              <w:t>由上表可知</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符合《山东省空气质量持续改善暨第三轮“四减四增”行动实施方案》鲁政字〔2024〕102 号关要求</w:t>
            </w:r>
            <w:r>
              <w:rPr>
                <w:rFonts w:hint="default" w:ascii="Times New Roman" w:hAnsi="Times New Roman" w:eastAsia="宋体" w:cs="Times New Roman"/>
                <w:color w:val="auto"/>
                <w:sz w:val="24"/>
                <w:szCs w:val="24"/>
                <w:highlight w:val="none"/>
              </w:rPr>
              <w:t>。</w:t>
            </w:r>
          </w:p>
          <w:p w14:paraId="319D2440">
            <w:pPr>
              <w:pStyle w:val="36"/>
              <w:numPr>
                <w:ilvl w:val="0"/>
                <w:numId w:val="0"/>
              </w:numPr>
              <w:spacing w:after="0" w:line="360" w:lineRule="auto"/>
              <w:ind w:firstLine="482" w:firstLineChars="200"/>
              <w:rPr>
                <w:rFonts w:hint="eastAsia" w:hAnsi="Times New Roman" w:cs="Times New Roman"/>
                <w:b/>
                <w:bCs/>
                <w:color w:val="auto"/>
                <w:sz w:val="24"/>
                <w:szCs w:val="24"/>
                <w:highlight w:val="none"/>
                <w:lang w:val="en-US" w:eastAsia="zh-CN"/>
              </w:rPr>
            </w:pPr>
            <w:r>
              <w:rPr>
                <w:rFonts w:hint="eastAsia" w:hAnsi="Times New Roman" w:cs="Times New Roman"/>
                <w:b/>
                <w:bCs/>
                <w:color w:val="auto"/>
                <w:sz w:val="24"/>
                <w:szCs w:val="24"/>
                <w:highlight w:val="none"/>
                <w:lang w:val="en-US" w:eastAsia="zh-CN"/>
              </w:rPr>
              <w:t>14、与《关于进一步加强环保设备设施安全生产工作的通知》  （安委办明电[2022]17 号） 符合性分析</w:t>
            </w:r>
          </w:p>
          <w:p w14:paraId="01F3B16C">
            <w:pPr>
              <w:pStyle w:val="36"/>
              <w:numPr>
                <w:ilvl w:val="0"/>
                <w:numId w:val="0"/>
              </w:numPr>
              <w:spacing w:after="0" w:line="240" w:lineRule="auto"/>
              <w:ind w:leftChars="200"/>
              <w:jc w:val="center"/>
              <w:rPr>
                <w:rStyle w:val="153"/>
                <w:rFonts w:hint="default" w:ascii="Times New Roman" w:hAnsi="Times New Roman" w:eastAsia="宋体" w:cs="Times New Roman"/>
                <w:b/>
                <w:bCs/>
                <w:i w:val="0"/>
                <w:caps w:val="0"/>
                <w:color w:val="auto"/>
                <w:spacing w:val="0"/>
                <w:w w:val="100"/>
                <w:kern w:val="0"/>
                <w:sz w:val="24"/>
                <w:szCs w:val="24"/>
                <w:lang w:val="en-US" w:eastAsia="zh-CN"/>
              </w:rPr>
            </w:pPr>
            <w:r>
              <w:rPr>
                <w:rStyle w:val="153"/>
                <w:rFonts w:hint="default" w:ascii="Times New Roman" w:hAnsi="Times New Roman" w:eastAsia="宋体" w:cs="Times New Roman"/>
                <w:b/>
                <w:bCs/>
                <w:i w:val="0"/>
                <w:caps w:val="0"/>
                <w:color w:val="auto"/>
                <w:spacing w:val="0"/>
                <w:w w:val="100"/>
                <w:kern w:val="0"/>
                <w:sz w:val="24"/>
                <w:szCs w:val="24"/>
                <w:lang w:val="en-US" w:eastAsia="zh-CN"/>
              </w:rPr>
              <w:t>表 1-</w:t>
            </w:r>
            <w:r>
              <w:rPr>
                <w:rStyle w:val="153"/>
                <w:rFonts w:hint="eastAsia" w:hAnsi="Times New Roman" w:cs="Times New Roman"/>
                <w:b/>
                <w:bCs/>
                <w:i w:val="0"/>
                <w:caps w:val="0"/>
                <w:color w:val="auto"/>
                <w:spacing w:val="0"/>
                <w:w w:val="100"/>
                <w:kern w:val="0"/>
                <w:sz w:val="24"/>
                <w:szCs w:val="24"/>
                <w:lang w:val="en-US" w:eastAsia="zh-CN"/>
              </w:rPr>
              <w:t>10</w:t>
            </w:r>
            <w:r>
              <w:rPr>
                <w:rStyle w:val="153"/>
                <w:rFonts w:hint="default" w:ascii="Times New Roman" w:hAnsi="Times New Roman" w:eastAsia="宋体" w:cs="Times New Roman"/>
                <w:b/>
                <w:bCs/>
                <w:i w:val="0"/>
                <w:caps w:val="0"/>
                <w:color w:val="auto"/>
                <w:spacing w:val="0"/>
                <w:w w:val="100"/>
                <w:kern w:val="0"/>
                <w:sz w:val="24"/>
                <w:szCs w:val="24"/>
                <w:lang w:val="en-US" w:eastAsia="zh-CN"/>
              </w:rPr>
              <w:t xml:space="preserve">  与《关于进一步加强环保设备设施安全生产工作的通知》  </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安委办明电[2022] 17 号</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 xml:space="preserve"> </w:t>
            </w:r>
            <w:r>
              <w:rPr>
                <w:rStyle w:val="153"/>
                <w:rFonts w:hint="eastAsia" w:hAnsi="Times New Roman" w:cs="Times New Roman"/>
                <w:b/>
                <w:bCs/>
                <w:i w:val="0"/>
                <w:caps w:val="0"/>
                <w:color w:val="auto"/>
                <w:spacing w:val="0"/>
                <w:w w:val="100"/>
                <w:kern w:val="0"/>
                <w:sz w:val="24"/>
                <w:szCs w:val="24"/>
                <w:lang w:val="en-US" w:eastAsia="zh-CN"/>
              </w:rPr>
              <w:t>符</w:t>
            </w:r>
            <w:r>
              <w:rPr>
                <w:rStyle w:val="153"/>
                <w:rFonts w:hint="default" w:ascii="Times New Roman" w:hAnsi="Times New Roman" w:eastAsia="宋体" w:cs="Times New Roman"/>
                <w:b/>
                <w:bCs/>
                <w:i w:val="0"/>
                <w:caps w:val="0"/>
                <w:color w:val="auto"/>
                <w:spacing w:val="0"/>
                <w:w w:val="100"/>
                <w:kern w:val="0"/>
                <w:sz w:val="24"/>
                <w:szCs w:val="24"/>
                <w:lang w:val="en-US" w:eastAsia="zh-CN"/>
              </w:rPr>
              <w:t>合性分析</w:t>
            </w:r>
          </w:p>
          <w:tbl>
            <w:tblPr>
              <w:tblStyle w:val="155"/>
              <w:tblW w:w="711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21"/>
              <w:gridCol w:w="2066"/>
              <w:gridCol w:w="932"/>
            </w:tblGrid>
            <w:tr w14:paraId="438D50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21" w:type="dxa"/>
                  <w:tcBorders>
                    <w:tl2br w:val="nil"/>
                    <w:tr2bl w:val="nil"/>
                  </w:tcBorders>
                  <w:vAlign w:val="top"/>
                </w:tcPr>
                <w:p w14:paraId="04D2354C">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要求</w:t>
                  </w:r>
                </w:p>
              </w:tc>
              <w:tc>
                <w:tcPr>
                  <w:tcW w:w="2066" w:type="dxa"/>
                  <w:tcBorders>
                    <w:tl2br w:val="nil"/>
                    <w:tr2bl w:val="nil"/>
                  </w:tcBorders>
                  <w:vAlign w:val="top"/>
                </w:tcPr>
                <w:p w14:paraId="129110BA">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项目情况</w:t>
                  </w:r>
                </w:p>
              </w:tc>
              <w:tc>
                <w:tcPr>
                  <w:tcW w:w="932" w:type="dxa"/>
                  <w:tcBorders>
                    <w:tl2br w:val="nil"/>
                    <w:tr2bl w:val="nil"/>
                  </w:tcBorders>
                  <w:vAlign w:val="top"/>
                </w:tcPr>
                <w:p w14:paraId="29F046DE">
                  <w:pPr>
                    <w:pStyle w:val="71"/>
                    <w:autoSpaceDE/>
                    <w:autoSpaceDN/>
                    <w:spacing w:line="240" w:lineRule="auto"/>
                    <w:ind w:firstLine="0" w:firstLineChars="0"/>
                    <w:jc w:val="center"/>
                    <w:rPr>
                      <w:rFonts w:hint="default" w:ascii="Times New Roman" w:hAnsi="Times New Roman" w:eastAsia="宋体" w:cs="Times New Roman"/>
                      <w:b/>
                      <w:bCs/>
                      <w:color w:val="auto"/>
                      <w:spacing w:val="0"/>
                      <w:kern w:val="0"/>
                      <w:sz w:val="21"/>
                      <w:szCs w:val="21"/>
                      <w:lang w:val="en-US" w:eastAsia="zh-CN" w:bidi="ar"/>
                    </w:rPr>
                  </w:pPr>
                  <w:r>
                    <w:rPr>
                      <w:rFonts w:hint="default" w:ascii="Times New Roman" w:hAnsi="Times New Roman" w:eastAsia="宋体" w:cs="Times New Roman"/>
                      <w:b/>
                      <w:bCs/>
                      <w:color w:val="auto"/>
                      <w:spacing w:val="0"/>
                      <w:kern w:val="0"/>
                      <w:sz w:val="21"/>
                      <w:szCs w:val="21"/>
                      <w:lang w:val="en-US" w:eastAsia="zh-CN" w:bidi="ar"/>
                    </w:rPr>
                    <w:t>符合性</w:t>
                  </w:r>
                </w:p>
              </w:tc>
            </w:tr>
            <w:tr w14:paraId="2DACF1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21" w:type="dxa"/>
                  <w:tcBorders>
                    <w:tl2br w:val="nil"/>
                    <w:tr2bl w:val="nil"/>
                  </w:tcBorders>
                  <w:vAlign w:val="top"/>
                </w:tcPr>
                <w:p w14:paraId="434EE625">
                  <w:pPr>
                    <w:widowControl w:val="0"/>
                    <w:snapToGrid w:val="0"/>
                    <w:spacing w:before="0" w:beforeAutospacing="0" w:after="0" w:afterAutospacing="0" w:line="240" w:lineRule="auto"/>
                    <w:jc w:val="both"/>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ascii="宋体" w:hAnsi="宋体" w:eastAsia="宋体" w:cs="宋体"/>
                      <w:b w:val="0"/>
                      <w:bCs w:val="0"/>
                      <w:i w:val="0"/>
                      <w:caps w:val="0"/>
                      <w:color w:val="auto"/>
                      <w:spacing w:val="0"/>
                      <w:w w:val="100"/>
                      <w:kern w:val="21"/>
                      <w:sz w:val="21"/>
                      <w:szCs w:val="21"/>
                      <w:lang w:val="en-US" w:eastAsia="zh-CN" w:bidi="ar-SA"/>
                    </w:rPr>
                    <w:t>进一步落实部门监管指导责任。要高度关注新增环保设备设施带来的安全问题，提出推广环保新工艺、新技术、新产品的同时要充分考虑安全因素。要紧盯具有脱硫脱硝、挥发性有机物回收、污水处理、粉尘治理、蓄热式焚烧炉 5类重点环保设备设施的企业，指导督促企业按照相关法律法规和技术标准 规范要求，开展环保设备设施安全</w:t>
                  </w:r>
                  <w:r>
                    <w:rPr>
                      <w:rFonts w:hint="eastAsia" w:ascii="宋体" w:hAnsi="宋体" w:cs="宋体"/>
                      <w:b w:val="0"/>
                      <w:bCs w:val="0"/>
                      <w:i w:val="0"/>
                      <w:caps w:val="0"/>
                      <w:color w:val="auto"/>
                      <w:spacing w:val="0"/>
                      <w:w w:val="100"/>
                      <w:kern w:val="21"/>
                      <w:sz w:val="21"/>
                      <w:szCs w:val="21"/>
                      <w:lang w:val="en-US" w:eastAsia="zh-CN" w:bidi="ar-SA"/>
                    </w:rPr>
                    <w:t>风险</w:t>
                  </w:r>
                  <w:r>
                    <w:rPr>
                      <w:rFonts w:hint="eastAsia" w:ascii="宋体" w:hAnsi="宋体" w:eastAsia="宋体" w:cs="宋体"/>
                      <w:b w:val="0"/>
                      <w:bCs w:val="0"/>
                      <w:i w:val="0"/>
                      <w:caps w:val="0"/>
                      <w:color w:val="auto"/>
                      <w:spacing w:val="0"/>
                      <w:w w:val="100"/>
                      <w:kern w:val="21"/>
                      <w:sz w:val="21"/>
                      <w:szCs w:val="21"/>
                      <w:lang w:val="en-US" w:eastAsia="zh-CN" w:bidi="ar-SA"/>
                    </w:rPr>
                    <w:t>辨识评估和隐患排查治理，落实安全生产各项责任措施。</w:t>
                  </w:r>
                </w:p>
              </w:tc>
              <w:tc>
                <w:tcPr>
                  <w:tcW w:w="2066" w:type="dxa"/>
                  <w:tcBorders>
                    <w:tl2br w:val="nil"/>
                    <w:tr2bl w:val="nil"/>
                  </w:tcBorders>
                  <w:vAlign w:val="top"/>
                </w:tcPr>
                <w:p w14:paraId="0256C587">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cs="Times New Roman"/>
                      <w:color w:val="auto"/>
                      <w:sz w:val="21"/>
                      <w:szCs w:val="21"/>
                      <w:highlight w:val="none"/>
                      <w:lang w:val="en-US" w:eastAsia="zh-CN"/>
                    </w:rPr>
                    <w:t>本项目使用原料均存放于密闭仓库内，</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w:t>
                  </w:r>
                  <w:r>
                    <w:rPr>
                      <w:rFonts w:hint="eastAsia" w:ascii="宋体" w:hAnsi="宋体" w:eastAsia="宋体" w:cs="宋体"/>
                      <w:b w:val="0"/>
                      <w:bCs w:val="0"/>
                      <w:i w:val="0"/>
                      <w:caps w:val="0"/>
                      <w:color w:val="auto"/>
                      <w:spacing w:val="0"/>
                      <w:w w:val="100"/>
                      <w:kern w:val="21"/>
                      <w:sz w:val="21"/>
                      <w:szCs w:val="21"/>
                      <w:lang w:val="en-US" w:eastAsia="zh-CN" w:bidi="ar-SA"/>
                    </w:rPr>
                    <w:t>项目建成后，企业应全面排查治理事故隐患，从源头上采取防爆控爆措施。</w:t>
                  </w:r>
                </w:p>
              </w:tc>
              <w:tc>
                <w:tcPr>
                  <w:tcW w:w="932" w:type="dxa"/>
                  <w:tcBorders>
                    <w:tl2br w:val="nil"/>
                    <w:tr2bl w:val="nil"/>
                  </w:tcBorders>
                  <w:vAlign w:val="top"/>
                </w:tcPr>
                <w:p w14:paraId="1E92F00F">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237BEA6D">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48A35A22">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347DF5D4">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3C7D5024">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ascii="宋体" w:hAnsi="宋体" w:eastAsia="宋体" w:cs="宋体"/>
                      <w:b w:val="0"/>
                      <w:bCs w:val="0"/>
                      <w:i w:val="0"/>
                      <w:caps w:val="0"/>
                      <w:color w:val="auto"/>
                      <w:spacing w:val="0"/>
                      <w:w w:val="100"/>
                      <w:kern w:val="21"/>
                      <w:sz w:val="21"/>
                      <w:szCs w:val="21"/>
                      <w:lang w:val="en-US" w:eastAsia="zh-CN" w:bidi="ar-SA"/>
                    </w:rPr>
                    <w:t>符合</w:t>
                  </w:r>
                </w:p>
              </w:tc>
            </w:tr>
            <w:tr w14:paraId="2EC2E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121" w:type="dxa"/>
                  <w:tcBorders>
                    <w:tl2br w:val="nil"/>
                    <w:tr2bl w:val="nil"/>
                  </w:tcBorders>
                  <w:vAlign w:val="top"/>
                </w:tcPr>
                <w:p w14:paraId="2238AE1C">
                  <w:pPr>
                    <w:widowControl w:val="0"/>
                    <w:snapToGrid w:val="0"/>
                    <w:spacing w:before="0" w:beforeAutospacing="0" w:after="0" w:afterAutospacing="0" w:line="240" w:lineRule="auto"/>
                    <w:jc w:val="both"/>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ascii="宋体" w:hAnsi="宋体" w:eastAsia="宋体" w:cs="宋体"/>
                      <w:b w:val="0"/>
                      <w:bCs w:val="0"/>
                      <w:i w:val="0"/>
                      <w:caps w:val="0"/>
                      <w:color w:val="auto"/>
                      <w:spacing w:val="0"/>
                      <w:w w:val="100"/>
                      <w:kern w:val="21"/>
                      <w:sz w:val="21"/>
                      <w:szCs w:val="21"/>
                      <w:lang w:val="en-US" w:eastAsia="zh-CN" w:bidi="ar-SA"/>
                    </w:rPr>
                    <w:t>进一步落实企业主体责任。推动企业主要负责人严格履行第一责任人责任，将环保设备设施安全作为企业安全管理的重要组成部分，全面负责落实本单位的环保设备设施安全生产工作。严格落实涉环保设备设施新、改、扩建项目环保和安全“  三同时有关要求，委托有资质的设计单位进行正规设计，在选用污染防治技术时要充分考虑安全因素；在环保设备设施改造中必须依法开展安全风险评估，按要求设置安全监测监控系统和联锁保护装置，做好安全防范。对涉环保设备设施相关岗位人员进行操作规程、风险管控、应急处置、典型事故警示等专项安全培训教育。开展环保设备设施安全风险辨识评估，系统排查隐患，依法建立隐患整改台账，明确整改责任人、措施、资金、时限和应急救援预案，及时消除隐患。</w:t>
                  </w:r>
                </w:p>
              </w:tc>
              <w:tc>
                <w:tcPr>
                  <w:tcW w:w="2066" w:type="dxa"/>
                  <w:tcBorders>
                    <w:tl2br w:val="nil"/>
                    <w:tr2bl w:val="nil"/>
                  </w:tcBorders>
                  <w:vAlign w:val="top"/>
                </w:tcPr>
                <w:p w14:paraId="6B0AD7BF">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ascii="宋体" w:hAnsi="宋体" w:eastAsia="宋体" w:cs="宋体"/>
                      <w:b w:val="0"/>
                      <w:bCs w:val="0"/>
                      <w:i w:val="0"/>
                      <w:caps w:val="0"/>
                      <w:color w:val="auto"/>
                      <w:spacing w:val="0"/>
                      <w:w w:val="100"/>
                      <w:kern w:val="21"/>
                      <w:sz w:val="21"/>
                      <w:szCs w:val="21"/>
                      <w:lang w:val="en-US" w:eastAsia="zh-CN" w:bidi="ar-SA"/>
                    </w:rPr>
                    <w:t>企业落实安全主体责任，项目依法开展了安全风险评估，严格落实安全“三同时”要求，环保设施委托有资质的设计单位设计，按要求做好安全防范，对相关岗位人员进行专项安全培训教育，做好应急救援预案，及时消除隐患。</w:t>
                  </w:r>
                </w:p>
              </w:tc>
              <w:tc>
                <w:tcPr>
                  <w:tcW w:w="932" w:type="dxa"/>
                  <w:tcBorders>
                    <w:tl2br w:val="nil"/>
                    <w:tr2bl w:val="nil"/>
                  </w:tcBorders>
                  <w:vAlign w:val="top"/>
                </w:tcPr>
                <w:p w14:paraId="1ECF4D87">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112F31A8">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7B67A639">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2318085D">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62D80C60">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238AA71A">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77626E28">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p>
                <w:p w14:paraId="46D2F728">
                  <w:pPr>
                    <w:widowControl w:val="0"/>
                    <w:snapToGrid w:val="0"/>
                    <w:spacing w:before="0" w:beforeAutospacing="0" w:after="0" w:afterAutospacing="0" w:line="240" w:lineRule="auto"/>
                    <w:jc w:val="center"/>
                    <w:textAlignment w:val="baseline"/>
                    <w:rPr>
                      <w:rFonts w:hint="eastAsia" w:ascii="宋体" w:hAnsi="宋体" w:eastAsia="宋体" w:cs="宋体"/>
                      <w:b w:val="0"/>
                      <w:bCs w:val="0"/>
                      <w:i w:val="0"/>
                      <w:caps w:val="0"/>
                      <w:color w:val="auto"/>
                      <w:spacing w:val="0"/>
                      <w:w w:val="100"/>
                      <w:kern w:val="21"/>
                      <w:sz w:val="21"/>
                      <w:szCs w:val="21"/>
                      <w:lang w:val="en-US" w:eastAsia="zh-CN" w:bidi="ar-SA"/>
                    </w:rPr>
                  </w:pPr>
                  <w:r>
                    <w:rPr>
                      <w:rFonts w:hint="eastAsia" w:ascii="宋体" w:hAnsi="宋体" w:eastAsia="宋体" w:cs="宋体"/>
                      <w:b w:val="0"/>
                      <w:bCs w:val="0"/>
                      <w:i w:val="0"/>
                      <w:caps w:val="0"/>
                      <w:color w:val="auto"/>
                      <w:spacing w:val="0"/>
                      <w:w w:val="100"/>
                      <w:kern w:val="21"/>
                      <w:sz w:val="21"/>
                      <w:szCs w:val="21"/>
                      <w:lang w:val="en-US" w:eastAsia="zh-CN" w:bidi="ar-SA"/>
                    </w:rPr>
                    <w:t>符合</w:t>
                  </w:r>
                </w:p>
              </w:tc>
            </w:tr>
          </w:tbl>
          <w:p w14:paraId="69CBD14E">
            <w:pPr>
              <w:numPr>
                <w:ilvl w:val="0"/>
                <w:numId w:val="0"/>
              </w:numPr>
              <w:spacing w:line="360" w:lineRule="auto"/>
              <w:ind w:firstLine="480" w:firstLineChars="200"/>
              <w:rPr>
                <w:rFonts w:hint="eastAsia" w:cs="Times New Roman"/>
                <w:b/>
                <w:bCs/>
                <w:color w:val="auto"/>
                <w:sz w:val="24"/>
                <w:szCs w:val="24"/>
                <w:highlight w:val="none"/>
                <w:lang w:val="en-US" w:eastAsia="zh-CN"/>
              </w:rPr>
            </w:pPr>
            <w:r>
              <w:rPr>
                <w:rFonts w:hint="eastAsia" w:cs="Times New Roman"/>
                <w:b w:val="0"/>
                <w:bCs w:val="0"/>
                <w:color w:val="auto"/>
                <w:sz w:val="24"/>
                <w:szCs w:val="24"/>
                <w:lang w:val="en-US" w:eastAsia="zh-CN"/>
              </w:rPr>
              <w:t>由上表可知</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符合《关于进一步加强环保设备设施安全生产工作的通知》 （安委办明电[2022]17 号）有关要求</w:t>
            </w:r>
            <w:r>
              <w:rPr>
                <w:rFonts w:hint="default" w:ascii="Times New Roman" w:hAnsi="Times New Roman" w:eastAsia="宋体" w:cs="Times New Roman"/>
                <w:color w:val="auto"/>
                <w:sz w:val="24"/>
                <w:szCs w:val="24"/>
                <w:highlight w:val="none"/>
              </w:rPr>
              <w:t>。</w:t>
            </w:r>
          </w:p>
          <w:p w14:paraId="463CEA88">
            <w:pPr>
              <w:pStyle w:val="36"/>
              <w:numPr>
                <w:ilvl w:val="0"/>
                <w:numId w:val="0"/>
              </w:numPr>
              <w:spacing w:after="0" w:line="360" w:lineRule="auto"/>
              <w:ind w:firstLine="482" w:firstLineChars="200"/>
              <w:rPr>
                <w:rStyle w:val="153"/>
                <w:rFonts w:hint="default" w:ascii="Times New Roman" w:hAnsi="Times New Roman" w:eastAsia="宋体" w:cs="Times New Roman"/>
                <w:b/>
                <w:bCs/>
                <w:i w:val="0"/>
                <w:caps w:val="0"/>
                <w:color w:val="auto"/>
                <w:spacing w:val="0"/>
                <w:w w:val="100"/>
                <w:kern w:val="0"/>
                <w:sz w:val="24"/>
                <w:szCs w:val="24"/>
                <w:lang w:val="en-US" w:eastAsia="zh-CN"/>
              </w:rPr>
            </w:pPr>
            <w:r>
              <w:rPr>
                <w:rStyle w:val="153"/>
                <w:rFonts w:hint="eastAsia" w:hAnsi="Times New Roman" w:cs="Times New Roman"/>
                <w:b/>
                <w:bCs/>
                <w:i w:val="0"/>
                <w:caps w:val="0"/>
                <w:color w:val="auto"/>
                <w:spacing w:val="0"/>
                <w:w w:val="100"/>
                <w:kern w:val="0"/>
                <w:sz w:val="24"/>
                <w:szCs w:val="24"/>
                <w:lang w:val="en-US" w:eastAsia="zh-CN"/>
              </w:rPr>
              <w:t>15、与</w:t>
            </w:r>
            <w:r>
              <w:rPr>
                <w:rStyle w:val="153"/>
                <w:rFonts w:hint="default" w:ascii="Times New Roman" w:hAnsi="Times New Roman" w:eastAsia="宋体" w:cs="Times New Roman"/>
                <w:b/>
                <w:bCs/>
                <w:i w:val="0"/>
                <w:caps w:val="0"/>
                <w:color w:val="auto"/>
                <w:spacing w:val="0"/>
                <w:w w:val="100"/>
                <w:kern w:val="0"/>
                <w:sz w:val="24"/>
                <w:szCs w:val="24"/>
                <w:lang w:val="en-US" w:eastAsia="zh-CN"/>
              </w:rPr>
              <w:t>《关于严格项目审批工作坚决防止新上“散乱污”项目的通知》</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鲁环字〔2021〕58 号</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符合性</w:t>
            </w:r>
          </w:p>
          <w:p w14:paraId="3883607D">
            <w:pPr>
              <w:pStyle w:val="36"/>
              <w:numPr>
                <w:ilvl w:val="0"/>
                <w:numId w:val="0"/>
              </w:numPr>
              <w:spacing w:after="0" w:line="240" w:lineRule="auto"/>
              <w:ind w:firstLine="482" w:firstLineChars="200"/>
              <w:jc w:val="center"/>
              <w:rPr>
                <w:rStyle w:val="153"/>
                <w:rFonts w:hint="default" w:ascii="Times New Roman" w:hAnsi="Times New Roman" w:eastAsia="宋体" w:cs="Times New Roman"/>
                <w:b/>
                <w:bCs/>
                <w:i w:val="0"/>
                <w:caps w:val="0"/>
                <w:color w:val="auto"/>
                <w:spacing w:val="0"/>
                <w:w w:val="100"/>
                <w:kern w:val="0"/>
                <w:sz w:val="24"/>
                <w:szCs w:val="24"/>
                <w:lang w:val="en-US" w:eastAsia="zh-CN"/>
              </w:rPr>
            </w:pPr>
            <w:r>
              <w:rPr>
                <w:rStyle w:val="153"/>
                <w:rFonts w:hint="default" w:ascii="Times New Roman" w:hAnsi="Times New Roman" w:eastAsia="宋体" w:cs="Times New Roman"/>
                <w:b/>
                <w:bCs/>
                <w:i w:val="0"/>
                <w:caps w:val="0"/>
                <w:color w:val="auto"/>
                <w:spacing w:val="0"/>
                <w:w w:val="100"/>
                <w:kern w:val="0"/>
                <w:sz w:val="24"/>
                <w:szCs w:val="24"/>
                <w:lang w:val="en-US" w:eastAsia="zh-CN"/>
              </w:rPr>
              <w:t>表 1-</w:t>
            </w:r>
            <w:r>
              <w:rPr>
                <w:rStyle w:val="153"/>
                <w:rFonts w:hint="eastAsia" w:hAnsi="Times New Roman" w:cs="Times New Roman"/>
                <w:b/>
                <w:bCs/>
                <w:i w:val="0"/>
                <w:caps w:val="0"/>
                <w:color w:val="auto"/>
                <w:spacing w:val="0"/>
                <w:w w:val="100"/>
                <w:kern w:val="0"/>
                <w:sz w:val="24"/>
                <w:szCs w:val="24"/>
                <w:lang w:val="en-US" w:eastAsia="zh-CN"/>
              </w:rPr>
              <w:t xml:space="preserve">11 </w:t>
            </w:r>
            <w:r>
              <w:rPr>
                <w:rStyle w:val="153"/>
                <w:rFonts w:hint="eastAsia" w:ascii="Times New Roman" w:hAnsi="Times New Roman" w:eastAsia="宋体" w:cs="Times New Roman"/>
                <w:b/>
                <w:bCs/>
                <w:i w:val="0"/>
                <w:caps w:val="0"/>
                <w:color w:val="auto"/>
                <w:spacing w:val="0"/>
                <w:w w:val="100"/>
                <w:kern w:val="0"/>
                <w:sz w:val="24"/>
                <w:szCs w:val="24"/>
                <w:lang w:val="en-US" w:eastAsia="zh-CN"/>
              </w:rPr>
              <w:t>与</w:t>
            </w:r>
            <w:r>
              <w:rPr>
                <w:rStyle w:val="153"/>
                <w:rFonts w:hint="default" w:ascii="Times New Roman" w:hAnsi="Times New Roman" w:eastAsia="宋体" w:cs="Times New Roman"/>
                <w:b/>
                <w:bCs/>
                <w:i w:val="0"/>
                <w:caps w:val="0"/>
                <w:color w:val="auto"/>
                <w:spacing w:val="0"/>
                <w:w w:val="100"/>
                <w:kern w:val="0"/>
                <w:sz w:val="24"/>
                <w:szCs w:val="24"/>
                <w:lang w:val="en-US" w:eastAsia="zh-CN"/>
              </w:rPr>
              <w:t>《关于严格项目审批工作坚决防止新上“散乱污”项目的通知》</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鲁环字〔2021〕58 号</w:t>
            </w:r>
            <w:r>
              <w:rPr>
                <w:rStyle w:val="153"/>
                <w:rFonts w:hint="eastAsia" w:hAnsi="Times New Roman" w:cs="Times New Roman"/>
                <w:b/>
                <w:bCs/>
                <w:i w:val="0"/>
                <w:caps w:val="0"/>
                <w:color w:val="auto"/>
                <w:spacing w:val="0"/>
                <w:w w:val="100"/>
                <w:kern w:val="0"/>
                <w:sz w:val="24"/>
                <w:szCs w:val="24"/>
                <w:lang w:val="en-US" w:eastAsia="zh-CN"/>
              </w:rPr>
              <w:t>）</w:t>
            </w:r>
            <w:r>
              <w:rPr>
                <w:rStyle w:val="153"/>
                <w:rFonts w:hint="default" w:ascii="Times New Roman" w:hAnsi="Times New Roman" w:eastAsia="宋体" w:cs="Times New Roman"/>
                <w:b/>
                <w:bCs/>
                <w:i w:val="0"/>
                <w:caps w:val="0"/>
                <w:color w:val="auto"/>
                <w:spacing w:val="0"/>
                <w:w w:val="100"/>
                <w:kern w:val="0"/>
                <w:sz w:val="24"/>
                <w:szCs w:val="24"/>
                <w:lang w:val="en-US" w:eastAsia="zh-CN"/>
              </w:rPr>
              <w:t>符合性分析</w:t>
            </w:r>
          </w:p>
          <w:tbl>
            <w:tblPr>
              <w:tblStyle w:val="155"/>
              <w:tblW w:w="725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7"/>
              <w:gridCol w:w="4272"/>
              <w:gridCol w:w="1340"/>
              <w:gridCol w:w="799"/>
            </w:tblGrid>
            <w:tr w14:paraId="43ACBC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63909F4D">
                  <w:pPr>
                    <w:widowControl/>
                    <w:snapToGrid w:val="0"/>
                    <w:spacing w:before="0" w:beforeAutospacing="0" w:after="0" w:afterAutospacing="0" w:line="320" w:lineRule="exact"/>
                    <w:jc w:val="center"/>
                    <w:textAlignment w:val="baseline"/>
                    <w:rPr>
                      <w:rStyle w:val="153"/>
                      <w:rFonts w:ascii="Times New Roman" w:hAnsi="Times New Roman" w:eastAsia="宋体" w:cs="Times New Roman"/>
                      <w:b/>
                      <w:bCs/>
                      <w:i w:val="0"/>
                      <w:caps w:val="0"/>
                      <w:color w:val="auto"/>
                      <w:spacing w:val="0"/>
                      <w:w w:val="100"/>
                      <w:kern w:val="2"/>
                      <w:sz w:val="21"/>
                      <w:szCs w:val="21"/>
                      <w:lang w:val="en-US" w:eastAsia="zh-CN" w:bidi="ar-SA"/>
                    </w:rPr>
                  </w:pPr>
                  <w:r>
                    <w:rPr>
                      <w:rStyle w:val="153"/>
                      <w:rFonts w:ascii="Times New Roman" w:hAnsi="Times New Roman" w:eastAsia="宋体" w:cs="Times New Roman"/>
                      <w:b/>
                      <w:bCs/>
                      <w:i w:val="0"/>
                      <w:caps w:val="0"/>
                      <w:color w:val="auto"/>
                      <w:spacing w:val="0"/>
                      <w:w w:val="100"/>
                      <w:kern w:val="2"/>
                      <w:sz w:val="21"/>
                      <w:szCs w:val="21"/>
                      <w:lang w:val="en-US" w:eastAsia="zh-CN" w:bidi="ar-SA"/>
                    </w:rPr>
                    <w:t>序号</w:t>
                  </w:r>
                </w:p>
              </w:tc>
              <w:tc>
                <w:tcPr>
                  <w:tcW w:w="4272" w:type="dxa"/>
                  <w:tcBorders>
                    <w:tl2br w:val="nil"/>
                    <w:tr2bl w:val="nil"/>
                  </w:tcBorders>
                  <w:vAlign w:val="center"/>
                </w:tcPr>
                <w:p w14:paraId="76C66E79">
                  <w:pPr>
                    <w:widowControl/>
                    <w:snapToGrid w:val="0"/>
                    <w:spacing w:before="0" w:beforeAutospacing="0" w:after="0" w:afterAutospacing="0" w:line="320" w:lineRule="exact"/>
                    <w:jc w:val="center"/>
                    <w:textAlignment w:val="baseline"/>
                    <w:rPr>
                      <w:rStyle w:val="153"/>
                      <w:rFonts w:ascii="Times New Roman" w:hAnsi="Times New Roman" w:eastAsia="宋体" w:cs="Times New Roman"/>
                      <w:b/>
                      <w:bCs/>
                      <w:i w:val="0"/>
                      <w:caps w:val="0"/>
                      <w:color w:val="auto"/>
                      <w:spacing w:val="0"/>
                      <w:w w:val="100"/>
                      <w:kern w:val="2"/>
                      <w:sz w:val="21"/>
                      <w:szCs w:val="21"/>
                      <w:lang w:val="en-US" w:eastAsia="zh-CN" w:bidi="ar-SA"/>
                    </w:rPr>
                  </w:pPr>
                  <w:r>
                    <w:rPr>
                      <w:rStyle w:val="153"/>
                      <w:rFonts w:ascii="Times New Roman" w:hAnsi="Times New Roman" w:eastAsia="宋体" w:cs="Times New Roman"/>
                      <w:b/>
                      <w:bCs/>
                      <w:i w:val="0"/>
                      <w:caps w:val="0"/>
                      <w:color w:val="auto"/>
                      <w:spacing w:val="0"/>
                      <w:w w:val="100"/>
                      <w:kern w:val="2"/>
                      <w:sz w:val="21"/>
                      <w:szCs w:val="21"/>
                      <w:lang w:val="en-US" w:eastAsia="zh-CN" w:bidi="ar-SA"/>
                    </w:rPr>
                    <w:t>《关于严格项目审批工作坚决防止新上“散 乱污”项目的通知》</w:t>
                  </w:r>
                </w:p>
              </w:tc>
              <w:tc>
                <w:tcPr>
                  <w:tcW w:w="1340" w:type="dxa"/>
                  <w:tcBorders>
                    <w:tl2br w:val="nil"/>
                    <w:tr2bl w:val="nil"/>
                  </w:tcBorders>
                  <w:vAlign w:val="center"/>
                </w:tcPr>
                <w:p w14:paraId="3B02917C">
                  <w:pPr>
                    <w:widowControl/>
                    <w:snapToGrid w:val="0"/>
                    <w:spacing w:before="0" w:beforeAutospacing="0" w:after="0" w:afterAutospacing="0" w:line="320" w:lineRule="exact"/>
                    <w:jc w:val="center"/>
                    <w:textAlignment w:val="baseline"/>
                    <w:rPr>
                      <w:rStyle w:val="153"/>
                      <w:rFonts w:ascii="Times New Roman" w:hAnsi="Times New Roman" w:eastAsia="宋体" w:cs="Times New Roman"/>
                      <w:b/>
                      <w:bCs/>
                      <w:i w:val="0"/>
                      <w:caps w:val="0"/>
                      <w:color w:val="auto"/>
                      <w:spacing w:val="0"/>
                      <w:w w:val="100"/>
                      <w:kern w:val="2"/>
                      <w:sz w:val="21"/>
                      <w:szCs w:val="21"/>
                      <w:lang w:val="en-US" w:eastAsia="zh-CN" w:bidi="ar-SA"/>
                    </w:rPr>
                  </w:pPr>
                  <w:r>
                    <w:rPr>
                      <w:rStyle w:val="153"/>
                      <w:rFonts w:ascii="Times New Roman" w:hAnsi="Times New Roman" w:eastAsia="宋体" w:cs="Times New Roman"/>
                      <w:b/>
                      <w:bCs/>
                      <w:i w:val="0"/>
                      <w:caps w:val="0"/>
                      <w:color w:val="auto"/>
                      <w:spacing w:val="0"/>
                      <w:w w:val="100"/>
                      <w:kern w:val="2"/>
                      <w:sz w:val="21"/>
                      <w:szCs w:val="21"/>
                      <w:lang w:val="en-US" w:eastAsia="zh-CN" w:bidi="ar-SA"/>
                    </w:rPr>
                    <w:t>工程情况</w:t>
                  </w:r>
                </w:p>
              </w:tc>
              <w:tc>
                <w:tcPr>
                  <w:tcW w:w="799" w:type="dxa"/>
                  <w:tcBorders>
                    <w:tl2br w:val="nil"/>
                    <w:tr2bl w:val="nil"/>
                  </w:tcBorders>
                  <w:vAlign w:val="center"/>
                </w:tcPr>
                <w:p w14:paraId="71815E95">
                  <w:pPr>
                    <w:widowControl/>
                    <w:snapToGrid w:val="0"/>
                    <w:spacing w:before="0" w:beforeAutospacing="0" w:after="0" w:afterAutospacing="0" w:line="320" w:lineRule="exact"/>
                    <w:jc w:val="center"/>
                    <w:textAlignment w:val="baseline"/>
                    <w:rPr>
                      <w:rStyle w:val="153"/>
                      <w:rFonts w:hint="default" w:ascii="Times New Roman" w:hAnsi="Times New Roman" w:eastAsia="宋体" w:cs="Times New Roman"/>
                      <w:b/>
                      <w:bCs/>
                      <w:i w:val="0"/>
                      <w:caps w:val="0"/>
                      <w:color w:val="auto"/>
                      <w:spacing w:val="0"/>
                      <w:w w:val="100"/>
                      <w:kern w:val="2"/>
                      <w:sz w:val="21"/>
                      <w:szCs w:val="21"/>
                      <w:lang w:val="en-US" w:eastAsia="zh-CN" w:bidi="ar-SA"/>
                    </w:rPr>
                  </w:pPr>
                  <w:r>
                    <w:rPr>
                      <w:rStyle w:val="153"/>
                      <w:rFonts w:hint="eastAsia" w:cs="Times New Roman"/>
                      <w:b/>
                      <w:bCs/>
                      <w:i w:val="0"/>
                      <w:caps w:val="0"/>
                      <w:color w:val="auto"/>
                      <w:spacing w:val="0"/>
                      <w:w w:val="100"/>
                      <w:kern w:val="2"/>
                      <w:sz w:val="21"/>
                      <w:szCs w:val="21"/>
                      <w:lang w:val="en-US" w:eastAsia="zh-CN" w:bidi="ar-SA"/>
                    </w:rPr>
                    <w:t>符合性</w:t>
                  </w:r>
                </w:p>
              </w:tc>
            </w:tr>
            <w:tr w14:paraId="55B20A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66FEFCBC">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1.认真贯彻执行产业政策</w:t>
                  </w:r>
                </w:p>
              </w:tc>
              <w:tc>
                <w:tcPr>
                  <w:tcW w:w="4272" w:type="dxa"/>
                  <w:tcBorders>
                    <w:tl2br w:val="nil"/>
                    <w:tr2bl w:val="nil"/>
                  </w:tcBorders>
                  <w:vAlign w:val="center"/>
                </w:tcPr>
                <w:p w14:paraId="5D070DFD">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各级立项部门在为企业办理手续时，要认真对照《产业结构调整指导目录（20</w:t>
                  </w:r>
                  <w:r>
                    <w:rPr>
                      <w:rFonts w:hint="eastAsia" w:cs="Times New Roman"/>
                      <w:color w:val="auto"/>
                      <w:kern w:val="0"/>
                      <w:sz w:val="21"/>
                      <w:szCs w:val="21"/>
                      <w:highlight w:val="none"/>
                      <w:lang w:val="en-US" w:eastAsia="zh-CN" w:bidi="ar-SA"/>
                    </w:rPr>
                    <w:t>19</w:t>
                  </w:r>
                  <w:r>
                    <w:rPr>
                      <w:rFonts w:hint="default" w:ascii="Times New Roman" w:hAnsi="Times New Roman" w:eastAsia="宋体" w:cs="Times New Roman"/>
                      <w:color w:val="auto"/>
                      <w:kern w:val="0"/>
                      <w:sz w:val="21"/>
                      <w:szCs w:val="21"/>
                      <w:highlight w:val="none"/>
                      <w:lang w:val="en-US" w:eastAsia="zh-CN" w:bidi="ar-SA"/>
                    </w:rPr>
                    <w:t>年本）》（如有更新，以更新后文件为准），对鼓励类项目， 按照有关规定审批、核准或备案；对限制类项目，禁止新建，现有生产能力允许在一定期限内改造升级；对淘汰类项目，市场主体不得进入，行政机关不予审批。</w:t>
                  </w:r>
                </w:p>
              </w:tc>
              <w:tc>
                <w:tcPr>
                  <w:tcW w:w="1340" w:type="dxa"/>
                  <w:tcBorders>
                    <w:tl2br w:val="nil"/>
                    <w:tr2bl w:val="nil"/>
                  </w:tcBorders>
                  <w:vAlign w:val="center"/>
                </w:tcPr>
                <w:p w14:paraId="441CC979">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本项目属于允许建设项目，符合国家的产业政策。</w:t>
                  </w:r>
                </w:p>
              </w:tc>
              <w:tc>
                <w:tcPr>
                  <w:tcW w:w="799" w:type="dxa"/>
                  <w:tcBorders>
                    <w:tl2br w:val="nil"/>
                    <w:tr2bl w:val="nil"/>
                  </w:tcBorders>
                  <w:vAlign w:val="center"/>
                </w:tcPr>
                <w:p w14:paraId="227EF003">
                  <w:pPr>
                    <w:widowControl/>
                    <w:snapToGrid w:val="0"/>
                    <w:spacing w:before="0" w:beforeAutospacing="0" w:after="0" w:afterAutospacing="0" w:line="320" w:lineRule="exact"/>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符合</w:t>
                  </w:r>
                </w:p>
              </w:tc>
            </w:tr>
            <w:tr w14:paraId="6CCACB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12928E4A">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2.强化规划刚性约束</w:t>
                  </w:r>
                </w:p>
              </w:tc>
              <w:tc>
                <w:tcPr>
                  <w:tcW w:w="4272" w:type="dxa"/>
                  <w:tcBorders>
                    <w:tl2br w:val="nil"/>
                    <w:tr2bl w:val="nil"/>
                  </w:tcBorders>
                  <w:vAlign w:val="center"/>
                </w:tcPr>
                <w:p w14:paraId="27CC8A20">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新上项目必须符合国土空间规划、产业发展规划等要求，积极引导产业园区外“散乱污”整治搬迁改造企业进入产业园区或工业集聚区，并鼓励租赁标准厂房。</w:t>
                  </w:r>
                </w:p>
              </w:tc>
              <w:tc>
                <w:tcPr>
                  <w:tcW w:w="1340" w:type="dxa"/>
                  <w:tcBorders>
                    <w:tl2br w:val="nil"/>
                    <w:tr2bl w:val="nil"/>
                  </w:tcBorders>
                  <w:vAlign w:val="center"/>
                </w:tcPr>
                <w:p w14:paraId="20A11438">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w:t>
                  </w:r>
                  <w:r>
                    <w:rPr>
                      <w:rFonts w:hint="eastAsia" w:cs="Times New Roman"/>
                      <w:color w:val="auto"/>
                      <w:kern w:val="0"/>
                      <w:sz w:val="21"/>
                      <w:szCs w:val="21"/>
                      <w:highlight w:val="none"/>
                      <w:lang w:val="en-US" w:eastAsia="zh-CN" w:bidi="ar-SA"/>
                    </w:rPr>
                    <w:t>位于</w:t>
                  </w:r>
                  <w:r>
                    <w:rPr>
                      <w:rFonts w:hint="eastAsia" w:cs="Times New Roman"/>
                      <w:color w:val="auto"/>
                      <w:kern w:val="2"/>
                      <w:sz w:val="21"/>
                      <w:szCs w:val="21"/>
                      <w:highlight w:val="none"/>
                      <w:u w:val="none"/>
                      <w:lang w:val="en-US" w:eastAsia="zh-CN" w:bidi="ar-SA"/>
                    </w:rPr>
                    <w:t>济宁市泗水县泉林镇泉林村原泗水县纺织厂院内，符合</w:t>
                  </w:r>
                  <w:r>
                    <w:rPr>
                      <w:rFonts w:hint="default" w:ascii="Times New Roman" w:hAnsi="Times New Roman" w:eastAsia="宋体" w:cs="Times New Roman"/>
                      <w:color w:val="auto"/>
                      <w:sz w:val="21"/>
                      <w:szCs w:val="24"/>
                      <w:lang w:eastAsia="zh-CN"/>
                    </w:rPr>
                    <w:t>《</w:t>
                  </w:r>
                  <w:r>
                    <w:rPr>
                      <w:rFonts w:hint="eastAsia" w:cs="Times New Roman"/>
                      <w:color w:val="auto"/>
                      <w:sz w:val="21"/>
                      <w:szCs w:val="24"/>
                      <w:lang w:val="en-US" w:eastAsia="zh-CN"/>
                    </w:rPr>
                    <w:t>泗水县</w:t>
                  </w:r>
                  <w:r>
                    <w:rPr>
                      <w:rFonts w:hint="default" w:ascii="Times New Roman" w:hAnsi="Times New Roman" w:eastAsia="宋体" w:cs="Times New Roman"/>
                      <w:color w:val="auto"/>
                      <w:sz w:val="21"/>
                      <w:szCs w:val="24"/>
                      <w:lang w:eastAsia="zh-CN"/>
                    </w:rPr>
                    <w:t>国土空间总体规划</w:t>
                  </w:r>
                  <w:r>
                    <w:rPr>
                      <w:rFonts w:hint="eastAsia" w:cs="Times New Roman"/>
                      <w:color w:val="auto"/>
                      <w:sz w:val="21"/>
                      <w:szCs w:val="24"/>
                      <w:lang w:eastAsia="zh-CN"/>
                    </w:rPr>
                    <w:t>（</w:t>
                  </w:r>
                  <w:r>
                    <w:rPr>
                      <w:rFonts w:hint="default" w:ascii="Times New Roman" w:hAnsi="Times New Roman" w:eastAsia="宋体" w:cs="Times New Roman"/>
                      <w:color w:val="auto"/>
                      <w:sz w:val="21"/>
                      <w:szCs w:val="24"/>
                      <w:lang w:eastAsia="zh-CN"/>
                    </w:rPr>
                    <w:t>2021-2035年）》、《</w:t>
                  </w:r>
                  <w:r>
                    <w:rPr>
                      <w:rFonts w:hint="default" w:ascii="Times New Roman" w:hAnsi="Times New Roman" w:eastAsia="宋体" w:cs="Times New Roman"/>
                      <w:color w:val="auto"/>
                      <w:sz w:val="21"/>
                      <w:szCs w:val="24"/>
                      <w:lang w:val="en-US" w:eastAsia="zh-CN"/>
                    </w:rPr>
                    <w:t>泗水县泉林镇</w:t>
                  </w:r>
                  <w:r>
                    <w:rPr>
                      <w:rFonts w:hint="default" w:ascii="Times New Roman" w:hAnsi="Times New Roman" w:eastAsia="宋体" w:cs="Times New Roman"/>
                      <w:color w:val="auto"/>
                      <w:sz w:val="21"/>
                      <w:szCs w:val="24"/>
                      <w:lang w:eastAsia="zh-CN"/>
                    </w:rPr>
                    <w:t>国土空间总体规划（2021-2035年）》</w:t>
                  </w:r>
                  <w:r>
                    <w:rPr>
                      <w:rFonts w:hint="default" w:ascii="Times New Roman" w:hAnsi="Times New Roman" w:eastAsia="宋体" w:cs="Times New Roman"/>
                      <w:color w:val="auto"/>
                      <w:kern w:val="0"/>
                      <w:sz w:val="21"/>
                      <w:szCs w:val="21"/>
                      <w:highlight w:val="none"/>
                      <w:lang w:val="en-US" w:eastAsia="zh-CN" w:bidi="ar-SA"/>
                    </w:rPr>
                    <w:t>。</w:t>
                  </w:r>
                </w:p>
              </w:tc>
              <w:tc>
                <w:tcPr>
                  <w:tcW w:w="799" w:type="dxa"/>
                  <w:tcBorders>
                    <w:tl2br w:val="nil"/>
                    <w:tr2bl w:val="nil"/>
                  </w:tcBorders>
                  <w:vAlign w:val="center"/>
                </w:tcPr>
                <w:p w14:paraId="2FB4B8E5">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olor w:val="auto"/>
                      <w:spacing w:val="4"/>
                      <w:sz w:val="20"/>
                      <w:szCs w:val="20"/>
                      <w:lang w:val="en-US" w:eastAsia="zh-CN"/>
                    </w:rPr>
                    <w:t>符合</w:t>
                  </w:r>
                </w:p>
              </w:tc>
            </w:tr>
            <w:tr w14:paraId="5C5BB7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0313310A">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3.科学把好项目选址关</w:t>
                  </w:r>
                </w:p>
              </w:tc>
              <w:tc>
                <w:tcPr>
                  <w:tcW w:w="4272" w:type="dxa"/>
                  <w:tcBorders>
                    <w:tl2br w:val="nil"/>
                    <w:tr2bl w:val="nil"/>
                  </w:tcBorders>
                  <w:vAlign w:val="center"/>
                </w:tcPr>
                <w:p w14:paraId="7A423420">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新建有污染物排放的工业项目，除在安全生产等方面有特殊要求的以外，应当进入工业园区或工业集聚区。</w:t>
                  </w:r>
                </w:p>
              </w:tc>
              <w:tc>
                <w:tcPr>
                  <w:tcW w:w="1340" w:type="dxa"/>
                  <w:tcBorders>
                    <w:tl2br w:val="nil"/>
                    <w:tr2bl w:val="nil"/>
                  </w:tcBorders>
                  <w:vAlign w:val="center"/>
                </w:tcPr>
                <w:p w14:paraId="7B321987">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项目属于</w:t>
                  </w:r>
                  <w:r>
                    <w:rPr>
                      <w:rFonts w:hint="eastAsia" w:cs="Times New Roman"/>
                      <w:color w:val="auto"/>
                      <w:kern w:val="2"/>
                      <w:sz w:val="21"/>
                      <w:szCs w:val="21"/>
                      <w:highlight w:val="none"/>
                      <w:u w:val="none"/>
                      <w:lang w:val="en-US" w:eastAsia="zh-CN" w:bidi="ar-SA"/>
                    </w:rPr>
                    <w:t>济宁市泗水县泉林镇泉林村原泗水县纺织厂院内</w:t>
                  </w:r>
                  <w:r>
                    <w:rPr>
                      <w:rFonts w:hint="default" w:ascii="Times New Roman" w:hAnsi="Times New Roman" w:eastAsia="宋体" w:cs="Times New Roman"/>
                      <w:color w:val="auto"/>
                      <w:kern w:val="0"/>
                      <w:sz w:val="21"/>
                      <w:szCs w:val="21"/>
                      <w:highlight w:val="none"/>
                      <w:lang w:val="en-US" w:eastAsia="zh-CN" w:bidi="ar-SA"/>
                    </w:rPr>
                    <w:t>，符合</w:t>
                  </w:r>
                  <w:r>
                    <w:rPr>
                      <w:rFonts w:hint="default" w:ascii="Times New Roman" w:hAnsi="Times New Roman" w:eastAsia="宋体" w:cs="Times New Roman"/>
                      <w:color w:val="auto"/>
                      <w:sz w:val="21"/>
                      <w:szCs w:val="24"/>
                      <w:lang w:eastAsia="zh-CN"/>
                    </w:rPr>
                    <w:t>《</w:t>
                  </w:r>
                  <w:r>
                    <w:rPr>
                      <w:rFonts w:hint="eastAsia" w:cs="Times New Roman"/>
                      <w:color w:val="auto"/>
                      <w:sz w:val="21"/>
                      <w:szCs w:val="24"/>
                      <w:lang w:val="en-US" w:eastAsia="zh-CN"/>
                    </w:rPr>
                    <w:t>泗水县</w:t>
                  </w:r>
                  <w:r>
                    <w:rPr>
                      <w:rFonts w:hint="default" w:ascii="Times New Roman" w:hAnsi="Times New Roman" w:eastAsia="宋体" w:cs="Times New Roman"/>
                      <w:color w:val="auto"/>
                      <w:sz w:val="21"/>
                      <w:szCs w:val="24"/>
                      <w:lang w:eastAsia="zh-CN"/>
                    </w:rPr>
                    <w:t>国土空间总体规划</w:t>
                  </w:r>
                  <w:r>
                    <w:rPr>
                      <w:rFonts w:hint="eastAsia" w:cs="Times New Roman"/>
                      <w:color w:val="auto"/>
                      <w:sz w:val="21"/>
                      <w:szCs w:val="24"/>
                      <w:lang w:eastAsia="zh-CN"/>
                    </w:rPr>
                    <w:t>（</w:t>
                  </w:r>
                  <w:r>
                    <w:rPr>
                      <w:rFonts w:hint="default" w:ascii="Times New Roman" w:hAnsi="Times New Roman" w:eastAsia="宋体" w:cs="Times New Roman"/>
                      <w:color w:val="auto"/>
                      <w:sz w:val="21"/>
                      <w:szCs w:val="24"/>
                      <w:lang w:eastAsia="zh-CN"/>
                    </w:rPr>
                    <w:t>2021-2035年）》、《</w:t>
                  </w:r>
                  <w:r>
                    <w:rPr>
                      <w:rFonts w:hint="default" w:ascii="Times New Roman" w:hAnsi="Times New Roman" w:eastAsia="宋体" w:cs="Times New Roman"/>
                      <w:color w:val="auto"/>
                      <w:sz w:val="21"/>
                      <w:szCs w:val="24"/>
                      <w:lang w:val="en-US" w:eastAsia="zh-CN"/>
                    </w:rPr>
                    <w:t>泗水县泉林镇</w:t>
                  </w:r>
                  <w:r>
                    <w:rPr>
                      <w:rFonts w:hint="default" w:ascii="Times New Roman" w:hAnsi="Times New Roman" w:eastAsia="宋体" w:cs="Times New Roman"/>
                      <w:color w:val="auto"/>
                      <w:sz w:val="21"/>
                      <w:szCs w:val="24"/>
                      <w:lang w:eastAsia="zh-CN"/>
                    </w:rPr>
                    <w:t>国土空间总体规划（2021-2035年）》</w:t>
                  </w:r>
                  <w:r>
                    <w:rPr>
                      <w:rFonts w:hint="default" w:ascii="Times New Roman" w:hAnsi="Times New Roman" w:eastAsia="宋体" w:cs="Times New Roman"/>
                      <w:color w:val="auto"/>
                      <w:kern w:val="0"/>
                      <w:sz w:val="21"/>
                      <w:szCs w:val="21"/>
                      <w:highlight w:val="none"/>
                      <w:lang w:val="en-US" w:eastAsia="zh-CN" w:bidi="ar-SA"/>
                    </w:rPr>
                    <w:t>。</w:t>
                  </w:r>
                </w:p>
              </w:tc>
              <w:tc>
                <w:tcPr>
                  <w:tcW w:w="799" w:type="dxa"/>
                  <w:tcBorders>
                    <w:tl2br w:val="nil"/>
                    <w:tr2bl w:val="nil"/>
                  </w:tcBorders>
                  <w:vAlign w:val="center"/>
                </w:tcPr>
                <w:p w14:paraId="49FFE563">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olor w:val="auto"/>
                      <w:spacing w:val="4"/>
                      <w:sz w:val="20"/>
                      <w:szCs w:val="20"/>
                      <w:lang w:val="en-US" w:eastAsia="zh-CN"/>
                    </w:rPr>
                    <w:t>符合</w:t>
                  </w:r>
                </w:p>
              </w:tc>
            </w:tr>
            <w:tr w14:paraId="326B5B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36FE1AA5">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4.严把项目环评审批关</w:t>
                  </w:r>
                </w:p>
              </w:tc>
              <w:tc>
                <w:tcPr>
                  <w:tcW w:w="4272" w:type="dxa"/>
                  <w:tcBorders>
                    <w:tl2br w:val="nil"/>
                    <w:tr2bl w:val="nil"/>
                  </w:tcBorders>
                  <w:vAlign w:val="center"/>
                </w:tcPr>
                <w:p w14:paraId="2D6D8E51">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强化替代约束，涉及主要污染物排放的，必须落实区域污染物排放替代，确保增产减污；涉及煤炭消耗的，必须落实煤炭消费减量替代， 否则各级环评审批部门一律不予审批通过。</w:t>
                  </w:r>
                </w:p>
              </w:tc>
              <w:tc>
                <w:tcPr>
                  <w:tcW w:w="1340" w:type="dxa"/>
                  <w:tcBorders>
                    <w:tl2br w:val="nil"/>
                    <w:tr2bl w:val="nil"/>
                  </w:tcBorders>
                  <w:vAlign w:val="center"/>
                </w:tcPr>
                <w:p w14:paraId="1F7D71E9">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本项目污染物主要为</w:t>
                  </w:r>
                  <w:r>
                    <w:rPr>
                      <w:rFonts w:hint="eastAsia" w:cs="Times New Roman"/>
                      <w:color w:val="auto"/>
                      <w:kern w:val="0"/>
                      <w:sz w:val="21"/>
                      <w:szCs w:val="21"/>
                      <w:highlight w:val="none"/>
                      <w:lang w:val="en-US" w:eastAsia="zh-CN" w:bidi="ar-SA"/>
                    </w:rPr>
                    <w:t>颗粒物、VOCs</w:t>
                  </w:r>
                  <w:r>
                    <w:rPr>
                      <w:rFonts w:hint="default" w:ascii="Times New Roman" w:hAnsi="Times New Roman" w:eastAsia="宋体" w:cs="Times New Roman"/>
                      <w:color w:val="auto"/>
                      <w:kern w:val="0"/>
                      <w:sz w:val="21"/>
                      <w:szCs w:val="21"/>
                      <w:highlight w:val="none"/>
                      <w:lang w:val="en-US" w:eastAsia="zh-CN" w:bidi="ar-SA"/>
                    </w:rPr>
                    <w:t>，实行倍量替代排放，不涉及煤炭消耗。</w:t>
                  </w:r>
                </w:p>
              </w:tc>
              <w:tc>
                <w:tcPr>
                  <w:tcW w:w="799" w:type="dxa"/>
                  <w:tcBorders>
                    <w:tl2br w:val="nil"/>
                    <w:tr2bl w:val="nil"/>
                  </w:tcBorders>
                  <w:vAlign w:val="center"/>
                </w:tcPr>
                <w:p w14:paraId="225A137B">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olor w:val="auto"/>
                      <w:spacing w:val="4"/>
                      <w:sz w:val="20"/>
                      <w:szCs w:val="20"/>
                      <w:lang w:val="en-US" w:eastAsia="zh-CN"/>
                    </w:rPr>
                    <w:t>符合</w:t>
                  </w:r>
                </w:p>
              </w:tc>
            </w:tr>
            <w:tr w14:paraId="21B185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0977DD18">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5.建立部 门联动协 调机制</w:t>
                  </w:r>
                </w:p>
              </w:tc>
              <w:tc>
                <w:tcPr>
                  <w:tcW w:w="4272" w:type="dxa"/>
                  <w:tcBorders>
                    <w:tl2br w:val="nil"/>
                    <w:tr2bl w:val="nil"/>
                  </w:tcBorders>
                  <w:vAlign w:val="center"/>
                </w:tcPr>
                <w:p w14:paraId="2D11802F">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340" w:type="dxa"/>
                  <w:tcBorders>
                    <w:tl2br w:val="nil"/>
                    <w:tr2bl w:val="nil"/>
                  </w:tcBorders>
                  <w:vAlign w:val="center"/>
                </w:tcPr>
                <w:p w14:paraId="67296D2F">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项目属于</w:t>
                  </w:r>
                  <w:r>
                    <w:rPr>
                      <w:rFonts w:hint="eastAsia" w:cs="Times New Roman"/>
                      <w:color w:val="auto"/>
                      <w:kern w:val="2"/>
                      <w:sz w:val="21"/>
                      <w:szCs w:val="21"/>
                      <w:highlight w:val="none"/>
                      <w:u w:val="none"/>
                      <w:lang w:val="en-US" w:eastAsia="zh-CN" w:bidi="ar-SA"/>
                    </w:rPr>
                    <w:t>济宁市泗水县泉林镇泉林村原泗水县纺织厂院内</w:t>
                  </w:r>
                  <w:r>
                    <w:rPr>
                      <w:rFonts w:hint="default" w:ascii="Times New Roman" w:hAnsi="Times New Roman" w:eastAsia="宋体" w:cs="Times New Roman"/>
                      <w:color w:val="auto"/>
                      <w:kern w:val="0"/>
                      <w:sz w:val="21"/>
                      <w:szCs w:val="21"/>
                      <w:highlight w:val="none"/>
                      <w:lang w:val="en-US" w:eastAsia="zh-CN" w:bidi="ar-SA"/>
                    </w:rPr>
                    <w:t>。项目土地利用性质为</w:t>
                  </w:r>
                  <w:r>
                    <w:rPr>
                      <w:rFonts w:hint="eastAsia" w:cs="Times New Roman"/>
                      <w:color w:val="auto"/>
                      <w:kern w:val="0"/>
                      <w:sz w:val="21"/>
                      <w:szCs w:val="21"/>
                      <w:highlight w:val="none"/>
                      <w:lang w:val="en-US" w:eastAsia="zh-CN" w:bidi="ar-SA"/>
                    </w:rPr>
                    <w:t>工业</w:t>
                  </w:r>
                  <w:r>
                    <w:rPr>
                      <w:rFonts w:hint="default" w:ascii="Times New Roman" w:hAnsi="Times New Roman" w:eastAsia="宋体" w:cs="Times New Roman"/>
                      <w:color w:val="auto"/>
                      <w:kern w:val="0"/>
                      <w:sz w:val="21"/>
                      <w:szCs w:val="21"/>
                      <w:highlight w:val="none"/>
                      <w:lang w:val="en-US" w:eastAsia="zh-CN" w:bidi="ar-SA"/>
                    </w:rPr>
                    <w:t>用地。</w:t>
                  </w:r>
                </w:p>
              </w:tc>
              <w:tc>
                <w:tcPr>
                  <w:tcW w:w="799" w:type="dxa"/>
                  <w:tcBorders>
                    <w:tl2br w:val="nil"/>
                    <w:tr2bl w:val="nil"/>
                  </w:tcBorders>
                  <w:vAlign w:val="center"/>
                </w:tcPr>
                <w:p w14:paraId="639F9921">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olor w:val="auto"/>
                      <w:spacing w:val="4"/>
                      <w:sz w:val="20"/>
                      <w:szCs w:val="20"/>
                      <w:lang w:val="en-US" w:eastAsia="zh-CN"/>
                    </w:rPr>
                    <w:t>符合</w:t>
                  </w:r>
                </w:p>
              </w:tc>
            </w:tr>
            <w:tr w14:paraId="33B35E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847" w:type="dxa"/>
                  <w:tcBorders>
                    <w:tl2br w:val="nil"/>
                    <w:tr2bl w:val="nil"/>
                  </w:tcBorders>
                  <w:vAlign w:val="center"/>
                </w:tcPr>
                <w:p w14:paraId="53A8FBCB">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6.强化日常监管执法</w:t>
                  </w:r>
                </w:p>
              </w:tc>
              <w:tc>
                <w:tcPr>
                  <w:tcW w:w="4272" w:type="dxa"/>
                  <w:tcBorders>
                    <w:tl2br w:val="nil"/>
                    <w:tr2bl w:val="nil"/>
                  </w:tcBorders>
                  <w:vAlign w:val="center"/>
                </w:tcPr>
                <w:p w14:paraId="08A2A336">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持续加大对违反产业政策、规划、准入规定等违法违规建设行为的查处力度，坚决遏制“未批先建”等违法行为。畅通群众举报投诉渠道， 对“散乱污”项目做到早发现、早应对、早处置，严防死灰复燃。</w:t>
                  </w:r>
                </w:p>
              </w:tc>
              <w:tc>
                <w:tcPr>
                  <w:tcW w:w="1340" w:type="dxa"/>
                  <w:tcBorders>
                    <w:tl2br w:val="nil"/>
                    <w:tr2bl w:val="nil"/>
                  </w:tcBorders>
                  <w:vAlign w:val="center"/>
                </w:tcPr>
                <w:p w14:paraId="20E55C3B">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无“未批先建”等违法行为，项目不属于“散乱污”项目。</w:t>
                  </w:r>
                </w:p>
              </w:tc>
              <w:tc>
                <w:tcPr>
                  <w:tcW w:w="799" w:type="dxa"/>
                  <w:tcBorders>
                    <w:tl2br w:val="nil"/>
                    <w:tr2bl w:val="nil"/>
                  </w:tcBorders>
                  <w:vAlign w:val="center"/>
                </w:tcPr>
                <w:p w14:paraId="25891E5F">
                  <w:pPr>
                    <w:widowControl/>
                    <w:snapToGrid w:val="0"/>
                    <w:spacing w:before="0" w:beforeAutospacing="0" w:after="0" w:afterAutospacing="0" w:line="320" w:lineRule="exact"/>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eastAsia="宋体"/>
                      <w:color w:val="auto"/>
                      <w:spacing w:val="4"/>
                      <w:sz w:val="20"/>
                      <w:szCs w:val="20"/>
                      <w:lang w:val="en-US" w:eastAsia="zh-CN"/>
                    </w:rPr>
                    <w:t>符合</w:t>
                  </w:r>
                </w:p>
              </w:tc>
            </w:tr>
          </w:tbl>
          <w:p w14:paraId="157821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b w:val="0"/>
                <w:bCs w:val="0"/>
                <w:color w:val="auto"/>
                <w:sz w:val="24"/>
                <w:szCs w:val="24"/>
                <w:lang w:val="en-US" w:eastAsia="zh-CN"/>
              </w:rPr>
            </w:pPr>
            <w:r>
              <w:rPr>
                <w:rFonts w:hint="eastAsia" w:cs="Times New Roman"/>
                <w:b w:val="0"/>
                <w:bCs w:val="0"/>
                <w:color w:val="auto"/>
                <w:sz w:val="24"/>
                <w:szCs w:val="24"/>
                <w:lang w:val="en-US" w:eastAsia="zh-CN"/>
              </w:rPr>
              <w:t>由上表可知，项目符合</w:t>
            </w:r>
            <w:r>
              <w:rPr>
                <w:rStyle w:val="153"/>
                <w:rFonts w:hint="default" w:ascii="Times New Roman" w:hAnsi="Times New Roman" w:eastAsia="宋体" w:cs="Times New Roman"/>
                <w:b w:val="0"/>
                <w:bCs w:val="0"/>
                <w:i w:val="0"/>
                <w:caps w:val="0"/>
                <w:color w:val="auto"/>
                <w:spacing w:val="0"/>
                <w:w w:val="100"/>
                <w:kern w:val="0"/>
                <w:sz w:val="24"/>
                <w:szCs w:val="24"/>
                <w:lang w:val="en-US" w:eastAsia="zh-CN"/>
              </w:rPr>
              <w:t>《关于严格项目审批工作坚决防止新上“散乱污”项目的通知》</w:t>
            </w:r>
            <w:r>
              <w:rPr>
                <w:rStyle w:val="153"/>
                <w:rFonts w:hint="eastAsia" w:cs="Times New Roman"/>
                <w:b w:val="0"/>
                <w:bCs w:val="0"/>
                <w:i w:val="0"/>
                <w:caps w:val="0"/>
                <w:color w:val="auto"/>
                <w:spacing w:val="0"/>
                <w:w w:val="100"/>
                <w:kern w:val="0"/>
                <w:sz w:val="24"/>
                <w:szCs w:val="24"/>
                <w:lang w:val="en-US" w:eastAsia="zh-CN"/>
              </w:rPr>
              <w:t>（</w:t>
            </w:r>
            <w:r>
              <w:rPr>
                <w:rStyle w:val="153"/>
                <w:rFonts w:hint="default" w:ascii="Times New Roman" w:hAnsi="Times New Roman" w:eastAsia="宋体" w:cs="Times New Roman"/>
                <w:b w:val="0"/>
                <w:bCs w:val="0"/>
                <w:i w:val="0"/>
                <w:caps w:val="0"/>
                <w:color w:val="auto"/>
                <w:spacing w:val="0"/>
                <w:w w:val="100"/>
                <w:kern w:val="0"/>
                <w:sz w:val="24"/>
                <w:szCs w:val="24"/>
                <w:lang w:val="en-US" w:eastAsia="zh-CN"/>
              </w:rPr>
              <w:t>鲁环字〔2021〕58 号</w:t>
            </w:r>
            <w:r>
              <w:rPr>
                <w:rStyle w:val="153"/>
                <w:rFonts w:hint="eastAsia" w:cs="Times New Roman"/>
                <w:b w:val="0"/>
                <w:bCs w:val="0"/>
                <w:i w:val="0"/>
                <w:caps w:val="0"/>
                <w:color w:val="auto"/>
                <w:spacing w:val="0"/>
                <w:w w:val="100"/>
                <w:kern w:val="0"/>
                <w:sz w:val="24"/>
                <w:szCs w:val="24"/>
                <w:lang w:val="en-US" w:eastAsia="zh-CN"/>
              </w:rPr>
              <w:t>）的要求。</w:t>
            </w:r>
          </w:p>
          <w:p w14:paraId="6663D29F">
            <w:pPr>
              <w:pStyle w:val="71"/>
              <w:adjustRightInd w:val="0"/>
              <w:snapToGrid w:val="0"/>
              <w:spacing w:line="360" w:lineRule="auto"/>
              <w:ind w:firstLine="482" w:firstLineChars="200"/>
              <w:rPr>
                <w:rFonts w:hint="default" w:ascii="Times New Roman" w:hAnsi="Times New Roman" w:eastAsia="宋体" w:cs="Times New Roman"/>
                <w:b/>
                <w:bCs/>
                <w:color w:val="auto"/>
                <w:spacing w:val="0"/>
                <w:sz w:val="24"/>
                <w:szCs w:val="24"/>
                <w:lang w:val="en-US" w:eastAsia="zh-CN"/>
              </w:rPr>
            </w:pPr>
            <w:r>
              <w:rPr>
                <w:rFonts w:hint="eastAsia" w:ascii="Times New Roman" w:hAnsi="Times New Roman" w:eastAsia="宋体" w:cs="Times New Roman"/>
                <w:b/>
                <w:bCs/>
                <w:color w:val="auto"/>
                <w:spacing w:val="0"/>
                <w:sz w:val="24"/>
                <w:szCs w:val="24"/>
                <w:lang w:val="en-US" w:eastAsia="zh-CN"/>
              </w:rPr>
              <w:t>1</w:t>
            </w:r>
            <w:r>
              <w:rPr>
                <w:rFonts w:hint="eastAsia" w:ascii="Times New Roman" w:hAnsi="Times New Roman" w:cs="Times New Roman"/>
                <w:b/>
                <w:bCs/>
                <w:color w:val="auto"/>
                <w:spacing w:val="0"/>
                <w:sz w:val="24"/>
                <w:szCs w:val="24"/>
                <w:lang w:val="en-US" w:eastAsia="zh-CN"/>
              </w:rPr>
              <w:t>6</w:t>
            </w:r>
            <w:r>
              <w:rPr>
                <w:rFonts w:hint="default" w:ascii="Times New Roman" w:hAnsi="Times New Roman" w:eastAsia="宋体" w:cs="Times New Roman"/>
                <w:b/>
                <w:bCs/>
                <w:color w:val="auto"/>
                <w:spacing w:val="0"/>
                <w:sz w:val="24"/>
                <w:szCs w:val="24"/>
                <w:lang w:val="en-US" w:eastAsia="zh-CN"/>
              </w:rPr>
              <w:t>、与排污许可制衔接相关要求</w:t>
            </w:r>
          </w:p>
          <w:p w14:paraId="73B9ADFF">
            <w:pPr>
              <w:pStyle w:val="71"/>
              <w:adjustRightInd w:val="0"/>
              <w:snapToGrid w:val="0"/>
              <w:spacing w:line="360" w:lineRule="auto"/>
              <w:ind w:firstLine="480" w:firstLineChars="200"/>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根据《关于做好环境影响评价制度与排污许可</w:t>
            </w:r>
            <w:r>
              <w:rPr>
                <w:rFonts w:hint="eastAsia" w:ascii="Times New Roman" w:hAnsi="Times New Roman" w:eastAsia="宋体" w:cs="Times New Roman"/>
                <w:b w:val="0"/>
                <w:bCs w:val="0"/>
                <w:color w:val="auto"/>
                <w:spacing w:val="0"/>
                <w:sz w:val="24"/>
                <w:szCs w:val="24"/>
                <w:lang w:val="en-US" w:eastAsia="zh-CN"/>
              </w:rPr>
              <w:t>制度</w:t>
            </w:r>
            <w:r>
              <w:rPr>
                <w:rFonts w:hint="default" w:ascii="Times New Roman" w:hAnsi="Times New Roman" w:eastAsia="宋体" w:cs="Times New Roman"/>
                <w:b w:val="0"/>
                <w:bCs w:val="0"/>
                <w:color w:val="auto"/>
                <w:spacing w:val="0"/>
                <w:sz w:val="24"/>
                <w:szCs w:val="24"/>
                <w:lang w:val="en-US" w:eastAsia="zh-CN"/>
              </w:rPr>
              <w:t>衔接相关工作的通知》（环办环评[2017]84号），建设项目应做好《建设项目环境影响评价分类管理名录》和《固定污染源排污许可分类管理名录》的有机衔接。</w:t>
            </w:r>
          </w:p>
          <w:p w14:paraId="047353F9">
            <w:pPr>
              <w:pStyle w:val="36"/>
              <w:numPr>
                <w:ilvl w:val="0"/>
                <w:numId w:val="0"/>
              </w:numPr>
              <w:spacing w:after="0" w:line="360" w:lineRule="auto"/>
              <w:ind w:left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综上所述，本项目符合国家相关环保要求。</w:t>
            </w:r>
          </w:p>
          <w:p w14:paraId="1452DD71">
            <w:pPr>
              <w:rPr>
                <w:rFonts w:hint="default" w:ascii="Times New Roman" w:hAnsi="Times New Roman" w:eastAsia="宋体" w:cs="Times New Roman"/>
                <w:color w:val="auto"/>
                <w:sz w:val="21"/>
                <w:szCs w:val="21"/>
                <w:highlight w:val="none"/>
                <w:lang w:val="en-US" w:eastAsia="zh-CN"/>
              </w:rPr>
            </w:pPr>
          </w:p>
          <w:p w14:paraId="6E30A477">
            <w:pPr>
              <w:rPr>
                <w:rFonts w:hint="default" w:ascii="Times New Roman" w:hAnsi="Times New Roman" w:eastAsia="宋体" w:cs="Times New Roman"/>
                <w:color w:val="auto"/>
                <w:sz w:val="21"/>
                <w:szCs w:val="21"/>
                <w:highlight w:val="none"/>
                <w:lang w:val="en-US" w:eastAsia="zh-CN"/>
              </w:rPr>
            </w:pPr>
          </w:p>
          <w:p w14:paraId="1EEEC49E">
            <w:pPr>
              <w:rPr>
                <w:rFonts w:hint="default" w:ascii="Times New Roman" w:hAnsi="Times New Roman" w:eastAsia="宋体" w:cs="Times New Roman"/>
                <w:color w:val="auto"/>
                <w:sz w:val="21"/>
                <w:szCs w:val="21"/>
                <w:highlight w:val="none"/>
                <w:lang w:val="en-US" w:eastAsia="zh-CN"/>
              </w:rPr>
            </w:pPr>
          </w:p>
          <w:p w14:paraId="35B89FA9">
            <w:pPr>
              <w:rPr>
                <w:rFonts w:hint="default" w:ascii="Times New Roman" w:hAnsi="Times New Roman" w:eastAsia="宋体" w:cs="Times New Roman"/>
                <w:color w:val="auto"/>
                <w:sz w:val="21"/>
                <w:szCs w:val="21"/>
                <w:highlight w:val="none"/>
                <w:lang w:val="en-US" w:eastAsia="zh-CN"/>
              </w:rPr>
            </w:pPr>
          </w:p>
          <w:p w14:paraId="322075A6">
            <w:pPr>
              <w:rPr>
                <w:rFonts w:hint="default" w:ascii="Times New Roman" w:hAnsi="Times New Roman" w:eastAsia="宋体" w:cs="Times New Roman"/>
                <w:color w:val="auto"/>
                <w:sz w:val="21"/>
                <w:szCs w:val="21"/>
                <w:highlight w:val="none"/>
                <w:lang w:val="en-US" w:eastAsia="zh-CN"/>
              </w:rPr>
            </w:pPr>
          </w:p>
          <w:p w14:paraId="2AC0FB5C">
            <w:pPr>
              <w:rPr>
                <w:rFonts w:hint="default" w:ascii="Times New Roman" w:hAnsi="Times New Roman" w:eastAsia="宋体" w:cs="Times New Roman"/>
                <w:color w:val="auto"/>
                <w:sz w:val="21"/>
                <w:szCs w:val="21"/>
                <w:highlight w:val="none"/>
                <w:lang w:val="en-US" w:eastAsia="zh-CN"/>
              </w:rPr>
            </w:pPr>
          </w:p>
          <w:p w14:paraId="3482E044">
            <w:pPr>
              <w:rPr>
                <w:rFonts w:hint="default" w:ascii="Times New Roman" w:hAnsi="Times New Roman" w:eastAsia="宋体" w:cs="Times New Roman"/>
                <w:color w:val="auto"/>
                <w:sz w:val="21"/>
                <w:szCs w:val="21"/>
                <w:highlight w:val="none"/>
                <w:lang w:val="en-US" w:eastAsia="zh-CN"/>
              </w:rPr>
            </w:pPr>
          </w:p>
          <w:p w14:paraId="383922D9">
            <w:pPr>
              <w:rPr>
                <w:rFonts w:hint="default" w:ascii="Times New Roman" w:hAnsi="Times New Roman" w:eastAsia="宋体" w:cs="Times New Roman"/>
                <w:color w:val="auto"/>
                <w:sz w:val="21"/>
                <w:szCs w:val="21"/>
                <w:highlight w:val="none"/>
                <w:lang w:val="en-US" w:eastAsia="zh-CN"/>
              </w:rPr>
            </w:pPr>
          </w:p>
          <w:p w14:paraId="372DC212">
            <w:pPr>
              <w:rPr>
                <w:rFonts w:hint="default" w:ascii="Times New Roman" w:hAnsi="Times New Roman" w:eastAsia="宋体" w:cs="Times New Roman"/>
                <w:color w:val="auto"/>
                <w:sz w:val="21"/>
                <w:szCs w:val="21"/>
                <w:highlight w:val="none"/>
                <w:lang w:val="en-US" w:eastAsia="zh-CN"/>
              </w:rPr>
            </w:pPr>
          </w:p>
          <w:p w14:paraId="18069D7D">
            <w:pPr>
              <w:rPr>
                <w:rFonts w:hint="default" w:ascii="Times New Roman" w:hAnsi="Times New Roman" w:eastAsia="宋体" w:cs="Times New Roman"/>
                <w:color w:val="auto"/>
                <w:sz w:val="21"/>
                <w:szCs w:val="21"/>
                <w:highlight w:val="none"/>
                <w:lang w:val="en-US" w:eastAsia="zh-CN"/>
              </w:rPr>
            </w:pPr>
          </w:p>
          <w:p w14:paraId="0DDDE093">
            <w:pPr>
              <w:rPr>
                <w:rFonts w:hint="default" w:ascii="Times New Roman" w:hAnsi="Times New Roman" w:eastAsia="宋体" w:cs="Times New Roman"/>
                <w:color w:val="auto"/>
                <w:sz w:val="21"/>
                <w:szCs w:val="21"/>
                <w:highlight w:val="none"/>
                <w:lang w:val="en-US" w:eastAsia="zh-CN"/>
              </w:rPr>
            </w:pPr>
          </w:p>
          <w:p w14:paraId="66261197">
            <w:pPr>
              <w:rPr>
                <w:rFonts w:hint="default" w:ascii="Times New Roman" w:hAnsi="Times New Roman" w:eastAsia="宋体" w:cs="Times New Roman"/>
                <w:color w:val="auto"/>
                <w:sz w:val="21"/>
                <w:szCs w:val="21"/>
                <w:highlight w:val="none"/>
                <w:lang w:val="en-US" w:eastAsia="zh-CN"/>
              </w:rPr>
            </w:pPr>
          </w:p>
          <w:p w14:paraId="5159F21C">
            <w:pPr>
              <w:rPr>
                <w:rFonts w:hint="default" w:ascii="Times New Roman" w:hAnsi="Times New Roman" w:eastAsia="宋体" w:cs="Times New Roman"/>
                <w:color w:val="auto"/>
                <w:sz w:val="21"/>
                <w:szCs w:val="21"/>
                <w:highlight w:val="none"/>
                <w:lang w:val="en-US" w:eastAsia="zh-CN"/>
              </w:rPr>
            </w:pPr>
          </w:p>
          <w:p w14:paraId="38E0F65C">
            <w:pPr>
              <w:rPr>
                <w:rFonts w:hint="default" w:ascii="Times New Roman" w:hAnsi="Times New Roman" w:eastAsia="宋体" w:cs="Times New Roman"/>
                <w:color w:val="auto"/>
                <w:sz w:val="21"/>
                <w:szCs w:val="21"/>
                <w:highlight w:val="none"/>
                <w:lang w:val="en-US" w:eastAsia="zh-CN"/>
              </w:rPr>
            </w:pPr>
          </w:p>
          <w:p w14:paraId="100FA7AD">
            <w:pPr>
              <w:rPr>
                <w:rFonts w:hint="default" w:ascii="Times New Roman" w:hAnsi="Times New Roman" w:eastAsia="宋体" w:cs="Times New Roman"/>
                <w:color w:val="auto"/>
                <w:sz w:val="21"/>
                <w:szCs w:val="21"/>
                <w:highlight w:val="none"/>
                <w:lang w:val="en-US" w:eastAsia="zh-CN"/>
              </w:rPr>
            </w:pPr>
          </w:p>
          <w:p w14:paraId="5B29B922">
            <w:pPr>
              <w:rPr>
                <w:rFonts w:hint="default"/>
                <w:color w:val="auto"/>
                <w:lang w:val="en-US" w:eastAsia="zh-CN"/>
              </w:rPr>
            </w:pPr>
          </w:p>
        </w:tc>
      </w:tr>
    </w:tbl>
    <w:p w14:paraId="11A453E2">
      <w:pPr>
        <w:spacing w:after="240" w:afterLines="100"/>
        <w:outlineLvl w:val="0"/>
        <w:rPr>
          <w:rFonts w:hint="default" w:ascii="Times New Roman" w:hAnsi="Times New Roman" w:cs="Times New Roman"/>
          <w:b/>
          <w:color w:val="auto"/>
          <w:sz w:val="30"/>
          <w:szCs w:val="30"/>
        </w:rPr>
        <w:sectPr>
          <w:footerReference r:id="rId5" w:type="default"/>
          <w:pgSz w:w="11907" w:h="16840"/>
          <w:pgMar w:top="1440" w:right="1797" w:bottom="1440" w:left="1797" w:header="851" w:footer="851" w:gutter="0"/>
          <w:pgBorders>
            <w:top w:val="none" w:sz="0" w:space="0"/>
            <w:left w:val="none" w:sz="0" w:space="0"/>
            <w:bottom w:val="none" w:sz="0" w:space="0"/>
            <w:right w:val="none" w:sz="0" w:space="0"/>
          </w:pgBorders>
          <w:pgNumType w:start="1"/>
          <w:cols w:space="720" w:num="1"/>
          <w:docGrid w:linePitch="312" w:charSpace="0"/>
        </w:sectPr>
      </w:pPr>
    </w:p>
    <w:p w14:paraId="31EF85DC">
      <w:pPr>
        <w:spacing w:after="240" w:afterLines="100"/>
        <w:jc w:val="center"/>
        <w:outlineLvl w:val="0"/>
        <w:rPr>
          <w:rFonts w:hint="default" w:ascii="Times New Roman" w:hAnsi="Times New Roman" w:eastAsia="宋体" w:cs="Times New Roman"/>
          <w:b/>
          <w:color w:val="auto"/>
          <w:sz w:val="30"/>
          <w:szCs w:val="30"/>
          <w:lang w:val="en-US" w:eastAsia="zh-CN"/>
        </w:rPr>
      </w:pPr>
      <w:r>
        <w:rPr>
          <w:rFonts w:hint="default" w:ascii="Times New Roman" w:hAnsi="Times New Roman" w:cs="Times New Roman"/>
          <w:b/>
          <w:color w:val="auto"/>
          <w:sz w:val="30"/>
          <w:szCs w:val="30"/>
        </w:rPr>
        <w:t>二、</w:t>
      </w:r>
      <w:r>
        <w:rPr>
          <w:rFonts w:hint="eastAsia" w:ascii="Times New Roman" w:hAnsi="Times New Roman" w:cs="Times New Roman"/>
          <w:b/>
          <w:color w:val="auto"/>
          <w:sz w:val="30"/>
          <w:szCs w:val="30"/>
          <w:lang w:val="en-US" w:eastAsia="zh-CN"/>
        </w:rPr>
        <w:t>建设项目工程分析</w:t>
      </w:r>
    </w:p>
    <w:tbl>
      <w:tblPr>
        <w:tblStyle w:val="37"/>
        <w:tblW w:w="886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8"/>
        <w:gridCol w:w="8419"/>
      </w:tblGrid>
      <w:tr w14:paraId="6A537E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1" w:hRule="atLeast"/>
          <w:jc w:val="center"/>
        </w:trPr>
        <w:tc>
          <w:tcPr>
            <w:tcW w:w="448" w:type="dxa"/>
            <w:tcBorders>
              <w:top w:val="single" w:color="auto" w:sz="12" w:space="0"/>
              <w:bottom w:val="single" w:color="auto" w:sz="12" w:space="0"/>
            </w:tcBorders>
            <w:noWrap w:val="0"/>
            <w:vAlign w:val="center"/>
          </w:tcPr>
          <w:p w14:paraId="64DA6726">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w:t>
            </w:r>
          </w:p>
          <w:p w14:paraId="7FD78070">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内容</w:t>
            </w:r>
          </w:p>
        </w:tc>
        <w:tc>
          <w:tcPr>
            <w:tcW w:w="8419" w:type="dxa"/>
            <w:tcBorders>
              <w:top w:val="single" w:color="auto" w:sz="12" w:space="0"/>
              <w:bottom w:val="single" w:color="auto" w:sz="12" w:space="0"/>
            </w:tcBorders>
            <w:noWrap w:val="0"/>
            <w:vAlign w:val="top"/>
          </w:tcPr>
          <w:p w14:paraId="7784E1DF">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1、项目背景</w:t>
            </w:r>
          </w:p>
          <w:p w14:paraId="1CB3A444">
            <w:pPr>
              <w:pStyle w:val="36"/>
              <w:spacing w:line="360" w:lineRule="auto"/>
              <w:ind w:left="0" w:leftChars="0"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济宁凯漩包装制品有限公司成立于2025年03月13日，注册地位于山东省济宁市泗水县泉林镇泉林村原泗水县纺织厂院内，法定代表人为王常兵。经营范围包括许可项目：食品用塑料包装容器工具制品生产。（依法须经批准的项目，经相关部门批准后方可开展经营活动，具体经营项目以相关部门批准文件或许可证件为准）一般项目：塑料包装箱及容器制造；包装服务；包装材料及制品销售；塑料制品制造；塑料制品销售；纸制品制造；纸制品销售；劳动保护用品销售；劳动保护用品生产；针纺织品及原料销售；汽车零配件批发；汽车装饰用品销售；橡胶制品制造；橡胶制品销售；箱包制造；箱包销售；轴承销售；汽车装饰用品制造；食品用塑料包装容器工具制品销售。</w:t>
            </w:r>
          </w:p>
          <w:p w14:paraId="5A1AA8BD">
            <w:pPr>
              <w:pStyle w:val="36"/>
              <w:spacing w:line="360" w:lineRule="auto"/>
              <w:ind w:left="0" w:leftChars="0" w:firstLine="480" w:firstLineChars="200"/>
              <w:rPr>
                <w:rFonts w:hint="default"/>
                <w:color w:val="auto"/>
                <w:sz w:val="24"/>
                <w:szCs w:val="24"/>
                <w:lang w:val="en-US" w:eastAsia="zh-CN"/>
              </w:rPr>
            </w:pPr>
            <w:r>
              <w:rPr>
                <w:rFonts w:hint="eastAsia" w:ascii="Times New Roman" w:hAnsi="Times New Roman" w:eastAsia="宋体" w:cs="Times New Roman"/>
                <w:color w:val="auto"/>
                <w:sz w:val="24"/>
                <w:szCs w:val="24"/>
                <w:highlight w:val="none"/>
                <w:lang w:val="en-US" w:eastAsia="zh-CN"/>
              </w:rPr>
              <w:t>公司现因发展需要，拟投资300万元在山东省济宁市泗水县泉林镇泉林村原泗水县纺织厂院内建设年产</w:t>
            </w:r>
            <w:r>
              <w:rPr>
                <w:rFonts w:hint="eastAsia" w:hAnsi="Times New Roman" w:cs="Times New Roman"/>
                <w:color w:val="auto"/>
                <w:sz w:val="24"/>
                <w:szCs w:val="24"/>
                <w:highlight w:val="none"/>
                <w:lang w:val="en-US" w:eastAsia="zh-CN"/>
              </w:rPr>
              <w:t>450万套机床附件包装盒项目，占地面积1300平方米 。以聚乙烯、聚丙烯及色母颗粒为原料，购置吹塑机、拌料机、上料机、气泵、破碎机等设备，经吹塑、冷却后即为成品。项目建成后可形成年产450万套机床附件包装盒的生产能力。</w:t>
            </w:r>
          </w:p>
          <w:p w14:paraId="76F5240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建设内容</w:t>
            </w:r>
          </w:p>
          <w:p w14:paraId="24F676D9">
            <w:pPr>
              <w:spacing w:line="360" w:lineRule="auto"/>
              <w:ind w:firstLine="465"/>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本项目工程组成详见下</w:t>
            </w:r>
            <w:r>
              <w:rPr>
                <w:rFonts w:hint="default" w:ascii="Times New Roman" w:hAnsi="Times New Roman" w:eastAsia="宋体" w:cs="Times New Roman"/>
                <w:color w:val="auto"/>
                <w:sz w:val="24"/>
                <w:szCs w:val="24"/>
                <w:highlight w:val="none"/>
                <w:lang w:eastAsia="zh-CN"/>
              </w:rPr>
              <w:t>表</w:t>
            </w:r>
            <w:r>
              <w:rPr>
                <w:rFonts w:hint="default" w:ascii="Times New Roman" w:hAnsi="Times New Roman" w:eastAsia="宋体" w:cs="Times New Roman"/>
                <w:color w:val="auto"/>
                <w:sz w:val="24"/>
                <w:szCs w:val="24"/>
                <w:highlight w:val="none"/>
              </w:rPr>
              <w:t>。</w:t>
            </w:r>
          </w:p>
          <w:p w14:paraId="4927F4F9">
            <w:pPr>
              <w:keepNext w:val="0"/>
              <w:keepLines w:val="0"/>
              <w:pageBreakBefore w:val="0"/>
              <w:widowControl w:val="0"/>
              <w:tabs>
                <w:tab w:val="left" w:pos="4065"/>
              </w:tabs>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b/>
                <w:bCs/>
                <w:color w:val="auto"/>
                <w:kern w:val="24"/>
                <w:sz w:val="24"/>
                <w:szCs w:val="24"/>
                <w:highlight w:val="none"/>
              </w:rPr>
            </w:pPr>
            <w:r>
              <w:rPr>
                <w:rFonts w:hint="default" w:ascii="Times New Roman" w:hAnsi="Times New Roman" w:eastAsia="宋体" w:cs="Times New Roman"/>
                <w:b/>
                <w:bCs/>
                <w:color w:val="auto"/>
                <w:kern w:val="24"/>
                <w:sz w:val="24"/>
                <w:szCs w:val="24"/>
                <w:highlight w:val="none"/>
              </w:rPr>
              <w:t>表</w:t>
            </w:r>
            <w:r>
              <w:rPr>
                <w:rFonts w:hint="default" w:ascii="Times New Roman" w:hAnsi="Times New Roman" w:eastAsia="宋体" w:cs="Times New Roman"/>
                <w:b/>
                <w:bCs/>
                <w:color w:val="auto"/>
                <w:kern w:val="24"/>
                <w:sz w:val="24"/>
                <w:szCs w:val="24"/>
                <w:highlight w:val="none"/>
                <w:lang w:val="en-US" w:eastAsia="zh-CN"/>
              </w:rPr>
              <w:t>2-</w:t>
            </w:r>
            <w:r>
              <w:rPr>
                <w:rFonts w:hint="eastAsia" w:cs="Times New Roman"/>
                <w:b/>
                <w:bCs/>
                <w:color w:val="auto"/>
                <w:kern w:val="24"/>
                <w:sz w:val="24"/>
                <w:szCs w:val="24"/>
                <w:highlight w:val="none"/>
                <w:lang w:val="en-US" w:eastAsia="zh-CN"/>
              </w:rPr>
              <w:t>1</w:t>
            </w:r>
            <w:r>
              <w:rPr>
                <w:rFonts w:hint="default" w:ascii="Times New Roman" w:hAnsi="Times New Roman" w:eastAsia="宋体" w:cs="Times New Roman"/>
                <w:b/>
                <w:bCs/>
                <w:color w:val="auto"/>
                <w:kern w:val="24"/>
                <w:sz w:val="24"/>
                <w:szCs w:val="24"/>
                <w:highlight w:val="none"/>
              </w:rPr>
              <w:t xml:space="preserve"> 项目组成一览表</w:t>
            </w:r>
          </w:p>
          <w:tbl>
            <w:tblPr>
              <w:tblStyle w:val="37"/>
              <w:tblW w:w="80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130"/>
              <w:gridCol w:w="5099"/>
              <w:gridCol w:w="1132"/>
            </w:tblGrid>
            <w:tr w14:paraId="63F73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12AA15D1">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699" w:type="pct"/>
                  <w:tcBorders>
                    <w:tl2br w:val="nil"/>
                    <w:tr2bl w:val="nil"/>
                  </w:tcBorders>
                  <w:noWrap w:val="0"/>
                  <w:vAlign w:val="center"/>
                </w:tcPr>
                <w:p w14:paraId="6E9CCF09">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名称</w:t>
                  </w:r>
                </w:p>
              </w:tc>
              <w:tc>
                <w:tcPr>
                  <w:tcW w:w="3156" w:type="pct"/>
                  <w:tcBorders>
                    <w:tl2br w:val="nil"/>
                    <w:tr2bl w:val="nil"/>
                  </w:tcBorders>
                  <w:noWrap w:val="0"/>
                  <w:vAlign w:val="center"/>
                </w:tcPr>
                <w:p w14:paraId="017514A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主要建设内容</w:t>
                  </w:r>
                </w:p>
              </w:tc>
              <w:tc>
                <w:tcPr>
                  <w:tcW w:w="700" w:type="pct"/>
                  <w:tcBorders>
                    <w:tl2br w:val="nil"/>
                    <w:tr2bl w:val="nil"/>
                  </w:tcBorders>
                  <w:noWrap w:val="0"/>
                  <w:vAlign w:val="center"/>
                </w:tcPr>
                <w:p w14:paraId="36BF662D">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备注</w:t>
                  </w:r>
                </w:p>
              </w:tc>
            </w:tr>
            <w:tr w14:paraId="776D76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4EB130C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主体工程</w:t>
                  </w:r>
                </w:p>
              </w:tc>
              <w:tc>
                <w:tcPr>
                  <w:tcW w:w="699" w:type="pct"/>
                  <w:tcBorders>
                    <w:tl2br w:val="nil"/>
                    <w:tr2bl w:val="nil"/>
                  </w:tcBorders>
                  <w:noWrap w:val="0"/>
                  <w:vAlign w:val="center"/>
                </w:tcPr>
                <w:p w14:paraId="74C93A8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整体</w:t>
                  </w:r>
                  <w:r>
                    <w:rPr>
                      <w:rFonts w:hint="default" w:ascii="Times New Roman" w:hAnsi="Times New Roman" w:eastAsia="宋体" w:cs="Times New Roman"/>
                      <w:color w:val="auto"/>
                      <w:sz w:val="21"/>
                      <w:szCs w:val="21"/>
                      <w:highlight w:val="none"/>
                      <w:lang w:val="en-US" w:eastAsia="zh-CN"/>
                    </w:rPr>
                    <w:t>生产车间</w:t>
                  </w:r>
                </w:p>
              </w:tc>
              <w:tc>
                <w:tcPr>
                  <w:tcW w:w="3156" w:type="pct"/>
                  <w:tcBorders>
                    <w:tl2br w:val="nil"/>
                    <w:tr2bl w:val="nil"/>
                  </w:tcBorders>
                  <w:noWrap w:val="0"/>
                  <w:vAlign w:val="center"/>
                </w:tcPr>
                <w:p w14:paraId="113FD64A">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1座，</w:t>
                  </w:r>
                  <w:r>
                    <w:rPr>
                      <w:rFonts w:hint="eastAsia" w:cs="Times New Roman" w:eastAsiaTheme="minorEastAsia"/>
                      <w:color w:val="auto"/>
                      <w:kern w:val="0"/>
                      <w:sz w:val="21"/>
                      <w:szCs w:val="21"/>
                      <w:highlight w:val="none"/>
                      <w:lang w:val="en-US" w:eastAsia="zh-CN"/>
                    </w:rPr>
                    <w:t>1层，建筑面积1300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hAnsi="Times New Roman" w:cs="Times New Roman"/>
                      <w:color w:val="auto"/>
                      <w:sz w:val="21"/>
                      <w:szCs w:val="21"/>
                      <w:highlight w:val="none"/>
                      <w:lang w:val="en-US" w:eastAsia="zh-CN"/>
                    </w:rPr>
                    <w:t>设置吹塑机、拌料机、上料机、气泵、破碎机等设备</w:t>
                  </w:r>
                  <w:r>
                    <w:rPr>
                      <w:rFonts w:hint="eastAsia" w:ascii="Times New Roman" w:hAnsi="Times New Roman" w:cs="Times New Roman" w:eastAsiaTheme="minorEastAsia"/>
                      <w:color w:val="auto"/>
                      <w:kern w:val="0"/>
                      <w:sz w:val="21"/>
                      <w:szCs w:val="21"/>
                      <w:highlight w:val="none"/>
                      <w:vertAlign w:val="baseline"/>
                      <w:lang w:val="en-US" w:eastAsia="zh-CN"/>
                    </w:rPr>
                    <w:t>。</w:t>
                  </w:r>
                </w:p>
              </w:tc>
              <w:tc>
                <w:tcPr>
                  <w:tcW w:w="700" w:type="pct"/>
                  <w:tcBorders>
                    <w:tl2br w:val="nil"/>
                    <w:tr2bl w:val="nil"/>
                  </w:tcBorders>
                  <w:noWrap w:val="0"/>
                  <w:vAlign w:val="center"/>
                </w:tcPr>
                <w:p w14:paraId="0F34E36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4F5A87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restart"/>
                  <w:tcBorders>
                    <w:tl2br w:val="nil"/>
                    <w:tr2bl w:val="nil"/>
                  </w:tcBorders>
                  <w:noWrap w:val="0"/>
                  <w:vAlign w:val="center"/>
                </w:tcPr>
                <w:p w14:paraId="0AC0ADFC">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储运工程</w:t>
                  </w:r>
                </w:p>
              </w:tc>
              <w:tc>
                <w:tcPr>
                  <w:tcW w:w="699" w:type="pct"/>
                  <w:tcBorders>
                    <w:tl2br w:val="nil"/>
                    <w:tr2bl w:val="nil"/>
                  </w:tcBorders>
                  <w:noWrap w:val="0"/>
                  <w:vAlign w:val="center"/>
                </w:tcPr>
                <w:p w14:paraId="1E70ED2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原料暂存区</w:t>
                  </w:r>
                </w:p>
              </w:tc>
              <w:tc>
                <w:tcPr>
                  <w:tcW w:w="3156" w:type="pct"/>
                  <w:tcBorders>
                    <w:tl2br w:val="nil"/>
                    <w:tr2bl w:val="nil"/>
                  </w:tcBorders>
                  <w:noWrap w:val="0"/>
                  <w:vAlign w:val="center"/>
                </w:tcPr>
                <w:p w14:paraId="2C9D695B">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位于整体生产车间内北部，占地面积300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cs="Times New Roman" w:eastAsiaTheme="minorEastAsia"/>
                      <w:color w:val="auto"/>
                      <w:kern w:val="0"/>
                      <w:sz w:val="21"/>
                      <w:szCs w:val="21"/>
                      <w:highlight w:val="none"/>
                      <w:vertAlign w:val="baseline"/>
                      <w:lang w:val="en-US" w:eastAsia="zh-CN"/>
                    </w:rPr>
                    <w:t>用于原料的暂存</w:t>
                  </w:r>
                </w:p>
              </w:tc>
              <w:tc>
                <w:tcPr>
                  <w:tcW w:w="700" w:type="pct"/>
                  <w:tcBorders>
                    <w:tl2br w:val="nil"/>
                    <w:tr2bl w:val="nil"/>
                  </w:tcBorders>
                  <w:noWrap w:val="0"/>
                  <w:vAlign w:val="center"/>
                </w:tcPr>
                <w:p w14:paraId="480B07BD">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0604CD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0DF52EEA">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color w:val="auto"/>
                      <w:sz w:val="21"/>
                      <w:szCs w:val="21"/>
                      <w:highlight w:val="none"/>
                      <w:lang w:val="en-US" w:eastAsia="zh-CN"/>
                    </w:rPr>
                  </w:pPr>
                </w:p>
              </w:tc>
              <w:tc>
                <w:tcPr>
                  <w:tcW w:w="699" w:type="pct"/>
                  <w:tcBorders>
                    <w:tl2br w:val="nil"/>
                    <w:tr2bl w:val="nil"/>
                  </w:tcBorders>
                  <w:noWrap w:val="0"/>
                  <w:vAlign w:val="center"/>
                </w:tcPr>
                <w:p w14:paraId="5E27DEB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成品暂存区</w:t>
                  </w:r>
                </w:p>
              </w:tc>
              <w:tc>
                <w:tcPr>
                  <w:tcW w:w="3156" w:type="pct"/>
                  <w:tcBorders>
                    <w:tl2br w:val="nil"/>
                    <w:tr2bl w:val="nil"/>
                  </w:tcBorders>
                  <w:noWrap w:val="0"/>
                  <w:vAlign w:val="center"/>
                </w:tcPr>
                <w:p w14:paraId="42252E98">
                  <w:pPr>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位于整体生产车间内中部，占地面积300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cs="Times New Roman" w:eastAsiaTheme="minorEastAsia"/>
                      <w:color w:val="auto"/>
                      <w:kern w:val="0"/>
                      <w:sz w:val="21"/>
                      <w:szCs w:val="21"/>
                      <w:highlight w:val="none"/>
                      <w:vertAlign w:val="baseline"/>
                      <w:lang w:val="en-US" w:eastAsia="zh-CN"/>
                    </w:rPr>
                    <w:t>用于成品的暂存</w:t>
                  </w:r>
                </w:p>
              </w:tc>
              <w:tc>
                <w:tcPr>
                  <w:tcW w:w="700" w:type="pct"/>
                  <w:tcBorders>
                    <w:tl2br w:val="nil"/>
                    <w:tr2bl w:val="nil"/>
                  </w:tcBorders>
                  <w:noWrap w:val="0"/>
                  <w:vAlign w:val="center"/>
                </w:tcPr>
                <w:p w14:paraId="48D574CC">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66457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0286E538">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color w:val="auto"/>
                      <w:sz w:val="21"/>
                      <w:szCs w:val="21"/>
                      <w:highlight w:val="none"/>
                      <w:lang w:val="en-US" w:eastAsia="zh-CN"/>
                    </w:rPr>
                  </w:pPr>
                </w:p>
              </w:tc>
              <w:tc>
                <w:tcPr>
                  <w:tcW w:w="699" w:type="pct"/>
                  <w:tcBorders>
                    <w:tl2br w:val="nil"/>
                    <w:tr2bl w:val="nil"/>
                  </w:tcBorders>
                  <w:noWrap w:val="0"/>
                  <w:vAlign w:val="center"/>
                </w:tcPr>
                <w:p w14:paraId="46F275D3">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一般固废暂存区</w:t>
                  </w:r>
                </w:p>
              </w:tc>
              <w:tc>
                <w:tcPr>
                  <w:tcW w:w="3156" w:type="pct"/>
                  <w:tcBorders>
                    <w:tl2br w:val="nil"/>
                    <w:tr2bl w:val="nil"/>
                  </w:tcBorders>
                  <w:noWrap w:val="0"/>
                  <w:vAlign w:val="center"/>
                </w:tcPr>
                <w:p w14:paraId="25C472F4">
                  <w:pPr>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位于整体生产车间内西部，占地面积10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cs="Times New Roman" w:eastAsiaTheme="minorEastAsia"/>
                      <w:color w:val="auto"/>
                      <w:kern w:val="0"/>
                      <w:sz w:val="21"/>
                      <w:szCs w:val="21"/>
                      <w:highlight w:val="none"/>
                      <w:vertAlign w:val="baseline"/>
                      <w:lang w:val="en-US" w:eastAsia="zh-CN"/>
                    </w:rPr>
                    <w:t>用于一般固废的暂存</w:t>
                  </w:r>
                </w:p>
              </w:tc>
              <w:tc>
                <w:tcPr>
                  <w:tcW w:w="700" w:type="pct"/>
                  <w:tcBorders>
                    <w:tl2br w:val="nil"/>
                    <w:tr2bl w:val="nil"/>
                  </w:tcBorders>
                  <w:noWrap w:val="0"/>
                  <w:vAlign w:val="center"/>
                </w:tcPr>
                <w:p w14:paraId="1035FC6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15647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3D680B10">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color w:val="auto"/>
                      <w:sz w:val="21"/>
                      <w:szCs w:val="21"/>
                      <w:highlight w:val="none"/>
                      <w:lang w:val="en-US" w:eastAsia="zh-CN"/>
                    </w:rPr>
                  </w:pPr>
                </w:p>
              </w:tc>
              <w:tc>
                <w:tcPr>
                  <w:tcW w:w="699" w:type="pct"/>
                  <w:tcBorders>
                    <w:tl2br w:val="nil"/>
                    <w:tr2bl w:val="nil"/>
                  </w:tcBorders>
                  <w:noWrap w:val="0"/>
                  <w:vAlign w:val="center"/>
                </w:tcPr>
                <w:p w14:paraId="060B8E1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危废间</w:t>
                  </w:r>
                </w:p>
              </w:tc>
              <w:tc>
                <w:tcPr>
                  <w:tcW w:w="3156" w:type="pct"/>
                  <w:tcBorders>
                    <w:tl2br w:val="nil"/>
                    <w:tr2bl w:val="nil"/>
                  </w:tcBorders>
                  <w:noWrap w:val="0"/>
                  <w:vAlign w:val="center"/>
                </w:tcPr>
                <w:p w14:paraId="06322AB9">
                  <w:pPr>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位于整体生产车间内西部，占地面积10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cs="Times New Roman" w:eastAsiaTheme="minorEastAsia"/>
                      <w:color w:val="auto"/>
                      <w:kern w:val="0"/>
                      <w:sz w:val="21"/>
                      <w:szCs w:val="21"/>
                      <w:highlight w:val="none"/>
                      <w:vertAlign w:val="baseline"/>
                      <w:lang w:val="en-US" w:eastAsia="zh-CN"/>
                    </w:rPr>
                    <w:t>用于危险废物的暂存</w:t>
                  </w:r>
                </w:p>
              </w:tc>
              <w:tc>
                <w:tcPr>
                  <w:tcW w:w="700" w:type="pct"/>
                  <w:tcBorders>
                    <w:tl2br w:val="nil"/>
                    <w:tr2bl w:val="nil"/>
                  </w:tcBorders>
                  <w:noWrap w:val="0"/>
                  <w:vAlign w:val="center"/>
                </w:tcPr>
                <w:p w14:paraId="5CE89920">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53A71D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196C796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辅助工程</w:t>
                  </w:r>
                </w:p>
              </w:tc>
              <w:tc>
                <w:tcPr>
                  <w:tcW w:w="699" w:type="pct"/>
                  <w:tcBorders>
                    <w:tl2br w:val="nil"/>
                    <w:tr2bl w:val="nil"/>
                  </w:tcBorders>
                  <w:noWrap w:val="0"/>
                  <w:vAlign w:val="center"/>
                </w:tcPr>
                <w:p w14:paraId="001A0B4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办公室</w:t>
                  </w:r>
                </w:p>
              </w:tc>
              <w:tc>
                <w:tcPr>
                  <w:tcW w:w="3156" w:type="pct"/>
                  <w:tcBorders>
                    <w:tl2br w:val="nil"/>
                    <w:tr2bl w:val="nil"/>
                  </w:tcBorders>
                  <w:noWrap w:val="0"/>
                  <w:vAlign w:val="center"/>
                </w:tcPr>
                <w:p w14:paraId="470D9B79">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位于整体生产车间内东北部，1F，占地面积100</w:t>
                  </w:r>
                  <w:r>
                    <w:rPr>
                      <w:rFonts w:hint="default" w:ascii="Times New Roman" w:hAnsi="Times New Roman" w:cs="Times New Roman" w:eastAsiaTheme="minorEastAsia"/>
                      <w:color w:val="auto"/>
                      <w:kern w:val="0"/>
                      <w:sz w:val="21"/>
                      <w:szCs w:val="21"/>
                      <w:highlight w:val="none"/>
                      <w:lang w:val="en-US" w:eastAsia="zh-CN"/>
                    </w:rPr>
                    <w:t>m</w:t>
                  </w:r>
                  <w:r>
                    <w:rPr>
                      <w:rFonts w:hint="default" w:ascii="Times New Roman" w:hAnsi="Times New Roman" w:cs="Times New Roman" w:eastAsiaTheme="minorEastAsia"/>
                      <w:color w:val="auto"/>
                      <w:kern w:val="0"/>
                      <w:sz w:val="21"/>
                      <w:szCs w:val="21"/>
                      <w:highlight w:val="none"/>
                      <w:vertAlign w:val="superscript"/>
                      <w:lang w:val="en-US" w:eastAsia="zh-CN"/>
                    </w:rPr>
                    <w:t>2</w:t>
                  </w:r>
                  <w:r>
                    <w:rPr>
                      <w:rFonts w:hint="default" w:ascii="Times New Roman" w:hAnsi="Times New Roman" w:cs="Times New Roman" w:eastAsiaTheme="minorEastAsia"/>
                      <w:color w:val="auto"/>
                      <w:kern w:val="0"/>
                      <w:sz w:val="21"/>
                      <w:szCs w:val="21"/>
                      <w:highlight w:val="none"/>
                      <w:vertAlign w:val="baseline"/>
                      <w:lang w:val="en-US" w:eastAsia="zh-CN"/>
                    </w:rPr>
                    <w:t>，</w:t>
                  </w:r>
                  <w:r>
                    <w:rPr>
                      <w:rFonts w:hint="eastAsia" w:cs="Times New Roman" w:eastAsiaTheme="minorEastAsia"/>
                      <w:color w:val="auto"/>
                      <w:kern w:val="0"/>
                      <w:sz w:val="21"/>
                      <w:szCs w:val="21"/>
                      <w:highlight w:val="none"/>
                      <w:vertAlign w:val="baseline"/>
                      <w:lang w:val="en-US" w:eastAsia="zh-CN"/>
                    </w:rPr>
                    <w:t>用于员工的办公及生活。</w:t>
                  </w:r>
                </w:p>
              </w:tc>
              <w:tc>
                <w:tcPr>
                  <w:tcW w:w="700" w:type="pct"/>
                  <w:tcBorders>
                    <w:tl2br w:val="nil"/>
                    <w:tr2bl w:val="nil"/>
                  </w:tcBorders>
                  <w:noWrap w:val="0"/>
                  <w:vAlign w:val="center"/>
                </w:tcPr>
                <w:p w14:paraId="40EA9AA0">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利用已建成厂房</w:t>
                  </w:r>
                </w:p>
              </w:tc>
            </w:tr>
            <w:tr w14:paraId="354BF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restart"/>
                  <w:tcBorders>
                    <w:tl2br w:val="nil"/>
                    <w:tr2bl w:val="nil"/>
                  </w:tcBorders>
                  <w:noWrap w:val="0"/>
                  <w:vAlign w:val="center"/>
                </w:tcPr>
                <w:p w14:paraId="2D03718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699" w:type="pct"/>
                  <w:tcBorders>
                    <w:tl2br w:val="nil"/>
                    <w:tr2bl w:val="nil"/>
                  </w:tcBorders>
                  <w:noWrap w:val="0"/>
                  <w:vAlign w:val="center"/>
                </w:tcPr>
                <w:p w14:paraId="54BC34F4">
                  <w:pPr>
                    <w:pStyle w:val="76"/>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给水</w:t>
                  </w:r>
                </w:p>
              </w:tc>
              <w:tc>
                <w:tcPr>
                  <w:tcW w:w="3156" w:type="pct"/>
                  <w:tcBorders>
                    <w:tl2br w:val="nil"/>
                    <w:tr2bl w:val="nil"/>
                  </w:tcBorders>
                  <w:noWrap w:val="0"/>
                  <w:vAlign w:val="center"/>
                </w:tcPr>
                <w:p w14:paraId="33BBA257">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color w:val="auto"/>
                      <w:sz w:val="21"/>
                      <w:szCs w:val="21"/>
                      <w:highlight w:val="none"/>
                    </w:rPr>
                    <w:t>由</w:t>
                  </w:r>
                  <w:r>
                    <w:rPr>
                      <w:rFonts w:hint="eastAsia"/>
                      <w:color w:val="auto"/>
                      <w:sz w:val="21"/>
                      <w:szCs w:val="21"/>
                      <w:highlight w:val="none"/>
                      <w:lang w:val="en-US" w:eastAsia="zh-CN"/>
                    </w:rPr>
                    <w:t>当地市政供水</w:t>
                  </w:r>
                  <w:r>
                    <w:rPr>
                      <w:color w:val="auto"/>
                      <w:sz w:val="21"/>
                      <w:szCs w:val="21"/>
                      <w:highlight w:val="none"/>
                    </w:rPr>
                    <w:t>管网供水</w:t>
                  </w:r>
                  <w:r>
                    <w:rPr>
                      <w:rFonts w:hint="eastAsia"/>
                      <w:color w:val="auto"/>
                      <w:sz w:val="21"/>
                      <w:szCs w:val="21"/>
                      <w:highlight w:val="none"/>
                    </w:rPr>
                    <w:t>。</w:t>
                  </w:r>
                </w:p>
              </w:tc>
              <w:tc>
                <w:tcPr>
                  <w:tcW w:w="700" w:type="pct"/>
                  <w:tcBorders>
                    <w:tl2br w:val="nil"/>
                    <w:tr2bl w:val="nil"/>
                  </w:tcBorders>
                  <w:noWrap w:val="0"/>
                  <w:vAlign w:val="center"/>
                </w:tcPr>
                <w:p w14:paraId="72D275A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olor w:val="auto"/>
                      <w:sz w:val="21"/>
                      <w:szCs w:val="21"/>
                      <w:highlight w:val="none"/>
                      <w:lang w:val="en-US"/>
                    </w:rPr>
                  </w:pPr>
                  <w:r>
                    <w:rPr>
                      <w:rFonts w:hint="eastAsia" w:cs="Times New Roman" w:eastAsiaTheme="minorEastAsia"/>
                      <w:color w:val="auto"/>
                      <w:kern w:val="0"/>
                      <w:sz w:val="21"/>
                      <w:szCs w:val="21"/>
                      <w:highlight w:val="none"/>
                      <w:lang w:val="en-US" w:eastAsia="zh-CN"/>
                    </w:rPr>
                    <w:t>--</w:t>
                  </w:r>
                </w:p>
              </w:tc>
            </w:tr>
            <w:tr w14:paraId="48B5B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236F6A1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171B3452">
                  <w:pPr>
                    <w:pStyle w:val="76"/>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排水</w:t>
                  </w:r>
                </w:p>
              </w:tc>
              <w:tc>
                <w:tcPr>
                  <w:tcW w:w="3156" w:type="pct"/>
                  <w:tcBorders>
                    <w:tl2br w:val="nil"/>
                    <w:tr2bl w:val="nil"/>
                  </w:tcBorders>
                  <w:noWrap w:val="0"/>
                  <w:vAlign w:val="top"/>
                </w:tcPr>
                <w:p w14:paraId="5914A7B9">
                  <w:pPr>
                    <w:adjustRightInd w:val="0"/>
                    <w:snapToGrid w:val="0"/>
                    <w:jc w:val="left"/>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rPr>
                    <w:t>厂区实行雨污分流制；</w:t>
                  </w:r>
                  <w:r>
                    <w:rPr>
                      <w:rFonts w:hint="eastAsia" w:cs="Times New Roman"/>
                      <w:color w:val="auto"/>
                      <w:sz w:val="21"/>
                      <w:szCs w:val="21"/>
                      <w:highlight w:val="none"/>
                      <w:lang w:val="en-US" w:eastAsia="zh-CN"/>
                    </w:rPr>
                    <w:t>项目无生产废水产生，生活废水委托环卫部门定期清运，不外排</w:t>
                  </w:r>
                  <w:r>
                    <w:rPr>
                      <w:rFonts w:hint="eastAsia" w:ascii="Times New Roman" w:hAnsi="Times New Roman" w:cs="Times New Roman"/>
                      <w:color w:val="auto"/>
                      <w:sz w:val="21"/>
                      <w:szCs w:val="21"/>
                      <w:highlight w:val="none"/>
                      <w:lang w:val="en-US" w:eastAsia="zh-CN"/>
                    </w:rPr>
                    <w:t>。</w:t>
                  </w:r>
                </w:p>
              </w:tc>
              <w:tc>
                <w:tcPr>
                  <w:tcW w:w="700" w:type="pct"/>
                  <w:tcBorders>
                    <w:tl2br w:val="nil"/>
                    <w:tr2bl w:val="nil"/>
                  </w:tcBorders>
                  <w:noWrap w:val="0"/>
                  <w:vAlign w:val="top"/>
                </w:tcPr>
                <w:p w14:paraId="1C215EA7">
                  <w:pPr>
                    <w:adjustRightInd w:val="0"/>
                    <w:snapToGrid w:val="0"/>
                    <w:jc w:val="center"/>
                    <w:rPr>
                      <w:rFonts w:hint="default"/>
                      <w:color w:val="auto"/>
                      <w:sz w:val="21"/>
                      <w:szCs w:val="21"/>
                      <w:highlight w:val="none"/>
                      <w:lang w:val="en-US"/>
                    </w:rPr>
                  </w:pPr>
                  <w:r>
                    <w:rPr>
                      <w:rFonts w:hint="eastAsia" w:cs="Times New Roman" w:eastAsiaTheme="minorEastAsia"/>
                      <w:color w:val="auto"/>
                      <w:kern w:val="0"/>
                      <w:sz w:val="21"/>
                      <w:szCs w:val="21"/>
                      <w:highlight w:val="none"/>
                      <w:lang w:val="en-US" w:eastAsia="zh-CN"/>
                    </w:rPr>
                    <w:t>--</w:t>
                  </w:r>
                </w:p>
              </w:tc>
            </w:tr>
            <w:tr w14:paraId="1732E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107AEA31">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7CD83FEF">
                  <w:pPr>
                    <w:pStyle w:val="76"/>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供电</w:t>
                  </w:r>
                </w:p>
              </w:tc>
              <w:tc>
                <w:tcPr>
                  <w:tcW w:w="3156" w:type="pct"/>
                  <w:tcBorders>
                    <w:tl2br w:val="nil"/>
                    <w:tr2bl w:val="nil"/>
                  </w:tcBorders>
                  <w:noWrap w:val="0"/>
                  <w:vAlign w:val="center"/>
                </w:tcPr>
                <w:p w14:paraId="13F2250E">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由</w:t>
                  </w:r>
                  <w:r>
                    <w:rPr>
                      <w:rFonts w:hint="eastAsia" w:cs="Times New Roman"/>
                      <w:color w:val="auto"/>
                      <w:sz w:val="21"/>
                      <w:szCs w:val="21"/>
                      <w:highlight w:val="none"/>
                      <w:lang w:val="en-US" w:eastAsia="zh-CN"/>
                    </w:rPr>
                    <w:t>当地</w:t>
                  </w:r>
                  <w:r>
                    <w:rPr>
                      <w:rFonts w:hint="default" w:ascii="Times New Roman" w:hAnsi="Times New Roman" w:eastAsia="宋体" w:cs="Times New Roman"/>
                      <w:color w:val="auto"/>
                      <w:sz w:val="21"/>
                      <w:szCs w:val="21"/>
                      <w:highlight w:val="none"/>
                      <w:lang w:eastAsia="zh-CN"/>
                    </w:rPr>
                    <w:t>市政供电管网提供。</w:t>
                  </w:r>
                </w:p>
              </w:tc>
              <w:tc>
                <w:tcPr>
                  <w:tcW w:w="700" w:type="pct"/>
                  <w:tcBorders>
                    <w:tl2br w:val="nil"/>
                    <w:tr2bl w:val="nil"/>
                  </w:tcBorders>
                  <w:noWrap w:val="0"/>
                  <w:vAlign w:val="center"/>
                </w:tcPr>
                <w:p w14:paraId="19E1BA0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eastAsiaTheme="minorEastAsia"/>
                      <w:color w:val="auto"/>
                      <w:kern w:val="0"/>
                      <w:sz w:val="21"/>
                      <w:szCs w:val="21"/>
                      <w:highlight w:val="none"/>
                      <w:lang w:val="en-US" w:eastAsia="zh-CN"/>
                    </w:rPr>
                    <w:t>--</w:t>
                  </w:r>
                </w:p>
              </w:tc>
            </w:tr>
            <w:tr w14:paraId="72870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083E36E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10C2E53B">
                  <w:pPr>
                    <w:pStyle w:val="76"/>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供热</w:t>
                  </w:r>
                </w:p>
              </w:tc>
              <w:tc>
                <w:tcPr>
                  <w:tcW w:w="3156" w:type="pct"/>
                  <w:tcBorders>
                    <w:tl2br w:val="nil"/>
                    <w:tr2bl w:val="nil"/>
                  </w:tcBorders>
                  <w:noWrap w:val="0"/>
                  <w:vAlign w:val="center"/>
                </w:tcPr>
                <w:p w14:paraId="27DC2E46">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eastAsia="zh-CN"/>
                    </w:rPr>
                  </w:pPr>
                  <w:r>
                    <w:rPr>
                      <w:rFonts w:hint="eastAsia"/>
                      <w:color w:val="auto"/>
                      <w:sz w:val="21"/>
                      <w:szCs w:val="21"/>
                      <w:highlight w:val="none"/>
                    </w:rPr>
                    <w:t>生产过程采用电加热，办公区域采用分体式空调进行制冷供热。</w:t>
                  </w:r>
                </w:p>
              </w:tc>
              <w:tc>
                <w:tcPr>
                  <w:tcW w:w="700" w:type="pct"/>
                  <w:tcBorders>
                    <w:tl2br w:val="nil"/>
                    <w:tr2bl w:val="nil"/>
                  </w:tcBorders>
                  <w:noWrap w:val="0"/>
                  <w:vAlign w:val="center"/>
                </w:tcPr>
                <w:p w14:paraId="3AD3B763">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color w:val="auto"/>
                      <w:sz w:val="21"/>
                      <w:szCs w:val="21"/>
                      <w:highlight w:val="none"/>
                    </w:rPr>
                  </w:pPr>
                  <w:r>
                    <w:rPr>
                      <w:rFonts w:hint="eastAsia" w:cs="Times New Roman" w:eastAsiaTheme="minorEastAsia"/>
                      <w:color w:val="auto"/>
                      <w:kern w:val="0"/>
                      <w:sz w:val="21"/>
                      <w:szCs w:val="21"/>
                      <w:highlight w:val="none"/>
                      <w:lang w:val="en-US" w:eastAsia="zh-CN"/>
                    </w:rPr>
                    <w:t>--</w:t>
                  </w:r>
                </w:p>
              </w:tc>
            </w:tr>
            <w:tr w14:paraId="3F89A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restart"/>
                  <w:tcBorders>
                    <w:tl2br w:val="nil"/>
                    <w:tr2bl w:val="nil"/>
                  </w:tcBorders>
                  <w:noWrap w:val="0"/>
                  <w:vAlign w:val="center"/>
                </w:tcPr>
                <w:p w14:paraId="1F2E0C0F">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环保工程</w:t>
                  </w:r>
                </w:p>
              </w:tc>
              <w:tc>
                <w:tcPr>
                  <w:tcW w:w="699" w:type="pct"/>
                  <w:tcBorders>
                    <w:tl2br w:val="nil"/>
                    <w:tr2bl w:val="nil"/>
                  </w:tcBorders>
                  <w:noWrap w:val="0"/>
                  <w:vAlign w:val="center"/>
                </w:tcPr>
                <w:p w14:paraId="37194670">
                  <w:pPr>
                    <w:keepNext w:val="0"/>
                    <w:keepLines w:val="0"/>
                    <w:pageBreakBefore w:val="0"/>
                    <w:widowControl w:val="0"/>
                    <w:suppressAutoHyphen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废气处理</w:t>
                  </w:r>
                </w:p>
              </w:tc>
              <w:tc>
                <w:tcPr>
                  <w:tcW w:w="3156" w:type="pct"/>
                  <w:tcBorders>
                    <w:tl2br w:val="nil"/>
                    <w:tr2bl w:val="nil"/>
                  </w:tcBorders>
                  <w:noWrap w:val="0"/>
                  <w:vAlign w:val="center"/>
                </w:tcPr>
                <w:p w14:paraId="45480EB6">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eastAsia" w:hAnsi="Times New Roman"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吹塑</w:t>
                  </w:r>
                  <w:r>
                    <w:rPr>
                      <w:rFonts w:hint="eastAsia" w:hAnsi="Times New Roman" w:cs="Times New Roman"/>
                      <w:color w:val="auto"/>
                      <w:kern w:val="2"/>
                      <w:sz w:val="21"/>
                      <w:szCs w:val="21"/>
                      <w:highlight w:val="none"/>
                      <w:lang w:val="en-US" w:eastAsia="zh-CN" w:bidi="ar-SA"/>
                    </w:rPr>
                    <w:t>工序产生的废气分别经集气罩收集后进入过滤棉+二级活性炭吸附装置处理后通过1根15m高的排气筒（DA001）排放</w:t>
                  </w:r>
                  <w:r>
                    <w:rPr>
                      <w:rFonts w:hint="eastAsia" w:cs="Times New Roman"/>
                      <w:color w:val="auto"/>
                      <w:sz w:val="21"/>
                      <w:szCs w:val="21"/>
                      <w:highlight w:val="none"/>
                      <w:lang w:val="en-US" w:eastAsia="zh-CN"/>
                    </w:rPr>
                    <w:t>。投料/混料工序产生的粉尘经设备自带的除尘器处理后无组织排放；</w:t>
                  </w:r>
                  <w:r>
                    <w:rPr>
                      <w:rFonts w:hint="eastAsia"/>
                      <w:color w:val="auto"/>
                      <w:sz w:val="21"/>
                      <w:szCs w:val="21"/>
                      <w:highlight w:val="none"/>
                      <w:lang w:val="en-US" w:eastAsia="zh-CN"/>
                    </w:rPr>
                    <w:t>其他未被收集的废气通过加强车间通风无组织排放</w:t>
                  </w:r>
                  <w:r>
                    <w:rPr>
                      <w:rFonts w:hint="eastAsia"/>
                      <w:color w:val="auto"/>
                      <w:sz w:val="21"/>
                      <w:szCs w:val="21"/>
                      <w:highlight w:val="none"/>
                    </w:rPr>
                    <w:t>。</w:t>
                  </w:r>
                </w:p>
              </w:tc>
              <w:tc>
                <w:tcPr>
                  <w:tcW w:w="700" w:type="pct"/>
                  <w:tcBorders>
                    <w:tl2br w:val="nil"/>
                    <w:tr2bl w:val="nil"/>
                  </w:tcBorders>
                  <w:noWrap w:val="0"/>
                  <w:vAlign w:val="center"/>
                </w:tcPr>
                <w:p w14:paraId="7029A3CA">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s="Times New Roman" w:eastAsiaTheme="minorEastAsia"/>
                      <w:color w:val="auto"/>
                      <w:kern w:val="0"/>
                      <w:sz w:val="21"/>
                      <w:szCs w:val="21"/>
                      <w:highlight w:val="none"/>
                      <w:lang w:val="en-US" w:eastAsia="zh-CN"/>
                    </w:rPr>
                    <w:t>新建</w:t>
                  </w:r>
                </w:p>
              </w:tc>
            </w:tr>
            <w:tr w14:paraId="5AA8B5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7BD57CE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6B7B0C89">
                  <w:pPr>
                    <w:keepNext w:val="0"/>
                    <w:keepLines w:val="0"/>
                    <w:pageBreakBefore w:val="0"/>
                    <w:widowControl w:val="0"/>
                    <w:suppressAutoHyphen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废水处理</w:t>
                  </w:r>
                </w:p>
              </w:tc>
              <w:tc>
                <w:tcPr>
                  <w:tcW w:w="3156" w:type="pct"/>
                  <w:tcBorders>
                    <w:tl2br w:val="nil"/>
                    <w:tr2bl w:val="nil"/>
                  </w:tcBorders>
                  <w:noWrap w:val="0"/>
                  <w:vAlign w:val="center"/>
                </w:tcPr>
                <w:p w14:paraId="78679A48">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bookmarkStart w:id="4" w:name="_GoBack"/>
                  <w:r>
                    <w:rPr>
                      <w:rFonts w:hint="eastAsia" w:cs="Times New Roman"/>
                      <w:color w:val="auto"/>
                      <w:sz w:val="21"/>
                      <w:szCs w:val="21"/>
                      <w:highlight w:val="none"/>
                      <w:lang w:val="en-US" w:eastAsia="zh-CN"/>
                    </w:rPr>
                    <w:t>项目无生产废水产生，生活废水委托环卫部门定期清运，不外排</w:t>
                  </w:r>
                  <w:r>
                    <w:rPr>
                      <w:rFonts w:hint="eastAsia" w:ascii="Times New Roman" w:hAnsi="Times New Roman" w:cs="Times New Roman"/>
                      <w:color w:val="auto"/>
                      <w:sz w:val="21"/>
                      <w:szCs w:val="21"/>
                      <w:highlight w:val="none"/>
                      <w:lang w:val="en-US" w:eastAsia="zh-CN"/>
                    </w:rPr>
                    <w:t>。</w:t>
                  </w:r>
                  <w:bookmarkEnd w:id="4"/>
                </w:p>
              </w:tc>
              <w:tc>
                <w:tcPr>
                  <w:tcW w:w="700" w:type="pct"/>
                  <w:tcBorders>
                    <w:tl2br w:val="nil"/>
                    <w:tr2bl w:val="nil"/>
                  </w:tcBorders>
                  <w:noWrap w:val="0"/>
                  <w:vAlign w:val="center"/>
                </w:tcPr>
                <w:p w14:paraId="005C9E0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eastAsiaTheme="minorEastAsia"/>
                      <w:color w:val="auto"/>
                      <w:kern w:val="0"/>
                      <w:sz w:val="21"/>
                      <w:szCs w:val="21"/>
                      <w:highlight w:val="none"/>
                      <w:lang w:val="en-US" w:eastAsia="zh-CN"/>
                    </w:rPr>
                    <w:t>新建</w:t>
                  </w:r>
                </w:p>
              </w:tc>
            </w:tr>
            <w:tr w14:paraId="3F372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19CEC89A">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02F35421">
                  <w:pPr>
                    <w:keepNext w:val="0"/>
                    <w:keepLines w:val="0"/>
                    <w:pageBreakBefore w:val="0"/>
                    <w:widowControl w:val="0"/>
                    <w:suppressAutoHyphen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固废处理</w:t>
                  </w:r>
                </w:p>
              </w:tc>
              <w:tc>
                <w:tcPr>
                  <w:tcW w:w="3156" w:type="pct"/>
                  <w:tcBorders>
                    <w:tl2br w:val="nil"/>
                    <w:tr2bl w:val="nil"/>
                  </w:tcBorders>
                  <w:noWrap w:val="0"/>
                  <w:vAlign w:val="center"/>
                </w:tcPr>
                <w:p w14:paraId="6F1FE793">
                  <w:pPr>
                    <w:keepNext w:val="0"/>
                    <w:keepLines w:val="0"/>
                    <w:pageBreakBefore w:val="0"/>
                    <w:widowControl w:val="0"/>
                    <w:suppressAutoHyphens/>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各设1处专门的</w:t>
                  </w:r>
                  <w:r>
                    <w:rPr>
                      <w:rFonts w:hint="eastAsia" w:cs="Times New Roman"/>
                      <w:color w:val="auto"/>
                      <w:kern w:val="0"/>
                      <w:sz w:val="21"/>
                      <w:szCs w:val="21"/>
                      <w:highlight w:val="none"/>
                      <w:lang w:eastAsia="zh-CN"/>
                    </w:rPr>
                    <w:t>一般固废暂存区</w:t>
                  </w:r>
                  <w:r>
                    <w:rPr>
                      <w:rFonts w:hint="default" w:ascii="Times New Roman" w:hAnsi="Times New Roman" w:eastAsia="宋体" w:cs="Times New Roman"/>
                      <w:color w:val="auto"/>
                      <w:kern w:val="0"/>
                      <w:sz w:val="21"/>
                      <w:szCs w:val="21"/>
                      <w:highlight w:val="none"/>
                    </w:rPr>
                    <w:t>和危废间，固体废物分类收集，危废由有资质</w:t>
                  </w:r>
                  <w:r>
                    <w:rPr>
                      <w:rFonts w:hint="eastAsia" w:cs="Times New Roman"/>
                      <w:color w:val="auto"/>
                      <w:kern w:val="0"/>
                      <w:sz w:val="21"/>
                      <w:szCs w:val="21"/>
                      <w:highlight w:val="none"/>
                      <w:lang w:val="en-US" w:eastAsia="zh-CN"/>
                    </w:rPr>
                    <w:t>单位</w:t>
                  </w:r>
                  <w:r>
                    <w:rPr>
                      <w:rFonts w:hint="default" w:ascii="Times New Roman" w:hAnsi="Times New Roman" w:eastAsia="宋体" w:cs="Times New Roman"/>
                      <w:color w:val="auto"/>
                      <w:kern w:val="0"/>
                      <w:sz w:val="21"/>
                      <w:szCs w:val="21"/>
                      <w:highlight w:val="none"/>
                    </w:rPr>
                    <w:t>处置</w:t>
                  </w:r>
                  <w:r>
                    <w:rPr>
                      <w:rFonts w:hint="eastAsia" w:cs="Times New Roman"/>
                      <w:color w:val="auto"/>
                      <w:kern w:val="0"/>
                      <w:sz w:val="21"/>
                      <w:szCs w:val="21"/>
                      <w:highlight w:val="none"/>
                      <w:lang w:eastAsia="zh-CN"/>
                    </w:rPr>
                    <w:t>。</w:t>
                  </w:r>
                </w:p>
              </w:tc>
              <w:tc>
                <w:tcPr>
                  <w:tcW w:w="700" w:type="pct"/>
                  <w:tcBorders>
                    <w:tl2br w:val="nil"/>
                    <w:tr2bl w:val="nil"/>
                  </w:tcBorders>
                  <w:noWrap w:val="0"/>
                  <w:vAlign w:val="center"/>
                </w:tcPr>
                <w:p w14:paraId="397C16A1">
                  <w:pPr>
                    <w:keepNext w:val="0"/>
                    <w:keepLines w:val="0"/>
                    <w:pageBreakBefore w:val="0"/>
                    <w:widowControl w:val="0"/>
                    <w:suppressAutoHyphens/>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eastAsia" w:cs="Times New Roman" w:eastAsiaTheme="minorEastAsia"/>
                      <w:color w:val="auto"/>
                      <w:kern w:val="0"/>
                      <w:sz w:val="21"/>
                      <w:szCs w:val="21"/>
                      <w:highlight w:val="none"/>
                      <w:lang w:val="en-US" w:eastAsia="zh-CN"/>
                    </w:rPr>
                    <w:t>新建</w:t>
                  </w:r>
                </w:p>
              </w:tc>
            </w:tr>
            <w:tr w14:paraId="695FB1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vMerge w:val="continue"/>
                  <w:tcBorders>
                    <w:tl2br w:val="nil"/>
                    <w:tr2bl w:val="nil"/>
                  </w:tcBorders>
                  <w:noWrap w:val="0"/>
                  <w:vAlign w:val="center"/>
                </w:tcPr>
                <w:p w14:paraId="797A6B1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699" w:type="pct"/>
                  <w:tcBorders>
                    <w:tl2br w:val="nil"/>
                    <w:tr2bl w:val="nil"/>
                  </w:tcBorders>
                  <w:noWrap w:val="0"/>
                  <w:vAlign w:val="center"/>
                </w:tcPr>
                <w:p w14:paraId="7C8778D2">
                  <w:pPr>
                    <w:pStyle w:val="76"/>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噪声</w:t>
                  </w:r>
                  <w:r>
                    <w:rPr>
                      <w:rFonts w:hint="default" w:ascii="Times New Roman" w:hAnsi="Times New Roman" w:eastAsia="宋体" w:cs="Times New Roman"/>
                      <w:color w:val="auto"/>
                      <w:sz w:val="21"/>
                      <w:szCs w:val="21"/>
                      <w:highlight w:val="none"/>
                      <w:lang w:eastAsia="zh-CN"/>
                    </w:rPr>
                    <w:t>处理</w:t>
                  </w:r>
                </w:p>
              </w:tc>
              <w:tc>
                <w:tcPr>
                  <w:tcW w:w="3156" w:type="pct"/>
                  <w:tcBorders>
                    <w:tl2br w:val="nil"/>
                    <w:tr2bl w:val="nil"/>
                  </w:tcBorders>
                  <w:noWrap w:val="0"/>
                  <w:vAlign w:val="center"/>
                </w:tcPr>
                <w:p w14:paraId="11192E3C">
                  <w:pPr>
                    <w:pStyle w:val="68"/>
                    <w:keepNext w:val="0"/>
                    <w:keepLines w:val="0"/>
                    <w:pageBreakBefore w:val="0"/>
                    <w:widowControl w:val="0"/>
                    <w:kinsoku/>
                    <w:wordWrap/>
                    <w:overflowPunct/>
                    <w:topLinePunct w:val="0"/>
                    <w:autoSpaceDE/>
                    <w:autoSpaceDN/>
                    <w:bidi w:val="0"/>
                    <w:adjustRightInd w:val="0"/>
                    <w:snapToGrid w:val="0"/>
                    <w:spacing w:line="260" w:lineRule="exact"/>
                    <w:ind w:left="0" w:lef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rPr>
                    <w:t>选用低噪音设备，并设置隔声、减振设施，项目厂房内合</w:t>
                  </w:r>
                  <w:r>
                    <w:rPr>
                      <w:rFonts w:hint="default" w:ascii="Times New Roman" w:hAnsi="Times New Roman" w:eastAsia="宋体" w:cs="Times New Roman"/>
                      <w:color w:val="auto"/>
                      <w:sz w:val="21"/>
                      <w:szCs w:val="21"/>
                      <w:highlight w:val="none"/>
                    </w:rPr>
                    <w:t>理布局，生产时封闭隔声等。</w:t>
                  </w:r>
                </w:p>
              </w:tc>
              <w:tc>
                <w:tcPr>
                  <w:tcW w:w="700" w:type="pct"/>
                  <w:tcBorders>
                    <w:tl2br w:val="nil"/>
                    <w:tr2bl w:val="nil"/>
                  </w:tcBorders>
                  <w:noWrap w:val="0"/>
                  <w:vAlign w:val="center"/>
                </w:tcPr>
                <w:p w14:paraId="2880D22B">
                  <w:pPr>
                    <w:keepNext w:val="0"/>
                    <w:keepLines w:val="0"/>
                    <w:pageBreakBefore w:val="0"/>
                    <w:widowControl w:val="0"/>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eastAsia" w:cs="Times New Roman" w:eastAsiaTheme="minorEastAsia"/>
                      <w:color w:val="auto"/>
                      <w:kern w:val="0"/>
                      <w:sz w:val="21"/>
                      <w:szCs w:val="21"/>
                      <w:highlight w:val="none"/>
                      <w:lang w:val="en-US" w:eastAsia="zh-CN"/>
                    </w:rPr>
                    <w:t>新建</w:t>
                  </w:r>
                </w:p>
              </w:tc>
            </w:tr>
          </w:tbl>
          <w:p w14:paraId="2F5142A1">
            <w:pPr>
              <w:pStyle w:val="15"/>
              <w:keepNext w:val="0"/>
              <w:keepLines w:val="0"/>
              <w:pageBreakBefore w:val="0"/>
              <w:widowControl w:val="0"/>
              <w:kinsoku/>
              <w:wordWrap/>
              <w:overflowPunct/>
              <w:topLinePunct w:val="0"/>
              <w:autoSpaceDE/>
              <w:autoSpaceDN/>
              <w:bidi w:val="0"/>
              <w:adjustRightInd w:val="0"/>
              <w:snapToGrid w:val="0"/>
              <w:spacing w:before="157" w:beforeLines="50"/>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、主要产品及产能</w:t>
            </w:r>
          </w:p>
          <w:p w14:paraId="3EB07ED7">
            <w:pPr>
              <w:tabs>
                <w:tab w:val="left" w:pos="-2340"/>
                <w:tab w:val="left" w:pos="1260"/>
              </w:tabs>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项目产品方案见表</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14:paraId="0322F308">
            <w:pPr>
              <w:keepNext w:val="0"/>
              <w:keepLines w:val="0"/>
              <w:pageBreakBefore w:val="0"/>
              <w:widowControl w:val="0"/>
              <w:tabs>
                <w:tab w:val="left" w:pos="-2340"/>
                <w:tab w:val="left" w:pos="126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w:t>
            </w:r>
            <w:r>
              <w:rPr>
                <w:rFonts w:hint="eastAsia"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 xml:space="preserve">  项目产品方案</w:t>
            </w:r>
            <w:r>
              <w:rPr>
                <w:rFonts w:hint="eastAsia" w:cs="Times New Roman"/>
                <w:b/>
                <w:color w:val="auto"/>
                <w:sz w:val="24"/>
                <w:szCs w:val="24"/>
                <w:highlight w:val="none"/>
                <w:lang w:val="en-US" w:eastAsia="zh-CN"/>
              </w:rPr>
              <w:t>一览表</w:t>
            </w:r>
          </w:p>
          <w:tbl>
            <w:tblPr>
              <w:tblStyle w:val="37"/>
              <w:tblW w:w="81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498"/>
              <w:gridCol w:w="1593"/>
              <w:gridCol w:w="1344"/>
              <w:gridCol w:w="1344"/>
              <w:gridCol w:w="1686"/>
            </w:tblGrid>
            <w:tr w14:paraId="4A042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63" w:hRule="atLeast"/>
                <w:jc w:val="center"/>
              </w:trPr>
              <w:tc>
                <w:tcPr>
                  <w:tcW w:w="434" w:type="pct"/>
                  <w:tcBorders>
                    <w:tl2br w:val="nil"/>
                    <w:tr2bl w:val="nil"/>
                  </w:tcBorders>
                  <w:noWrap w:val="0"/>
                  <w:vAlign w:val="center"/>
                </w:tcPr>
                <w:p w14:paraId="43D3A2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16" w:type="pct"/>
                  <w:tcBorders>
                    <w:tl2br w:val="nil"/>
                    <w:tr2bl w:val="nil"/>
                  </w:tcBorders>
                  <w:noWrap w:val="0"/>
                  <w:vAlign w:val="center"/>
                </w:tcPr>
                <w:p w14:paraId="45EF64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产品名称</w:t>
                  </w:r>
                </w:p>
              </w:tc>
              <w:tc>
                <w:tcPr>
                  <w:tcW w:w="974" w:type="pct"/>
                  <w:tcBorders>
                    <w:tl2br w:val="nil"/>
                    <w:tr2bl w:val="nil"/>
                  </w:tcBorders>
                  <w:noWrap w:val="0"/>
                  <w:vAlign w:val="center"/>
                </w:tcPr>
                <w:p w14:paraId="2CF1DB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单位</w:t>
                  </w:r>
                </w:p>
              </w:tc>
              <w:tc>
                <w:tcPr>
                  <w:tcW w:w="822" w:type="pct"/>
                  <w:tcBorders>
                    <w:tl2br w:val="nil"/>
                    <w:tr2bl w:val="nil"/>
                  </w:tcBorders>
                  <w:noWrap w:val="0"/>
                  <w:vAlign w:val="center"/>
                </w:tcPr>
                <w:p w14:paraId="22DD58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型号</w:t>
                  </w:r>
                </w:p>
              </w:tc>
              <w:tc>
                <w:tcPr>
                  <w:tcW w:w="822" w:type="pct"/>
                  <w:tcBorders>
                    <w:tl2br w:val="nil"/>
                    <w:tr2bl w:val="nil"/>
                  </w:tcBorders>
                  <w:noWrap w:val="0"/>
                  <w:vAlign w:val="center"/>
                </w:tcPr>
                <w:p w14:paraId="51A3DB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年产量</w:t>
                  </w:r>
                </w:p>
              </w:tc>
              <w:tc>
                <w:tcPr>
                  <w:tcW w:w="1031" w:type="pct"/>
                  <w:tcBorders>
                    <w:tl2br w:val="nil"/>
                    <w:tr2bl w:val="nil"/>
                  </w:tcBorders>
                  <w:noWrap w:val="0"/>
                  <w:vAlign w:val="center"/>
                </w:tcPr>
                <w:p w14:paraId="56A76F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备注</w:t>
                  </w:r>
                </w:p>
              </w:tc>
            </w:tr>
            <w:tr w14:paraId="7DCE3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434" w:type="pct"/>
                  <w:tcBorders>
                    <w:tl2br w:val="nil"/>
                    <w:tr2bl w:val="nil"/>
                  </w:tcBorders>
                  <w:noWrap w:val="0"/>
                  <w:vAlign w:val="center"/>
                </w:tcPr>
                <w:p w14:paraId="38DA84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w:t>
                  </w:r>
                </w:p>
              </w:tc>
              <w:tc>
                <w:tcPr>
                  <w:tcW w:w="916" w:type="pct"/>
                  <w:tcBorders>
                    <w:tl2br w:val="nil"/>
                    <w:tr2bl w:val="nil"/>
                  </w:tcBorders>
                  <w:noWrap w:val="0"/>
                  <w:vAlign w:val="center"/>
                </w:tcPr>
                <w:p w14:paraId="63FA0C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接杆盒</w:t>
                  </w:r>
                </w:p>
              </w:tc>
              <w:tc>
                <w:tcPr>
                  <w:tcW w:w="974" w:type="pct"/>
                  <w:tcBorders>
                    <w:tl2br w:val="nil"/>
                    <w:tr2bl w:val="nil"/>
                  </w:tcBorders>
                  <w:noWrap w:val="0"/>
                  <w:vAlign w:val="center"/>
                </w:tcPr>
                <w:p w14:paraId="244603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套</w:t>
                  </w:r>
                  <w:r>
                    <w:rPr>
                      <w:rFonts w:hint="eastAsia" w:hAnsi="Times New Roman" w:cs="Times New Roman"/>
                      <w:color w:val="auto"/>
                      <w:sz w:val="21"/>
                      <w:szCs w:val="21"/>
                      <w:highlight w:val="none"/>
                      <w:lang w:val="en-US" w:eastAsia="zh-CN"/>
                    </w:rPr>
                    <w:t>/a</w:t>
                  </w:r>
                </w:p>
              </w:tc>
              <w:tc>
                <w:tcPr>
                  <w:tcW w:w="822" w:type="pct"/>
                  <w:tcBorders>
                    <w:tl2br w:val="nil"/>
                    <w:tr2bl w:val="nil"/>
                  </w:tcBorders>
                  <w:noWrap w:val="0"/>
                  <w:vAlign w:val="center"/>
                </w:tcPr>
                <w:p w14:paraId="155940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2/3/4/5/6号</w:t>
                  </w:r>
                </w:p>
              </w:tc>
              <w:tc>
                <w:tcPr>
                  <w:tcW w:w="822" w:type="pct"/>
                  <w:tcBorders>
                    <w:tl2br w:val="nil"/>
                    <w:tr2bl w:val="nil"/>
                  </w:tcBorders>
                  <w:noWrap w:val="0"/>
                  <w:vAlign w:val="center"/>
                </w:tcPr>
                <w:p w14:paraId="425A44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031" w:type="pct"/>
                  <w:tcBorders>
                    <w:tl2br w:val="nil"/>
                    <w:tr2bl w:val="nil"/>
                  </w:tcBorders>
                  <w:noWrap w:val="0"/>
                  <w:vAlign w:val="center"/>
                </w:tcPr>
                <w:p w14:paraId="4A668C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外售</w:t>
                  </w:r>
                </w:p>
              </w:tc>
            </w:tr>
            <w:tr w14:paraId="5BF43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434" w:type="pct"/>
                  <w:tcBorders>
                    <w:tl2br w:val="nil"/>
                    <w:tr2bl w:val="nil"/>
                  </w:tcBorders>
                  <w:noWrap w:val="0"/>
                  <w:vAlign w:val="center"/>
                </w:tcPr>
                <w:p w14:paraId="37B3E2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16" w:type="pct"/>
                  <w:tcBorders>
                    <w:tl2br w:val="nil"/>
                    <w:tr2bl w:val="nil"/>
                  </w:tcBorders>
                  <w:noWrap w:val="0"/>
                  <w:vAlign w:val="center"/>
                </w:tcPr>
                <w:p w14:paraId="3CBDEF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变径套盒</w:t>
                  </w:r>
                </w:p>
              </w:tc>
              <w:tc>
                <w:tcPr>
                  <w:tcW w:w="974" w:type="pct"/>
                  <w:tcBorders>
                    <w:tl2br w:val="nil"/>
                    <w:tr2bl w:val="nil"/>
                  </w:tcBorders>
                  <w:noWrap w:val="0"/>
                  <w:vAlign w:val="center"/>
                </w:tcPr>
                <w:p w14:paraId="3CB02A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Times New Roman" w:cs="Times New Roman"/>
                      <w:color w:val="auto"/>
                      <w:sz w:val="21"/>
                      <w:szCs w:val="21"/>
                      <w:highlight w:val="none"/>
                      <w:lang w:val="en-US" w:eastAsia="zh-CN"/>
                    </w:rPr>
                  </w:pPr>
                  <w:r>
                    <w:rPr>
                      <w:rFonts w:hint="eastAsia"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套</w:t>
                  </w:r>
                  <w:r>
                    <w:rPr>
                      <w:rFonts w:hint="eastAsia" w:hAnsi="Times New Roman" w:cs="Times New Roman"/>
                      <w:color w:val="auto"/>
                      <w:sz w:val="21"/>
                      <w:szCs w:val="21"/>
                      <w:highlight w:val="none"/>
                      <w:lang w:val="en-US" w:eastAsia="zh-CN"/>
                    </w:rPr>
                    <w:t>/a</w:t>
                  </w:r>
                </w:p>
              </w:tc>
              <w:tc>
                <w:tcPr>
                  <w:tcW w:w="822" w:type="pct"/>
                  <w:tcBorders>
                    <w:tl2br w:val="nil"/>
                    <w:tr2bl w:val="nil"/>
                  </w:tcBorders>
                  <w:noWrap w:val="0"/>
                  <w:vAlign w:val="center"/>
                </w:tcPr>
                <w:p w14:paraId="5121F3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2/3/4/5/6号</w:t>
                  </w:r>
                </w:p>
              </w:tc>
              <w:tc>
                <w:tcPr>
                  <w:tcW w:w="822" w:type="pct"/>
                  <w:tcBorders>
                    <w:tl2br w:val="nil"/>
                    <w:tr2bl w:val="nil"/>
                  </w:tcBorders>
                  <w:noWrap w:val="0"/>
                  <w:vAlign w:val="center"/>
                </w:tcPr>
                <w:p w14:paraId="424214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031" w:type="pct"/>
                  <w:tcBorders>
                    <w:tl2br w:val="nil"/>
                    <w:tr2bl w:val="nil"/>
                  </w:tcBorders>
                  <w:noWrap w:val="0"/>
                  <w:vAlign w:val="center"/>
                </w:tcPr>
                <w:p w14:paraId="21B2DF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外售</w:t>
                  </w:r>
                </w:p>
              </w:tc>
            </w:tr>
            <w:tr w14:paraId="6D534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434" w:type="pct"/>
                  <w:tcBorders>
                    <w:tl2br w:val="nil"/>
                    <w:tr2bl w:val="nil"/>
                  </w:tcBorders>
                  <w:noWrap w:val="0"/>
                  <w:vAlign w:val="center"/>
                </w:tcPr>
                <w:p w14:paraId="51FB37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916" w:type="pct"/>
                  <w:tcBorders>
                    <w:tl2br w:val="nil"/>
                    <w:tr2bl w:val="nil"/>
                  </w:tcBorders>
                  <w:noWrap w:val="0"/>
                  <w:vAlign w:val="center"/>
                </w:tcPr>
                <w:p w14:paraId="2B2F3B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刀柄盒</w:t>
                  </w:r>
                </w:p>
              </w:tc>
              <w:tc>
                <w:tcPr>
                  <w:tcW w:w="974" w:type="pct"/>
                  <w:tcBorders>
                    <w:tl2br w:val="nil"/>
                    <w:tr2bl w:val="nil"/>
                  </w:tcBorders>
                  <w:noWrap w:val="0"/>
                  <w:vAlign w:val="center"/>
                </w:tcPr>
                <w:p w14:paraId="4DDC65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Times New Roman" w:cs="Times New Roman"/>
                      <w:color w:val="auto"/>
                      <w:sz w:val="21"/>
                      <w:szCs w:val="21"/>
                      <w:highlight w:val="none"/>
                      <w:lang w:val="en-US" w:eastAsia="zh-CN"/>
                    </w:rPr>
                  </w:pPr>
                  <w:r>
                    <w:rPr>
                      <w:rFonts w:hint="eastAsia"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套</w:t>
                  </w:r>
                  <w:r>
                    <w:rPr>
                      <w:rFonts w:hint="eastAsia" w:hAnsi="Times New Roman" w:cs="Times New Roman"/>
                      <w:color w:val="auto"/>
                      <w:sz w:val="21"/>
                      <w:szCs w:val="21"/>
                      <w:highlight w:val="none"/>
                      <w:lang w:val="en-US" w:eastAsia="zh-CN"/>
                    </w:rPr>
                    <w:t>/a</w:t>
                  </w:r>
                </w:p>
              </w:tc>
              <w:tc>
                <w:tcPr>
                  <w:tcW w:w="822" w:type="pct"/>
                  <w:tcBorders>
                    <w:tl2br w:val="nil"/>
                    <w:tr2bl w:val="nil"/>
                  </w:tcBorders>
                  <w:noWrap w:val="0"/>
                  <w:vAlign w:val="center"/>
                </w:tcPr>
                <w:p w14:paraId="3426CB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30/40/50号</w:t>
                  </w:r>
                </w:p>
              </w:tc>
              <w:tc>
                <w:tcPr>
                  <w:tcW w:w="822" w:type="pct"/>
                  <w:tcBorders>
                    <w:tl2br w:val="nil"/>
                    <w:tr2bl w:val="nil"/>
                  </w:tcBorders>
                  <w:noWrap w:val="0"/>
                  <w:vAlign w:val="center"/>
                </w:tcPr>
                <w:p w14:paraId="417898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1031" w:type="pct"/>
                  <w:tcBorders>
                    <w:tl2br w:val="nil"/>
                    <w:tr2bl w:val="nil"/>
                  </w:tcBorders>
                  <w:noWrap w:val="0"/>
                  <w:vAlign w:val="center"/>
                </w:tcPr>
                <w:p w14:paraId="49D920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外售</w:t>
                  </w:r>
                </w:p>
              </w:tc>
            </w:tr>
            <w:tr w14:paraId="5B49DB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434" w:type="pct"/>
                  <w:tcBorders>
                    <w:tl2br w:val="nil"/>
                    <w:tr2bl w:val="nil"/>
                  </w:tcBorders>
                  <w:noWrap w:val="0"/>
                  <w:vAlign w:val="center"/>
                </w:tcPr>
                <w:p w14:paraId="2CF6F1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916" w:type="pct"/>
                  <w:tcBorders>
                    <w:tl2br w:val="nil"/>
                    <w:tr2bl w:val="nil"/>
                  </w:tcBorders>
                  <w:noWrap w:val="0"/>
                  <w:vAlign w:val="center"/>
                </w:tcPr>
                <w:p w14:paraId="2126EC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夹头盒</w:t>
                  </w:r>
                </w:p>
              </w:tc>
              <w:tc>
                <w:tcPr>
                  <w:tcW w:w="974" w:type="pct"/>
                  <w:tcBorders>
                    <w:tl2br w:val="nil"/>
                    <w:tr2bl w:val="nil"/>
                  </w:tcBorders>
                  <w:noWrap w:val="0"/>
                  <w:vAlign w:val="center"/>
                </w:tcPr>
                <w:p w14:paraId="51143F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Times New Roman" w:cs="Times New Roman"/>
                      <w:color w:val="auto"/>
                      <w:sz w:val="21"/>
                      <w:szCs w:val="21"/>
                      <w:highlight w:val="none"/>
                      <w:lang w:val="en-US" w:eastAsia="zh-CN"/>
                    </w:rPr>
                  </w:pPr>
                  <w:r>
                    <w:rPr>
                      <w:rFonts w:hint="eastAsia"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套</w:t>
                  </w:r>
                  <w:r>
                    <w:rPr>
                      <w:rFonts w:hint="eastAsia" w:hAnsi="Times New Roman" w:cs="Times New Roman"/>
                      <w:color w:val="auto"/>
                      <w:sz w:val="21"/>
                      <w:szCs w:val="21"/>
                      <w:highlight w:val="none"/>
                      <w:lang w:val="en-US" w:eastAsia="zh-CN"/>
                    </w:rPr>
                    <w:t>/a</w:t>
                  </w:r>
                </w:p>
              </w:tc>
              <w:tc>
                <w:tcPr>
                  <w:tcW w:w="822" w:type="pct"/>
                  <w:tcBorders>
                    <w:tl2br w:val="nil"/>
                    <w:tr2bl w:val="nil"/>
                  </w:tcBorders>
                  <w:noWrap w:val="0"/>
                  <w:vAlign w:val="center"/>
                </w:tcPr>
                <w:p w14:paraId="260AA9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ER38/25/11号</w:t>
                  </w:r>
                </w:p>
              </w:tc>
              <w:tc>
                <w:tcPr>
                  <w:tcW w:w="822" w:type="pct"/>
                  <w:tcBorders>
                    <w:tl2br w:val="nil"/>
                    <w:tr2bl w:val="nil"/>
                  </w:tcBorders>
                  <w:noWrap w:val="0"/>
                  <w:vAlign w:val="center"/>
                </w:tcPr>
                <w:p w14:paraId="7FDBDD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1031" w:type="pct"/>
                  <w:tcBorders>
                    <w:tl2br w:val="nil"/>
                    <w:tr2bl w:val="nil"/>
                  </w:tcBorders>
                  <w:noWrap w:val="0"/>
                  <w:vAlign w:val="center"/>
                </w:tcPr>
                <w:p w14:paraId="6E4C40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外售</w:t>
                  </w:r>
                </w:p>
              </w:tc>
            </w:tr>
            <w:tr w14:paraId="42D41A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434" w:type="pct"/>
                  <w:tcBorders>
                    <w:tl2br w:val="nil"/>
                    <w:tr2bl w:val="nil"/>
                  </w:tcBorders>
                  <w:noWrap w:val="0"/>
                  <w:vAlign w:val="center"/>
                </w:tcPr>
                <w:p w14:paraId="5B708A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合并</w:t>
                  </w:r>
                </w:p>
              </w:tc>
              <w:tc>
                <w:tcPr>
                  <w:tcW w:w="916" w:type="pct"/>
                  <w:tcBorders>
                    <w:tl2br w:val="nil"/>
                    <w:tr2bl w:val="nil"/>
                  </w:tcBorders>
                  <w:noWrap w:val="0"/>
                  <w:vAlign w:val="center"/>
                </w:tcPr>
                <w:p w14:paraId="0E964F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机床附件包装盒</w:t>
                  </w:r>
                </w:p>
              </w:tc>
              <w:tc>
                <w:tcPr>
                  <w:tcW w:w="974" w:type="pct"/>
                  <w:tcBorders>
                    <w:tl2br w:val="nil"/>
                    <w:tr2bl w:val="nil"/>
                  </w:tcBorders>
                  <w:noWrap w:val="0"/>
                  <w:vAlign w:val="center"/>
                </w:tcPr>
                <w:p w14:paraId="11E7EC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Times New Roman" w:cs="Times New Roman"/>
                      <w:color w:val="auto"/>
                      <w:sz w:val="21"/>
                      <w:szCs w:val="21"/>
                      <w:highlight w:val="none"/>
                      <w:lang w:val="en-US" w:eastAsia="zh-CN"/>
                    </w:rPr>
                  </w:pPr>
                  <w:r>
                    <w:rPr>
                      <w:rFonts w:hint="eastAsia"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套</w:t>
                  </w:r>
                  <w:r>
                    <w:rPr>
                      <w:rFonts w:hint="eastAsia" w:hAnsi="Times New Roman" w:cs="Times New Roman"/>
                      <w:color w:val="auto"/>
                      <w:sz w:val="21"/>
                      <w:szCs w:val="21"/>
                      <w:highlight w:val="none"/>
                      <w:lang w:val="en-US" w:eastAsia="zh-CN"/>
                    </w:rPr>
                    <w:t>/a</w:t>
                  </w:r>
                </w:p>
              </w:tc>
              <w:tc>
                <w:tcPr>
                  <w:tcW w:w="822" w:type="pct"/>
                  <w:tcBorders>
                    <w:tl2br w:val="nil"/>
                    <w:tr2bl w:val="nil"/>
                  </w:tcBorders>
                  <w:noWrap w:val="0"/>
                  <w:vAlign w:val="center"/>
                </w:tcPr>
                <w:p w14:paraId="7D408F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22" w:type="pct"/>
                  <w:tcBorders>
                    <w:tl2br w:val="nil"/>
                    <w:tr2bl w:val="nil"/>
                  </w:tcBorders>
                  <w:noWrap w:val="0"/>
                  <w:vAlign w:val="center"/>
                </w:tcPr>
                <w:p w14:paraId="334465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450</w:t>
                  </w:r>
                </w:p>
              </w:tc>
              <w:tc>
                <w:tcPr>
                  <w:tcW w:w="1031" w:type="pct"/>
                  <w:tcBorders>
                    <w:tl2br w:val="nil"/>
                    <w:tr2bl w:val="nil"/>
                  </w:tcBorders>
                  <w:noWrap w:val="0"/>
                  <w:vAlign w:val="center"/>
                </w:tcPr>
                <w:p w14:paraId="112EE3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外售</w:t>
                  </w:r>
                </w:p>
              </w:tc>
            </w:tr>
          </w:tbl>
          <w:p w14:paraId="3CD2C199">
            <w:pPr>
              <w:pStyle w:val="15"/>
              <w:keepNext w:val="0"/>
              <w:keepLines w:val="0"/>
              <w:pageBreakBefore w:val="0"/>
              <w:widowControl w:val="0"/>
              <w:kinsoku/>
              <w:wordWrap/>
              <w:overflowPunct/>
              <w:topLinePunct w:val="0"/>
              <w:autoSpaceDE/>
              <w:autoSpaceDN/>
              <w:bidi w:val="0"/>
              <w:adjustRightInd w:val="0"/>
              <w:snapToGrid w:val="0"/>
              <w:spacing w:before="157" w:beforeLines="50"/>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、主要生产设备</w:t>
            </w:r>
          </w:p>
          <w:p w14:paraId="662FC5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contextualSpacing/>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本项目</w:t>
            </w:r>
            <w:r>
              <w:rPr>
                <w:rFonts w:hint="eastAsia" w:cs="Times New Roman"/>
                <w:color w:val="auto"/>
                <w:sz w:val="24"/>
                <w:szCs w:val="24"/>
                <w:highlight w:val="none"/>
                <w:lang w:val="en-US" w:eastAsia="zh-CN"/>
              </w:rPr>
              <w:t>主要生产</w:t>
            </w:r>
            <w:r>
              <w:rPr>
                <w:rFonts w:hint="default" w:ascii="Times New Roman" w:hAnsi="Times New Roman" w:eastAsia="宋体" w:cs="Times New Roman"/>
                <w:color w:val="auto"/>
                <w:sz w:val="24"/>
                <w:szCs w:val="24"/>
                <w:highlight w:val="none"/>
              </w:rPr>
              <w:t>设备</w:t>
            </w:r>
            <w:r>
              <w:rPr>
                <w:rFonts w:hint="eastAsia" w:cs="Times New Roman"/>
                <w:color w:val="auto"/>
                <w:sz w:val="24"/>
                <w:szCs w:val="24"/>
                <w:highlight w:val="none"/>
                <w:lang w:val="en-US" w:eastAsia="zh-CN"/>
              </w:rPr>
              <w:t>情况</w:t>
            </w:r>
            <w:r>
              <w:rPr>
                <w:rFonts w:hint="default" w:ascii="Times New Roman" w:hAnsi="Times New Roman" w:eastAsia="宋体" w:cs="Times New Roman"/>
                <w:color w:val="auto"/>
                <w:sz w:val="24"/>
                <w:szCs w:val="24"/>
                <w:highlight w:val="none"/>
              </w:rPr>
              <w:t>见下表</w:t>
            </w:r>
            <w:r>
              <w:rPr>
                <w:rFonts w:hint="default" w:ascii="Times New Roman" w:hAnsi="Times New Roman" w:eastAsia="宋体" w:cs="Times New Roman"/>
                <w:color w:val="auto"/>
                <w:sz w:val="24"/>
                <w:szCs w:val="24"/>
                <w:highlight w:val="none"/>
                <w:lang w:eastAsia="zh-CN"/>
              </w:rPr>
              <w:t>。</w:t>
            </w:r>
          </w:p>
          <w:p w14:paraId="71C33B86">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contextualSpacing/>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项目主要设备一览表</w:t>
            </w:r>
          </w:p>
          <w:tbl>
            <w:tblPr>
              <w:tblStyle w:val="37"/>
              <w:tblW w:w="81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6"/>
              <w:gridCol w:w="2000"/>
              <w:gridCol w:w="1443"/>
              <w:gridCol w:w="870"/>
              <w:gridCol w:w="1516"/>
              <w:gridCol w:w="1632"/>
            </w:tblGrid>
            <w:tr w14:paraId="4501DB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656" w:type="dxa"/>
                  <w:tcBorders>
                    <w:tl2br w:val="nil"/>
                    <w:tr2bl w:val="nil"/>
                  </w:tcBorders>
                  <w:noWrap w:val="0"/>
                  <w:vAlign w:val="center"/>
                </w:tcPr>
                <w:p w14:paraId="39EAA0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序号</w:t>
                  </w:r>
                </w:p>
              </w:tc>
              <w:tc>
                <w:tcPr>
                  <w:tcW w:w="2000" w:type="dxa"/>
                  <w:tcBorders>
                    <w:tl2br w:val="nil"/>
                    <w:tr2bl w:val="nil"/>
                  </w:tcBorders>
                  <w:noWrap w:val="0"/>
                  <w:vAlign w:val="center"/>
                </w:tcPr>
                <w:p w14:paraId="5E5459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名称</w:t>
                  </w:r>
                </w:p>
              </w:tc>
              <w:tc>
                <w:tcPr>
                  <w:tcW w:w="1443" w:type="dxa"/>
                  <w:tcBorders>
                    <w:tl2br w:val="nil"/>
                    <w:tr2bl w:val="nil"/>
                  </w:tcBorders>
                  <w:noWrap w:val="0"/>
                  <w:vAlign w:val="center"/>
                </w:tcPr>
                <w:p w14:paraId="2B6D26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规格型号</w:t>
                  </w:r>
                </w:p>
              </w:tc>
              <w:tc>
                <w:tcPr>
                  <w:tcW w:w="870" w:type="dxa"/>
                  <w:tcBorders>
                    <w:tl2br w:val="nil"/>
                    <w:tr2bl w:val="nil"/>
                  </w:tcBorders>
                  <w:noWrap w:val="0"/>
                  <w:vAlign w:val="center"/>
                </w:tcPr>
                <w:p w14:paraId="5A71B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单位</w:t>
                  </w:r>
                </w:p>
              </w:tc>
              <w:tc>
                <w:tcPr>
                  <w:tcW w:w="1516" w:type="dxa"/>
                  <w:tcBorders>
                    <w:tl2br w:val="nil"/>
                    <w:tr2bl w:val="nil"/>
                  </w:tcBorders>
                  <w:noWrap w:val="0"/>
                  <w:vAlign w:val="center"/>
                </w:tcPr>
                <w:p w14:paraId="2B1D92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本项目数量</w:t>
                  </w:r>
                </w:p>
              </w:tc>
              <w:tc>
                <w:tcPr>
                  <w:tcW w:w="1632" w:type="dxa"/>
                  <w:tcBorders>
                    <w:tl2br w:val="nil"/>
                    <w:tr2bl w:val="nil"/>
                  </w:tcBorders>
                  <w:noWrap w:val="0"/>
                  <w:vAlign w:val="center"/>
                </w:tcPr>
                <w:p w14:paraId="660FD6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备注</w:t>
                  </w:r>
                </w:p>
              </w:tc>
            </w:tr>
            <w:tr w14:paraId="73838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56" w:type="dxa"/>
                  <w:tcBorders>
                    <w:tl2br w:val="nil"/>
                    <w:tr2bl w:val="nil"/>
                  </w:tcBorders>
                  <w:noWrap w:val="0"/>
                  <w:vAlign w:val="center"/>
                </w:tcPr>
                <w:p w14:paraId="605376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2000" w:type="dxa"/>
                  <w:tcBorders>
                    <w:tl2br w:val="nil"/>
                    <w:tr2bl w:val="nil"/>
                  </w:tcBorders>
                  <w:noWrap w:val="0"/>
                  <w:vAlign w:val="center"/>
                </w:tcPr>
                <w:p w14:paraId="069F31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三庆吹塑机</w:t>
                  </w:r>
                </w:p>
              </w:tc>
              <w:tc>
                <w:tcPr>
                  <w:tcW w:w="1443" w:type="dxa"/>
                  <w:tcBorders>
                    <w:tl2br w:val="nil"/>
                    <w:tr2bl w:val="nil"/>
                  </w:tcBorders>
                  <w:noWrap w:val="0"/>
                  <w:vAlign w:val="center"/>
                </w:tcPr>
                <w:p w14:paraId="10F168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SQHB</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300</w:t>
                  </w:r>
                </w:p>
              </w:tc>
              <w:tc>
                <w:tcPr>
                  <w:tcW w:w="870" w:type="dxa"/>
                  <w:tcBorders>
                    <w:tl2br w:val="nil"/>
                    <w:tr2bl w:val="nil"/>
                  </w:tcBorders>
                  <w:noWrap w:val="0"/>
                  <w:vAlign w:val="center"/>
                </w:tcPr>
                <w:p w14:paraId="5A74F8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04E91F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632" w:type="dxa"/>
                  <w:tcBorders>
                    <w:tl2br w:val="nil"/>
                    <w:tr2bl w:val="nil"/>
                  </w:tcBorders>
                  <w:noWrap w:val="0"/>
                  <w:vAlign w:val="center"/>
                </w:tcPr>
                <w:p w14:paraId="399EA3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电加热</w:t>
                  </w:r>
                </w:p>
              </w:tc>
            </w:tr>
            <w:tr w14:paraId="725AE7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56" w:type="dxa"/>
                  <w:tcBorders>
                    <w:tl2br w:val="nil"/>
                    <w:tr2bl w:val="nil"/>
                  </w:tcBorders>
                  <w:shd w:val="clear" w:color="auto" w:fill="auto"/>
                  <w:noWrap w:val="0"/>
                  <w:vAlign w:val="center"/>
                </w:tcPr>
                <w:p w14:paraId="1065AA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w:t>
                  </w:r>
                </w:p>
              </w:tc>
              <w:tc>
                <w:tcPr>
                  <w:tcW w:w="2000" w:type="dxa"/>
                  <w:tcBorders>
                    <w:tl2br w:val="nil"/>
                    <w:tr2bl w:val="nil"/>
                  </w:tcBorders>
                  <w:noWrap w:val="0"/>
                  <w:vAlign w:val="center"/>
                </w:tcPr>
                <w:p w14:paraId="1874C0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三庆吹塑机</w:t>
                  </w:r>
                </w:p>
              </w:tc>
              <w:tc>
                <w:tcPr>
                  <w:tcW w:w="1443" w:type="dxa"/>
                  <w:tcBorders>
                    <w:tl2br w:val="nil"/>
                    <w:tr2bl w:val="nil"/>
                  </w:tcBorders>
                  <w:noWrap w:val="0"/>
                  <w:vAlign w:val="center"/>
                </w:tcPr>
                <w:p w14:paraId="1820DC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SQJ</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55</w:t>
                  </w:r>
                </w:p>
              </w:tc>
              <w:tc>
                <w:tcPr>
                  <w:tcW w:w="870" w:type="dxa"/>
                  <w:tcBorders>
                    <w:tl2br w:val="nil"/>
                    <w:tr2bl w:val="nil"/>
                  </w:tcBorders>
                  <w:noWrap w:val="0"/>
                  <w:vAlign w:val="center"/>
                </w:tcPr>
                <w:p w14:paraId="18D3E1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7D5FAA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1632" w:type="dxa"/>
                  <w:tcBorders>
                    <w:tl2br w:val="nil"/>
                    <w:tr2bl w:val="nil"/>
                  </w:tcBorders>
                  <w:noWrap w:val="0"/>
                  <w:vAlign w:val="center"/>
                </w:tcPr>
                <w:p w14:paraId="43AEBC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电加热</w:t>
                  </w:r>
                </w:p>
              </w:tc>
            </w:tr>
            <w:tr w14:paraId="15E831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56" w:type="dxa"/>
                  <w:tcBorders>
                    <w:tl2br w:val="nil"/>
                    <w:tr2bl w:val="nil"/>
                  </w:tcBorders>
                  <w:shd w:val="clear" w:color="auto" w:fill="auto"/>
                  <w:noWrap w:val="0"/>
                  <w:vAlign w:val="center"/>
                </w:tcPr>
                <w:p w14:paraId="61592E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w:t>
                  </w:r>
                </w:p>
              </w:tc>
              <w:tc>
                <w:tcPr>
                  <w:tcW w:w="2000" w:type="dxa"/>
                  <w:tcBorders>
                    <w:tl2br w:val="nil"/>
                    <w:tr2bl w:val="nil"/>
                  </w:tcBorders>
                  <w:noWrap w:val="0"/>
                  <w:vAlign w:val="center"/>
                </w:tcPr>
                <w:p w14:paraId="49EBA5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三庆吹塑机</w:t>
                  </w:r>
                </w:p>
              </w:tc>
              <w:tc>
                <w:tcPr>
                  <w:tcW w:w="1443" w:type="dxa"/>
                  <w:tcBorders>
                    <w:tl2br w:val="nil"/>
                    <w:tr2bl w:val="nil"/>
                  </w:tcBorders>
                  <w:noWrap w:val="0"/>
                  <w:vAlign w:val="center"/>
                </w:tcPr>
                <w:p w14:paraId="08AC28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SQCL</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2500</w:t>
                  </w:r>
                </w:p>
              </w:tc>
              <w:tc>
                <w:tcPr>
                  <w:tcW w:w="870" w:type="dxa"/>
                  <w:tcBorders>
                    <w:tl2br w:val="nil"/>
                    <w:tr2bl w:val="nil"/>
                  </w:tcBorders>
                  <w:noWrap w:val="0"/>
                  <w:vAlign w:val="center"/>
                </w:tcPr>
                <w:p w14:paraId="7506E9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54A923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632" w:type="dxa"/>
                  <w:tcBorders>
                    <w:tl2br w:val="nil"/>
                    <w:tr2bl w:val="nil"/>
                  </w:tcBorders>
                  <w:noWrap w:val="0"/>
                  <w:vAlign w:val="center"/>
                </w:tcPr>
                <w:p w14:paraId="186C09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电加热</w:t>
                  </w:r>
                </w:p>
              </w:tc>
            </w:tr>
            <w:tr w14:paraId="43D9A1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56" w:type="dxa"/>
                  <w:tcBorders>
                    <w:tl2br w:val="nil"/>
                    <w:tr2bl w:val="nil"/>
                  </w:tcBorders>
                  <w:shd w:val="clear" w:color="auto" w:fill="auto"/>
                  <w:noWrap w:val="0"/>
                  <w:vAlign w:val="center"/>
                </w:tcPr>
                <w:p w14:paraId="075027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2000" w:type="dxa"/>
                  <w:tcBorders>
                    <w:tl2br w:val="nil"/>
                    <w:tr2bl w:val="nil"/>
                  </w:tcBorders>
                  <w:noWrap w:val="0"/>
                  <w:vAlign w:val="center"/>
                </w:tcPr>
                <w:p w14:paraId="56DB70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拌料机</w:t>
                  </w:r>
                </w:p>
              </w:tc>
              <w:tc>
                <w:tcPr>
                  <w:tcW w:w="1443" w:type="dxa"/>
                  <w:tcBorders>
                    <w:tl2br w:val="nil"/>
                    <w:tr2bl w:val="nil"/>
                  </w:tcBorders>
                  <w:noWrap w:val="0"/>
                  <w:vAlign w:val="center"/>
                </w:tcPr>
                <w:p w14:paraId="05F522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70" w:type="dxa"/>
                  <w:tcBorders>
                    <w:tl2br w:val="nil"/>
                    <w:tr2bl w:val="nil"/>
                  </w:tcBorders>
                  <w:noWrap w:val="0"/>
                  <w:vAlign w:val="center"/>
                </w:tcPr>
                <w:p w14:paraId="4CAEED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03A2EB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1632" w:type="dxa"/>
                  <w:tcBorders>
                    <w:tl2br w:val="nil"/>
                    <w:tr2bl w:val="nil"/>
                  </w:tcBorders>
                  <w:noWrap w:val="0"/>
                  <w:vAlign w:val="center"/>
                </w:tcPr>
                <w:p w14:paraId="4BF146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7CD08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56" w:type="dxa"/>
                  <w:tcBorders>
                    <w:tl2br w:val="nil"/>
                    <w:tr2bl w:val="nil"/>
                  </w:tcBorders>
                  <w:shd w:val="clear" w:color="auto" w:fill="auto"/>
                  <w:noWrap w:val="0"/>
                  <w:vAlign w:val="center"/>
                </w:tcPr>
                <w:p w14:paraId="37F935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2000" w:type="dxa"/>
                  <w:tcBorders>
                    <w:tl2br w:val="nil"/>
                    <w:tr2bl w:val="nil"/>
                  </w:tcBorders>
                  <w:noWrap w:val="0"/>
                  <w:vAlign w:val="center"/>
                </w:tcPr>
                <w:p w14:paraId="11D8ED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上料机</w:t>
                  </w:r>
                </w:p>
              </w:tc>
              <w:tc>
                <w:tcPr>
                  <w:tcW w:w="1443" w:type="dxa"/>
                  <w:tcBorders>
                    <w:tl2br w:val="nil"/>
                    <w:tr2bl w:val="nil"/>
                  </w:tcBorders>
                  <w:noWrap w:val="0"/>
                  <w:vAlign w:val="center"/>
                </w:tcPr>
                <w:p w14:paraId="2213D0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70" w:type="dxa"/>
                  <w:tcBorders>
                    <w:tl2br w:val="nil"/>
                    <w:tr2bl w:val="nil"/>
                  </w:tcBorders>
                  <w:noWrap w:val="0"/>
                  <w:vAlign w:val="center"/>
                </w:tcPr>
                <w:p w14:paraId="64E73D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0F79B2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1632" w:type="dxa"/>
                  <w:tcBorders>
                    <w:tl2br w:val="nil"/>
                    <w:tr2bl w:val="nil"/>
                  </w:tcBorders>
                  <w:noWrap w:val="0"/>
                  <w:vAlign w:val="center"/>
                </w:tcPr>
                <w:p w14:paraId="7102E7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671EE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56" w:type="dxa"/>
                  <w:tcBorders>
                    <w:tl2br w:val="nil"/>
                    <w:tr2bl w:val="nil"/>
                  </w:tcBorders>
                  <w:shd w:val="clear" w:color="auto" w:fill="auto"/>
                  <w:noWrap w:val="0"/>
                  <w:vAlign w:val="center"/>
                </w:tcPr>
                <w:p w14:paraId="41F874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2000" w:type="dxa"/>
                  <w:tcBorders>
                    <w:tl2br w:val="nil"/>
                    <w:tr2bl w:val="nil"/>
                  </w:tcBorders>
                  <w:noWrap w:val="0"/>
                  <w:vAlign w:val="center"/>
                </w:tcPr>
                <w:p w14:paraId="453322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气泵</w:t>
                  </w:r>
                </w:p>
              </w:tc>
              <w:tc>
                <w:tcPr>
                  <w:tcW w:w="1443" w:type="dxa"/>
                  <w:tcBorders>
                    <w:tl2br w:val="nil"/>
                    <w:tr2bl w:val="nil"/>
                  </w:tcBorders>
                  <w:noWrap w:val="0"/>
                  <w:vAlign w:val="center"/>
                </w:tcPr>
                <w:p w14:paraId="7AE1E2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70" w:type="dxa"/>
                  <w:tcBorders>
                    <w:tl2br w:val="nil"/>
                    <w:tr2bl w:val="nil"/>
                  </w:tcBorders>
                  <w:noWrap w:val="0"/>
                  <w:vAlign w:val="center"/>
                </w:tcPr>
                <w:p w14:paraId="75F990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40C9EA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632" w:type="dxa"/>
                  <w:tcBorders>
                    <w:tl2br w:val="nil"/>
                    <w:tr2bl w:val="nil"/>
                  </w:tcBorders>
                  <w:noWrap w:val="0"/>
                  <w:vAlign w:val="center"/>
                </w:tcPr>
                <w:p w14:paraId="3F39FB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744E55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656" w:type="dxa"/>
                  <w:tcBorders>
                    <w:tl2br w:val="nil"/>
                    <w:tr2bl w:val="nil"/>
                  </w:tcBorders>
                  <w:shd w:val="clear" w:color="auto" w:fill="auto"/>
                  <w:noWrap w:val="0"/>
                  <w:vAlign w:val="center"/>
                </w:tcPr>
                <w:p w14:paraId="3FD84D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7</w:t>
                  </w:r>
                </w:p>
              </w:tc>
              <w:tc>
                <w:tcPr>
                  <w:tcW w:w="2000" w:type="dxa"/>
                  <w:tcBorders>
                    <w:tl2br w:val="nil"/>
                    <w:tr2bl w:val="nil"/>
                  </w:tcBorders>
                  <w:noWrap w:val="0"/>
                  <w:vAlign w:val="center"/>
                </w:tcPr>
                <w:p w14:paraId="2BCAC3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破碎机</w:t>
                  </w:r>
                </w:p>
              </w:tc>
              <w:tc>
                <w:tcPr>
                  <w:tcW w:w="1443" w:type="dxa"/>
                  <w:tcBorders>
                    <w:tl2br w:val="nil"/>
                    <w:tr2bl w:val="nil"/>
                  </w:tcBorders>
                  <w:noWrap w:val="0"/>
                  <w:vAlign w:val="center"/>
                </w:tcPr>
                <w:p w14:paraId="178717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0" w:type="dxa"/>
                  <w:tcBorders>
                    <w:tl2br w:val="nil"/>
                    <w:tr2bl w:val="nil"/>
                  </w:tcBorders>
                  <w:noWrap w:val="0"/>
                  <w:vAlign w:val="center"/>
                </w:tcPr>
                <w:p w14:paraId="6D756E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c>
                <w:tcPr>
                  <w:tcW w:w="1516" w:type="dxa"/>
                  <w:tcBorders>
                    <w:tl2br w:val="nil"/>
                    <w:tr2bl w:val="nil"/>
                  </w:tcBorders>
                  <w:noWrap w:val="0"/>
                  <w:vAlign w:val="center"/>
                </w:tcPr>
                <w:p w14:paraId="765180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632" w:type="dxa"/>
                  <w:tcBorders>
                    <w:tl2br w:val="nil"/>
                    <w:tr2bl w:val="nil"/>
                  </w:tcBorders>
                  <w:noWrap w:val="0"/>
                  <w:vAlign w:val="center"/>
                </w:tcPr>
                <w:p w14:paraId="3C7A87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加工塑料下脚料</w:t>
                  </w:r>
                </w:p>
              </w:tc>
            </w:tr>
            <w:tr w14:paraId="5ECC4C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656" w:type="dxa"/>
                  <w:tcBorders>
                    <w:tl2br w:val="nil"/>
                    <w:tr2bl w:val="nil"/>
                  </w:tcBorders>
                  <w:noWrap w:val="0"/>
                  <w:vAlign w:val="center"/>
                </w:tcPr>
                <w:p w14:paraId="4F40AF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2000" w:type="dxa"/>
                  <w:tcBorders>
                    <w:tl2br w:val="nil"/>
                    <w:tr2bl w:val="nil"/>
                  </w:tcBorders>
                  <w:noWrap w:val="0"/>
                  <w:vAlign w:val="center"/>
                </w:tcPr>
                <w:p w14:paraId="0C50EC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二级活性炭吸附装置</w:t>
                  </w:r>
                  <w:r>
                    <w:rPr>
                      <w:rFonts w:hint="eastAsia" w:cs="Times New Roman"/>
                      <w:color w:val="auto"/>
                      <w:sz w:val="21"/>
                      <w:szCs w:val="21"/>
                      <w:highlight w:val="none"/>
                      <w:lang w:val="en-US" w:eastAsia="zh-CN"/>
                    </w:rPr>
                    <w:t>+15m排气筒</w:t>
                  </w:r>
                </w:p>
              </w:tc>
              <w:tc>
                <w:tcPr>
                  <w:tcW w:w="1443" w:type="dxa"/>
                  <w:tcBorders>
                    <w:tl2br w:val="nil"/>
                    <w:tr2bl w:val="nil"/>
                  </w:tcBorders>
                  <w:shd w:val="clear" w:color="auto" w:fill="auto"/>
                  <w:noWrap w:val="0"/>
                  <w:vAlign w:val="center"/>
                </w:tcPr>
                <w:p w14:paraId="5AEB5A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风机风量6500m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/h</w:t>
                  </w:r>
                </w:p>
              </w:tc>
              <w:tc>
                <w:tcPr>
                  <w:tcW w:w="870" w:type="dxa"/>
                  <w:tcBorders>
                    <w:tl2br w:val="nil"/>
                    <w:tr2bl w:val="nil"/>
                  </w:tcBorders>
                  <w:shd w:val="clear" w:color="auto" w:fill="auto"/>
                  <w:noWrap w:val="0"/>
                  <w:vAlign w:val="center"/>
                </w:tcPr>
                <w:p w14:paraId="13C22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套</w:t>
                  </w:r>
                </w:p>
              </w:tc>
              <w:tc>
                <w:tcPr>
                  <w:tcW w:w="1516" w:type="dxa"/>
                  <w:tcBorders>
                    <w:tl2br w:val="nil"/>
                    <w:tr2bl w:val="nil"/>
                  </w:tcBorders>
                  <w:noWrap w:val="0"/>
                  <w:vAlign w:val="center"/>
                </w:tcPr>
                <w:p w14:paraId="05230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632" w:type="dxa"/>
                  <w:tcBorders>
                    <w:tl2br w:val="nil"/>
                    <w:tr2bl w:val="nil"/>
                  </w:tcBorders>
                  <w:noWrap w:val="0"/>
                  <w:vAlign w:val="center"/>
                </w:tcPr>
                <w:p w14:paraId="7F18BA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579DF1AE">
            <w:pPr>
              <w:pStyle w:val="15"/>
              <w:spacing w:before="0"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本项目生产设备型号不在国家发展改革委公布的《</w:t>
            </w:r>
            <w:r>
              <w:rPr>
                <w:rFonts w:hint="eastAsia" w:ascii="Times New Roman" w:hAnsi="Times New Roman" w:cs="Times New Roman"/>
                <w:color w:val="auto"/>
                <w:kern w:val="2"/>
                <w:sz w:val="24"/>
                <w:szCs w:val="24"/>
                <w:highlight w:val="none"/>
                <w:lang w:val="en-US" w:eastAsia="zh-CN" w:bidi="ar-SA"/>
              </w:rPr>
              <w:t>产业结构调整指导目录（2024年本）</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中</w:t>
            </w:r>
            <w:r>
              <w:rPr>
                <w:rFonts w:hint="default" w:ascii="Times New Roman" w:hAnsi="Times New Roman" w:eastAsia="宋体" w:cs="Times New Roman"/>
                <w:color w:val="auto"/>
                <w:kern w:val="2"/>
                <w:sz w:val="24"/>
                <w:szCs w:val="24"/>
                <w:highlight w:val="none"/>
                <w:lang w:val="en-US" w:eastAsia="zh-CN" w:bidi="ar-SA"/>
              </w:rPr>
              <w:t>限制及淘汰类设备范围内。</w:t>
            </w:r>
          </w:p>
          <w:p w14:paraId="636D509A">
            <w:pPr>
              <w:pStyle w:val="15"/>
              <w:keepNext w:val="0"/>
              <w:keepLines w:val="0"/>
              <w:pageBreakBefore w:val="0"/>
              <w:widowControl w:val="0"/>
              <w:kinsoku/>
              <w:wordWrap/>
              <w:overflowPunct/>
              <w:topLinePunct w:val="0"/>
              <w:autoSpaceDE/>
              <w:autoSpaceDN/>
              <w:bidi w:val="0"/>
              <w:adjustRightInd w:val="0"/>
              <w:snapToGrid w:val="0"/>
              <w:spacing w:before="0"/>
              <w:ind w:left="0"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、主要原辅材料及燃料信息</w:t>
            </w:r>
            <w:r>
              <w:rPr>
                <w:rFonts w:hint="eastAsia" w:ascii="Times New Roman" w:hAnsi="Times New Roman" w:cs="Times New Roman"/>
                <w:b/>
                <w:bCs/>
                <w:color w:val="auto"/>
                <w:sz w:val="24"/>
                <w:szCs w:val="24"/>
                <w:highlight w:val="none"/>
                <w:lang w:val="en-US" w:eastAsia="zh-CN"/>
              </w:rPr>
              <w:t xml:space="preserve"> </w:t>
            </w:r>
          </w:p>
          <w:p w14:paraId="69B762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项目主要原辅材料消耗情况见表</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01587A1C">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contextualSpacing/>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本</w:t>
            </w:r>
            <w:r>
              <w:rPr>
                <w:rFonts w:hint="default" w:ascii="Times New Roman" w:hAnsi="Times New Roman" w:eastAsia="宋体" w:cs="Times New Roman"/>
                <w:b/>
                <w:bCs/>
                <w:color w:val="auto"/>
                <w:sz w:val="24"/>
                <w:szCs w:val="24"/>
                <w:highlight w:val="none"/>
                <w:lang w:val="en-US" w:eastAsia="zh-CN"/>
              </w:rPr>
              <w:t>项目主要原辅材料消耗情况一览表</w:t>
            </w:r>
          </w:p>
          <w:tbl>
            <w:tblPr>
              <w:tblStyle w:val="37"/>
              <w:tblW w:w="819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4"/>
              <w:gridCol w:w="1598"/>
              <w:gridCol w:w="1646"/>
              <w:gridCol w:w="1793"/>
              <w:gridCol w:w="2215"/>
            </w:tblGrid>
            <w:tr w14:paraId="3BFAB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944" w:type="dxa"/>
                  <w:tcBorders>
                    <w:tl2br w:val="nil"/>
                    <w:tr2bl w:val="nil"/>
                  </w:tcBorders>
                  <w:noWrap w:val="0"/>
                  <w:vAlign w:val="center"/>
                </w:tcPr>
                <w:p w14:paraId="2E15A641">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序号</w:t>
                  </w:r>
                </w:p>
              </w:tc>
              <w:tc>
                <w:tcPr>
                  <w:tcW w:w="1598" w:type="dxa"/>
                  <w:tcBorders>
                    <w:tl2br w:val="nil"/>
                    <w:tr2bl w:val="nil"/>
                  </w:tcBorders>
                  <w:noWrap w:val="0"/>
                  <w:vAlign w:val="center"/>
                </w:tcPr>
                <w:p w14:paraId="41C31741">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原辅料</w:t>
                  </w:r>
                  <w:r>
                    <w:rPr>
                      <w:rFonts w:hint="eastAsia" w:cs="Times New Roman"/>
                      <w:b/>
                      <w:bCs/>
                      <w:color w:val="auto"/>
                      <w:sz w:val="21"/>
                      <w:szCs w:val="21"/>
                      <w:highlight w:val="none"/>
                      <w:lang w:val="en-US" w:eastAsia="zh-CN"/>
                    </w:rPr>
                    <w:t>名称</w:t>
                  </w:r>
                </w:p>
              </w:tc>
              <w:tc>
                <w:tcPr>
                  <w:tcW w:w="1646" w:type="dxa"/>
                  <w:tcBorders>
                    <w:tl2br w:val="nil"/>
                    <w:tr2bl w:val="nil"/>
                  </w:tcBorders>
                  <w:noWrap w:val="0"/>
                  <w:vAlign w:val="center"/>
                </w:tcPr>
                <w:p w14:paraId="19848F5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val="en-US" w:eastAsia="zh-CN"/>
                    </w:rPr>
                    <w:t>单位</w:t>
                  </w:r>
                </w:p>
              </w:tc>
              <w:tc>
                <w:tcPr>
                  <w:tcW w:w="1793" w:type="dxa"/>
                  <w:tcBorders>
                    <w:tl2br w:val="nil"/>
                    <w:tr2bl w:val="nil"/>
                  </w:tcBorders>
                  <w:noWrap w:val="0"/>
                  <w:vAlign w:val="center"/>
                </w:tcPr>
                <w:p w14:paraId="4AD4E7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本项目数量</w:t>
                  </w:r>
                </w:p>
              </w:tc>
              <w:tc>
                <w:tcPr>
                  <w:tcW w:w="2215" w:type="dxa"/>
                  <w:tcBorders>
                    <w:tl2br w:val="nil"/>
                    <w:tr2bl w:val="nil"/>
                  </w:tcBorders>
                  <w:noWrap w:val="0"/>
                  <w:vAlign w:val="center"/>
                </w:tcPr>
                <w:p w14:paraId="4257D852">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备注</w:t>
                  </w:r>
                </w:p>
              </w:tc>
            </w:tr>
            <w:tr w14:paraId="52BD55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4" w:type="dxa"/>
                  <w:tcBorders>
                    <w:tl2br w:val="nil"/>
                    <w:tr2bl w:val="nil"/>
                  </w:tcBorders>
                  <w:noWrap w:val="0"/>
                  <w:vAlign w:val="center"/>
                </w:tcPr>
                <w:p w14:paraId="22993D7C">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一</w:t>
                  </w:r>
                </w:p>
              </w:tc>
              <w:tc>
                <w:tcPr>
                  <w:tcW w:w="7252" w:type="dxa"/>
                  <w:gridSpan w:val="4"/>
                  <w:tcBorders>
                    <w:tl2br w:val="nil"/>
                    <w:tr2bl w:val="nil"/>
                  </w:tcBorders>
                  <w:noWrap w:val="0"/>
                  <w:vAlign w:val="center"/>
                </w:tcPr>
                <w:p w14:paraId="3EF66128">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主要原辅材料</w:t>
                  </w:r>
                </w:p>
              </w:tc>
            </w:tr>
            <w:tr w14:paraId="003F62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4" w:type="dxa"/>
                  <w:tcBorders>
                    <w:tl2br w:val="nil"/>
                    <w:tr2bl w:val="nil"/>
                  </w:tcBorders>
                  <w:noWrap w:val="0"/>
                  <w:vAlign w:val="center"/>
                </w:tcPr>
                <w:p w14:paraId="2788A7D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598" w:type="dxa"/>
                  <w:tcBorders>
                    <w:tl2br w:val="nil"/>
                    <w:tr2bl w:val="nil"/>
                  </w:tcBorders>
                  <w:shd w:val="clear" w:color="auto" w:fill="auto"/>
                  <w:noWrap w:val="0"/>
                  <w:vAlign w:val="center"/>
                </w:tcPr>
                <w:p w14:paraId="1647C8EF">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PE塑料颗粒</w:t>
                  </w:r>
                </w:p>
              </w:tc>
              <w:tc>
                <w:tcPr>
                  <w:tcW w:w="1646" w:type="dxa"/>
                  <w:tcBorders>
                    <w:tl2br w:val="nil"/>
                    <w:tr2bl w:val="nil"/>
                  </w:tcBorders>
                  <w:shd w:val="clear" w:color="auto" w:fill="auto"/>
                  <w:noWrap w:val="0"/>
                  <w:vAlign w:val="center"/>
                </w:tcPr>
                <w:p w14:paraId="78402239">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Cs w:val="21"/>
                      <w:highlight w:val="none"/>
                      <w:lang w:val="en-US" w:eastAsia="zh-CN"/>
                    </w:rPr>
                    <w:t>t/a</w:t>
                  </w:r>
                </w:p>
              </w:tc>
              <w:tc>
                <w:tcPr>
                  <w:tcW w:w="1793" w:type="dxa"/>
                  <w:tcBorders>
                    <w:tl2br w:val="nil"/>
                    <w:tr2bl w:val="nil"/>
                  </w:tcBorders>
                  <w:shd w:val="clear" w:color="auto" w:fill="auto"/>
                  <w:noWrap w:val="0"/>
                  <w:vAlign w:val="center"/>
                </w:tcPr>
                <w:p w14:paraId="0B8296A0">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Cs w:val="21"/>
                      <w:highlight w:val="none"/>
                      <w:lang w:val="en-US" w:eastAsia="zh-CN"/>
                    </w:rPr>
                    <w:t>1</w:t>
                  </w:r>
                  <w:r>
                    <w:rPr>
                      <w:rFonts w:hint="eastAsia" w:cs="Times New Roman"/>
                      <w:color w:val="FF0000"/>
                      <w:szCs w:val="21"/>
                      <w:highlight w:val="none"/>
                      <w:lang w:val="en-US" w:eastAsia="zh-CN"/>
                    </w:rPr>
                    <w:t>00</w:t>
                  </w:r>
                </w:p>
              </w:tc>
              <w:tc>
                <w:tcPr>
                  <w:tcW w:w="2215" w:type="dxa"/>
                  <w:tcBorders>
                    <w:tl2br w:val="nil"/>
                    <w:tr2bl w:val="nil"/>
                  </w:tcBorders>
                  <w:shd w:val="clear" w:color="auto" w:fill="auto"/>
                  <w:noWrap w:val="0"/>
                  <w:vAlign w:val="center"/>
                </w:tcPr>
                <w:p w14:paraId="28898B8C">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外购，袋装，厂区存量为10t</w:t>
                  </w:r>
                  <w:r>
                    <w:rPr>
                      <w:rFonts w:hint="eastAsia" w:cs="Times New Roman"/>
                      <w:color w:val="auto"/>
                      <w:szCs w:val="21"/>
                      <w:highlight w:val="none"/>
                      <w:lang w:val="en-US" w:eastAsia="zh-CN"/>
                    </w:rPr>
                    <w:t>，</w:t>
                  </w:r>
                  <w:r>
                    <w:rPr>
                      <w:rFonts w:hint="eastAsia"/>
                      <w:color w:val="auto"/>
                      <w:lang w:val="en-US" w:eastAsia="zh-CN"/>
                    </w:rPr>
                    <w:t>不属于再生颗粒</w:t>
                  </w:r>
                </w:p>
              </w:tc>
            </w:tr>
            <w:tr w14:paraId="374B22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4" w:type="dxa"/>
                  <w:tcBorders>
                    <w:tl2br w:val="nil"/>
                    <w:tr2bl w:val="nil"/>
                  </w:tcBorders>
                  <w:noWrap w:val="0"/>
                  <w:vAlign w:val="center"/>
                </w:tcPr>
                <w:p w14:paraId="47F711DA">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598" w:type="dxa"/>
                  <w:tcBorders>
                    <w:tl2br w:val="nil"/>
                    <w:tr2bl w:val="nil"/>
                  </w:tcBorders>
                  <w:shd w:val="clear" w:color="auto" w:fill="auto"/>
                  <w:noWrap w:val="0"/>
                  <w:vAlign w:val="center"/>
                </w:tcPr>
                <w:p w14:paraId="5AB4BFF3">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w:t>
                  </w:r>
                  <w:r>
                    <w:rPr>
                      <w:rFonts w:hint="eastAsia" w:cs="Times New Roman"/>
                      <w:color w:val="auto"/>
                      <w:szCs w:val="21"/>
                      <w:highlight w:val="none"/>
                      <w:lang w:val="en-US" w:eastAsia="zh-CN"/>
                    </w:rPr>
                    <w:t>P</w:t>
                  </w:r>
                  <w:r>
                    <w:rPr>
                      <w:rFonts w:hint="eastAsia" w:ascii="Times New Roman" w:hAnsi="Times New Roman" w:eastAsia="宋体" w:cs="Times New Roman"/>
                      <w:color w:val="auto"/>
                      <w:szCs w:val="21"/>
                      <w:highlight w:val="none"/>
                      <w:lang w:val="en-US" w:eastAsia="zh-CN"/>
                    </w:rPr>
                    <w:t>塑料颗粒</w:t>
                  </w:r>
                </w:p>
              </w:tc>
              <w:tc>
                <w:tcPr>
                  <w:tcW w:w="1646" w:type="dxa"/>
                  <w:tcBorders>
                    <w:tl2br w:val="nil"/>
                    <w:tr2bl w:val="nil"/>
                  </w:tcBorders>
                  <w:shd w:val="clear" w:color="auto" w:fill="auto"/>
                  <w:noWrap w:val="0"/>
                  <w:vAlign w:val="center"/>
                </w:tcPr>
                <w:p w14:paraId="5815358F">
                  <w:pPr>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t/a</w:t>
                  </w:r>
                </w:p>
              </w:tc>
              <w:tc>
                <w:tcPr>
                  <w:tcW w:w="1793" w:type="dxa"/>
                  <w:tcBorders>
                    <w:tl2br w:val="nil"/>
                    <w:tr2bl w:val="nil"/>
                  </w:tcBorders>
                  <w:shd w:val="clear" w:color="auto" w:fill="auto"/>
                  <w:noWrap w:val="0"/>
                  <w:vAlign w:val="center"/>
                </w:tcPr>
                <w:p w14:paraId="55D20CF5">
                  <w:pPr>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20</w:t>
                  </w:r>
                </w:p>
              </w:tc>
              <w:tc>
                <w:tcPr>
                  <w:tcW w:w="2215" w:type="dxa"/>
                  <w:tcBorders>
                    <w:tl2br w:val="nil"/>
                    <w:tr2bl w:val="nil"/>
                  </w:tcBorders>
                  <w:shd w:val="clear" w:color="auto" w:fill="auto"/>
                  <w:noWrap w:val="0"/>
                  <w:vAlign w:val="center"/>
                </w:tcPr>
                <w:p w14:paraId="15C6C161">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外购，袋装，厂区存量为</w:t>
                  </w:r>
                  <w:r>
                    <w:rPr>
                      <w:rFonts w:hint="eastAsia" w:cs="Times New Roman"/>
                      <w:color w:val="auto"/>
                      <w:szCs w:val="21"/>
                      <w:highlight w:val="none"/>
                      <w:lang w:val="en-US" w:eastAsia="zh-CN"/>
                    </w:rPr>
                    <w:t>2</w:t>
                  </w:r>
                  <w:r>
                    <w:rPr>
                      <w:rFonts w:hint="eastAsia" w:ascii="Times New Roman" w:hAnsi="Times New Roman" w:eastAsia="宋体" w:cs="Times New Roman"/>
                      <w:color w:val="auto"/>
                      <w:szCs w:val="21"/>
                      <w:highlight w:val="none"/>
                      <w:lang w:val="en-US" w:eastAsia="zh-CN"/>
                    </w:rPr>
                    <w:t>t</w:t>
                  </w:r>
                  <w:r>
                    <w:rPr>
                      <w:rFonts w:hint="eastAsia" w:cs="Times New Roman"/>
                      <w:color w:val="auto"/>
                      <w:szCs w:val="21"/>
                      <w:highlight w:val="none"/>
                      <w:lang w:val="en-US" w:eastAsia="zh-CN"/>
                    </w:rPr>
                    <w:t>，</w:t>
                  </w:r>
                  <w:r>
                    <w:rPr>
                      <w:rFonts w:hint="eastAsia" w:ascii="Times New Roman" w:eastAsia="宋体"/>
                      <w:color w:val="auto"/>
                      <w:lang w:val="en-US" w:eastAsia="zh-CN"/>
                    </w:rPr>
                    <w:t>不属于再生颗粒</w:t>
                  </w:r>
                </w:p>
              </w:tc>
            </w:tr>
            <w:tr w14:paraId="364E4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4" w:type="dxa"/>
                  <w:tcBorders>
                    <w:tl2br w:val="nil"/>
                    <w:tr2bl w:val="nil"/>
                  </w:tcBorders>
                  <w:shd w:val="clear" w:color="auto" w:fill="auto"/>
                  <w:noWrap w:val="0"/>
                  <w:vAlign w:val="center"/>
                </w:tcPr>
                <w:p w14:paraId="525C3E6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w:t>
                  </w:r>
                </w:p>
              </w:tc>
              <w:tc>
                <w:tcPr>
                  <w:tcW w:w="1598" w:type="dxa"/>
                  <w:tcBorders>
                    <w:tl2br w:val="nil"/>
                    <w:tr2bl w:val="nil"/>
                  </w:tcBorders>
                  <w:shd w:val="clear" w:color="auto" w:fill="auto"/>
                  <w:noWrap w:val="0"/>
                  <w:vAlign w:val="center"/>
                </w:tcPr>
                <w:p w14:paraId="0E6735C8">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色母颗粒</w:t>
                  </w:r>
                </w:p>
              </w:tc>
              <w:tc>
                <w:tcPr>
                  <w:tcW w:w="1646" w:type="dxa"/>
                  <w:tcBorders>
                    <w:tl2br w:val="nil"/>
                    <w:tr2bl w:val="nil"/>
                  </w:tcBorders>
                  <w:shd w:val="clear" w:color="auto" w:fill="auto"/>
                  <w:noWrap w:val="0"/>
                  <w:vAlign w:val="center"/>
                </w:tcPr>
                <w:p w14:paraId="5420C80A">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Cs w:val="21"/>
                      <w:highlight w:val="none"/>
                      <w:lang w:val="en-US" w:eastAsia="zh-CN"/>
                    </w:rPr>
                    <w:t>t/a</w:t>
                  </w:r>
                </w:p>
              </w:tc>
              <w:tc>
                <w:tcPr>
                  <w:tcW w:w="1793" w:type="dxa"/>
                  <w:tcBorders>
                    <w:tl2br w:val="nil"/>
                    <w:tr2bl w:val="nil"/>
                  </w:tcBorders>
                  <w:shd w:val="clear" w:color="auto" w:fill="auto"/>
                  <w:noWrap w:val="0"/>
                  <w:vAlign w:val="center"/>
                </w:tcPr>
                <w:p w14:paraId="318560C2">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Cs w:val="21"/>
                      <w:highlight w:val="none"/>
                      <w:lang w:val="en-US" w:eastAsia="zh-CN"/>
                    </w:rPr>
                    <w:t>2.4</w:t>
                  </w:r>
                </w:p>
              </w:tc>
              <w:tc>
                <w:tcPr>
                  <w:tcW w:w="2215" w:type="dxa"/>
                  <w:tcBorders>
                    <w:tl2br w:val="nil"/>
                    <w:tr2bl w:val="nil"/>
                  </w:tcBorders>
                  <w:shd w:val="clear" w:color="auto" w:fill="auto"/>
                  <w:noWrap w:val="0"/>
                  <w:vAlign w:val="center"/>
                </w:tcPr>
                <w:p w14:paraId="26280000">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外购，袋装，厂区存量为0.2t</w:t>
                  </w:r>
                </w:p>
              </w:tc>
            </w:tr>
            <w:tr w14:paraId="4FC0E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944" w:type="dxa"/>
                  <w:tcBorders>
                    <w:tl2br w:val="nil"/>
                    <w:tr2bl w:val="nil"/>
                  </w:tcBorders>
                  <w:noWrap w:val="0"/>
                  <w:vAlign w:val="center"/>
                </w:tcPr>
                <w:p w14:paraId="251343FA">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598" w:type="dxa"/>
                  <w:tcBorders>
                    <w:tl2br w:val="nil"/>
                    <w:tr2bl w:val="nil"/>
                  </w:tcBorders>
                  <w:noWrap w:val="0"/>
                  <w:vAlign w:val="center"/>
                </w:tcPr>
                <w:p w14:paraId="57FC55FB">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 w:val="21"/>
                      <w:szCs w:val="21"/>
                      <w:highlight w:val="none"/>
                      <w:lang w:val="en-US" w:eastAsia="zh-CN"/>
                    </w:rPr>
                    <w:t>矿物油</w:t>
                  </w:r>
                </w:p>
              </w:tc>
              <w:tc>
                <w:tcPr>
                  <w:tcW w:w="1646" w:type="dxa"/>
                  <w:tcBorders>
                    <w:tl2br w:val="nil"/>
                    <w:tr2bl w:val="nil"/>
                  </w:tcBorders>
                  <w:noWrap w:val="0"/>
                  <w:vAlign w:val="center"/>
                </w:tcPr>
                <w:p w14:paraId="659C554D">
                  <w:pPr>
                    <w:jc w:val="center"/>
                    <w:rPr>
                      <w:rFonts w:hint="eastAsia"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t/a</w:t>
                  </w:r>
                </w:p>
              </w:tc>
              <w:tc>
                <w:tcPr>
                  <w:tcW w:w="1793" w:type="dxa"/>
                  <w:tcBorders>
                    <w:tl2br w:val="nil"/>
                    <w:tr2bl w:val="nil"/>
                  </w:tcBorders>
                  <w:noWrap w:val="0"/>
                  <w:vAlign w:val="center"/>
                </w:tcPr>
                <w:p w14:paraId="2196AC02">
                  <w:pPr>
                    <w:jc w:val="center"/>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0.2</w:t>
                  </w:r>
                </w:p>
              </w:tc>
              <w:tc>
                <w:tcPr>
                  <w:tcW w:w="2215" w:type="dxa"/>
                  <w:tcBorders>
                    <w:tl2br w:val="nil"/>
                    <w:tr2bl w:val="nil"/>
                  </w:tcBorders>
                  <w:noWrap w:val="0"/>
                  <w:vAlign w:val="center"/>
                </w:tcPr>
                <w:p w14:paraId="09C7000F">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外购，桶装，200kg/桶，厂区存量为0.2t</w:t>
                  </w:r>
                </w:p>
              </w:tc>
            </w:tr>
            <w:tr w14:paraId="45E83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44" w:type="dxa"/>
                  <w:tcBorders>
                    <w:tl2br w:val="nil"/>
                    <w:tr2bl w:val="nil"/>
                  </w:tcBorders>
                  <w:noWrap w:val="0"/>
                  <w:vAlign w:val="center"/>
                </w:tcPr>
                <w:p w14:paraId="3266A36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二</w:t>
                  </w:r>
                </w:p>
              </w:tc>
              <w:tc>
                <w:tcPr>
                  <w:tcW w:w="7252" w:type="dxa"/>
                  <w:gridSpan w:val="4"/>
                  <w:tcBorders>
                    <w:tl2br w:val="nil"/>
                    <w:tr2bl w:val="nil"/>
                  </w:tcBorders>
                  <w:noWrap w:val="0"/>
                  <w:vAlign w:val="center"/>
                </w:tcPr>
                <w:p w14:paraId="1B1D4CF9">
                  <w:pPr>
                    <w:widowControl/>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能源消耗</w:t>
                  </w:r>
                </w:p>
              </w:tc>
            </w:tr>
            <w:tr w14:paraId="01F50E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944" w:type="dxa"/>
                  <w:tcBorders>
                    <w:tl2br w:val="nil"/>
                    <w:tr2bl w:val="nil"/>
                  </w:tcBorders>
                  <w:noWrap w:val="0"/>
                  <w:vAlign w:val="center"/>
                </w:tcPr>
                <w:p w14:paraId="654C460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w:t>
                  </w:r>
                </w:p>
              </w:tc>
              <w:tc>
                <w:tcPr>
                  <w:tcW w:w="1598" w:type="dxa"/>
                  <w:tcBorders>
                    <w:tl2br w:val="nil"/>
                    <w:tr2bl w:val="nil"/>
                  </w:tcBorders>
                  <w:noWrap w:val="0"/>
                  <w:vAlign w:val="center"/>
                </w:tcPr>
                <w:p w14:paraId="19B3EDB8">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w:t>
                  </w:r>
                </w:p>
              </w:tc>
              <w:tc>
                <w:tcPr>
                  <w:tcW w:w="1646" w:type="dxa"/>
                  <w:tcBorders>
                    <w:tl2br w:val="nil"/>
                    <w:tr2bl w:val="nil"/>
                  </w:tcBorders>
                  <w:noWrap w:val="0"/>
                  <w:vAlign w:val="center"/>
                </w:tcPr>
                <w:p w14:paraId="2A89F60C">
                  <w:pPr>
                    <w:jc w:val="center"/>
                    <w:rPr>
                      <w:rFonts w:hint="eastAsia"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/a</w:t>
                  </w:r>
                </w:p>
              </w:tc>
              <w:tc>
                <w:tcPr>
                  <w:tcW w:w="1793" w:type="dxa"/>
                  <w:tcBorders>
                    <w:tl2br w:val="nil"/>
                    <w:tr2bl w:val="nil"/>
                  </w:tcBorders>
                  <w:noWrap w:val="0"/>
                  <w:vAlign w:val="center"/>
                </w:tcPr>
                <w:p w14:paraId="01228D88">
                  <w:pPr>
                    <w:widowControl/>
                    <w:jc w:val="center"/>
                    <w:rPr>
                      <w:rFonts w:hint="default" w:eastAsia="宋体" w:cs="Times New Roman"/>
                      <w:color w:val="auto"/>
                      <w:sz w:val="21"/>
                      <w:szCs w:val="21"/>
                      <w:highlight w:val="none"/>
                      <w:lang w:val="en-US" w:eastAsia="zh-CN"/>
                    </w:rPr>
                  </w:pPr>
                  <w:r>
                    <w:rPr>
                      <w:rFonts w:hint="eastAsia"/>
                      <w:color w:val="auto"/>
                      <w:lang w:val="en-US" w:eastAsia="zh-CN"/>
                    </w:rPr>
                    <w:t>222</w:t>
                  </w:r>
                </w:p>
              </w:tc>
              <w:tc>
                <w:tcPr>
                  <w:tcW w:w="2215" w:type="dxa"/>
                  <w:tcBorders>
                    <w:tl2br w:val="nil"/>
                    <w:tr2bl w:val="nil"/>
                  </w:tcBorders>
                  <w:noWrap w:val="0"/>
                  <w:vAlign w:val="center"/>
                </w:tcPr>
                <w:p w14:paraId="33C1503D">
                  <w:pPr>
                    <w:jc w:val="center"/>
                    <w:rPr>
                      <w:rFonts w:hint="eastAsia" w:cs="Times New Roman"/>
                      <w:color w:val="auto"/>
                      <w:sz w:val="21"/>
                      <w:szCs w:val="21"/>
                      <w:highlight w:val="none"/>
                      <w:lang w:val="en-US" w:eastAsia="zh-CN"/>
                    </w:rPr>
                  </w:pPr>
                  <w:r>
                    <w:rPr>
                      <w:rFonts w:hint="default" w:ascii="Times New Roman" w:hAnsi="Times New Roman" w:cs="Times New Roman"/>
                      <w:color w:val="auto"/>
                      <w:szCs w:val="21"/>
                      <w:highlight w:val="none"/>
                    </w:rPr>
                    <w:t>由</w:t>
                  </w:r>
                  <w:r>
                    <w:rPr>
                      <w:rFonts w:hint="default" w:ascii="Times New Roman" w:hAnsi="Times New Roman" w:cs="Times New Roman"/>
                      <w:color w:val="auto"/>
                      <w:sz w:val="21"/>
                      <w:szCs w:val="21"/>
                      <w:highlight w:val="none"/>
                      <w:lang w:val="en-US" w:eastAsia="zh-CN"/>
                    </w:rPr>
                    <w:t>市政</w:t>
                  </w:r>
                  <w:r>
                    <w:rPr>
                      <w:rFonts w:hint="default" w:ascii="Times New Roman" w:hAnsi="Times New Roman" w:cs="Times New Roman"/>
                      <w:color w:val="auto"/>
                      <w:sz w:val="21"/>
                      <w:szCs w:val="21"/>
                      <w:highlight w:val="none"/>
                    </w:rPr>
                    <w:t>管网提供</w:t>
                  </w:r>
                </w:p>
              </w:tc>
            </w:tr>
            <w:tr w14:paraId="4611F0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944" w:type="dxa"/>
                  <w:tcBorders>
                    <w:tl2br w:val="nil"/>
                    <w:tr2bl w:val="nil"/>
                  </w:tcBorders>
                  <w:noWrap w:val="0"/>
                  <w:vAlign w:val="center"/>
                </w:tcPr>
                <w:p w14:paraId="1BD411D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p>
              </w:tc>
              <w:tc>
                <w:tcPr>
                  <w:tcW w:w="1598" w:type="dxa"/>
                  <w:tcBorders>
                    <w:tl2br w:val="nil"/>
                    <w:tr2bl w:val="nil"/>
                  </w:tcBorders>
                  <w:noWrap w:val="0"/>
                  <w:vAlign w:val="center"/>
                </w:tcPr>
                <w:p w14:paraId="4FF40D34">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电</w:t>
                  </w:r>
                </w:p>
              </w:tc>
              <w:tc>
                <w:tcPr>
                  <w:tcW w:w="1646" w:type="dxa"/>
                  <w:tcBorders>
                    <w:tl2br w:val="nil"/>
                    <w:tr2bl w:val="nil"/>
                  </w:tcBorders>
                  <w:noWrap w:val="0"/>
                  <w:vAlign w:val="center"/>
                </w:tcPr>
                <w:p w14:paraId="67F7355C">
                  <w:pPr>
                    <w:jc w:val="center"/>
                    <w:rPr>
                      <w:rFonts w:hint="eastAsia"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kW•h/a</w:t>
                  </w:r>
                </w:p>
              </w:tc>
              <w:tc>
                <w:tcPr>
                  <w:tcW w:w="1793" w:type="dxa"/>
                  <w:tcBorders>
                    <w:tl2br w:val="nil"/>
                    <w:tr2bl w:val="nil"/>
                  </w:tcBorders>
                  <w:noWrap w:val="0"/>
                  <w:vAlign w:val="center"/>
                </w:tcPr>
                <w:p w14:paraId="40C2DEE9">
                  <w:pPr>
                    <w:widowControl/>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15万</w:t>
                  </w:r>
                </w:p>
              </w:tc>
              <w:tc>
                <w:tcPr>
                  <w:tcW w:w="2215" w:type="dxa"/>
                  <w:tcBorders>
                    <w:tl2br w:val="nil"/>
                    <w:tr2bl w:val="nil"/>
                  </w:tcBorders>
                  <w:noWrap w:val="0"/>
                  <w:vAlign w:val="center"/>
                </w:tcPr>
                <w:p w14:paraId="6C1FDFBB">
                  <w:pPr>
                    <w:jc w:val="center"/>
                    <w:rPr>
                      <w:rFonts w:hint="eastAsia" w:cs="Times New Roman"/>
                      <w:color w:val="auto"/>
                      <w:sz w:val="21"/>
                      <w:szCs w:val="21"/>
                      <w:highlight w:val="none"/>
                      <w:lang w:val="en-US" w:eastAsia="zh-CN"/>
                    </w:rPr>
                  </w:pPr>
                  <w:r>
                    <w:rPr>
                      <w:rFonts w:hint="default" w:ascii="Times New Roman" w:hAnsi="Times New Roman" w:cs="Times New Roman"/>
                      <w:color w:val="auto"/>
                      <w:szCs w:val="21"/>
                      <w:highlight w:val="none"/>
                    </w:rPr>
                    <w:t>由附近电网接入</w:t>
                  </w:r>
                </w:p>
              </w:tc>
            </w:tr>
          </w:tbl>
          <w:p w14:paraId="2BB8605B">
            <w:pPr>
              <w:pStyle w:val="149"/>
              <w:spacing w:line="240" w:lineRule="auto"/>
              <w:ind w:left="0" w:leftChars="0" w:firstLine="0" w:firstLineChars="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项目</w:t>
            </w:r>
            <w:r>
              <w:rPr>
                <w:rFonts w:hint="default" w:ascii="Times New Roman" w:hAnsi="Times New Roman" w:eastAsia="宋体" w:cs="Times New Roman"/>
                <w:b/>
                <w:bCs/>
                <w:color w:val="auto"/>
                <w:sz w:val="24"/>
                <w:szCs w:val="24"/>
                <w:highlight w:val="none"/>
                <w:lang w:val="en-US" w:eastAsia="zh-CN"/>
              </w:rPr>
              <w:t>原辅材料理化性质表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61"/>
              <w:gridCol w:w="1141"/>
              <w:gridCol w:w="6571"/>
            </w:tblGrid>
            <w:tr w14:paraId="32BB5F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34" w:hRule="atLeast"/>
                <w:jc w:val="center"/>
              </w:trPr>
              <w:tc>
                <w:tcPr>
                  <w:tcW w:w="461" w:type="dxa"/>
                  <w:tcBorders>
                    <w:tl2br w:val="nil"/>
                    <w:tr2bl w:val="nil"/>
                  </w:tcBorders>
                  <w:noWrap w:val="0"/>
                  <w:vAlign w:val="center"/>
                </w:tcPr>
                <w:p w14:paraId="3A967EE7">
                  <w:pPr>
                    <w:jc w:val="center"/>
                    <w:rPr>
                      <w:rFonts w:hint="default" w:ascii="Times New Roman" w:hAnsi="Times New Roman" w:eastAsia="宋体" w:cs="Times New Roman"/>
                      <w:b/>
                      <w:bCs/>
                      <w:color w:val="auto"/>
                      <w:kern w:val="2"/>
                      <w:sz w:val="21"/>
                      <w:szCs w:val="21"/>
                      <w:highlight w:val="none"/>
                      <w:lang w:val="en-US" w:eastAsia="zh-CN" w:bidi="en-US"/>
                    </w:rPr>
                  </w:pPr>
                  <w:r>
                    <w:rPr>
                      <w:rFonts w:hint="default" w:ascii="Times New Roman" w:hAnsi="Times New Roman" w:eastAsia="宋体" w:cs="Times New Roman"/>
                      <w:b/>
                      <w:bCs/>
                      <w:color w:val="auto"/>
                      <w:sz w:val="21"/>
                      <w:szCs w:val="21"/>
                      <w:highlight w:val="none"/>
                      <w:lang w:bidi="en-US"/>
                    </w:rPr>
                    <w:t>序号</w:t>
                  </w:r>
                </w:p>
              </w:tc>
              <w:tc>
                <w:tcPr>
                  <w:tcW w:w="1141" w:type="dxa"/>
                  <w:tcBorders>
                    <w:tl2br w:val="nil"/>
                    <w:tr2bl w:val="nil"/>
                  </w:tcBorders>
                  <w:noWrap w:val="0"/>
                  <w:vAlign w:val="center"/>
                </w:tcPr>
                <w:p w14:paraId="6623D9F0">
                  <w:pPr>
                    <w:jc w:val="center"/>
                    <w:rPr>
                      <w:rFonts w:hint="default" w:ascii="Times New Roman" w:hAnsi="Times New Roman" w:eastAsia="宋体" w:cs="Times New Roman"/>
                      <w:b/>
                      <w:bCs/>
                      <w:color w:val="auto"/>
                      <w:kern w:val="2"/>
                      <w:sz w:val="21"/>
                      <w:szCs w:val="21"/>
                      <w:highlight w:val="none"/>
                      <w:lang w:val="en-US" w:eastAsia="zh-CN" w:bidi="en-US"/>
                    </w:rPr>
                  </w:pPr>
                  <w:r>
                    <w:rPr>
                      <w:rFonts w:hint="default" w:ascii="Times New Roman" w:hAnsi="Times New Roman" w:eastAsia="宋体" w:cs="Times New Roman"/>
                      <w:b/>
                      <w:bCs/>
                      <w:color w:val="auto"/>
                      <w:sz w:val="21"/>
                      <w:szCs w:val="21"/>
                      <w:highlight w:val="none"/>
                      <w:lang w:bidi="en-US"/>
                    </w:rPr>
                    <w:t>名称</w:t>
                  </w:r>
                </w:p>
              </w:tc>
              <w:tc>
                <w:tcPr>
                  <w:tcW w:w="6571" w:type="dxa"/>
                  <w:tcBorders>
                    <w:tl2br w:val="nil"/>
                    <w:tr2bl w:val="nil"/>
                  </w:tcBorders>
                  <w:noWrap w:val="0"/>
                  <w:vAlign w:val="center"/>
                </w:tcPr>
                <w:p w14:paraId="7777E988">
                  <w:pPr>
                    <w:jc w:val="center"/>
                    <w:rPr>
                      <w:rFonts w:hint="default" w:ascii="Times New Roman" w:hAnsi="Times New Roman" w:eastAsia="宋体" w:cs="Times New Roman"/>
                      <w:b/>
                      <w:bCs/>
                      <w:color w:val="auto"/>
                      <w:kern w:val="2"/>
                      <w:sz w:val="21"/>
                      <w:szCs w:val="21"/>
                      <w:highlight w:val="none"/>
                      <w:lang w:val="en-US" w:eastAsia="zh-CN" w:bidi="en-US"/>
                    </w:rPr>
                  </w:pPr>
                  <w:r>
                    <w:rPr>
                      <w:rFonts w:hint="default" w:ascii="Times New Roman" w:hAnsi="Times New Roman" w:eastAsia="宋体" w:cs="Times New Roman"/>
                      <w:b/>
                      <w:bCs/>
                      <w:color w:val="auto"/>
                      <w:sz w:val="21"/>
                      <w:szCs w:val="21"/>
                      <w:highlight w:val="none"/>
                      <w:lang w:val="en-US" w:eastAsia="zh-CN" w:bidi="en-US"/>
                    </w:rPr>
                    <w:t>理化性质</w:t>
                  </w:r>
                </w:p>
              </w:tc>
            </w:tr>
            <w:tr w14:paraId="613497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61" w:type="dxa"/>
                  <w:tcBorders>
                    <w:tl2br w:val="nil"/>
                    <w:tr2bl w:val="nil"/>
                  </w:tcBorders>
                  <w:noWrap w:val="0"/>
                  <w:vAlign w:val="center"/>
                </w:tcPr>
                <w:p w14:paraId="4968AE7F">
                  <w:pPr>
                    <w:jc w:val="center"/>
                    <w:rPr>
                      <w:rFonts w:hint="eastAsia" w:ascii="Times New Roman" w:hAnsi="Times New Roman" w:eastAsia="宋体" w:cs="Times New Roman"/>
                      <w:color w:val="auto"/>
                      <w:sz w:val="21"/>
                      <w:szCs w:val="21"/>
                      <w:highlight w:val="none"/>
                      <w:lang w:eastAsia="zh-CN" w:bidi="en-US"/>
                    </w:rPr>
                  </w:pPr>
                  <w:r>
                    <w:rPr>
                      <w:rFonts w:hint="eastAsia" w:cs="Times New Roman"/>
                      <w:color w:val="auto"/>
                      <w:sz w:val="21"/>
                      <w:szCs w:val="21"/>
                      <w:highlight w:val="none"/>
                      <w:lang w:val="en-US" w:eastAsia="zh-CN" w:bidi="en-US"/>
                    </w:rPr>
                    <w:t>1</w:t>
                  </w:r>
                </w:p>
              </w:tc>
              <w:tc>
                <w:tcPr>
                  <w:tcW w:w="1141" w:type="dxa"/>
                  <w:tcBorders>
                    <w:tl2br w:val="nil"/>
                    <w:tr2bl w:val="nil"/>
                  </w:tcBorders>
                  <w:noWrap w:val="0"/>
                  <w:vAlign w:val="center"/>
                </w:tcPr>
                <w:p w14:paraId="03DF8158">
                  <w:pPr>
                    <w:jc w:val="center"/>
                    <w:rPr>
                      <w:rFonts w:hint="default" w:ascii="Times New Roman" w:hAnsi="Times New Roman" w:eastAsia="宋体" w:cs="Times New Roman"/>
                      <w:color w:val="auto"/>
                      <w:kern w:val="2"/>
                      <w:sz w:val="21"/>
                      <w:szCs w:val="21"/>
                      <w:highlight w:val="none"/>
                      <w:lang w:val="en-US" w:eastAsia="zh-CN" w:bidi="en-US"/>
                    </w:rPr>
                  </w:pPr>
                  <w:r>
                    <w:rPr>
                      <w:rFonts w:hint="eastAsia" w:ascii="Times New Roman" w:hAnsi="Times New Roman" w:eastAsia="宋体" w:cs="Times New Roman"/>
                      <w:color w:val="auto"/>
                      <w:szCs w:val="21"/>
                      <w:highlight w:val="none"/>
                      <w:lang w:val="en-US" w:eastAsia="zh-CN"/>
                    </w:rPr>
                    <w:t>PE塑料颗粒</w:t>
                  </w:r>
                </w:p>
              </w:tc>
              <w:tc>
                <w:tcPr>
                  <w:tcW w:w="6571" w:type="dxa"/>
                  <w:tcBorders>
                    <w:tl2br w:val="nil"/>
                    <w:tr2bl w:val="nil"/>
                  </w:tcBorders>
                  <w:noWrap w:val="0"/>
                  <w:vAlign w:val="top"/>
                </w:tcPr>
                <w:p w14:paraId="23E4C505">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聚乙烯（polyethylene，简称PE）是乙烯经聚合制得的一种热塑性树脂。无味、无臭、无毒、表面无光泽、乳白色蜡状颗粒，密度约0.920g/cm</w:t>
                  </w:r>
                  <w:r>
                    <w:rPr>
                      <w:rFonts w:hint="eastAsia" w:ascii="Times New Roman" w:hAnsi="Times New Roman" w:eastAsia="宋体" w:cs="Times New Roman"/>
                      <w:color w:val="auto"/>
                      <w:szCs w:val="21"/>
                      <w:highlight w:val="none"/>
                      <w:vertAlign w:val="superscript"/>
                      <w:lang w:val="en-US" w:eastAsia="zh-CN"/>
                    </w:rPr>
                    <w:t>3</w:t>
                  </w:r>
                  <w:r>
                    <w:rPr>
                      <w:rFonts w:hint="eastAsia" w:ascii="Times New Roman" w:hAnsi="Times New Roman" w:eastAsia="宋体" w:cs="Times New Roman"/>
                      <w:color w:val="auto"/>
                      <w:szCs w:val="21"/>
                      <w:highlight w:val="none"/>
                      <w:lang w:val="en-US" w:eastAsia="zh-CN"/>
                    </w:rPr>
                    <w:t>，</w:t>
                  </w:r>
                </w:p>
                <w:p w14:paraId="1261F960">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点130℃~145℃，分解温度为320℃。不溶于水，微溶于烃类、甲苯等。具有优良的耐低温性能（最低使用温度可达-100~-70℃）。</w:t>
                  </w:r>
                </w:p>
              </w:tc>
            </w:tr>
            <w:tr w14:paraId="6B10C7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61" w:type="dxa"/>
                  <w:tcBorders>
                    <w:tl2br w:val="nil"/>
                    <w:tr2bl w:val="nil"/>
                  </w:tcBorders>
                  <w:noWrap w:val="0"/>
                  <w:vAlign w:val="center"/>
                </w:tcPr>
                <w:p w14:paraId="2D3F478C">
                  <w:pPr>
                    <w:jc w:val="center"/>
                    <w:rPr>
                      <w:rFonts w:hint="default" w:cs="Times New Roman"/>
                      <w:color w:val="auto"/>
                      <w:sz w:val="21"/>
                      <w:szCs w:val="21"/>
                      <w:highlight w:val="none"/>
                      <w:lang w:val="en-US" w:eastAsia="zh-CN" w:bidi="en-US"/>
                    </w:rPr>
                  </w:pPr>
                  <w:r>
                    <w:rPr>
                      <w:rFonts w:hint="eastAsia" w:cs="Times New Roman"/>
                      <w:color w:val="auto"/>
                      <w:sz w:val="21"/>
                      <w:szCs w:val="21"/>
                      <w:highlight w:val="none"/>
                      <w:lang w:val="en-US" w:eastAsia="zh-CN" w:bidi="en-US"/>
                    </w:rPr>
                    <w:t>2</w:t>
                  </w:r>
                </w:p>
              </w:tc>
              <w:tc>
                <w:tcPr>
                  <w:tcW w:w="1141" w:type="dxa"/>
                  <w:tcBorders>
                    <w:tl2br w:val="nil"/>
                    <w:tr2bl w:val="nil"/>
                  </w:tcBorders>
                  <w:noWrap w:val="0"/>
                  <w:vAlign w:val="center"/>
                </w:tcPr>
                <w:p w14:paraId="4DBC5A19">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w:t>
                  </w:r>
                  <w:r>
                    <w:rPr>
                      <w:rFonts w:hint="eastAsia" w:cs="Times New Roman"/>
                      <w:color w:val="auto"/>
                      <w:szCs w:val="21"/>
                      <w:highlight w:val="none"/>
                      <w:lang w:val="en-US" w:eastAsia="zh-CN"/>
                    </w:rPr>
                    <w:t>P</w:t>
                  </w:r>
                  <w:r>
                    <w:rPr>
                      <w:rFonts w:hint="eastAsia" w:ascii="Times New Roman" w:hAnsi="Times New Roman" w:eastAsia="宋体" w:cs="Times New Roman"/>
                      <w:color w:val="auto"/>
                      <w:szCs w:val="21"/>
                      <w:highlight w:val="none"/>
                      <w:lang w:val="en-US" w:eastAsia="zh-CN"/>
                    </w:rPr>
                    <w:t>塑料颗粒</w:t>
                  </w:r>
                </w:p>
              </w:tc>
              <w:tc>
                <w:tcPr>
                  <w:tcW w:w="6571" w:type="dxa"/>
                  <w:tcBorders>
                    <w:tl2br w:val="nil"/>
                    <w:tr2bl w:val="nil"/>
                  </w:tcBorders>
                  <w:noWrap w:val="0"/>
                  <w:vAlign w:val="top"/>
                </w:tcPr>
                <w:p w14:paraId="125BBCDC">
                  <w:pPr>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 w:val="21"/>
                      <w:szCs w:val="21"/>
                      <w:highlight w:val="none"/>
                      <w:lang w:val="en-US" w:eastAsia="zh-CN"/>
                    </w:rPr>
                    <w:t>聚丙烯，简称PP，是丙烯通过加聚反应而成的聚合物，无色、无臭、半透明固体物质，化学式为(C</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vertAlign w:val="subscript"/>
                      <w:lang w:val="en-US" w:eastAsia="zh-CN"/>
                    </w:rPr>
                    <w:t>6</w:t>
                  </w:r>
                  <w:r>
                    <w:rPr>
                      <w:rFonts w:hint="default" w:ascii="Times New Roman" w:hAnsi="Times New Roman" w:eastAsia="宋体" w:cs="Times New Roman"/>
                      <w:color w:val="auto"/>
                      <w:sz w:val="21"/>
                      <w:szCs w:val="21"/>
                      <w:highlight w:val="none"/>
                      <w:lang w:val="en-US" w:eastAsia="zh-CN"/>
                    </w:rPr>
                    <w:t>)n，密度为0.92g/cm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，熔点164-170℃。</w:t>
                  </w:r>
                  <w:r>
                    <w:rPr>
                      <w:rFonts w:hint="default" w:ascii="Times New Roman" w:hAnsi="Times New Roman" w:eastAsia="宋体" w:cs="Times New Roman"/>
                      <w:i w:val="0"/>
                      <w:iCs w:val="0"/>
                      <w:caps w:val="0"/>
                      <w:color w:val="auto"/>
                      <w:spacing w:val="0"/>
                      <w:sz w:val="21"/>
                      <w:szCs w:val="21"/>
                      <w:highlight w:val="none"/>
                      <w:shd w:val="clear" w:color="auto" w:fill="FFFFFF"/>
                    </w:rPr>
                    <w:t>是一种半结晶的热塑性塑料</w:t>
                  </w:r>
                  <w:r>
                    <w:rPr>
                      <w:rFonts w:hint="default" w:ascii="Times New Roman" w:hAnsi="Times New Roman" w:eastAsia="宋体" w:cs="Times New Roman"/>
                      <w:i w:val="0"/>
                      <w:iCs w:val="0"/>
                      <w:caps w:val="0"/>
                      <w:color w:val="auto"/>
                      <w:spacing w:val="0"/>
                      <w:sz w:val="21"/>
                      <w:szCs w:val="21"/>
                      <w:highlight w:val="none"/>
                      <w:shd w:val="clear" w:color="auto" w:fill="FFFFFF"/>
                      <w:lang w:eastAsia="zh-CN"/>
                    </w:rPr>
                    <w:t>，</w:t>
                  </w:r>
                  <w:r>
                    <w:rPr>
                      <w:rFonts w:hint="default" w:ascii="Times New Roman" w:hAnsi="Times New Roman" w:eastAsia="宋体" w:cs="Times New Roman"/>
                      <w:i w:val="0"/>
                      <w:iCs w:val="0"/>
                      <w:caps w:val="0"/>
                      <w:color w:val="auto"/>
                      <w:spacing w:val="0"/>
                      <w:sz w:val="21"/>
                      <w:szCs w:val="21"/>
                      <w:highlight w:val="none"/>
                      <w:shd w:val="clear" w:color="auto" w:fill="FFFFFF"/>
                    </w:rPr>
                    <w:t>具有较高的耐冲击性，机械性质强韧，抗多种有机溶剂和酸碱腐蚀。</w:t>
                  </w:r>
                </w:p>
              </w:tc>
            </w:tr>
            <w:tr w14:paraId="457C35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1" w:hRule="atLeast"/>
                <w:jc w:val="center"/>
              </w:trPr>
              <w:tc>
                <w:tcPr>
                  <w:tcW w:w="461" w:type="dxa"/>
                  <w:tcBorders>
                    <w:tl2br w:val="nil"/>
                    <w:tr2bl w:val="nil"/>
                  </w:tcBorders>
                  <w:noWrap w:val="0"/>
                  <w:vAlign w:val="center"/>
                </w:tcPr>
                <w:p w14:paraId="11CBC49E">
                  <w:pPr>
                    <w:jc w:val="center"/>
                    <w:rPr>
                      <w:rFonts w:hint="eastAsia" w:ascii="Times New Roman" w:hAnsi="Times New Roman" w:eastAsia="宋体" w:cs="Times New Roman"/>
                      <w:color w:val="auto"/>
                      <w:sz w:val="21"/>
                      <w:szCs w:val="21"/>
                      <w:highlight w:val="none"/>
                      <w:lang w:eastAsia="zh-CN" w:bidi="en-US"/>
                    </w:rPr>
                  </w:pPr>
                  <w:r>
                    <w:rPr>
                      <w:rFonts w:hint="eastAsia" w:cs="Times New Roman"/>
                      <w:color w:val="auto"/>
                      <w:sz w:val="21"/>
                      <w:szCs w:val="21"/>
                      <w:highlight w:val="none"/>
                      <w:lang w:val="en-US" w:eastAsia="zh-CN" w:bidi="en-US"/>
                    </w:rPr>
                    <w:t>2</w:t>
                  </w:r>
                </w:p>
              </w:tc>
              <w:tc>
                <w:tcPr>
                  <w:tcW w:w="1141" w:type="dxa"/>
                  <w:tcBorders>
                    <w:tl2br w:val="nil"/>
                    <w:tr2bl w:val="nil"/>
                  </w:tcBorders>
                  <w:noWrap w:val="0"/>
                  <w:vAlign w:val="center"/>
                </w:tcPr>
                <w:p w14:paraId="2952F889">
                  <w:pPr>
                    <w:widowControl/>
                    <w:jc w:val="center"/>
                    <w:textAlignment w:val="center"/>
                    <w:rPr>
                      <w:rFonts w:hint="default" w:ascii="Times New Roman" w:hAnsi="Times New Roman" w:eastAsia="宋体" w:cs="Times New Roman"/>
                      <w:color w:val="auto"/>
                      <w:kern w:val="2"/>
                      <w:sz w:val="21"/>
                      <w:szCs w:val="21"/>
                      <w:highlight w:val="none"/>
                      <w:lang w:val="en-US" w:eastAsia="zh-CN" w:bidi="en-US"/>
                    </w:rPr>
                  </w:pPr>
                  <w:r>
                    <w:rPr>
                      <w:rFonts w:hint="eastAsia" w:ascii="Times New Roman" w:hAnsi="Times New Roman" w:eastAsia="宋体" w:cs="Times New Roman"/>
                      <w:i w:val="0"/>
                      <w:color w:val="auto"/>
                      <w:sz w:val="21"/>
                      <w:szCs w:val="21"/>
                      <w:highlight w:val="none"/>
                      <w:u w:val="none"/>
                      <w:lang w:val="en-US" w:eastAsia="zh-CN"/>
                    </w:rPr>
                    <w:t>润滑油</w:t>
                  </w:r>
                </w:p>
              </w:tc>
              <w:tc>
                <w:tcPr>
                  <w:tcW w:w="6571" w:type="dxa"/>
                  <w:tcBorders>
                    <w:tl2br w:val="nil"/>
                    <w:tr2bl w:val="nil"/>
                  </w:tcBorders>
                  <w:noWrap w:val="0"/>
                  <w:vAlign w:val="center"/>
                </w:tcPr>
                <w:p w14:paraId="31C42872">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both"/>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主要用于减少运动部件表面间的摩擦，同时对机器设备具有冷却、密封、防腐、防锈、绝缘、功率传送、清洗杂质等作用。</w:t>
                  </w:r>
                </w:p>
              </w:tc>
            </w:tr>
          </w:tbl>
          <w:p w14:paraId="0F11B78F">
            <w:pPr>
              <w:pStyle w:val="71"/>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baseline"/>
              <w:rPr>
                <w:rFonts w:hint="default" w:ascii="Times New Roman" w:hAnsi="Times New Roman" w:eastAsia="宋体" w:cs="Times New Roman"/>
                <w:b/>
                <w:bCs w:val="0"/>
                <w:color w:val="auto"/>
                <w:sz w:val="24"/>
                <w:szCs w:val="24"/>
                <w:highlight w:val="none"/>
              </w:rPr>
            </w:pPr>
            <w:r>
              <w:rPr>
                <w:rFonts w:hint="eastAsia"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rPr>
              <w:t>、给排水</w:t>
            </w:r>
          </w:p>
          <w:p w14:paraId="1A6F419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FF0000"/>
                <w:sz w:val="24"/>
                <w:szCs w:val="24"/>
                <w:highlight w:val="none"/>
              </w:rPr>
            </w:pPr>
            <w:r>
              <w:rPr>
                <w:rFonts w:hint="default" w:ascii="Times New Roman" w:hAnsi="Times New Roman" w:eastAsia="宋体" w:cs="Times New Roman"/>
                <w:b/>
                <w:color w:val="FF0000"/>
                <w:sz w:val="24"/>
                <w:szCs w:val="24"/>
                <w:highlight w:val="none"/>
                <w:lang w:val="en-US" w:eastAsia="zh-CN"/>
              </w:rPr>
              <w:t>（1）</w:t>
            </w:r>
            <w:r>
              <w:rPr>
                <w:rFonts w:hint="default" w:ascii="Times New Roman" w:hAnsi="Times New Roman" w:eastAsia="宋体" w:cs="Times New Roman"/>
                <w:b/>
                <w:color w:val="FF0000"/>
                <w:sz w:val="24"/>
                <w:szCs w:val="24"/>
                <w:highlight w:val="none"/>
              </w:rPr>
              <w:t>给水</w:t>
            </w:r>
          </w:p>
          <w:p w14:paraId="5680B7B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项目用水由</w:t>
            </w:r>
            <w:r>
              <w:rPr>
                <w:rFonts w:hint="eastAsia" w:cs="Times New Roman"/>
                <w:color w:val="FF0000"/>
                <w:sz w:val="24"/>
                <w:szCs w:val="24"/>
                <w:highlight w:val="none"/>
                <w:lang w:val="en-US" w:eastAsia="zh-CN"/>
              </w:rPr>
              <w:t>园区供水</w:t>
            </w:r>
            <w:r>
              <w:rPr>
                <w:rFonts w:hint="default" w:ascii="Times New Roman" w:hAnsi="Times New Roman" w:eastAsia="宋体" w:cs="Times New Roman"/>
                <w:color w:val="FF0000"/>
                <w:sz w:val="24"/>
                <w:szCs w:val="24"/>
                <w:highlight w:val="none"/>
                <w:lang w:val="en-US" w:eastAsia="zh-CN"/>
              </w:rPr>
              <w:t>管网提供，水质、水量均能够满足生产和生活需要。本项目用水包括职工生活用水、循环冷却水。</w:t>
            </w:r>
          </w:p>
          <w:p w14:paraId="6758D27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①生活用水</w:t>
            </w:r>
          </w:p>
          <w:p w14:paraId="1C8DF2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本项目工作人员</w:t>
            </w:r>
            <w:r>
              <w:rPr>
                <w:rFonts w:hint="eastAsia" w:cs="Times New Roman"/>
                <w:color w:val="FF0000"/>
                <w:sz w:val="24"/>
                <w:szCs w:val="24"/>
                <w:highlight w:val="none"/>
                <w:lang w:val="en-US" w:eastAsia="zh-CN"/>
              </w:rPr>
              <w:t>10</w:t>
            </w:r>
            <w:r>
              <w:rPr>
                <w:rFonts w:hint="default" w:ascii="Times New Roman" w:hAnsi="Times New Roman" w:eastAsia="宋体" w:cs="Times New Roman"/>
                <w:color w:val="FF0000"/>
                <w:sz w:val="24"/>
                <w:szCs w:val="24"/>
                <w:highlight w:val="none"/>
                <w:lang w:val="en-US" w:eastAsia="zh-CN"/>
              </w:rPr>
              <w:t>人，不在厂区内食宿，根据《建筑给水设计规范》</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GB50075-2019</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本项目用水量按</w:t>
            </w:r>
            <w:r>
              <w:rPr>
                <w:rFonts w:hint="eastAsia" w:cs="Times New Roman"/>
                <w:color w:val="FF0000"/>
                <w:sz w:val="24"/>
                <w:szCs w:val="24"/>
                <w:highlight w:val="none"/>
                <w:lang w:val="en-US" w:eastAsia="zh-CN"/>
              </w:rPr>
              <w:t>5</w:t>
            </w:r>
            <w:r>
              <w:rPr>
                <w:rFonts w:hint="default" w:ascii="Times New Roman" w:hAnsi="Times New Roman" w:eastAsia="宋体" w:cs="Times New Roman"/>
                <w:color w:val="FF0000"/>
                <w:sz w:val="24"/>
                <w:szCs w:val="24"/>
                <w:highlight w:val="none"/>
                <w:lang w:val="en-US" w:eastAsia="zh-CN"/>
              </w:rPr>
              <w:t>0L/人·天计算，年工作300天，则用水量为</w:t>
            </w:r>
            <w:r>
              <w:rPr>
                <w:rFonts w:hint="eastAsia" w:cs="Times New Roman"/>
                <w:color w:val="FF0000"/>
                <w:sz w:val="24"/>
                <w:szCs w:val="24"/>
                <w:highlight w:val="none"/>
                <w:lang w:val="en-US" w:eastAsia="zh-CN"/>
              </w:rPr>
              <w:t>0.5</w:t>
            </w:r>
            <w:r>
              <w:rPr>
                <w:rFonts w:hint="default" w:ascii="Times New Roman" w:hAnsi="Times New Roman" w:eastAsia="宋体" w:cs="Times New Roman"/>
                <w:color w:val="FF0000"/>
                <w:sz w:val="24"/>
                <w:szCs w:val="24"/>
                <w:highlight w:val="none"/>
                <w:lang w:val="en-US" w:eastAsia="zh-CN"/>
              </w:rPr>
              <w:t>m³/d</w:t>
            </w:r>
            <w:r>
              <w:rPr>
                <w:rFonts w:hint="eastAsia" w:cs="Times New Roman"/>
                <w:color w:val="FF0000"/>
                <w:sz w:val="24"/>
                <w:szCs w:val="24"/>
                <w:highlight w:val="none"/>
                <w:lang w:val="en-US" w:eastAsia="zh-CN"/>
              </w:rPr>
              <w:t>（150</w:t>
            </w:r>
            <w:r>
              <w:rPr>
                <w:rFonts w:hint="default" w:ascii="Times New Roman" w:hAnsi="Times New Roman" w:eastAsia="宋体" w:cs="Times New Roman"/>
                <w:color w:val="FF0000"/>
                <w:sz w:val="24"/>
                <w:szCs w:val="24"/>
                <w:highlight w:val="none"/>
                <w:lang w:val="en-US" w:eastAsia="zh-CN"/>
              </w:rPr>
              <w:t>m³/a</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由当地供水管网提供。</w:t>
            </w:r>
          </w:p>
          <w:p w14:paraId="18CC55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②循环冷却水</w:t>
            </w:r>
          </w:p>
          <w:p w14:paraId="08EF7E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本项目</w:t>
            </w:r>
            <w:r>
              <w:rPr>
                <w:rFonts w:hint="eastAsia" w:cs="Times New Roman"/>
                <w:color w:val="FF0000"/>
                <w:sz w:val="24"/>
                <w:szCs w:val="24"/>
                <w:highlight w:val="none"/>
                <w:lang w:val="en-US" w:eastAsia="zh-CN"/>
              </w:rPr>
              <w:t>吹塑</w:t>
            </w:r>
            <w:r>
              <w:rPr>
                <w:rFonts w:hint="default" w:ascii="Times New Roman" w:hAnsi="Times New Roman" w:eastAsia="宋体" w:cs="Times New Roman"/>
                <w:color w:val="FF0000"/>
                <w:sz w:val="24"/>
                <w:szCs w:val="24"/>
                <w:highlight w:val="none"/>
                <w:lang w:val="en-US" w:eastAsia="zh-CN"/>
              </w:rPr>
              <w:t>工序的设备采用水进行冷却降温，冷却水循环使用，定期补充损耗。根据企业提供资料，冷却水循环的方式为密闭式循环，冷却水的循环量为30m³/h</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工作时间为2400h/a</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则循环水量为72000m³/a</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参照《工业循环冷却水处理设计规范》</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GB/T50050-2017</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计算，损耗量为循环量的1‰</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即补水量为72m³/a。</w:t>
            </w:r>
          </w:p>
          <w:p w14:paraId="08A624A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FF0000"/>
                <w:sz w:val="24"/>
                <w:szCs w:val="24"/>
                <w:highlight w:val="none"/>
              </w:rPr>
            </w:pPr>
            <w:r>
              <w:rPr>
                <w:rFonts w:hint="default" w:ascii="Times New Roman" w:hAnsi="Times New Roman" w:eastAsia="宋体" w:cs="Times New Roman"/>
                <w:b/>
                <w:color w:val="FF0000"/>
                <w:sz w:val="24"/>
                <w:szCs w:val="24"/>
                <w:highlight w:val="none"/>
                <w:lang w:eastAsia="zh-CN"/>
              </w:rPr>
              <w:t>（</w:t>
            </w:r>
            <w:r>
              <w:rPr>
                <w:rFonts w:hint="default" w:ascii="Times New Roman" w:hAnsi="Times New Roman" w:eastAsia="宋体" w:cs="Times New Roman"/>
                <w:b/>
                <w:color w:val="FF0000"/>
                <w:sz w:val="24"/>
                <w:szCs w:val="24"/>
                <w:highlight w:val="none"/>
                <w:lang w:val="en-US" w:eastAsia="zh-CN"/>
              </w:rPr>
              <w:t>2</w:t>
            </w:r>
            <w:r>
              <w:rPr>
                <w:rFonts w:hint="default" w:ascii="Times New Roman" w:hAnsi="Times New Roman" w:eastAsia="宋体" w:cs="Times New Roman"/>
                <w:b/>
                <w:color w:val="FF0000"/>
                <w:sz w:val="24"/>
                <w:szCs w:val="24"/>
                <w:highlight w:val="none"/>
                <w:lang w:eastAsia="zh-CN"/>
              </w:rPr>
              <w:t>）</w:t>
            </w:r>
            <w:r>
              <w:rPr>
                <w:rFonts w:hint="default" w:ascii="Times New Roman" w:hAnsi="Times New Roman" w:eastAsia="宋体" w:cs="Times New Roman"/>
                <w:b/>
                <w:color w:val="FF0000"/>
                <w:sz w:val="24"/>
                <w:szCs w:val="24"/>
                <w:highlight w:val="none"/>
              </w:rPr>
              <w:t>排水</w:t>
            </w:r>
          </w:p>
          <w:p w14:paraId="09551E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本项目排水实行</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雨污分流、清污分流</w:t>
            </w:r>
            <w:r>
              <w:rPr>
                <w:rFonts w:hint="eastAsia"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厂区雨水由雨水管道就近排入雨水管网。</w:t>
            </w:r>
            <w:r>
              <w:rPr>
                <w:rFonts w:hint="eastAsia" w:cs="Times New Roman"/>
                <w:color w:val="FF0000"/>
                <w:sz w:val="24"/>
                <w:szCs w:val="24"/>
                <w:highlight w:val="none"/>
                <w:lang w:val="en-US" w:eastAsia="zh-CN"/>
              </w:rPr>
              <w:t>项目</w:t>
            </w:r>
            <w:r>
              <w:rPr>
                <w:rFonts w:hint="default" w:ascii="Times New Roman" w:hAnsi="Times New Roman" w:eastAsia="宋体" w:cs="Times New Roman"/>
                <w:color w:val="FF0000"/>
                <w:sz w:val="24"/>
                <w:szCs w:val="24"/>
                <w:highlight w:val="none"/>
                <w:lang w:val="en-US" w:eastAsia="zh-CN"/>
              </w:rPr>
              <w:t>冷却水循环使用不外排。职工生活污水按用水量的80%计，则职工生活污水产生量为</w:t>
            </w:r>
            <w:r>
              <w:rPr>
                <w:rFonts w:hint="eastAsia" w:cs="Times New Roman"/>
                <w:color w:val="FF0000"/>
                <w:sz w:val="24"/>
                <w:szCs w:val="24"/>
                <w:highlight w:val="none"/>
                <w:lang w:val="en-US" w:eastAsia="zh-CN"/>
              </w:rPr>
              <w:t>120</w:t>
            </w:r>
            <w:r>
              <w:rPr>
                <w:rFonts w:hint="default" w:ascii="Times New Roman" w:hAnsi="Times New Roman" w:eastAsia="宋体" w:cs="Times New Roman"/>
                <w:color w:val="FF0000"/>
                <w:sz w:val="24"/>
                <w:szCs w:val="24"/>
                <w:highlight w:val="none"/>
                <w:lang w:val="en-US" w:eastAsia="zh-CN"/>
              </w:rPr>
              <w:t>m³/a</w:t>
            </w:r>
            <w:r>
              <w:rPr>
                <w:rFonts w:hint="eastAsia" w:cs="Times New Roman"/>
                <w:color w:val="FF0000"/>
                <w:sz w:val="24"/>
                <w:szCs w:val="24"/>
                <w:highlight w:val="none"/>
                <w:lang w:val="en-US" w:eastAsia="zh-CN"/>
              </w:rPr>
              <w:t>，经化粪池处理后委托环卫部门定期清运，不外排</w:t>
            </w:r>
            <w:r>
              <w:rPr>
                <w:rFonts w:hint="eastAsia" w:ascii="Times New Roman" w:hAnsi="Times New Roman" w:eastAsia="宋体" w:cs="Times New Roman"/>
                <w:color w:val="FF0000"/>
                <w:sz w:val="24"/>
                <w:szCs w:val="24"/>
                <w:highlight w:val="none"/>
                <w:lang w:val="en-US" w:eastAsia="zh-CN"/>
              </w:rPr>
              <w:t>。</w:t>
            </w:r>
          </w:p>
          <w:p w14:paraId="6ED8F7B1">
            <w:pPr>
              <w:pStyle w:val="149"/>
              <w:spacing w:line="240" w:lineRule="auto"/>
              <w:ind w:left="0" w:leftChars="0" w:firstLine="0" w:firstLineChars="0"/>
              <w:jc w:val="center"/>
              <w:rPr>
                <w:rFonts w:hint="default" w:ascii="Times New Roman" w:hAnsi="Times New Roman" w:eastAsia="宋体" w:cs="Times New Roman"/>
                <w:b/>
                <w:color w:val="FF0000"/>
                <w:sz w:val="24"/>
                <w:szCs w:val="24"/>
                <w:lang w:eastAsia="zh-CN"/>
              </w:rPr>
            </w:pPr>
            <w:r>
              <w:rPr>
                <w:rFonts w:hint="default" w:ascii="Times New Roman" w:hAnsi="Times New Roman" w:eastAsia="宋体" w:cs="Times New Roman"/>
                <w:b/>
                <w:color w:val="FF0000"/>
                <w:sz w:val="24"/>
                <w:szCs w:val="24"/>
                <w:lang w:eastAsia="zh-CN"/>
              </w:rPr>
              <w:object>
                <v:shape id="_x0000_i1025" o:spt="75" type="#_x0000_t75" style="height:135.75pt;width:394.75pt;" o:ole="t" filled="f" o:preferrelative="t" stroked="f" coordsize="21600,21600">
                  <v:path/>
                  <v:fill on="f" focussize="0,0"/>
                  <v:stroke on="f"/>
                  <v:imagedata r:id="rId10" o:title=""/>
                  <o:lock v:ext="edit" aspectratio="t"/>
                  <w10:wrap type="none"/>
                  <w10:anchorlock/>
                </v:shape>
                <o:OLEObject Type="Embed" ProgID="Visio.Drawing.11" ShapeID="_x0000_i1025" DrawAspect="Content" ObjectID="_1468075725" r:id="rId9">
                  <o:LockedField>false</o:LockedField>
                </o:OLEObject>
              </w:object>
            </w:r>
          </w:p>
          <w:p w14:paraId="20C296CE">
            <w:pPr>
              <w:pStyle w:val="149"/>
              <w:spacing w:line="240" w:lineRule="auto"/>
              <w:ind w:left="0" w:leftChars="0" w:firstLine="0" w:firstLineChars="0"/>
              <w:jc w:val="center"/>
              <w:rPr>
                <w:rFonts w:hint="default" w:ascii="Times New Roman" w:hAnsi="Times New Roman" w:eastAsia="宋体" w:cs="Times New Roman"/>
                <w:b/>
                <w:color w:val="FF0000"/>
                <w:sz w:val="24"/>
                <w:szCs w:val="24"/>
                <w:highlight w:val="none"/>
                <w:lang w:val="en-US" w:eastAsia="zh-CN"/>
              </w:rPr>
            </w:pPr>
            <w:r>
              <w:rPr>
                <w:rFonts w:hint="default" w:ascii="Times New Roman" w:hAnsi="Times New Roman" w:eastAsia="宋体" w:cs="Times New Roman"/>
                <w:b/>
                <w:color w:val="FF0000"/>
                <w:sz w:val="24"/>
                <w:szCs w:val="24"/>
                <w:highlight w:val="none"/>
              </w:rPr>
              <w:t>图</w:t>
            </w:r>
            <w:r>
              <w:rPr>
                <w:rFonts w:hint="default" w:ascii="Times New Roman" w:hAnsi="Times New Roman" w:eastAsia="宋体" w:cs="Times New Roman"/>
                <w:b/>
                <w:color w:val="FF0000"/>
                <w:sz w:val="24"/>
                <w:szCs w:val="24"/>
                <w:highlight w:val="none"/>
                <w:lang w:val="en-US" w:eastAsia="zh-CN"/>
              </w:rPr>
              <w:t>2</w:t>
            </w:r>
            <w:r>
              <w:rPr>
                <w:rFonts w:hint="default" w:ascii="Times New Roman" w:hAnsi="Times New Roman" w:eastAsia="宋体" w:cs="Times New Roman"/>
                <w:b/>
                <w:color w:val="FF0000"/>
                <w:sz w:val="24"/>
                <w:szCs w:val="24"/>
                <w:highlight w:val="none"/>
              </w:rPr>
              <w:t>-</w:t>
            </w:r>
            <w:r>
              <w:rPr>
                <w:rFonts w:hint="default" w:ascii="Times New Roman" w:hAnsi="Times New Roman" w:eastAsia="宋体" w:cs="Times New Roman"/>
                <w:b/>
                <w:color w:val="FF0000"/>
                <w:sz w:val="24"/>
                <w:szCs w:val="24"/>
                <w:highlight w:val="none"/>
                <w:lang w:val="en-US" w:eastAsia="zh-CN"/>
              </w:rPr>
              <w:t>1</w:t>
            </w:r>
            <w:r>
              <w:rPr>
                <w:rFonts w:hint="default" w:ascii="Times New Roman" w:hAnsi="Times New Roman" w:eastAsia="宋体" w:cs="Times New Roman"/>
                <w:b/>
                <w:color w:val="FF0000"/>
                <w:sz w:val="24"/>
                <w:szCs w:val="24"/>
                <w:highlight w:val="none"/>
              </w:rPr>
              <w:t xml:space="preserve"> </w:t>
            </w:r>
            <w:r>
              <w:rPr>
                <w:rFonts w:hint="default" w:ascii="Times New Roman" w:hAnsi="Times New Roman" w:eastAsia="宋体" w:cs="Times New Roman"/>
                <w:b/>
                <w:color w:val="FF0000"/>
                <w:sz w:val="24"/>
                <w:szCs w:val="24"/>
                <w:highlight w:val="none"/>
                <w:lang w:val="en-US" w:eastAsia="zh-CN"/>
              </w:rPr>
              <w:t xml:space="preserve"> </w:t>
            </w:r>
            <w:r>
              <w:rPr>
                <w:rFonts w:hint="default" w:ascii="Times New Roman" w:hAnsi="Times New Roman" w:eastAsia="宋体" w:cs="Times New Roman"/>
                <w:b/>
                <w:color w:val="FF0000"/>
                <w:sz w:val="24"/>
                <w:szCs w:val="24"/>
                <w:highlight w:val="none"/>
              </w:rPr>
              <w:t>项目水平衡图</w:t>
            </w:r>
            <w:r>
              <w:rPr>
                <w:rFonts w:hint="eastAsia" w:ascii="Times New Roman" w:hAnsi="Times New Roman" w:eastAsia="宋体" w:cs="Times New Roman"/>
                <w:b/>
                <w:color w:val="FF0000"/>
                <w:sz w:val="24"/>
                <w:szCs w:val="24"/>
                <w:highlight w:val="none"/>
                <w:lang w:eastAsia="zh-CN"/>
              </w:rPr>
              <w:t>（</w:t>
            </w:r>
            <w:r>
              <w:rPr>
                <w:rFonts w:hint="default" w:ascii="Times New Roman" w:hAnsi="Times New Roman" w:eastAsia="宋体" w:cs="Times New Roman"/>
                <w:b/>
                <w:color w:val="FF0000"/>
                <w:sz w:val="24"/>
                <w:szCs w:val="24"/>
                <w:highlight w:val="none"/>
              </w:rPr>
              <w:t>m</w:t>
            </w:r>
            <w:r>
              <w:rPr>
                <w:rFonts w:hint="default" w:ascii="Times New Roman" w:hAnsi="Times New Roman" w:eastAsia="宋体" w:cs="Times New Roman"/>
                <w:b/>
                <w:color w:val="FF0000"/>
                <w:sz w:val="24"/>
                <w:szCs w:val="24"/>
                <w:highlight w:val="none"/>
                <w:vertAlign w:val="superscript"/>
              </w:rPr>
              <w:t>3</w:t>
            </w:r>
            <w:r>
              <w:rPr>
                <w:rFonts w:hint="default" w:ascii="Times New Roman" w:hAnsi="Times New Roman" w:eastAsia="宋体" w:cs="Times New Roman"/>
                <w:b/>
                <w:color w:val="FF0000"/>
                <w:sz w:val="24"/>
                <w:szCs w:val="24"/>
                <w:highlight w:val="none"/>
              </w:rPr>
              <w:t>/</w:t>
            </w:r>
            <w:r>
              <w:rPr>
                <w:rFonts w:hint="eastAsia" w:ascii="Times New Roman" w:hAnsi="Times New Roman" w:eastAsia="宋体" w:cs="Times New Roman"/>
                <w:b/>
                <w:color w:val="FF0000"/>
                <w:sz w:val="24"/>
                <w:szCs w:val="24"/>
                <w:highlight w:val="none"/>
                <w:lang w:val="en-US" w:eastAsia="zh-CN"/>
              </w:rPr>
              <w:t>a</w:t>
            </w:r>
            <w:r>
              <w:rPr>
                <w:rFonts w:hint="eastAsia" w:ascii="Times New Roman" w:hAnsi="Times New Roman" w:eastAsia="宋体" w:cs="Times New Roman"/>
                <w:b/>
                <w:color w:val="FF0000"/>
                <w:sz w:val="24"/>
                <w:szCs w:val="24"/>
                <w:highlight w:val="none"/>
                <w:lang w:eastAsia="zh-CN"/>
              </w:rPr>
              <w:t>）</w:t>
            </w:r>
          </w:p>
          <w:p w14:paraId="6DB90CC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outlineLvl w:val="9"/>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劳动定员及</w:t>
            </w:r>
            <w:r>
              <w:rPr>
                <w:rFonts w:hint="default" w:ascii="Times New Roman" w:hAnsi="Times New Roman" w:eastAsia="宋体" w:cs="Times New Roman"/>
                <w:b/>
                <w:bCs/>
                <w:color w:val="auto"/>
                <w:sz w:val="24"/>
                <w:szCs w:val="24"/>
                <w:highlight w:val="none"/>
              </w:rPr>
              <w:t>工作制度</w:t>
            </w:r>
          </w:p>
          <w:p w14:paraId="5B5CEA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w:t>
            </w:r>
            <w:r>
              <w:rPr>
                <w:rFonts w:hint="eastAsia" w:cs="Times New Roman"/>
                <w:color w:val="auto"/>
                <w:sz w:val="24"/>
                <w:szCs w:val="24"/>
                <w:highlight w:val="none"/>
                <w:lang w:val="en-US" w:eastAsia="zh-CN"/>
              </w:rPr>
              <w:t>劳动</w:t>
            </w:r>
            <w:r>
              <w:rPr>
                <w:rFonts w:hint="default" w:ascii="Times New Roman" w:hAnsi="Times New Roman" w:eastAsia="宋体" w:cs="Times New Roman"/>
                <w:color w:val="auto"/>
                <w:sz w:val="24"/>
                <w:szCs w:val="24"/>
                <w:highlight w:val="none"/>
              </w:rPr>
              <w:t>定员</w:t>
            </w: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人，年工作日为3</w:t>
            </w:r>
            <w:r>
              <w:rPr>
                <w:rFonts w:hint="default" w:ascii="Times New Roman" w:hAnsi="Times New Roman" w:eastAsia="宋体" w:cs="Times New Roman"/>
                <w:color w:val="auto"/>
                <w:sz w:val="24"/>
                <w:szCs w:val="24"/>
                <w:highlight w:val="none"/>
                <w:lang w:val="en-US" w:eastAsia="zh-CN"/>
              </w:rPr>
              <w:t>00</w:t>
            </w:r>
            <w:r>
              <w:rPr>
                <w:rFonts w:hint="default" w:ascii="Times New Roman" w:hAnsi="Times New Roman" w:eastAsia="宋体" w:cs="Times New Roman"/>
                <w:color w:val="auto"/>
                <w:sz w:val="24"/>
                <w:szCs w:val="24"/>
                <w:highlight w:val="none"/>
              </w:rPr>
              <w:t>天，</w:t>
            </w:r>
            <w:r>
              <w:rPr>
                <w:rFonts w:hint="eastAsia" w:cs="Times New Roman"/>
                <w:color w:val="auto"/>
                <w:sz w:val="24"/>
                <w:szCs w:val="24"/>
                <w:highlight w:val="none"/>
                <w:lang w:val="en-US" w:eastAsia="zh-CN"/>
              </w:rPr>
              <w:t>每天工作8小时</w:t>
            </w:r>
            <w:r>
              <w:rPr>
                <w:rFonts w:hint="default" w:ascii="Times New Roman" w:hAnsi="Times New Roman" w:eastAsia="宋体" w:cs="Times New Roman"/>
                <w:color w:val="auto"/>
                <w:sz w:val="24"/>
                <w:szCs w:val="24"/>
                <w:highlight w:val="none"/>
              </w:rPr>
              <w:t>。</w:t>
            </w:r>
          </w:p>
          <w:p w14:paraId="44615CF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项目平面布置及合理性</w:t>
            </w:r>
          </w:p>
          <w:p w14:paraId="514631BB">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本项目位于</w:t>
            </w:r>
            <w:r>
              <w:rPr>
                <w:rFonts w:hint="eastAsia" w:cs="Times New Roman"/>
                <w:color w:val="auto"/>
                <w:sz w:val="24"/>
                <w:szCs w:val="24"/>
                <w:highlight w:val="none"/>
                <w:lang w:val="en-US" w:eastAsia="zh-CN"/>
              </w:rPr>
              <w:t>济宁市泗水县泉林镇泉林村原泗水县纺织厂院内</w:t>
            </w:r>
            <w:r>
              <w:rPr>
                <w:rFonts w:hint="default" w:ascii="Times New Roman" w:hAnsi="Times New Roman" w:cs="Times New Roman"/>
                <w:color w:val="auto"/>
                <w:sz w:val="24"/>
                <w:szCs w:val="24"/>
                <w:highlight w:val="none"/>
              </w:rPr>
              <w:t>，项目所处位置地势平坦，</w:t>
            </w:r>
            <w:r>
              <w:rPr>
                <w:rFonts w:hint="eastAsia" w:cs="Times New Roman"/>
                <w:color w:val="auto"/>
                <w:sz w:val="24"/>
                <w:szCs w:val="24"/>
                <w:highlight w:val="none"/>
                <w:lang w:val="en-US" w:eastAsia="zh-CN"/>
              </w:rPr>
              <w:t>项目北侧、南侧为</w:t>
            </w:r>
            <w:r>
              <w:rPr>
                <w:rFonts w:hint="default" w:ascii="Times New Roman" w:hAnsi="Times New Roman" w:cs="Times New Roman"/>
                <w:color w:val="auto"/>
                <w:sz w:val="24"/>
                <w:szCs w:val="24"/>
                <w:highlight w:val="none"/>
                <w:lang w:val="en-US" w:eastAsia="zh-CN"/>
              </w:rPr>
              <w:t>其他工业企业</w:t>
            </w:r>
            <w:r>
              <w:rPr>
                <w:rFonts w:hint="eastAsia" w:cs="Times New Roman"/>
                <w:color w:val="auto"/>
                <w:sz w:val="24"/>
                <w:szCs w:val="24"/>
                <w:highlight w:val="none"/>
                <w:lang w:val="en-US" w:eastAsia="zh-CN"/>
              </w:rPr>
              <w:t>，西侧为山东机械附件厂家属院</w:t>
            </w:r>
            <w:r>
              <w:rPr>
                <w:rFonts w:hint="default" w:ascii="Times New Roman" w:hAnsi="Times New Roman" w:cs="Times New Roman"/>
                <w:color w:val="auto"/>
                <w:sz w:val="24"/>
                <w:szCs w:val="24"/>
                <w:highlight w:val="none"/>
              </w:rPr>
              <w:t>，</w:t>
            </w:r>
            <w:r>
              <w:rPr>
                <w:rFonts w:hint="eastAsia"/>
                <w:color w:val="auto"/>
                <w:sz w:val="24"/>
                <w:szCs w:val="24"/>
                <w:lang w:val="en-US" w:eastAsia="zh-CN"/>
              </w:rPr>
              <w:t>东侧为天源机床附件公司家属院。</w:t>
            </w:r>
            <w:r>
              <w:rPr>
                <w:rFonts w:hint="default" w:ascii="Times New Roman" w:hAnsi="Times New Roman" w:cs="Times New Roman"/>
                <w:color w:val="auto"/>
                <w:sz w:val="24"/>
                <w:szCs w:val="24"/>
                <w:highlight w:val="none"/>
              </w:rPr>
              <w:t>根据本产品的工艺、运输、消防、安全的要求，结合地形等因素，按照国家有关标准和规定，对生产、运输、绿化进行了优化，并配有较为完善的供电、供水、排水等基础设施。</w:t>
            </w:r>
          </w:p>
          <w:p w14:paraId="2D796BCC">
            <w:pPr>
              <w:spacing w:line="360" w:lineRule="auto"/>
              <w:ind w:firstLine="480" w:firstLineChars="200"/>
              <w:rPr>
                <w:rFonts w:hint="default" w:cs="Times New Roman"/>
                <w:color w:val="auto"/>
                <w:sz w:val="21"/>
                <w:szCs w:val="21"/>
                <w:highlight w:val="none"/>
                <w:lang w:val="en-US" w:eastAsia="zh-CN"/>
              </w:rPr>
            </w:pPr>
            <w:r>
              <w:rPr>
                <w:rFonts w:hint="eastAsia" w:hAnsi="Times New Roman" w:cs="Times New Roman"/>
                <w:color w:val="auto"/>
                <w:sz w:val="24"/>
                <w:szCs w:val="24"/>
                <w:highlight w:val="none"/>
                <w:lang w:val="en-US" w:eastAsia="zh-CN"/>
              </w:rPr>
              <w:t>项目</w:t>
            </w:r>
            <w:r>
              <w:rPr>
                <w:rFonts w:hint="eastAsia" w:cs="Times New Roman"/>
                <w:color w:val="auto"/>
                <w:sz w:val="24"/>
                <w:szCs w:val="24"/>
                <w:highlight w:val="none"/>
                <w:lang w:val="en-US" w:eastAsia="zh-CN"/>
              </w:rPr>
              <w:t>租赁</w:t>
            </w:r>
            <w:r>
              <w:rPr>
                <w:rFonts w:hint="eastAsia" w:hAnsi="Times New Roman" w:cs="Times New Roman"/>
                <w:color w:val="auto"/>
                <w:sz w:val="24"/>
                <w:szCs w:val="24"/>
                <w:highlight w:val="none"/>
                <w:lang w:val="en-US" w:eastAsia="zh-CN"/>
              </w:rPr>
              <w:t>一个整体车间，</w:t>
            </w:r>
            <w:r>
              <w:rPr>
                <w:rFonts w:hint="eastAsia" w:cs="Times New Roman"/>
                <w:color w:val="auto"/>
                <w:sz w:val="24"/>
                <w:szCs w:val="24"/>
                <w:highlight w:val="none"/>
                <w:lang w:val="en-US" w:eastAsia="zh-CN"/>
              </w:rPr>
              <w:t>生产区</w:t>
            </w:r>
            <w:r>
              <w:rPr>
                <w:rFonts w:hint="eastAsia" w:hAnsi="Times New Roman" w:cs="Times New Roman"/>
                <w:color w:val="auto"/>
                <w:sz w:val="24"/>
                <w:szCs w:val="24"/>
                <w:highlight w:val="none"/>
                <w:lang w:val="en-US" w:eastAsia="zh-CN"/>
              </w:rPr>
              <w:t>位于整体车间内</w:t>
            </w:r>
            <w:r>
              <w:rPr>
                <w:rFonts w:hint="eastAsia" w:cs="Times New Roman"/>
                <w:color w:val="auto"/>
                <w:sz w:val="24"/>
                <w:szCs w:val="24"/>
                <w:highlight w:val="none"/>
                <w:lang w:val="en-US" w:eastAsia="zh-CN"/>
              </w:rPr>
              <w:t>南</w:t>
            </w:r>
            <w:r>
              <w:rPr>
                <w:rFonts w:hint="eastAsia" w:hAnsi="Times New Roman" w:cs="Times New Roman"/>
                <w:color w:val="auto"/>
                <w:sz w:val="24"/>
                <w:szCs w:val="24"/>
                <w:highlight w:val="none"/>
                <w:lang w:val="en-US" w:eastAsia="zh-CN"/>
              </w:rPr>
              <w:t>部，原料暂存区</w:t>
            </w:r>
            <w:r>
              <w:rPr>
                <w:rFonts w:hint="eastAsia" w:cs="Times New Roman" w:eastAsiaTheme="minorEastAsia"/>
                <w:color w:val="auto"/>
                <w:kern w:val="0"/>
                <w:sz w:val="24"/>
                <w:szCs w:val="24"/>
                <w:highlight w:val="none"/>
                <w:lang w:val="en-US" w:eastAsia="zh-CN"/>
              </w:rPr>
              <w:t>位于整体生产车间内北部，</w:t>
            </w:r>
            <w:r>
              <w:rPr>
                <w:rFonts w:hint="eastAsia" w:cs="Times New Roman"/>
                <w:color w:val="auto"/>
                <w:sz w:val="24"/>
                <w:szCs w:val="24"/>
                <w:highlight w:val="none"/>
                <w:lang w:val="en-US" w:eastAsia="zh-CN"/>
              </w:rPr>
              <w:t>成品暂存区</w:t>
            </w:r>
            <w:r>
              <w:rPr>
                <w:rFonts w:hint="eastAsia" w:cs="Times New Roman" w:eastAsiaTheme="minorEastAsia"/>
                <w:color w:val="auto"/>
                <w:kern w:val="0"/>
                <w:sz w:val="24"/>
                <w:szCs w:val="24"/>
                <w:highlight w:val="none"/>
                <w:lang w:val="en-US" w:eastAsia="zh-CN"/>
              </w:rPr>
              <w:t>位于整体生产车间内中部，</w:t>
            </w:r>
            <w:r>
              <w:rPr>
                <w:rFonts w:hint="eastAsia" w:cs="Times New Roman"/>
                <w:color w:val="auto"/>
                <w:sz w:val="24"/>
                <w:szCs w:val="24"/>
                <w:highlight w:val="none"/>
                <w:lang w:val="en-US" w:eastAsia="zh-CN"/>
              </w:rPr>
              <w:t>一般固废暂存区</w:t>
            </w:r>
            <w:r>
              <w:rPr>
                <w:rFonts w:hint="eastAsia" w:cs="Times New Roman" w:eastAsiaTheme="minorEastAsia"/>
                <w:color w:val="auto"/>
                <w:kern w:val="0"/>
                <w:sz w:val="24"/>
                <w:szCs w:val="24"/>
                <w:highlight w:val="none"/>
                <w:lang w:val="en-US" w:eastAsia="zh-CN"/>
              </w:rPr>
              <w:t>位于整体生产车间内西部，</w:t>
            </w:r>
            <w:r>
              <w:rPr>
                <w:rFonts w:hint="eastAsia" w:cs="Times New Roman"/>
                <w:color w:val="auto"/>
                <w:sz w:val="24"/>
                <w:szCs w:val="24"/>
                <w:highlight w:val="none"/>
                <w:lang w:val="en-US" w:eastAsia="zh-CN"/>
              </w:rPr>
              <w:t>危废间</w:t>
            </w:r>
            <w:r>
              <w:rPr>
                <w:rFonts w:hint="eastAsia" w:cs="Times New Roman" w:eastAsiaTheme="minorEastAsia"/>
                <w:color w:val="auto"/>
                <w:kern w:val="0"/>
                <w:sz w:val="24"/>
                <w:szCs w:val="24"/>
                <w:highlight w:val="none"/>
                <w:lang w:val="en-US" w:eastAsia="zh-CN"/>
              </w:rPr>
              <w:t>位于整体生产车间内西部，</w:t>
            </w:r>
            <w:r>
              <w:rPr>
                <w:rFonts w:hint="eastAsia" w:cs="Times New Roman"/>
                <w:color w:val="auto"/>
                <w:sz w:val="24"/>
                <w:szCs w:val="24"/>
                <w:highlight w:val="none"/>
                <w:lang w:val="en-US" w:eastAsia="zh-CN"/>
              </w:rPr>
              <w:t>办公室</w:t>
            </w:r>
            <w:r>
              <w:rPr>
                <w:rFonts w:hint="eastAsia" w:cs="Times New Roman" w:eastAsiaTheme="minorEastAsia"/>
                <w:color w:val="auto"/>
                <w:kern w:val="0"/>
                <w:sz w:val="24"/>
                <w:szCs w:val="24"/>
                <w:highlight w:val="none"/>
                <w:lang w:val="en-US" w:eastAsia="zh-CN"/>
              </w:rPr>
              <w:t>位于整体生产车间内东北部</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zh-CN"/>
              </w:rPr>
              <w:t>基本按生产工艺流程布置，平面布置较规整，便于原辅材料输送，且有利于废气收集及处理。</w:t>
            </w:r>
            <w:r>
              <w:rPr>
                <w:rFonts w:hint="default" w:ascii="Times New Roman" w:hAnsi="Times New Roman" w:cs="Times New Roman"/>
                <w:color w:val="auto"/>
                <w:sz w:val="24"/>
                <w:szCs w:val="24"/>
                <w:highlight w:val="none"/>
              </w:rPr>
              <w:t>从安全生产、方便运输、便于管理、节省能源、环境保护等方面综合考虑，厂区总平面布置图基本合理。项目所在厂区总平面布置图见附图3</w:t>
            </w:r>
            <w:r>
              <w:rPr>
                <w:rFonts w:hint="eastAsia" w:cs="Times New Roman"/>
                <w:color w:val="auto"/>
                <w:sz w:val="24"/>
                <w:szCs w:val="24"/>
                <w:highlight w:val="none"/>
                <w:lang w:eastAsia="zh-CN"/>
              </w:rPr>
              <w:t>。</w:t>
            </w:r>
          </w:p>
        </w:tc>
      </w:tr>
      <w:tr w14:paraId="64D9C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8" w:type="dxa"/>
            <w:tcBorders>
              <w:top w:val="single" w:color="auto" w:sz="12" w:space="0"/>
              <w:bottom w:val="single" w:color="auto" w:sz="12" w:space="0"/>
            </w:tcBorders>
            <w:noWrap w:val="0"/>
            <w:vAlign w:val="center"/>
          </w:tcPr>
          <w:p w14:paraId="2124ADD6">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工艺</w:t>
            </w:r>
          </w:p>
          <w:p w14:paraId="356E1840">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流程</w:t>
            </w:r>
          </w:p>
          <w:p w14:paraId="298D5549">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和产</w:t>
            </w:r>
          </w:p>
          <w:p w14:paraId="4E59D5D3">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排污</w:t>
            </w:r>
          </w:p>
          <w:p w14:paraId="30727149">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环节</w:t>
            </w:r>
          </w:p>
        </w:tc>
        <w:tc>
          <w:tcPr>
            <w:tcW w:w="8419" w:type="dxa"/>
            <w:tcBorders>
              <w:top w:val="single" w:color="auto" w:sz="12" w:space="0"/>
              <w:bottom w:val="single" w:color="auto" w:sz="12" w:space="0"/>
            </w:tcBorders>
            <w:noWrap w:val="0"/>
            <w:vAlign w:val="top"/>
          </w:tcPr>
          <w:p w14:paraId="7E17F3B4">
            <w:pPr>
              <w:numPr>
                <w:ilvl w:val="0"/>
                <w:numId w:val="3"/>
              </w:numPr>
              <w:adjustRightInd w:val="0"/>
              <w:snapToGrid w:val="0"/>
              <w:spacing w:line="360" w:lineRule="auto"/>
              <w:ind w:firstLine="482" w:firstLineChars="200"/>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sz w:val="24"/>
                <w:szCs w:val="24"/>
              </w:rPr>
              <w:t>施工期</w:t>
            </w:r>
          </w:p>
          <w:p w14:paraId="5B9B98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本项目于租赁的现有厂房内建设，项目施工期工程量较小，施工期主要进行设备安装和调试，本次环评不再对施工期的环境影响进行评价。</w:t>
            </w:r>
          </w:p>
          <w:p w14:paraId="57813DC4">
            <w:pPr>
              <w:snapToGrid w:val="0"/>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二、营运期</w:t>
            </w:r>
            <w:r>
              <w:rPr>
                <w:rFonts w:hint="default" w:ascii="Times New Roman" w:hAnsi="Times New Roman" w:eastAsia="宋体" w:cs="Times New Roman"/>
                <w:b/>
                <w:bCs/>
                <w:color w:val="auto"/>
                <w:sz w:val="24"/>
                <w:szCs w:val="24"/>
                <w:highlight w:val="none"/>
                <w:lang w:val="en-US" w:eastAsia="zh-CN"/>
              </w:rPr>
              <w:t>工艺流程及产排污环节</w:t>
            </w:r>
          </w:p>
          <w:p w14:paraId="13C5DD66">
            <w:pPr>
              <w:keepNext w:val="0"/>
              <w:keepLines w:val="0"/>
              <w:pageBreakBefore w:val="0"/>
              <w:widowControl w:val="0"/>
              <w:kinsoku/>
              <w:overflowPunct/>
              <w:topLinePunct w:val="0"/>
              <w:autoSpaceDE/>
              <w:autoSpaceDN/>
              <w:bidi w:val="0"/>
              <w:adjustRightInd w:val="0"/>
              <w:snapToGrid w:val="0"/>
              <w:spacing w:line="360" w:lineRule="auto"/>
              <w:ind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生产工艺</w:t>
            </w:r>
            <w:r>
              <w:rPr>
                <w:rFonts w:hint="default" w:ascii="Times New Roman" w:hAnsi="Times New Roman" w:eastAsia="宋体" w:cs="Times New Roman"/>
                <w:b/>
                <w:bCs/>
                <w:color w:val="auto"/>
                <w:sz w:val="24"/>
                <w:szCs w:val="24"/>
                <w:highlight w:val="none"/>
                <w:lang w:eastAsia="zh-CN"/>
              </w:rPr>
              <w:t>流</w:t>
            </w:r>
            <w:r>
              <w:rPr>
                <w:rFonts w:hint="default" w:ascii="Times New Roman" w:hAnsi="Times New Roman" w:eastAsia="宋体" w:cs="Times New Roman"/>
                <w:b/>
                <w:bCs/>
                <w:color w:val="auto"/>
                <w:sz w:val="24"/>
                <w:szCs w:val="24"/>
                <w:highlight w:val="none"/>
              </w:rPr>
              <w:t>程</w:t>
            </w:r>
          </w:p>
          <w:p w14:paraId="15DC72CA">
            <w:pPr>
              <w:pStyle w:val="36"/>
              <w:ind w:left="0" w:leftChars="0" w:firstLine="0" w:firstLineChars="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lang w:val="en-US"/>
              </w:rPr>
              <mc:AlternateContent>
                <mc:Choice Requires="wpc">
                  <w:drawing>
                    <wp:inline distT="0" distB="0" distL="114300" distR="114300">
                      <wp:extent cx="5530215" cy="2153920"/>
                      <wp:effectExtent l="0" t="0" r="0" b="0"/>
                      <wp:docPr id="31" name="画布 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 name="文本框 12"/>
                              <wps:cNvSpPr txBox="1"/>
                              <wps:spPr>
                                <a:xfrm>
                                  <a:off x="33020" y="667385"/>
                                  <a:ext cx="591185" cy="292100"/>
                                </a:xfrm>
                                <a:prstGeom prst="rect">
                                  <a:avLst/>
                                </a:prstGeom>
                                <a:noFill/>
                                <a:ln w="12700" cap="flat" cmpd="sng">
                                  <a:solidFill>
                                    <a:srgbClr val="000000"/>
                                  </a:solidFill>
                                  <a:prstDash val="solid"/>
                                  <a:miter/>
                                  <a:headEnd type="none" w="med" len="med"/>
                                  <a:tailEnd type="none" w="med" len="med"/>
                                </a:ln>
                              </wps:spPr>
                              <wps:txbx>
                                <w:txbxContent>
                                  <w:p w14:paraId="5C2829BC">
                                    <w:pPr>
                                      <w:jc w:val="center"/>
                                      <w:rPr>
                                        <w:rFonts w:hint="default" w:ascii="Times New Roman" w:hAnsi="Times New Roman" w:eastAsia="宋体" w:cs="Times New Roman"/>
                                        <w:szCs w:val="20"/>
                                        <w:lang w:val="en-US"/>
                                      </w:rPr>
                                    </w:pPr>
                                    <w:r>
                                      <w:rPr>
                                        <w:rFonts w:hint="eastAsia" w:cs="Times New Roman"/>
                                        <w:szCs w:val="20"/>
                                        <w:lang w:val="en-US" w:eastAsia="zh-CN"/>
                                      </w:rPr>
                                      <w:t>原料</w:t>
                                    </w:r>
                                  </w:p>
                                </w:txbxContent>
                              </wps:txbx>
                              <wps:bodyPr upright="1"/>
                            </wps:wsp>
                            <wps:wsp>
                              <wps:cNvPr id="24" name="文本框 13"/>
                              <wps:cNvSpPr txBox="1"/>
                              <wps:spPr>
                                <a:xfrm>
                                  <a:off x="2016760" y="660400"/>
                                  <a:ext cx="466090" cy="292100"/>
                                </a:xfrm>
                                <a:prstGeom prst="rect">
                                  <a:avLst/>
                                </a:prstGeom>
                                <a:noFill/>
                                <a:ln w="12700" cap="flat" cmpd="sng">
                                  <a:solidFill>
                                    <a:srgbClr val="000000"/>
                                  </a:solidFill>
                                  <a:prstDash val="solid"/>
                                  <a:miter/>
                                  <a:headEnd type="none" w="med" len="med"/>
                                  <a:tailEnd type="none" w="med" len="med"/>
                                </a:ln>
                              </wps:spPr>
                              <wps:txbx>
                                <w:txbxContent>
                                  <w:p w14:paraId="0B4B6C72">
                                    <w:pPr>
                                      <w:jc w:val="center"/>
                                      <w:rPr>
                                        <w:rFonts w:hint="default" w:ascii="Times New Roman" w:hAnsi="Times New Roman" w:eastAsia="宋体" w:cs="Times New Roman"/>
                                        <w:szCs w:val="20"/>
                                        <w:lang w:val="en-US"/>
                                      </w:rPr>
                                    </w:pPr>
                                    <w:r>
                                      <w:rPr>
                                        <w:rFonts w:hint="eastAsia" w:cs="Times New Roman"/>
                                        <w:szCs w:val="20"/>
                                        <w:lang w:val="en-US" w:eastAsia="zh-CN"/>
                                      </w:rPr>
                                      <w:t>吹塑</w:t>
                                    </w:r>
                                  </w:p>
                                </w:txbxContent>
                              </wps:txbx>
                              <wps:bodyPr upright="1"/>
                            </wps:wsp>
                            <wps:wsp>
                              <wps:cNvPr id="25" name="文本框 14"/>
                              <wps:cNvSpPr txBox="1"/>
                              <wps:spPr>
                                <a:xfrm>
                                  <a:off x="3022600" y="662940"/>
                                  <a:ext cx="495300" cy="292100"/>
                                </a:xfrm>
                                <a:prstGeom prst="rect">
                                  <a:avLst/>
                                </a:prstGeom>
                                <a:noFill/>
                                <a:ln w="12700" cap="flat" cmpd="sng">
                                  <a:solidFill>
                                    <a:srgbClr val="000000"/>
                                  </a:solidFill>
                                  <a:prstDash val="solid"/>
                                  <a:miter/>
                                  <a:headEnd type="none" w="med" len="med"/>
                                  <a:tailEnd type="none" w="med" len="med"/>
                                </a:ln>
                              </wps:spPr>
                              <wps:txbx>
                                <w:txbxContent>
                                  <w:p w14:paraId="35C26D25">
                                    <w:pPr>
                                      <w:jc w:val="center"/>
                                      <w:rPr>
                                        <w:rFonts w:hint="default" w:ascii="Times New Roman" w:hAnsi="Times New Roman" w:eastAsia="宋体" w:cs="Times New Roman"/>
                                        <w:szCs w:val="20"/>
                                        <w:lang w:val="en-US"/>
                                      </w:rPr>
                                    </w:pPr>
                                    <w:r>
                                      <w:rPr>
                                        <w:rFonts w:hint="eastAsia" w:cs="Times New Roman"/>
                                        <w:szCs w:val="20"/>
                                        <w:lang w:val="en-US" w:eastAsia="zh-CN"/>
                                      </w:rPr>
                                      <w:t>冷却</w:t>
                                    </w:r>
                                  </w:p>
                                </w:txbxContent>
                              </wps:txbx>
                              <wps:bodyPr upright="1"/>
                            </wps:wsp>
                            <wps:wsp>
                              <wps:cNvPr id="28" name="直接箭头连接符 17"/>
                              <wps:cNvCnPr/>
                              <wps:spPr>
                                <a:xfrm>
                                  <a:off x="2485390" y="808990"/>
                                  <a:ext cx="523240" cy="3810"/>
                                </a:xfrm>
                                <a:prstGeom prst="straightConnector1">
                                  <a:avLst/>
                                </a:prstGeom>
                                <a:ln w="6350" cap="flat" cmpd="sng">
                                  <a:solidFill>
                                    <a:srgbClr val="000000"/>
                                  </a:solidFill>
                                  <a:prstDash val="solid"/>
                                  <a:miter/>
                                  <a:headEnd type="none" w="med" len="med"/>
                                  <a:tailEnd type="triangle" w="med" len="med"/>
                                </a:ln>
                              </wps:spPr>
                              <wps:bodyPr/>
                            </wps:wsp>
                            <wps:wsp>
                              <wps:cNvPr id="33" name="直接箭头连接符 26"/>
                              <wps:cNvCnPr/>
                              <wps:spPr>
                                <a:xfrm flipH="1">
                                  <a:off x="2239645" y="969010"/>
                                  <a:ext cx="2540" cy="791845"/>
                                </a:xfrm>
                                <a:prstGeom prst="straightConnector1">
                                  <a:avLst/>
                                </a:prstGeom>
                                <a:ln w="6350" cap="flat" cmpd="sng">
                                  <a:solidFill>
                                    <a:srgbClr val="000000"/>
                                  </a:solidFill>
                                  <a:prstDash val="solid"/>
                                  <a:miter/>
                                  <a:headEnd type="none" w="med" len="med"/>
                                  <a:tailEnd type="triangle" w="med" len="med"/>
                                </a:ln>
                              </wps:spPr>
                              <wps:bodyPr/>
                            </wps:wsp>
                            <wps:wsp>
                              <wps:cNvPr id="38" name="文本框 34"/>
                              <wps:cNvSpPr txBox="1"/>
                              <wps:spPr>
                                <a:xfrm>
                                  <a:off x="2004060" y="1796415"/>
                                  <a:ext cx="543560" cy="297815"/>
                                </a:xfrm>
                                <a:prstGeom prst="rect">
                                  <a:avLst/>
                                </a:prstGeom>
                                <a:noFill/>
                                <a:ln w="12700" cap="flat" cmpd="sng">
                                  <a:solidFill>
                                    <a:srgbClr val="000000"/>
                                  </a:solidFill>
                                  <a:prstDash val="solid"/>
                                  <a:miter/>
                                  <a:headEnd type="none" w="med" len="med"/>
                                  <a:tailEnd type="none" w="med" len="med"/>
                                </a:ln>
                              </wps:spPr>
                              <wps:txbx>
                                <w:txbxContent>
                                  <w:p w14:paraId="38C2BE0D">
                                    <w:pPr>
                                      <w:jc w:val="center"/>
                                      <w:rPr>
                                        <w:rFonts w:hint="default" w:ascii="Times New Roman" w:hAnsi="Times New Roman" w:eastAsia="宋体" w:cs="Times New Roman"/>
                                        <w:szCs w:val="20"/>
                                        <w:lang w:val="en-US" w:eastAsia="zh-CN"/>
                                      </w:rPr>
                                    </w:pPr>
                                    <w:r>
                                      <w:rPr>
                                        <w:rFonts w:hint="eastAsia" w:cs="Times New Roman"/>
                                        <w:szCs w:val="20"/>
                                        <w:lang w:val="en-US" w:eastAsia="zh-CN"/>
                                      </w:rPr>
                                      <w:t>破碎</w:t>
                                    </w:r>
                                  </w:p>
                                </w:txbxContent>
                              </wps:txbx>
                              <wps:bodyPr upright="1"/>
                            </wps:wsp>
                            <wps:wsp>
                              <wps:cNvPr id="42" name="直接箭头连接符 37"/>
                              <wps:cNvCnPr/>
                              <wps:spPr>
                                <a:xfrm flipH="1" flipV="1">
                                  <a:off x="2259965" y="391795"/>
                                  <a:ext cx="635" cy="254000"/>
                                </a:xfrm>
                                <a:prstGeom prst="straightConnector1">
                                  <a:avLst/>
                                </a:prstGeom>
                                <a:ln w="6350" cap="flat" cmpd="sng">
                                  <a:solidFill>
                                    <a:srgbClr val="000000"/>
                                  </a:solidFill>
                                  <a:prstDash val="dash"/>
                                  <a:miter/>
                                  <a:headEnd type="none" w="med" len="med"/>
                                  <a:tailEnd type="triangle" w="med" len="med"/>
                                </a:ln>
                              </wps:spPr>
                              <wps:bodyPr/>
                            </wps:wsp>
                            <wps:wsp>
                              <wps:cNvPr id="6" name="直接箭头连接符 6"/>
                              <wps:cNvCnPr/>
                              <wps:spPr>
                                <a:xfrm flipH="1" flipV="1">
                                  <a:off x="2054860" y="1546225"/>
                                  <a:ext cx="635" cy="254000"/>
                                </a:xfrm>
                                <a:prstGeom prst="straightConnector1">
                                  <a:avLst/>
                                </a:prstGeom>
                                <a:ln w="6350" cap="flat" cmpd="sng">
                                  <a:solidFill>
                                    <a:srgbClr val="000000"/>
                                  </a:solidFill>
                                  <a:prstDash val="dash"/>
                                  <a:miter/>
                                  <a:headEnd type="none" w="med" len="med"/>
                                  <a:tailEnd type="triangle" w="med" len="med"/>
                                </a:ln>
                              </wps:spPr>
                              <wps:bodyPr/>
                            </wps:wsp>
                            <wps:wsp>
                              <wps:cNvPr id="22" name="直接箭头连接符 17"/>
                              <wps:cNvCnPr/>
                              <wps:spPr>
                                <a:xfrm flipV="1">
                                  <a:off x="3531870" y="810895"/>
                                  <a:ext cx="518795" cy="6350"/>
                                </a:xfrm>
                                <a:prstGeom prst="straightConnector1">
                                  <a:avLst/>
                                </a:prstGeom>
                                <a:ln w="6350" cap="flat" cmpd="sng">
                                  <a:solidFill>
                                    <a:srgbClr val="000000"/>
                                  </a:solidFill>
                                  <a:prstDash val="solid"/>
                                  <a:miter/>
                                  <a:headEnd type="none" w="med" len="med"/>
                                  <a:tailEnd type="triangle" w="med" len="med"/>
                                </a:ln>
                              </wps:spPr>
                              <wps:bodyPr/>
                            </wps:wsp>
                            <wps:wsp>
                              <wps:cNvPr id="16" name="文本框 25"/>
                              <wps:cNvSpPr txBox="1"/>
                              <wps:spPr>
                                <a:xfrm>
                                  <a:off x="4074795" y="647065"/>
                                  <a:ext cx="521335" cy="292100"/>
                                </a:xfrm>
                                <a:prstGeom prst="rect">
                                  <a:avLst/>
                                </a:prstGeom>
                                <a:noFill/>
                                <a:ln w="12700" cap="flat" cmpd="sng">
                                  <a:solidFill>
                                    <a:srgbClr val="000000"/>
                                  </a:solidFill>
                                  <a:prstDash val="solid"/>
                                  <a:miter/>
                                  <a:headEnd type="none" w="med" len="med"/>
                                  <a:tailEnd type="none" w="med" len="med"/>
                                </a:ln>
                              </wps:spPr>
                              <wps:txbx>
                                <w:txbxContent>
                                  <w:p w14:paraId="1658B4C4">
                                    <w:pPr>
                                      <w:jc w:val="center"/>
                                      <w:rPr>
                                        <w:rFonts w:hint="default" w:ascii="Times New Roman" w:hAnsi="Times New Roman" w:eastAsia="宋体" w:cs="Times New Roman"/>
                                        <w:szCs w:val="20"/>
                                        <w:lang w:val="en-US" w:eastAsia="zh-CN"/>
                                      </w:rPr>
                                    </w:pPr>
                                    <w:r>
                                      <w:rPr>
                                        <w:rFonts w:hint="eastAsia" w:cs="Times New Roman"/>
                                        <w:szCs w:val="20"/>
                                        <w:lang w:val="en-US" w:eastAsia="zh-CN"/>
                                      </w:rPr>
                                      <w:t>成品</w:t>
                                    </w:r>
                                  </w:p>
                                </w:txbxContent>
                              </wps:txbx>
                              <wps:bodyPr upright="1"/>
                            </wps:wsp>
                            <wps:wsp>
                              <wps:cNvPr id="20" name="文本框 36"/>
                              <wps:cNvSpPr txBox="1"/>
                              <wps:spPr>
                                <a:xfrm>
                                  <a:off x="1325245" y="143510"/>
                                  <a:ext cx="1889125" cy="254000"/>
                                </a:xfrm>
                                <a:prstGeom prst="rect">
                                  <a:avLst/>
                                </a:prstGeom>
                                <a:noFill/>
                                <a:ln w="6350">
                                  <a:noFill/>
                                </a:ln>
                              </wps:spPr>
                              <wps:txbx>
                                <w:txbxContent>
                                  <w:p w14:paraId="1B3D82C1">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噪声</w:t>
                                    </w:r>
                                    <w:r>
                                      <w:rPr>
                                        <w:rFonts w:hint="eastAsia" w:ascii="Times New Roman" w:hAnsi="Times New Roman" w:eastAsia="宋体" w:cs="Times New Roman"/>
                                        <w:sz w:val="18"/>
                                        <w:szCs w:val="16"/>
                                        <w:lang w:val="en-US" w:eastAsia="zh-CN"/>
                                      </w:rPr>
                                      <w:t>、</w:t>
                                    </w:r>
                                    <w:r>
                                      <w:rPr>
                                        <w:rFonts w:hint="eastAsia" w:cs="Times New Roman"/>
                                        <w:sz w:val="18"/>
                                        <w:szCs w:val="16"/>
                                        <w:lang w:val="en-US" w:eastAsia="zh-CN"/>
                                      </w:rPr>
                                      <w:t>VOCs、颗粒物、臭气浓度</w:t>
                                    </w:r>
                                  </w:p>
                                </w:txbxContent>
                              </wps:txbx>
                              <wps:bodyPr upright="1"/>
                            </wps:wsp>
                            <wps:wsp>
                              <wps:cNvPr id="46" name="文本框 36"/>
                              <wps:cNvSpPr txBox="1"/>
                              <wps:spPr>
                                <a:xfrm>
                                  <a:off x="2143760" y="1071245"/>
                                  <a:ext cx="533400" cy="254000"/>
                                </a:xfrm>
                                <a:prstGeom prst="rect">
                                  <a:avLst/>
                                </a:prstGeom>
                                <a:noFill/>
                                <a:ln w="6350">
                                  <a:noFill/>
                                </a:ln>
                              </wps:spPr>
                              <wps:txbx>
                                <w:txbxContent>
                                  <w:p w14:paraId="55C9E5D0">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下脚料</w:t>
                                    </w:r>
                                  </w:p>
                                </w:txbxContent>
                              </wps:txbx>
                              <wps:bodyPr upright="1"/>
                            </wps:wsp>
                            <wps:wsp>
                              <wps:cNvPr id="47" name="文本框 36"/>
                              <wps:cNvSpPr txBox="1"/>
                              <wps:spPr>
                                <a:xfrm>
                                  <a:off x="1518920" y="1339850"/>
                                  <a:ext cx="920750" cy="254000"/>
                                </a:xfrm>
                                <a:prstGeom prst="rect">
                                  <a:avLst/>
                                </a:prstGeom>
                                <a:noFill/>
                                <a:ln w="6350">
                                  <a:noFill/>
                                </a:ln>
                              </wps:spPr>
                              <wps:txbx>
                                <w:txbxContent>
                                  <w:p w14:paraId="292E01C8">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噪声</w:t>
                                    </w:r>
                                    <w:r>
                                      <w:rPr>
                                        <w:rFonts w:hint="eastAsia" w:ascii="Times New Roman" w:hAnsi="Times New Roman" w:eastAsia="宋体" w:cs="Times New Roman"/>
                                        <w:sz w:val="18"/>
                                        <w:szCs w:val="16"/>
                                        <w:lang w:val="en-US" w:eastAsia="zh-CN"/>
                                      </w:rPr>
                                      <w:t>、</w:t>
                                    </w:r>
                                    <w:r>
                                      <w:rPr>
                                        <w:rFonts w:hint="eastAsia" w:cs="Times New Roman"/>
                                        <w:sz w:val="18"/>
                                        <w:szCs w:val="16"/>
                                        <w:lang w:val="en-US" w:eastAsia="zh-CN"/>
                                      </w:rPr>
                                      <w:t>颗粒物</w:t>
                                    </w:r>
                                  </w:p>
                                </w:txbxContent>
                              </wps:txbx>
                              <wps:bodyPr upright="1"/>
                            </wps:wsp>
                            <wps:wsp>
                              <wps:cNvPr id="48" name="直接箭头连接符 17"/>
                              <wps:cNvCnPr/>
                              <wps:spPr>
                                <a:xfrm flipV="1">
                                  <a:off x="624205" y="808990"/>
                                  <a:ext cx="389255" cy="4445"/>
                                </a:xfrm>
                                <a:prstGeom prst="straightConnector1">
                                  <a:avLst/>
                                </a:prstGeom>
                                <a:ln w="6350" cap="flat" cmpd="sng">
                                  <a:solidFill>
                                    <a:srgbClr val="000000"/>
                                  </a:solidFill>
                                  <a:prstDash val="solid"/>
                                  <a:miter/>
                                  <a:headEnd type="none" w="med" len="med"/>
                                  <a:tailEnd type="triangle" w="med" len="med"/>
                                </a:ln>
                              </wps:spPr>
                              <wps:bodyPr/>
                            </wps:wsp>
                            <wps:wsp>
                              <wps:cNvPr id="49" name="任意多边形 49"/>
                              <wps:cNvSpPr/>
                              <wps:spPr>
                                <a:xfrm>
                                  <a:off x="1051560" y="834390"/>
                                  <a:ext cx="960755" cy="1112520"/>
                                </a:xfrm>
                                <a:custGeom>
                                  <a:avLst/>
                                  <a:gdLst>
                                    <a:gd name="connisteX0" fmla="*/ 901700 w 901700"/>
                                    <a:gd name="connsiteY0" fmla="*/ 1053465 h 1053465"/>
                                    <a:gd name="connisteX1" fmla="*/ 0 w 901700"/>
                                    <a:gd name="connsiteY1" fmla="*/ 1053465 h 1053465"/>
                                    <a:gd name="connisteX2" fmla="*/ 850900 w 901700"/>
                                    <a:gd name="connsiteY2" fmla="*/ 0 h 1053465"/>
                                  </a:gdLst>
                                  <a:ahLst/>
                                  <a:cxnLst>
                                    <a:cxn ang="0">
                                      <a:pos x="connisteX0" y="connsiteY0"/>
                                    </a:cxn>
                                    <a:cxn ang="0">
                                      <a:pos x="connisteX1" y="connsiteY1"/>
                                    </a:cxn>
                                    <a:cxn ang="0">
                                      <a:pos x="connisteX2" y="connsiteY2"/>
                                    </a:cxn>
                                  </a:cxnLst>
                                  <a:rect l="l" t="t" r="r" b="b"/>
                                  <a:pathLst>
                                    <a:path w="901700" h="1053465">
                                      <a:moveTo>
                                        <a:pt x="901700" y="1053465"/>
                                      </a:moveTo>
                                      <a:lnTo>
                                        <a:pt x="0" y="1053465"/>
                                      </a:lnTo>
                                      <a:lnTo>
                                        <a:pt x="850900" y="0"/>
                                      </a:lnTo>
                                    </a:path>
                                  </a:pathLst>
                                </a:custGeom>
                                <a:noFill/>
                                <a:ln w="12700">
                                  <a:solidFill>
                                    <a:schemeClr val="tx1"/>
                                  </a:solidFill>
                                  <a:tailEnd type="triangle"/>
                                </a:ln>
                              </wps:spPr>
                              <wps:style>
                                <a:lnRef idx="2">
                                  <a:schemeClr val="accent1">
                                    <a:lumMod val="75000"/>
                                  </a:schemeClr>
                                </a:lnRef>
                                <a:fillRef idx="1">
                                  <a:schemeClr val="accent1"/>
                                </a:fillRef>
                                <a:effectRef idx="0">
                                  <a:srgbClr val="FFFFFF"/>
                                </a:effectRef>
                                <a:fontRef idx="minor">
                                  <a:schemeClr val="lt1"/>
                                </a:fontRef>
                              </wps:style>
                              <wps:bodyPr/>
                            </wps:wsp>
                            <wps:wsp>
                              <wps:cNvPr id="50" name="文本框 12"/>
                              <wps:cNvSpPr txBox="1"/>
                              <wps:spPr>
                                <a:xfrm>
                                  <a:off x="387350" y="1779905"/>
                                  <a:ext cx="675640" cy="292100"/>
                                </a:xfrm>
                                <a:prstGeom prst="rect">
                                  <a:avLst/>
                                </a:prstGeom>
                                <a:noFill/>
                                <a:ln w="12700" cap="flat" cmpd="sng">
                                  <a:solidFill>
                                    <a:srgbClr val="000000"/>
                                  </a:solidFill>
                                  <a:prstDash val="solid"/>
                                  <a:miter/>
                                  <a:headEnd type="none" w="med" len="med"/>
                                  <a:tailEnd type="none" w="med" len="med"/>
                                </a:ln>
                              </wps:spPr>
                              <wps:txbx>
                                <w:txbxContent>
                                  <w:p w14:paraId="56E9BC56">
                                    <w:pPr>
                                      <w:jc w:val="center"/>
                                      <w:rPr>
                                        <w:rFonts w:hint="default" w:ascii="Times New Roman" w:hAnsi="Times New Roman" w:eastAsia="宋体" w:cs="Times New Roman"/>
                                        <w:szCs w:val="20"/>
                                        <w:lang w:val="en-US"/>
                                      </w:rPr>
                                    </w:pPr>
                                    <w:r>
                                      <w:rPr>
                                        <w:rFonts w:hint="eastAsia" w:cs="Times New Roman"/>
                                        <w:szCs w:val="20"/>
                                        <w:lang w:val="en-US" w:eastAsia="zh-CN"/>
                                      </w:rPr>
                                      <w:t>回收料</w:t>
                                    </w:r>
                                  </w:p>
                                </w:txbxContent>
                              </wps:txbx>
                              <wps:bodyPr upright="1"/>
                            </wps:wsp>
                            <wps:wsp>
                              <wps:cNvPr id="18" name="文本框 12"/>
                              <wps:cNvSpPr txBox="1"/>
                              <wps:spPr>
                                <a:xfrm>
                                  <a:off x="1010920" y="675640"/>
                                  <a:ext cx="591185" cy="292100"/>
                                </a:xfrm>
                                <a:prstGeom prst="rect">
                                  <a:avLst/>
                                </a:prstGeom>
                                <a:noFill/>
                                <a:ln w="12700" cap="flat" cmpd="sng">
                                  <a:solidFill>
                                    <a:srgbClr val="000000"/>
                                  </a:solidFill>
                                  <a:prstDash val="solid"/>
                                  <a:miter/>
                                  <a:headEnd type="none" w="med" len="med"/>
                                  <a:tailEnd type="none" w="med" len="med"/>
                                </a:ln>
                              </wps:spPr>
                              <wps:txbx>
                                <w:txbxContent>
                                  <w:p w14:paraId="269BA4C1">
                                    <w:pPr>
                                      <w:jc w:val="center"/>
                                      <w:rPr>
                                        <w:rFonts w:hint="eastAsia"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混料</w:t>
                                    </w:r>
                                  </w:p>
                                </w:txbxContent>
                              </wps:txbx>
                              <wps:bodyPr upright="1"/>
                            </wps:wsp>
                            <wps:wsp>
                              <wps:cNvPr id="21" name="直接箭头连接符 17"/>
                              <wps:cNvCnPr/>
                              <wps:spPr>
                                <a:xfrm flipV="1">
                                  <a:off x="1618615" y="808990"/>
                                  <a:ext cx="389255" cy="4445"/>
                                </a:xfrm>
                                <a:prstGeom prst="straightConnector1">
                                  <a:avLst/>
                                </a:prstGeom>
                                <a:ln w="6350" cap="flat" cmpd="sng">
                                  <a:solidFill>
                                    <a:srgbClr val="000000"/>
                                  </a:solidFill>
                                  <a:prstDash val="solid"/>
                                  <a:miter/>
                                  <a:headEnd type="none" w="med" len="med"/>
                                  <a:tailEnd type="triangle" w="med" len="med"/>
                                </a:ln>
                              </wps:spPr>
                              <wps:bodyPr/>
                            </wps:wsp>
                          </wpc:wpc>
                        </a:graphicData>
                      </a:graphic>
                    </wp:inline>
                  </w:drawing>
                </mc:Choice>
                <mc:Fallback>
                  <w:pict>
                    <v:group id="_x0000_s1026" o:spid="_x0000_s1026" o:spt="203" style="height:169.6pt;width:435.45pt;" coordsize="5530215,2153920" editas="canvas" o:gfxdata="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">
                      <o:lock v:ext="edit" aspectratio="f"/>
                      <v:shape id="_x0000_s1026" o:spid="_x0000_s1026" style="position:absolute;left:0;top:0;height:2153920;width:5530215;" filled="f" stroked="f" coordsize="21600,21600" o:gfxdata="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">
                        <v:fill on="f" focussize="0,0"/>
                        <v:stroke on="f"/>
                        <v:imagedata o:title=""/>
                        <o:lock v:ext="edit" aspectratio="t"/>
                      </v:shape>
                      <v:shape id="文本框 12" o:spid="_x0000_s1026" o:spt="202" type="#_x0000_t202" style="position:absolute;left:33020;top:667385;height:292100;width:591185;"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d4XsFdQAAAAFAQAADwAAAAAAAAABACAA&#10;AAAiAAAAZHJzL2Rvd25yZXYueG1sUEsBAhQAFAAAAAgAh07iQO1Z0/kRAgAAGAQAAA4AAAAAAAAA&#10;AQAgAAAAIwEAAGRycy9lMm9Eb2MueG1sUEsFBgAAAAAGAAYAWQEAAKYFAAAAAA==&#10;">
                        <v:fill on="f" focussize="0,0"/>
                        <v:stroke weight="1pt" color="#000000" joinstyle="miter"/>
                        <v:imagedata o:title=""/>
                        <o:lock v:ext="edit" aspectratio="f"/>
                        <v:textbox>
                          <w:txbxContent>
                            <w:p w14:paraId="5C2829BC">
                              <w:pPr>
                                <w:jc w:val="center"/>
                                <w:rPr>
                                  <w:rFonts w:hint="default" w:ascii="Times New Roman" w:hAnsi="Times New Roman" w:eastAsia="宋体" w:cs="Times New Roman"/>
                                  <w:szCs w:val="20"/>
                                  <w:lang w:val="en-US"/>
                                </w:rPr>
                              </w:pPr>
                              <w:r>
                                <w:rPr>
                                  <w:rFonts w:hint="eastAsia" w:cs="Times New Roman"/>
                                  <w:szCs w:val="20"/>
                                  <w:lang w:val="en-US" w:eastAsia="zh-CN"/>
                                </w:rPr>
                                <w:t>原料</w:t>
                              </w:r>
                            </w:p>
                          </w:txbxContent>
                        </v:textbox>
                      </v:shape>
                      <v:shape id="文本框 13" o:spid="_x0000_s1026" o:spt="202" type="#_x0000_t202" style="position:absolute;left:2016760;top:660400;height:292100;width:466090;"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eF7BXUAAAABQEAAA8AAAAAAAAAAQAgAAAA&#10;IgAAAGRycy9kb3ducmV2LnhtbFBLAQIUABQAAAAIAIdO4kCvpsy4DwIAABoEAAAOAAAAAAAAAAEA&#10;IAAAACMBAABkcnMvZTJvRG9jLnhtbFBLBQYAAAAABgAGAFkBAACkBQAAAAA=&#10;">
                        <v:fill on="f" focussize="0,0"/>
                        <v:stroke weight="1pt" color="#000000" joinstyle="miter"/>
                        <v:imagedata o:title=""/>
                        <o:lock v:ext="edit" aspectratio="f"/>
                        <v:textbox>
                          <w:txbxContent>
                            <w:p w14:paraId="0B4B6C72">
                              <w:pPr>
                                <w:jc w:val="center"/>
                                <w:rPr>
                                  <w:rFonts w:hint="default" w:ascii="Times New Roman" w:hAnsi="Times New Roman" w:eastAsia="宋体" w:cs="Times New Roman"/>
                                  <w:szCs w:val="20"/>
                                  <w:lang w:val="en-US"/>
                                </w:rPr>
                              </w:pPr>
                              <w:r>
                                <w:rPr>
                                  <w:rFonts w:hint="eastAsia" w:cs="Times New Roman"/>
                                  <w:szCs w:val="20"/>
                                  <w:lang w:val="en-US" w:eastAsia="zh-CN"/>
                                </w:rPr>
                                <w:t>吹塑</w:t>
                              </w:r>
                            </w:p>
                          </w:txbxContent>
                        </v:textbox>
                      </v:shape>
                      <v:shape id="文本框 14" o:spid="_x0000_s1026" o:spt="202" type="#_x0000_t202" style="position:absolute;left:3022600;top:662940;height:292100;width:495300;"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eF7BXUAAAABQEAAA8AAAAAAAAAAQAgAAAA&#10;IgAAAGRycy9kb3ducmV2LnhtbFBLAQIUABQAAAAIAIdO4kDZDudiDwIAABoEAAAOAAAAAAAAAAEA&#10;IAAAACMBAABkcnMvZTJvRG9jLnhtbFBLBQYAAAAABgAGAFkBAACkBQAAAAA=&#10;">
                        <v:fill on="f" focussize="0,0"/>
                        <v:stroke weight="1pt" color="#000000" joinstyle="miter"/>
                        <v:imagedata o:title=""/>
                        <o:lock v:ext="edit" aspectratio="f"/>
                        <v:textbox>
                          <w:txbxContent>
                            <w:p w14:paraId="35C26D25">
                              <w:pPr>
                                <w:jc w:val="center"/>
                                <w:rPr>
                                  <w:rFonts w:hint="default" w:ascii="Times New Roman" w:hAnsi="Times New Roman" w:eastAsia="宋体" w:cs="Times New Roman"/>
                                  <w:szCs w:val="20"/>
                                  <w:lang w:val="en-US"/>
                                </w:rPr>
                              </w:pPr>
                              <w:r>
                                <w:rPr>
                                  <w:rFonts w:hint="eastAsia" w:cs="Times New Roman"/>
                                  <w:szCs w:val="20"/>
                                  <w:lang w:val="en-US" w:eastAsia="zh-CN"/>
                                </w:rPr>
                                <w:t>冷却</w:t>
                              </w:r>
                            </w:p>
                          </w:txbxContent>
                        </v:textbox>
                      </v:shape>
                      <v:shape id="直接箭头连接符 17" o:spid="_x0000_s1026" o:spt="32" type="#_x0000_t32" style="position:absolute;left:2485390;top:808990;height:3810;width:523240;" filled="f" stroked="t" coordsize="21600,21600" o:gfxdata="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d2Z69MAAAAFAQAADwAAAAAA&#10;AAABACAAAAAiAAAAZHJzL2Rvd25yZXYueG1sUEsBAhQAFAAAAAgAh07iQCk3EdgYAgAACQQAAA4A&#10;AAAAAAAAAQAgAAAAIgEAAGRycy9lMm9Eb2MueG1sUEsFBgAAAAAGAAYAWQEAAKwFAAAAAA==&#10;">
                        <v:fill on="f" focussize="0,0"/>
                        <v:stroke weight="0.5pt" color="#000000" joinstyle="miter" endarrow="block"/>
                        <v:imagedata o:title=""/>
                        <o:lock v:ext="edit" aspectratio="f"/>
                      </v:shape>
                      <v:shape id="直接箭头连接符 26" o:spid="_x0000_s1026" o:spt="32" type="#_x0000_t32" style="position:absolute;left:2239645;top:969010;flip:x;height:791845;width:2540;" filled="f" stroked="t" coordsize="21600,21600" o:gfxdata="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DOUDw1gAA&#10;AAUBAAAPAAAAAAAAAAEAIAAAACIAAABkcnMvZG93bnJldi54bWxQSwECFAAUAAAACACHTuJAe4ow&#10;ySACAAATBAAADgAAAAAAAAABACAAAAAlAQAAZHJzL2Uyb0RvYy54bWxQSwUGAAAAAAYABgBZAQAA&#10;twUAAAAA&#10;">
                        <v:fill on="f" focussize="0,0"/>
                        <v:stroke weight="0.5pt" color="#000000" joinstyle="miter" endarrow="block"/>
                        <v:imagedata o:title=""/>
                        <o:lock v:ext="edit" aspectratio="f"/>
                      </v:shape>
                      <v:shape id="文本框 34" o:spid="_x0000_s1026" o:spt="202" type="#_x0000_t202" style="position:absolute;left:2004060;top:1796415;height:297815;width:543560;"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4XsFdQAAAAFAQAADwAAAAAAAAABACAAAAAi&#10;AAAAZHJzL2Rvd25yZXYueG1sUEsBAhQAFAAAAAgAh07iQE23tcQOAgAAGwQAAA4AAAAAAAAAAQAg&#10;AAAAIwEAAGRycy9lMm9Eb2MueG1sUEsFBgAAAAAGAAYAWQEAAKMFAAAAAA==&#10;">
                        <v:fill on="f" focussize="0,0"/>
                        <v:stroke weight="1pt" color="#000000" joinstyle="miter"/>
                        <v:imagedata o:title=""/>
                        <o:lock v:ext="edit" aspectratio="f"/>
                        <v:textbox>
                          <w:txbxContent>
                            <w:p w14:paraId="38C2BE0D">
                              <w:pPr>
                                <w:jc w:val="center"/>
                                <w:rPr>
                                  <w:rFonts w:hint="default" w:ascii="Times New Roman" w:hAnsi="Times New Roman" w:eastAsia="宋体" w:cs="Times New Roman"/>
                                  <w:szCs w:val="20"/>
                                  <w:lang w:val="en-US" w:eastAsia="zh-CN"/>
                                </w:rPr>
                              </w:pPr>
                              <w:r>
                                <w:rPr>
                                  <w:rFonts w:hint="eastAsia" w:cs="Times New Roman"/>
                                  <w:szCs w:val="20"/>
                                  <w:lang w:val="en-US" w:eastAsia="zh-CN"/>
                                </w:rPr>
                                <w:t>破碎</w:t>
                              </w:r>
                            </w:p>
                          </w:txbxContent>
                        </v:textbox>
                      </v:shape>
                      <v:shape id="直接箭头连接符 37" o:spid="_x0000_s1026" o:spt="32" type="#_x0000_t32" style="position:absolute;left:2259965;top:391795;flip:x y;height:254000;width:635;" filled="f" stroked="t" coordsize="21600,21600" o:gfxdata="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6k&#10;qubWAAAABQEAAA8AAAAAAAAAAQAgAAAAIgAAAGRycy9kb3ducmV2LnhtbFBLAQIUABQAAAAIAIdO&#10;4kBJwLsvJQIAABsEAAAOAAAAAAAAAAEAIAAAACUBAABkcnMvZTJvRG9jLnhtbFBLBQYAAAAABgAG&#10;AFkBAAC8BQAAAAA=&#10;">
                        <v:fill on="f" focussize="0,0"/>
                        <v:stroke weight="0.5pt" color="#000000" joinstyle="miter" dashstyle="dash" endarrow="block"/>
                        <v:imagedata o:title=""/>
                        <o:lock v:ext="edit" aspectratio="f"/>
                      </v:shape>
                      <v:shape id="_x0000_s1026" o:spid="_x0000_s1026" o:spt="32" type="#_x0000_t32" style="position:absolute;left:2054860;top:1546225;flip:x y;height:254000;width:635;" filled="f" stroked="t" coordsize="21600,21600" o:gfxdata="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6kqubW&#10;AAAABQEAAA8AAAAAAAAAAQAgAAAAIgAAAGRycy9kb3ducmV2LnhtbFBLAQIUABQAAAAIAIdO4kBk&#10;zDofIgIAABoEAAAOAAAAAAAAAAEAIAAAACUBAABkcnMvZTJvRG9jLnhtbFBLBQYAAAAABgAGAFkB&#10;AAC5BQAAAAA=&#10;">
                        <v:fill on="f" focussize="0,0"/>
                        <v:stroke weight="0.5pt" color="#000000" joinstyle="miter" dashstyle="dash" endarrow="block"/>
                        <v:imagedata o:title=""/>
                        <o:lock v:ext="edit" aspectratio="f"/>
                      </v:shape>
                      <v:shape id="直接箭头连接符 17" o:spid="_x0000_s1026" o:spt="32" type="#_x0000_t32" style="position:absolute;left:3531870;top:810895;flip:y;height:6350;width:518795;" filled="f" stroked="t" coordsize="21600,21600" o:gfxdata="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zlA8NYAAAAF&#10;AQAADwAAAAAAAAABACAAAAAiAAAAZHJzL2Rvd25yZXYueG1sUEsBAhQAFAAAAAgAh07iQI03LU4e&#10;AgAAEwQAAA4AAAAAAAAAAQAgAAAAJQEAAGRycy9lMm9Eb2MueG1sUEsFBgAAAAAGAAYAWQEAALUF&#10;AAAAAA==&#10;">
                        <v:fill on="f" focussize="0,0"/>
                        <v:stroke weight="0.5pt" color="#000000" joinstyle="miter" endarrow="block"/>
                        <v:imagedata o:title=""/>
                        <o:lock v:ext="edit" aspectratio="f"/>
                      </v:shape>
                      <v:shape id="文本框 25" o:spid="_x0000_s1026" o:spt="202" type="#_x0000_t202" style="position:absolute;left:4074795;top:647065;height:292100;width:521335;"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4XsFdQAAAAFAQAADwAAAAAAAAAB&#10;ACAAAAAiAAAAZHJzL2Rvd25yZXYueG1sUEsBAhQAFAAAAAgAh07iQCOOxf8UAgAAGgQAAA4AAAAA&#10;AAAAAQAgAAAAIwEAAGRycy9lMm9Eb2MueG1sUEsFBgAAAAAGAAYAWQEAAKkFAAAAAA==&#10;">
                        <v:fill on="f" focussize="0,0"/>
                        <v:stroke weight="1pt" color="#000000" joinstyle="miter"/>
                        <v:imagedata o:title=""/>
                        <o:lock v:ext="edit" aspectratio="f"/>
                        <v:textbox>
                          <w:txbxContent>
                            <w:p w14:paraId="1658B4C4">
                              <w:pPr>
                                <w:jc w:val="center"/>
                                <w:rPr>
                                  <w:rFonts w:hint="default" w:ascii="Times New Roman" w:hAnsi="Times New Roman" w:eastAsia="宋体" w:cs="Times New Roman"/>
                                  <w:szCs w:val="20"/>
                                  <w:lang w:val="en-US" w:eastAsia="zh-CN"/>
                                </w:rPr>
                              </w:pPr>
                              <w:r>
                                <w:rPr>
                                  <w:rFonts w:hint="eastAsia" w:cs="Times New Roman"/>
                                  <w:szCs w:val="20"/>
                                  <w:lang w:val="en-US" w:eastAsia="zh-CN"/>
                                </w:rPr>
                                <w:t>成品</w:t>
                              </w:r>
                            </w:p>
                          </w:txbxContent>
                        </v:textbox>
                      </v:shape>
                      <v:shape id="文本框 36" o:spid="_x0000_s1026" o:spt="202" type="#_x0000_t202" style="position:absolute;left:1325245;top:143510;height:254000;width:1889125;" filled="f" stroked="f" coordsize="21600,21600" o:gfxdata="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GUp/l9gAAAAFAQAADwAAAAAAAAABACAAAAAiAAAAZHJzL2Rvd25yZXYueG1s&#10;UEsBAhQAFAAAAAgAh07iQC77RVC/AQAAZAMAAA4AAAAAAAAAAQAgAAAAJwEAAGRycy9lMm9Eb2Mu&#10;eG1sUEsFBgAAAAAGAAYAWQEAAFgFAAAAAA==&#10;">
                        <v:fill on="f" focussize="0,0"/>
                        <v:stroke on="f" weight="0.5pt"/>
                        <v:imagedata o:title=""/>
                        <o:lock v:ext="edit" aspectratio="f"/>
                        <v:textbox>
                          <w:txbxContent>
                            <w:p w14:paraId="1B3D82C1">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噪声</w:t>
                              </w:r>
                              <w:r>
                                <w:rPr>
                                  <w:rFonts w:hint="eastAsia" w:ascii="Times New Roman" w:hAnsi="Times New Roman" w:eastAsia="宋体" w:cs="Times New Roman"/>
                                  <w:sz w:val="18"/>
                                  <w:szCs w:val="16"/>
                                  <w:lang w:val="en-US" w:eastAsia="zh-CN"/>
                                </w:rPr>
                                <w:t>、</w:t>
                              </w:r>
                              <w:r>
                                <w:rPr>
                                  <w:rFonts w:hint="eastAsia" w:cs="Times New Roman"/>
                                  <w:sz w:val="18"/>
                                  <w:szCs w:val="16"/>
                                  <w:lang w:val="en-US" w:eastAsia="zh-CN"/>
                                </w:rPr>
                                <w:t>VOCs、颗粒物、臭气浓度</w:t>
                              </w:r>
                            </w:p>
                          </w:txbxContent>
                        </v:textbox>
                      </v:shape>
                      <v:shape id="文本框 36" o:spid="_x0000_s1026" o:spt="202" type="#_x0000_t202" style="position:absolute;left:2143760;top:1071245;height:254000;width:533400;" filled="f" stroked="f" coordsize="21600,21600" o:gfxdata="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ZSn+X2AAAAAUBAAAPAAAAAAAAAAEAIAAAACIAAABkcnMvZG93bnJldi54&#10;bWxQSwECFAAUAAAACACHTuJAKB+kSsEBAABkAwAADgAAAAAAAAABACAAAAAnAQAAZHJzL2Uyb0Rv&#10;Yy54bWxQSwUGAAAAAAYABgBZAQAAWgUAAAAA&#10;">
                        <v:fill on="f" focussize="0,0"/>
                        <v:stroke on="f" weight="0.5pt"/>
                        <v:imagedata o:title=""/>
                        <o:lock v:ext="edit" aspectratio="f"/>
                        <v:textbox>
                          <w:txbxContent>
                            <w:p w14:paraId="55C9E5D0">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下脚料</w:t>
                              </w:r>
                            </w:p>
                          </w:txbxContent>
                        </v:textbox>
                      </v:shape>
                      <v:shape id="文本框 36" o:spid="_x0000_s1026" o:spt="202" type="#_x0000_t202" style="position:absolute;left:1518920;top:1339850;height:254000;width:920750;" filled="f" stroked="f" coordsize="21600,21600" o:gfxdata="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ZSn+X2AAAAAUBAAAPAAAAAAAAAAEAIAAAACIAAABkcnMvZG93bnJldi54bWxQ&#10;SwECFAAUAAAACACHTuJAj/B5jb4BAABkAwAADgAAAAAAAAABACAAAAAnAQAAZHJzL2Uyb0RvYy54&#10;bWxQSwUGAAAAAAYABgBZAQAAVwUAAAAA&#10;">
                        <v:fill on="f" focussize="0,0"/>
                        <v:stroke on="f" weight="0.5pt"/>
                        <v:imagedata o:title=""/>
                        <o:lock v:ext="edit" aspectratio="f"/>
                        <v:textbox>
                          <w:txbxContent>
                            <w:p w14:paraId="292E01C8">
                              <w:pPr>
                                <w:rPr>
                                  <w:rFonts w:hint="default" w:ascii="Times New Roman" w:hAnsi="Times New Roman" w:eastAsia="宋体" w:cs="Times New Roman"/>
                                  <w:sz w:val="18"/>
                                  <w:szCs w:val="16"/>
                                  <w:lang w:val="en-US" w:eastAsia="zh-CN"/>
                                </w:rPr>
                              </w:pPr>
                              <w:r>
                                <w:rPr>
                                  <w:rFonts w:hint="eastAsia" w:cs="Times New Roman"/>
                                  <w:sz w:val="18"/>
                                  <w:szCs w:val="16"/>
                                  <w:lang w:val="en-US" w:eastAsia="zh-CN"/>
                                </w:rPr>
                                <w:t>噪声</w:t>
                              </w:r>
                              <w:r>
                                <w:rPr>
                                  <w:rFonts w:hint="eastAsia" w:ascii="Times New Roman" w:hAnsi="Times New Roman" w:eastAsia="宋体" w:cs="Times New Roman"/>
                                  <w:sz w:val="18"/>
                                  <w:szCs w:val="16"/>
                                  <w:lang w:val="en-US" w:eastAsia="zh-CN"/>
                                </w:rPr>
                                <w:t>、</w:t>
                              </w:r>
                              <w:r>
                                <w:rPr>
                                  <w:rFonts w:hint="eastAsia" w:cs="Times New Roman"/>
                                  <w:sz w:val="18"/>
                                  <w:szCs w:val="16"/>
                                  <w:lang w:val="en-US" w:eastAsia="zh-CN"/>
                                </w:rPr>
                                <w:t>颗粒物</w:t>
                              </w:r>
                            </w:p>
                          </w:txbxContent>
                        </v:textbox>
                      </v:shape>
                      <v:shape id="直接箭头连接符 17" o:spid="_x0000_s1026" o:spt="32" type="#_x0000_t32" style="position:absolute;left:624205;top:808990;flip:y;height:4445;width:389255;" filled="f" stroked="t" coordsize="21600,21600" o:gfxdata="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DOUDw1gAA&#10;AAUBAAAPAAAAAAAAAAEAIAAAACIAAABkcnMvZG93bnJldi54bWxQSwECFAAUAAAACACHTuJAj2Ug&#10;FSACAAASBAAADgAAAAAAAAABACAAAAAlAQAAZHJzL2Uyb0RvYy54bWxQSwUGAAAAAAYABgBZAQAA&#10;twUAAAAA&#10;">
                        <v:fill on="f" focussize="0,0"/>
                        <v:stroke weight="0.5pt" color="#000000" joinstyle="miter" endarrow="block"/>
                        <v:imagedata o:title=""/>
                        <o:lock v:ext="edit" aspectratio="f"/>
                      </v:shape>
                      <v:shape id="_x0000_s1026" o:spid="_x0000_s1026" o:spt="100" style="position:absolute;left:1051560;top:834390;height:1112520;width:960755;" filled="f" stroked="t" coordsize="901700,1053465" o:gfxdata="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IUolzTYAAAABQEAAA8AAAAAAAAAAQAgAAAAIgAAAGRycy9kb3ducmV2LnhtbFBL&#10;AQIUABQAAAAIAIdO4kAo7HAJ2gIAALkGAAAOAAAAAAAAAAEAIAAAACcBAABkcnMvZTJvRG9jLnht&#10;bFBLBQYAAAAABgAGAFkBAABzBgAAAAA=&#10;" path="m901700,1053465l0,1053465,850900,0e">
                        <v:path o:connectlocs="960755,1112520;0,1112520;906627,0" o:connectangles="0,0,0"/>
                        <v:fill on="f" focussize="0,0"/>
                        <v:stroke weight="1pt" color="#000000 [3213]" joinstyle="round" endarrow="block"/>
                        <v:imagedata o:title=""/>
                        <o:lock v:ext="edit" aspectratio="f"/>
                      </v:shape>
                      <v:shape id="文本框 12" o:spid="_x0000_s1026" o:spt="202" type="#_x0000_t202" style="position:absolute;left:387350;top:1779905;height:292100;width:675640;"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eF7BXUAAAABQEAAA8AAAAAAAAAAQAg&#10;AAAAIgAAAGRycy9kb3ducmV2LnhtbFBLAQIUABQAAAAIAIdO4kD3HpeIEgIAABoEAAAOAAAAAAAA&#10;AAEAIAAAACMBAABkcnMvZTJvRG9jLnhtbFBLBQYAAAAABgAGAFkBAACnBQAAAAA=&#10;">
                        <v:fill on="f" focussize="0,0"/>
                        <v:stroke weight="1pt" color="#000000" joinstyle="miter"/>
                        <v:imagedata o:title=""/>
                        <o:lock v:ext="edit" aspectratio="f"/>
                        <v:textbox>
                          <w:txbxContent>
                            <w:p w14:paraId="56E9BC56">
                              <w:pPr>
                                <w:jc w:val="center"/>
                                <w:rPr>
                                  <w:rFonts w:hint="default" w:ascii="Times New Roman" w:hAnsi="Times New Roman" w:eastAsia="宋体" w:cs="Times New Roman"/>
                                  <w:szCs w:val="20"/>
                                  <w:lang w:val="en-US"/>
                                </w:rPr>
                              </w:pPr>
                              <w:r>
                                <w:rPr>
                                  <w:rFonts w:hint="eastAsia" w:cs="Times New Roman"/>
                                  <w:szCs w:val="20"/>
                                  <w:lang w:val="en-US" w:eastAsia="zh-CN"/>
                                </w:rPr>
                                <w:t>回收料</w:t>
                              </w:r>
                            </w:p>
                          </w:txbxContent>
                        </v:textbox>
                      </v:shape>
                      <v:shape id="文本框 12" o:spid="_x0000_s1026" o:spt="202" type="#_x0000_t202" style="position:absolute;left:1010920;top:675640;height:292100;width:591185;" filled="f" stroked="t" coordsize="21600,21600" o:gfxdata="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3hewV1AAAAAUBAAAPAAAAAAAAAAEAIAAA&#10;ACIAAABkcnMvZG93bnJldi54bWxQSwECFAAUAAAACACHTuJAG1DjyhACAAAaBAAADgAAAAAAAAAB&#10;ACAAAAAjAQAAZHJzL2Uyb0RvYy54bWxQSwUGAAAAAAYABgBZAQAApQUAAAAA&#10;">
                        <v:fill on="f" focussize="0,0"/>
                        <v:stroke weight="1pt" color="#000000" joinstyle="miter"/>
                        <v:imagedata o:title=""/>
                        <o:lock v:ext="edit" aspectratio="f"/>
                        <v:textbox>
                          <w:txbxContent>
                            <w:p w14:paraId="269BA4C1">
                              <w:pPr>
                                <w:jc w:val="center"/>
                                <w:rPr>
                                  <w:rFonts w:hint="eastAsia" w:ascii="Times New Roman" w:hAnsi="Times New Roman" w:eastAsia="宋体" w:cs="Times New Roman"/>
                                  <w:szCs w:val="20"/>
                                  <w:lang w:val="en-US" w:eastAsia="zh-CN"/>
                                </w:rPr>
                              </w:pPr>
                              <w:r>
                                <w:rPr>
                                  <w:rFonts w:hint="eastAsia" w:ascii="Times New Roman" w:hAnsi="Times New Roman" w:eastAsia="宋体" w:cs="Times New Roman"/>
                                  <w:szCs w:val="20"/>
                                  <w:lang w:val="en-US" w:eastAsia="zh-CN"/>
                                </w:rPr>
                                <w:t>混料</w:t>
                              </w:r>
                            </w:p>
                          </w:txbxContent>
                        </v:textbox>
                      </v:shape>
                      <v:shape id="直接箭头连接符 17" o:spid="_x0000_s1026" o:spt="32" type="#_x0000_t32" style="position:absolute;left:1618615;top:808990;flip:y;height:4445;width:389255;" filled="f" stroked="t" coordsize="21600,21600" o:gfxdata="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zlA8NYA&#10;AAAFAQAADwAAAAAAAAABACAAAAAiAAAAZHJzL2Rvd25yZXYueG1sUEsBAhQAFAAAAAgAh07iQO/X&#10;nS4hAgAAEwQAAA4AAAAAAAAAAQAgAAAAJQEAAGRycy9lMm9Eb2MueG1sUEsFBgAAAAAGAAYAWQEA&#10;ALgFAAAAAA==&#10;">
                        <v:fill on="f" focussize="0,0"/>
                        <v:stroke weight="0.5pt" color="#000000" joinstyle="miter" endarrow="block"/>
                        <v:imagedata o:title=""/>
                        <o:lock v:ext="edit" aspectratio="f"/>
                      </v:shape>
                      <w10:wrap type="none"/>
                      <w10:anchorlock/>
                    </v:group>
                  </w:pict>
                </mc:Fallback>
              </mc:AlternateContent>
            </w:r>
          </w:p>
          <w:p w14:paraId="1F2CC6D5">
            <w:pPr>
              <w:pStyle w:val="36"/>
              <w:ind w:left="0" w:leftChars="0" w:firstLine="0" w:firstLineChars="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图2-</w:t>
            </w:r>
            <w:r>
              <w:rPr>
                <w:rFonts w:hint="eastAsia" w:hAnsi="Times New Roman" w:cs="Times New Roman"/>
                <w:b/>
                <w:bCs/>
                <w:color w:val="auto"/>
                <w:sz w:val="24"/>
                <w:szCs w:val="24"/>
                <w:highlight w:val="none"/>
                <w:lang w:val="en-US" w:eastAsia="zh-CN"/>
              </w:rPr>
              <w:t>2 机床附件包装盒生产</w:t>
            </w:r>
            <w:r>
              <w:rPr>
                <w:rFonts w:hint="default" w:ascii="Times New Roman" w:hAnsi="Times New Roman" w:eastAsia="宋体" w:cs="Times New Roman"/>
                <w:b/>
                <w:bCs/>
                <w:color w:val="auto"/>
                <w:sz w:val="24"/>
                <w:szCs w:val="24"/>
                <w:highlight w:val="none"/>
                <w:lang w:val="en-US" w:eastAsia="zh-CN"/>
              </w:rPr>
              <w:t>工艺流程图</w:t>
            </w:r>
          </w:p>
          <w:p w14:paraId="4776D949">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hAnsi="Times New Roman" w:cs="Times New Roman"/>
                <w:color w:val="auto"/>
                <w:sz w:val="24"/>
                <w:szCs w:val="24"/>
                <w:highlight w:val="none"/>
                <w:lang w:val="en-US" w:eastAsia="zh-CN"/>
              </w:rPr>
              <w:t>生产</w:t>
            </w:r>
            <w:r>
              <w:rPr>
                <w:rFonts w:hint="default" w:ascii="Times New Roman" w:hAnsi="Times New Roman" w:eastAsia="宋体" w:cs="Times New Roman"/>
                <w:color w:val="auto"/>
                <w:sz w:val="24"/>
                <w:szCs w:val="24"/>
                <w:highlight w:val="none"/>
                <w:lang w:val="en-US" w:eastAsia="zh-CN"/>
              </w:rPr>
              <w:t>工艺流程简述：</w:t>
            </w:r>
          </w:p>
          <w:p w14:paraId="5DC5CF42">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Times New Roman" w:hAnsi="Times New Roman" w:eastAsia="宋体" w:cs="Times New Roman"/>
                <w:b w:val="0"/>
                <w:bCs/>
                <w:color w:val="auto"/>
                <w:spacing w:val="6"/>
                <w:sz w:val="24"/>
                <w:szCs w:val="24"/>
                <w:highlight w:val="none"/>
                <w:lang w:val="en-US" w:eastAsia="zh-CN"/>
              </w:rPr>
            </w:pPr>
            <w:r>
              <w:rPr>
                <w:rFonts w:hint="eastAsia" w:cs="Times New Roman"/>
                <w:b w:val="0"/>
                <w:bCs/>
                <w:color w:val="auto"/>
                <w:spacing w:val="6"/>
                <w:sz w:val="24"/>
                <w:szCs w:val="24"/>
                <w:highlight w:val="none"/>
                <w:lang w:val="en-US" w:eastAsia="zh-CN"/>
              </w:rPr>
              <w:t>塑料制品</w:t>
            </w:r>
            <w:r>
              <w:rPr>
                <w:rFonts w:hint="eastAsia" w:ascii="Times New Roman" w:hAnsi="Times New Roman" w:eastAsia="宋体" w:cs="Times New Roman"/>
                <w:b w:val="0"/>
                <w:bCs/>
                <w:color w:val="auto"/>
                <w:spacing w:val="6"/>
                <w:sz w:val="24"/>
                <w:szCs w:val="24"/>
                <w:highlight w:val="none"/>
                <w:lang w:val="en-US" w:eastAsia="zh-CN"/>
              </w:rPr>
              <w:t>原料为PE</w:t>
            </w:r>
            <w:r>
              <w:rPr>
                <w:rFonts w:hint="eastAsia" w:cs="Times New Roman"/>
                <w:b w:val="0"/>
                <w:bCs/>
                <w:color w:val="auto"/>
                <w:spacing w:val="6"/>
                <w:sz w:val="24"/>
                <w:szCs w:val="24"/>
                <w:highlight w:val="none"/>
                <w:lang w:val="en-US" w:eastAsia="zh-CN"/>
              </w:rPr>
              <w:t>、PP</w:t>
            </w:r>
            <w:r>
              <w:rPr>
                <w:rFonts w:hint="eastAsia" w:ascii="Times New Roman" w:hAnsi="Times New Roman" w:eastAsia="宋体" w:cs="Times New Roman"/>
                <w:b w:val="0"/>
                <w:bCs/>
                <w:color w:val="auto"/>
                <w:spacing w:val="6"/>
                <w:sz w:val="24"/>
                <w:szCs w:val="24"/>
                <w:highlight w:val="none"/>
                <w:lang w:val="en-US" w:eastAsia="zh-CN"/>
              </w:rPr>
              <w:t>塑料颗粒和色母颗粒，按照比例要求，混合使用。将塑料颗粒通过可以深入原料包装内的管道吸入</w:t>
            </w:r>
            <w:r>
              <w:rPr>
                <w:rFonts w:hint="eastAsia" w:cs="Times New Roman"/>
                <w:b w:val="0"/>
                <w:bCs/>
                <w:color w:val="auto"/>
                <w:spacing w:val="6"/>
                <w:sz w:val="24"/>
                <w:szCs w:val="24"/>
                <w:highlight w:val="none"/>
                <w:lang w:val="en-US" w:eastAsia="zh-CN"/>
              </w:rPr>
              <w:t>吹</w:t>
            </w:r>
            <w:r>
              <w:rPr>
                <w:rFonts w:hint="eastAsia" w:ascii="Times New Roman" w:hAnsi="Times New Roman" w:eastAsia="宋体" w:cs="Times New Roman"/>
                <w:b w:val="0"/>
                <w:bCs/>
                <w:color w:val="auto"/>
                <w:spacing w:val="6"/>
                <w:sz w:val="24"/>
                <w:szCs w:val="24"/>
                <w:highlight w:val="none"/>
                <w:lang w:val="en-US" w:eastAsia="zh-CN"/>
              </w:rPr>
              <w:t>塑机内进行加热</w:t>
            </w:r>
            <w:r>
              <w:rPr>
                <w:rFonts w:hint="eastAsia" w:cs="Times New Roman"/>
                <w:b w:val="0"/>
                <w:bCs/>
                <w:color w:val="auto"/>
                <w:spacing w:val="6"/>
                <w:sz w:val="24"/>
                <w:szCs w:val="24"/>
                <w:highlight w:val="none"/>
                <w:lang w:val="en-US" w:eastAsia="zh-CN"/>
              </w:rPr>
              <w:t>（</w:t>
            </w:r>
            <w:r>
              <w:rPr>
                <w:rFonts w:hint="eastAsia" w:ascii="Times New Roman" w:hAnsi="Times New Roman" w:eastAsia="宋体" w:cs="Times New Roman"/>
                <w:b w:val="0"/>
                <w:bCs/>
                <w:color w:val="auto"/>
                <w:spacing w:val="6"/>
                <w:sz w:val="24"/>
                <w:szCs w:val="24"/>
                <w:highlight w:val="none"/>
                <w:lang w:val="en-US" w:eastAsia="zh-CN"/>
              </w:rPr>
              <w:t>采用电加热，温度在200℃左右，</w:t>
            </w:r>
            <w:r>
              <w:rPr>
                <w:rFonts w:hint="eastAsia" w:ascii="Times New Roman" w:hAnsi="Times New Roman" w:eastAsia="宋体" w:cs="Times New Roman"/>
                <w:color w:val="auto"/>
                <w:sz w:val="24"/>
                <w:szCs w:val="24"/>
                <w:highlight w:val="none"/>
                <w:lang w:val="en-US" w:eastAsia="zh-CN"/>
              </w:rPr>
              <w:t>所用聚丙烯原料的融化温度为170℃左右，热分解温度为300℃以上，聚乙烯原料融化温度为130℃左右，热分解温度为400℃以上</w:t>
            </w:r>
            <w:r>
              <w:rPr>
                <w:rFonts w:hint="eastAsia" w:cs="Times New Roman"/>
                <w:b w:val="0"/>
                <w:bCs/>
                <w:color w:val="auto"/>
                <w:spacing w:val="6"/>
                <w:sz w:val="24"/>
                <w:szCs w:val="24"/>
                <w:highlight w:val="none"/>
                <w:lang w:val="en-US" w:eastAsia="zh-CN"/>
              </w:rPr>
              <w:t>），</w:t>
            </w:r>
            <w:r>
              <w:rPr>
                <w:rFonts w:hint="eastAsia" w:ascii="Times New Roman" w:hAnsi="Times New Roman" w:eastAsia="宋体" w:cs="Times New Roman"/>
                <w:b w:val="0"/>
                <w:bCs/>
                <w:color w:val="auto"/>
                <w:spacing w:val="6"/>
                <w:sz w:val="24"/>
                <w:szCs w:val="24"/>
                <w:highlight w:val="none"/>
                <w:lang w:val="en-US" w:eastAsia="zh-CN"/>
              </w:rPr>
              <w:t>塑料颗粒的加热温度未达到各塑料颗粒的分解温度，因此，加工过程中塑料颗粒不会分解。待塑料颗粒软化融合后，在设备内部</w:t>
            </w:r>
            <w:r>
              <w:rPr>
                <w:rFonts w:hint="eastAsia" w:cs="Times New Roman"/>
                <w:b w:val="0"/>
                <w:bCs/>
                <w:color w:val="auto"/>
                <w:spacing w:val="6"/>
                <w:sz w:val="24"/>
                <w:szCs w:val="24"/>
                <w:highlight w:val="none"/>
                <w:lang w:val="en-US" w:eastAsia="zh-CN"/>
              </w:rPr>
              <w:t>吹</w:t>
            </w:r>
            <w:r>
              <w:rPr>
                <w:rFonts w:hint="eastAsia" w:ascii="Times New Roman" w:hAnsi="Times New Roman" w:eastAsia="宋体" w:cs="Times New Roman"/>
                <w:b w:val="0"/>
                <w:bCs/>
                <w:color w:val="auto"/>
                <w:spacing w:val="6"/>
                <w:sz w:val="24"/>
                <w:szCs w:val="24"/>
                <w:highlight w:val="none"/>
                <w:lang w:val="en-US" w:eastAsia="zh-CN"/>
              </w:rPr>
              <w:t>塑成型，</w:t>
            </w:r>
            <w:r>
              <w:rPr>
                <w:rFonts w:hint="eastAsia" w:cs="Times New Roman"/>
                <w:b w:val="0"/>
                <w:bCs/>
                <w:color w:val="auto"/>
                <w:spacing w:val="6"/>
                <w:sz w:val="24"/>
                <w:szCs w:val="24"/>
                <w:highlight w:val="none"/>
                <w:lang w:val="en-US" w:eastAsia="zh-CN"/>
              </w:rPr>
              <w:t>吹</w:t>
            </w:r>
            <w:r>
              <w:rPr>
                <w:rFonts w:hint="eastAsia" w:ascii="Times New Roman" w:hAnsi="Times New Roman" w:eastAsia="宋体" w:cs="Times New Roman"/>
                <w:b w:val="0"/>
                <w:bCs/>
                <w:color w:val="auto"/>
                <w:spacing w:val="6"/>
                <w:sz w:val="24"/>
                <w:szCs w:val="24"/>
                <w:highlight w:val="none"/>
                <w:lang w:val="en-US" w:eastAsia="zh-CN"/>
              </w:rPr>
              <w:t>塑完成后由模具外附着冷却水管道，间接冷却至常温即为塑料制品，</w:t>
            </w:r>
            <w:r>
              <w:rPr>
                <w:rFonts w:hint="eastAsia" w:cs="Times New Roman"/>
                <w:b w:val="0"/>
                <w:bCs/>
                <w:color w:val="auto"/>
                <w:spacing w:val="6"/>
                <w:sz w:val="24"/>
                <w:szCs w:val="24"/>
                <w:highlight w:val="none"/>
                <w:lang w:val="en-US" w:eastAsia="zh-CN"/>
              </w:rPr>
              <w:t>吹</w:t>
            </w:r>
            <w:r>
              <w:rPr>
                <w:rFonts w:hint="eastAsia" w:ascii="Times New Roman" w:hAnsi="Times New Roman" w:eastAsia="宋体" w:cs="Times New Roman"/>
                <w:b w:val="0"/>
                <w:bCs/>
                <w:color w:val="auto"/>
                <w:spacing w:val="6"/>
                <w:sz w:val="24"/>
                <w:szCs w:val="24"/>
                <w:highlight w:val="none"/>
                <w:lang w:val="en-US" w:eastAsia="zh-CN"/>
              </w:rPr>
              <w:t>塑过程由PLC控制器设置全程自动控制。该工序产生噪声、VOCs、颗粒物、臭气浓度和固废。</w:t>
            </w:r>
          </w:p>
          <w:p w14:paraId="46F5C63A">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Times New Roman" w:hAnsi="Times New Roman" w:eastAsia="宋体" w:cs="Times New Roman"/>
                <w:b w:val="0"/>
                <w:bCs/>
                <w:color w:val="auto"/>
                <w:spacing w:val="6"/>
                <w:sz w:val="24"/>
                <w:szCs w:val="24"/>
                <w:highlight w:val="none"/>
                <w:lang w:val="en-US" w:eastAsia="zh-CN"/>
              </w:rPr>
            </w:pPr>
            <w:r>
              <w:rPr>
                <w:rFonts w:hint="eastAsia" w:ascii="Times New Roman" w:hAnsi="Times New Roman" w:eastAsia="宋体" w:cs="Times New Roman"/>
                <w:b w:val="0"/>
                <w:bCs/>
                <w:color w:val="auto"/>
                <w:spacing w:val="6"/>
                <w:sz w:val="24"/>
                <w:szCs w:val="24"/>
                <w:highlight w:val="none"/>
                <w:lang w:val="en-US" w:eastAsia="zh-CN"/>
              </w:rPr>
              <w:t>产生的下脚料</w:t>
            </w:r>
            <w:r>
              <w:rPr>
                <w:rFonts w:hint="eastAsia" w:cs="Times New Roman"/>
                <w:b w:val="0"/>
                <w:bCs/>
                <w:color w:val="auto"/>
                <w:spacing w:val="6"/>
                <w:sz w:val="24"/>
                <w:szCs w:val="24"/>
                <w:highlight w:val="none"/>
                <w:lang w:val="en-US" w:eastAsia="zh-CN"/>
              </w:rPr>
              <w:t>经破碎机破碎</w:t>
            </w:r>
            <w:r>
              <w:rPr>
                <w:rFonts w:hint="eastAsia" w:ascii="Times New Roman" w:hAnsi="Times New Roman" w:eastAsia="宋体" w:cs="Times New Roman"/>
                <w:b w:val="0"/>
                <w:bCs/>
                <w:color w:val="auto"/>
                <w:spacing w:val="6"/>
                <w:sz w:val="24"/>
                <w:szCs w:val="24"/>
                <w:highlight w:val="none"/>
                <w:lang w:val="en-US" w:eastAsia="zh-CN"/>
              </w:rPr>
              <w:t>后回用于生产</w:t>
            </w:r>
            <w:r>
              <w:rPr>
                <w:rFonts w:hint="eastAsia" w:cs="Times New Roman"/>
                <w:b w:val="0"/>
                <w:bCs/>
                <w:color w:val="auto"/>
                <w:spacing w:val="6"/>
                <w:sz w:val="24"/>
                <w:szCs w:val="24"/>
                <w:highlight w:val="none"/>
                <w:lang w:val="en-US" w:eastAsia="zh-CN"/>
              </w:rPr>
              <w:t>。</w:t>
            </w:r>
            <w:r>
              <w:rPr>
                <w:rFonts w:hint="eastAsia" w:ascii="Times New Roman" w:hAnsi="Times New Roman" w:eastAsia="宋体" w:cs="Times New Roman"/>
                <w:b w:val="0"/>
                <w:bCs/>
                <w:color w:val="auto"/>
                <w:spacing w:val="6"/>
                <w:sz w:val="24"/>
                <w:szCs w:val="24"/>
                <w:highlight w:val="none"/>
                <w:lang w:val="en-US" w:eastAsia="zh-CN"/>
              </w:rPr>
              <w:t>该工序产生噪声和</w:t>
            </w:r>
            <w:r>
              <w:rPr>
                <w:rFonts w:hint="eastAsia" w:cs="Times New Roman"/>
                <w:b w:val="0"/>
                <w:bCs/>
                <w:color w:val="auto"/>
                <w:spacing w:val="6"/>
                <w:sz w:val="24"/>
                <w:szCs w:val="24"/>
                <w:highlight w:val="none"/>
                <w:lang w:val="en-US" w:eastAsia="zh-CN"/>
              </w:rPr>
              <w:t>颗粒物。</w:t>
            </w:r>
          </w:p>
          <w:p w14:paraId="2692581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2、产污环节</w:t>
            </w:r>
          </w:p>
          <w:p w14:paraId="75CB4B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项目产污环节分析</w:t>
            </w:r>
            <w:r>
              <w:rPr>
                <w:rFonts w:hint="default" w:ascii="Times New Roman" w:hAnsi="Times New Roman" w:cs="Times New Roman"/>
                <w:color w:val="auto"/>
                <w:sz w:val="24"/>
                <w:szCs w:val="24"/>
                <w:highlight w:val="none"/>
                <w:lang w:val="en-US" w:eastAsia="zh-CN"/>
              </w:rPr>
              <w:t>见下</w:t>
            </w:r>
            <w:r>
              <w:rPr>
                <w:rFonts w:hint="default" w:ascii="Times New Roman" w:hAnsi="Times New Roman" w:cs="Times New Roman"/>
                <w:color w:val="auto"/>
                <w:sz w:val="24"/>
                <w:szCs w:val="24"/>
                <w:highlight w:val="none"/>
              </w:rPr>
              <w:t>表。</w:t>
            </w:r>
          </w:p>
          <w:p w14:paraId="2AC134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 xml:space="preserve">  项目产污环节分析</w:t>
            </w:r>
          </w:p>
          <w:tbl>
            <w:tblPr>
              <w:tblStyle w:val="37"/>
              <w:tblW w:w="505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855"/>
              <w:gridCol w:w="9"/>
              <w:gridCol w:w="1796"/>
              <w:gridCol w:w="1710"/>
              <w:gridCol w:w="2222"/>
            </w:tblGrid>
            <w:tr w14:paraId="3BD16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tcBorders>
                    <w:tl2br w:val="nil"/>
                    <w:tr2bl w:val="nil"/>
                  </w:tcBorders>
                  <w:noWrap w:val="0"/>
                  <w:vAlign w:val="center"/>
                </w:tcPr>
                <w:p w14:paraId="36C4E4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1128" w:type="pct"/>
                  <w:gridSpan w:val="2"/>
                  <w:tcBorders>
                    <w:tl2br w:val="nil"/>
                    <w:tr2bl w:val="nil"/>
                  </w:tcBorders>
                  <w:noWrap w:val="0"/>
                  <w:vAlign w:val="center"/>
                </w:tcPr>
                <w:p w14:paraId="4B9B6C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产污环节</w:t>
                  </w:r>
                </w:p>
              </w:tc>
              <w:tc>
                <w:tcPr>
                  <w:tcW w:w="1087" w:type="pct"/>
                  <w:tcBorders>
                    <w:tl2br w:val="nil"/>
                    <w:tr2bl w:val="nil"/>
                  </w:tcBorders>
                  <w:noWrap w:val="0"/>
                  <w:vAlign w:val="center"/>
                </w:tcPr>
                <w:p w14:paraId="6F9596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污染物组成</w:t>
                  </w:r>
                </w:p>
              </w:tc>
              <w:tc>
                <w:tcPr>
                  <w:tcW w:w="1035" w:type="pct"/>
                  <w:tcBorders>
                    <w:tl2br w:val="nil"/>
                    <w:tr2bl w:val="nil"/>
                  </w:tcBorders>
                  <w:noWrap w:val="0"/>
                  <w:vAlign w:val="center"/>
                </w:tcPr>
                <w:p w14:paraId="6DAD02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治理措施</w:t>
                  </w:r>
                </w:p>
              </w:tc>
              <w:tc>
                <w:tcPr>
                  <w:tcW w:w="1345" w:type="pct"/>
                  <w:tcBorders>
                    <w:tl2br w:val="nil"/>
                    <w:tr2bl w:val="nil"/>
                  </w:tcBorders>
                  <w:noWrap w:val="0"/>
                  <w:vAlign w:val="center"/>
                </w:tcPr>
                <w:p w14:paraId="65607A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排放方式</w:t>
                  </w:r>
                </w:p>
              </w:tc>
            </w:tr>
            <w:tr w14:paraId="2DC02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restart"/>
                  <w:tcBorders>
                    <w:tl2br w:val="nil"/>
                    <w:tr2bl w:val="nil"/>
                  </w:tcBorders>
                  <w:noWrap w:val="0"/>
                  <w:vAlign w:val="center"/>
                </w:tcPr>
                <w:p w14:paraId="4B43D6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default" w:ascii="Times New Roman" w:hAnsi="Times New Roman" w:cs="Times New Roman"/>
                      <w:b w:val="0"/>
                      <w:bCs w:val="0"/>
                      <w:color w:val="auto"/>
                      <w:sz w:val="21"/>
                      <w:szCs w:val="21"/>
                      <w:highlight w:val="none"/>
                    </w:rPr>
                    <w:t>废气</w:t>
                  </w:r>
                </w:p>
              </w:tc>
              <w:tc>
                <w:tcPr>
                  <w:tcW w:w="1128" w:type="pct"/>
                  <w:gridSpan w:val="2"/>
                  <w:tcBorders>
                    <w:tl2br w:val="nil"/>
                    <w:tr2bl w:val="nil"/>
                  </w:tcBorders>
                  <w:noWrap w:val="0"/>
                  <w:vAlign w:val="center"/>
                </w:tcPr>
                <w:p w14:paraId="09B937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吹塑工序</w:t>
                  </w:r>
                </w:p>
              </w:tc>
              <w:tc>
                <w:tcPr>
                  <w:tcW w:w="1087" w:type="pct"/>
                  <w:tcBorders>
                    <w:tl2br w:val="nil"/>
                    <w:tr2bl w:val="nil"/>
                  </w:tcBorders>
                  <w:noWrap w:val="0"/>
                  <w:vAlign w:val="center"/>
                </w:tcPr>
                <w:p w14:paraId="431F20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VOCs、颗粒物、臭气浓度</w:t>
                  </w:r>
                </w:p>
              </w:tc>
              <w:tc>
                <w:tcPr>
                  <w:tcW w:w="1035" w:type="pct"/>
                  <w:tcBorders>
                    <w:tl2br w:val="nil"/>
                    <w:tr2bl w:val="nil"/>
                  </w:tcBorders>
                  <w:noWrap w:val="0"/>
                  <w:vAlign w:val="center"/>
                </w:tcPr>
                <w:p w14:paraId="7DCEC3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分别</w:t>
                  </w:r>
                  <w:r>
                    <w:rPr>
                      <w:rFonts w:hint="eastAsia" w:ascii="Times New Roman" w:hAnsi="Times New Roman" w:cs="Times New Roman"/>
                      <w:b w:val="0"/>
                      <w:bCs w:val="0"/>
                      <w:color w:val="auto"/>
                      <w:sz w:val="21"/>
                      <w:szCs w:val="21"/>
                      <w:highlight w:val="none"/>
                      <w:lang w:val="en-US" w:eastAsia="zh-CN"/>
                    </w:rPr>
                    <w:t>经</w:t>
                  </w:r>
                  <w:r>
                    <w:rPr>
                      <w:rFonts w:hint="eastAsia" w:cs="Times New Roman"/>
                      <w:b w:val="0"/>
                      <w:bCs w:val="0"/>
                      <w:color w:val="auto"/>
                      <w:sz w:val="21"/>
                      <w:szCs w:val="21"/>
                      <w:highlight w:val="none"/>
                      <w:lang w:val="en-US" w:eastAsia="zh-CN"/>
                    </w:rPr>
                    <w:t>集气罩收集至</w:t>
                  </w:r>
                  <w:r>
                    <w:rPr>
                      <w:rFonts w:hint="eastAsia" w:ascii="Times New Roman" w:hAnsi="Times New Roman" w:cs="Times New Roman"/>
                      <w:b w:val="0"/>
                      <w:bCs w:val="0"/>
                      <w:color w:val="auto"/>
                      <w:sz w:val="21"/>
                      <w:szCs w:val="21"/>
                      <w:highlight w:val="none"/>
                      <w:lang w:val="en-US" w:eastAsia="zh-CN"/>
                    </w:rPr>
                    <w:t>一套</w:t>
                  </w:r>
                  <w:r>
                    <w:rPr>
                      <w:rFonts w:hint="eastAsia" w:cs="Times New Roman"/>
                      <w:b w:val="0"/>
                      <w:bCs w:val="0"/>
                      <w:color w:val="auto"/>
                      <w:sz w:val="21"/>
                      <w:szCs w:val="21"/>
                      <w:highlight w:val="none"/>
                      <w:lang w:val="en-US" w:eastAsia="zh-CN"/>
                    </w:rPr>
                    <w:t>过滤棉+</w:t>
                  </w:r>
                  <w:r>
                    <w:rPr>
                      <w:rFonts w:hint="eastAsia" w:ascii="Times New Roman" w:hAnsi="Times New Roman" w:cs="Times New Roman"/>
                      <w:b w:val="0"/>
                      <w:bCs w:val="0"/>
                      <w:color w:val="auto"/>
                      <w:sz w:val="21"/>
                      <w:szCs w:val="21"/>
                      <w:highlight w:val="none"/>
                      <w:lang w:val="en-US" w:eastAsia="zh-CN"/>
                    </w:rPr>
                    <w:t>二级活性炭吸附装置处理</w:t>
                  </w:r>
                </w:p>
              </w:tc>
              <w:tc>
                <w:tcPr>
                  <w:tcW w:w="1345" w:type="pct"/>
                  <w:tcBorders>
                    <w:tl2br w:val="nil"/>
                    <w:tr2bl w:val="nil"/>
                  </w:tcBorders>
                  <w:noWrap w:val="0"/>
                  <w:vAlign w:val="center"/>
                </w:tcPr>
                <w:p w14:paraId="1738C0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通过1根15</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lang w:val="en-US" w:eastAsia="zh-CN"/>
                    </w:rPr>
                    <w:t>高的DA00</w:t>
                  </w:r>
                  <w:r>
                    <w:rPr>
                      <w:rFonts w:hint="eastAsia" w:cs="Times New Roman"/>
                      <w:b w:val="0"/>
                      <w:bCs w:val="0"/>
                      <w:color w:val="auto"/>
                      <w:sz w:val="21"/>
                      <w:szCs w:val="21"/>
                      <w:highlight w:val="none"/>
                      <w:lang w:val="en-US" w:eastAsia="zh-CN"/>
                    </w:rPr>
                    <w:t>1</w:t>
                  </w:r>
                  <w:r>
                    <w:rPr>
                      <w:rFonts w:hint="default" w:ascii="Times New Roman" w:hAnsi="Times New Roman" w:cs="Times New Roman"/>
                      <w:b w:val="0"/>
                      <w:bCs w:val="0"/>
                      <w:color w:val="auto"/>
                      <w:sz w:val="21"/>
                      <w:szCs w:val="21"/>
                      <w:highlight w:val="none"/>
                    </w:rPr>
                    <w:t>排气筒排放</w:t>
                  </w:r>
                </w:p>
              </w:tc>
            </w:tr>
            <w:tr w14:paraId="181A0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continue"/>
                  <w:tcBorders>
                    <w:tl2br w:val="nil"/>
                    <w:tr2bl w:val="nil"/>
                  </w:tcBorders>
                  <w:noWrap w:val="0"/>
                  <w:vAlign w:val="center"/>
                </w:tcPr>
                <w:p w14:paraId="188581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p>
              </w:tc>
              <w:tc>
                <w:tcPr>
                  <w:tcW w:w="1128" w:type="pct"/>
                  <w:gridSpan w:val="2"/>
                  <w:tcBorders>
                    <w:tl2br w:val="nil"/>
                    <w:tr2bl w:val="nil"/>
                  </w:tcBorders>
                  <w:noWrap w:val="0"/>
                  <w:vAlign w:val="center"/>
                </w:tcPr>
                <w:p w14:paraId="499668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破碎工序</w:t>
                  </w:r>
                </w:p>
              </w:tc>
              <w:tc>
                <w:tcPr>
                  <w:tcW w:w="1087" w:type="pct"/>
                  <w:tcBorders>
                    <w:tl2br w:val="nil"/>
                    <w:tr2bl w:val="nil"/>
                  </w:tcBorders>
                  <w:noWrap w:val="0"/>
                  <w:vAlign w:val="center"/>
                </w:tcPr>
                <w:p w14:paraId="73C785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颗粒物</w:t>
                  </w:r>
                </w:p>
              </w:tc>
              <w:tc>
                <w:tcPr>
                  <w:tcW w:w="1035" w:type="pct"/>
                  <w:tcBorders>
                    <w:tl2br w:val="nil"/>
                    <w:tr2bl w:val="nil"/>
                  </w:tcBorders>
                  <w:noWrap w:val="0"/>
                  <w:vAlign w:val="center"/>
                </w:tcPr>
                <w:p w14:paraId="033B74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设置密闭操作间，自然沉降后无组织排放</w:t>
                  </w:r>
                </w:p>
              </w:tc>
              <w:tc>
                <w:tcPr>
                  <w:tcW w:w="1345" w:type="pct"/>
                  <w:tcBorders>
                    <w:tl2br w:val="nil"/>
                    <w:tr2bl w:val="nil"/>
                  </w:tcBorders>
                  <w:noWrap w:val="0"/>
                  <w:vAlign w:val="center"/>
                </w:tcPr>
                <w:p w14:paraId="3A101C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大气环境</w:t>
                  </w:r>
                </w:p>
              </w:tc>
            </w:tr>
            <w:tr w14:paraId="77379B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continue"/>
                  <w:tcBorders>
                    <w:tl2br w:val="nil"/>
                    <w:tr2bl w:val="nil"/>
                  </w:tcBorders>
                  <w:noWrap w:val="0"/>
                  <w:vAlign w:val="center"/>
                </w:tcPr>
                <w:p w14:paraId="6262D7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p>
              </w:tc>
              <w:tc>
                <w:tcPr>
                  <w:tcW w:w="1128" w:type="pct"/>
                  <w:gridSpan w:val="2"/>
                  <w:tcBorders>
                    <w:tl2br w:val="nil"/>
                    <w:tr2bl w:val="nil"/>
                  </w:tcBorders>
                  <w:noWrap w:val="0"/>
                  <w:vAlign w:val="center"/>
                </w:tcPr>
                <w:p w14:paraId="627BBD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投料、混料工序</w:t>
                  </w:r>
                </w:p>
              </w:tc>
              <w:tc>
                <w:tcPr>
                  <w:tcW w:w="1087" w:type="pct"/>
                  <w:tcBorders>
                    <w:tl2br w:val="nil"/>
                    <w:tr2bl w:val="nil"/>
                  </w:tcBorders>
                  <w:noWrap w:val="0"/>
                  <w:vAlign w:val="center"/>
                </w:tcPr>
                <w:p w14:paraId="37801B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颗粒物</w:t>
                  </w:r>
                </w:p>
              </w:tc>
              <w:tc>
                <w:tcPr>
                  <w:tcW w:w="1035" w:type="pct"/>
                  <w:tcBorders>
                    <w:tl2br w:val="nil"/>
                    <w:tr2bl w:val="nil"/>
                  </w:tcBorders>
                  <w:noWrap w:val="0"/>
                  <w:vAlign w:val="center"/>
                </w:tcPr>
                <w:p w14:paraId="2CDB4A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经自带的除尘器处理后无组织排放</w:t>
                  </w:r>
                </w:p>
              </w:tc>
              <w:tc>
                <w:tcPr>
                  <w:tcW w:w="1345" w:type="pct"/>
                  <w:tcBorders>
                    <w:tl2br w:val="nil"/>
                    <w:tr2bl w:val="nil"/>
                  </w:tcBorders>
                  <w:noWrap w:val="0"/>
                  <w:vAlign w:val="center"/>
                </w:tcPr>
                <w:p w14:paraId="40AECB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大气环境</w:t>
                  </w:r>
                </w:p>
              </w:tc>
            </w:tr>
            <w:tr w14:paraId="20015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continue"/>
                  <w:tcBorders>
                    <w:tl2br w:val="nil"/>
                    <w:tr2bl w:val="nil"/>
                  </w:tcBorders>
                  <w:noWrap w:val="0"/>
                  <w:vAlign w:val="center"/>
                </w:tcPr>
                <w:p w14:paraId="3C9350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p>
              </w:tc>
              <w:tc>
                <w:tcPr>
                  <w:tcW w:w="1128" w:type="pct"/>
                  <w:gridSpan w:val="2"/>
                  <w:tcBorders>
                    <w:tl2br w:val="nil"/>
                    <w:tr2bl w:val="nil"/>
                  </w:tcBorders>
                  <w:noWrap w:val="0"/>
                  <w:vAlign w:val="center"/>
                </w:tcPr>
                <w:p w14:paraId="1BAAD0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未被收集的废气</w:t>
                  </w:r>
                </w:p>
              </w:tc>
              <w:tc>
                <w:tcPr>
                  <w:tcW w:w="1087" w:type="pct"/>
                  <w:tcBorders>
                    <w:tl2br w:val="nil"/>
                    <w:tr2bl w:val="nil"/>
                  </w:tcBorders>
                  <w:noWrap w:val="0"/>
                  <w:vAlign w:val="center"/>
                </w:tcPr>
                <w:p w14:paraId="37BD78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颗粒物、VOCs、臭气浓度</w:t>
                  </w:r>
                </w:p>
              </w:tc>
              <w:tc>
                <w:tcPr>
                  <w:tcW w:w="1035" w:type="pct"/>
                  <w:tcBorders>
                    <w:tl2br w:val="nil"/>
                    <w:tr2bl w:val="nil"/>
                  </w:tcBorders>
                  <w:noWrap w:val="0"/>
                  <w:vAlign w:val="center"/>
                </w:tcPr>
                <w:p w14:paraId="290ABF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无组织排放</w:t>
                  </w:r>
                </w:p>
              </w:tc>
              <w:tc>
                <w:tcPr>
                  <w:tcW w:w="1345" w:type="pct"/>
                  <w:tcBorders>
                    <w:tl2br w:val="nil"/>
                    <w:tr2bl w:val="nil"/>
                  </w:tcBorders>
                  <w:noWrap w:val="0"/>
                  <w:vAlign w:val="center"/>
                </w:tcPr>
                <w:p w14:paraId="5C416F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大气环境</w:t>
                  </w:r>
                </w:p>
              </w:tc>
            </w:tr>
            <w:tr w14:paraId="0F0381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tcBorders>
                    <w:tl2br w:val="nil"/>
                    <w:tr2bl w:val="nil"/>
                  </w:tcBorders>
                  <w:noWrap w:val="0"/>
                  <w:vAlign w:val="center"/>
                </w:tcPr>
                <w:p w14:paraId="165B9D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w:t>
                  </w:r>
                </w:p>
              </w:tc>
              <w:tc>
                <w:tcPr>
                  <w:tcW w:w="1122" w:type="pct"/>
                  <w:tcBorders>
                    <w:tl2br w:val="nil"/>
                    <w:tr2bl w:val="nil"/>
                  </w:tcBorders>
                  <w:noWrap w:val="0"/>
                  <w:vAlign w:val="center"/>
                </w:tcPr>
                <w:p w14:paraId="7A33371C">
                  <w:pPr>
                    <w:jc w:val="center"/>
                    <w:rPr>
                      <w:rFonts w:hint="default" w:cs="Times New Roman"/>
                      <w:b w:val="0"/>
                      <w:bCs w:val="0"/>
                      <w:color w:val="auto"/>
                      <w:sz w:val="21"/>
                      <w:szCs w:val="21"/>
                      <w:highlight w:val="none"/>
                      <w:lang w:val="en-US" w:eastAsia="zh-CN"/>
                    </w:rPr>
                  </w:pPr>
                  <w:r>
                    <w:rPr>
                      <w:rFonts w:hint="eastAsia"/>
                      <w:bCs/>
                      <w:color w:val="auto"/>
                      <w:sz w:val="21"/>
                      <w:szCs w:val="21"/>
                    </w:rPr>
                    <w:t>生活污水</w:t>
                  </w:r>
                </w:p>
              </w:tc>
              <w:tc>
                <w:tcPr>
                  <w:tcW w:w="1092" w:type="pct"/>
                  <w:gridSpan w:val="2"/>
                  <w:tcBorders>
                    <w:tl2br w:val="nil"/>
                    <w:tr2bl w:val="nil"/>
                  </w:tcBorders>
                  <w:noWrap w:val="0"/>
                  <w:vAlign w:val="center"/>
                </w:tcPr>
                <w:p w14:paraId="6B1813CB">
                  <w:pPr>
                    <w:pStyle w:val="6"/>
                    <w:ind w:firstLine="0" w:firstLineChars="0"/>
                    <w:jc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w:t>
                  </w:r>
                  <w:r>
                    <w:rPr>
                      <w:rFonts w:hint="default" w:ascii="Times New Roman" w:hAnsi="Times New Roman" w:eastAsia="宋体" w:cs="Times New Roman"/>
                      <w:color w:val="auto"/>
                      <w:sz w:val="21"/>
                      <w:szCs w:val="21"/>
                      <w:highlight w:val="none"/>
                      <w:vertAlign w:val="subscript"/>
                      <w:lang w:val="en-US" w:eastAsia="zh-CN"/>
                    </w:rPr>
                    <w:t>Cr</w:t>
                  </w: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val="en-US" w:eastAsia="zh-CN"/>
                    </w:rPr>
                    <w:t>、SS、氨氮</w:t>
                  </w:r>
                  <w:r>
                    <w:rPr>
                      <w:rFonts w:hint="eastAsia" w:ascii="Times New Roman" w:hAnsi="Times New Roman" w:eastAsia="宋体" w:cs="Times New Roman"/>
                      <w:color w:val="auto"/>
                      <w:sz w:val="21"/>
                      <w:szCs w:val="21"/>
                      <w:highlight w:val="none"/>
                      <w:lang w:val="en-US" w:eastAsia="zh-CN"/>
                    </w:rPr>
                    <w:t>等</w:t>
                  </w:r>
                </w:p>
              </w:tc>
              <w:tc>
                <w:tcPr>
                  <w:tcW w:w="1035" w:type="pct"/>
                  <w:tcBorders>
                    <w:tl2br w:val="nil"/>
                    <w:tr2bl w:val="nil"/>
                  </w:tcBorders>
                  <w:noWrap w:val="0"/>
                  <w:vAlign w:val="center"/>
                </w:tcPr>
                <w:p w14:paraId="713D7253">
                  <w:pPr>
                    <w:jc w:val="center"/>
                    <w:rPr>
                      <w:rFonts w:hint="default" w:eastAsia="宋体" w:cs="Times New Roman"/>
                      <w:b w:val="0"/>
                      <w:bCs w:val="0"/>
                      <w:color w:val="auto"/>
                      <w:sz w:val="21"/>
                      <w:szCs w:val="21"/>
                      <w:highlight w:val="none"/>
                      <w:lang w:val="en-US" w:eastAsia="zh-CN"/>
                    </w:rPr>
                  </w:pPr>
                  <w:r>
                    <w:rPr>
                      <w:rFonts w:hint="eastAsia"/>
                      <w:bCs/>
                      <w:color w:val="auto"/>
                      <w:sz w:val="21"/>
                      <w:szCs w:val="21"/>
                      <w:lang w:val="en-US" w:eastAsia="zh-CN"/>
                    </w:rPr>
                    <w:t>委托环卫部门定期清运，不外排</w:t>
                  </w:r>
                </w:p>
              </w:tc>
              <w:tc>
                <w:tcPr>
                  <w:tcW w:w="1345" w:type="pct"/>
                  <w:tcBorders>
                    <w:tl2br w:val="nil"/>
                    <w:tr2bl w:val="nil"/>
                  </w:tcBorders>
                  <w:noWrap w:val="0"/>
                  <w:vAlign w:val="center"/>
                </w:tcPr>
                <w:p w14:paraId="23D04002">
                  <w:pPr>
                    <w:adjustRightInd w:val="0"/>
                    <w:snapToGrid w:val="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不外排</w:t>
                  </w:r>
                </w:p>
              </w:tc>
            </w:tr>
            <w:tr w14:paraId="19A0B1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restart"/>
                  <w:tcBorders>
                    <w:tl2br w:val="nil"/>
                    <w:tr2bl w:val="nil"/>
                  </w:tcBorders>
                  <w:noWrap w:val="0"/>
                  <w:vAlign w:val="center"/>
                </w:tcPr>
                <w:p w14:paraId="33B973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噪声</w:t>
                  </w:r>
                </w:p>
              </w:tc>
              <w:tc>
                <w:tcPr>
                  <w:tcW w:w="1128" w:type="pct"/>
                  <w:gridSpan w:val="2"/>
                  <w:tcBorders>
                    <w:tl2br w:val="nil"/>
                    <w:tr2bl w:val="nil"/>
                  </w:tcBorders>
                  <w:noWrap w:val="0"/>
                  <w:vAlign w:val="center"/>
                </w:tcPr>
                <w:p w14:paraId="63C785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风机</w:t>
                  </w:r>
                </w:p>
              </w:tc>
              <w:tc>
                <w:tcPr>
                  <w:tcW w:w="1087" w:type="pct"/>
                  <w:tcBorders>
                    <w:tl2br w:val="nil"/>
                    <w:tr2bl w:val="nil"/>
                  </w:tcBorders>
                  <w:noWrap w:val="0"/>
                  <w:vAlign w:val="center"/>
                </w:tcPr>
                <w:p w14:paraId="5BF579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035" w:type="pct"/>
                  <w:tcBorders>
                    <w:tl2br w:val="nil"/>
                    <w:tr2bl w:val="nil"/>
                  </w:tcBorders>
                  <w:noWrap w:val="0"/>
                  <w:vAlign w:val="center"/>
                </w:tcPr>
                <w:p w14:paraId="7CAD87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加装减震</w:t>
                  </w:r>
                </w:p>
              </w:tc>
              <w:tc>
                <w:tcPr>
                  <w:tcW w:w="1345" w:type="pct"/>
                  <w:tcBorders>
                    <w:tl2br w:val="nil"/>
                    <w:tr2bl w:val="nil"/>
                  </w:tcBorders>
                  <w:noWrap w:val="0"/>
                  <w:vAlign w:val="center"/>
                </w:tcPr>
                <w:p w14:paraId="562F88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间歇</w:t>
                  </w:r>
                </w:p>
              </w:tc>
            </w:tr>
            <w:tr w14:paraId="252BE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continue"/>
                  <w:tcBorders>
                    <w:tl2br w:val="nil"/>
                    <w:tr2bl w:val="nil"/>
                  </w:tcBorders>
                  <w:noWrap w:val="0"/>
                  <w:vAlign w:val="center"/>
                </w:tcPr>
                <w:p w14:paraId="21C8EF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p>
              </w:tc>
              <w:tc>
                <w:tcPr>
                  <w:tcW w:w="1128" w:type="pct"/>
                  <w:gridSpan w:val="2"/>
                  <w:tcBorders>
                    <w:tl2br w:val="nil"/>
                    <w:tr2bl w:val="nil"/>
                  </w:tcBorders>
                  <w:noWrap w:val="0"/>
                  <w:vAlign w:val="center"/>
                </w:tcPr>
                <w:p w14:paraId="0F4C66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eastAsia" w:cs="Times New Roman"/>
                      <w:color w:val="auto"/>
                      <w:sz w:val="21"/>
                      <w:szCs w:val="21"/>
                      <w:highlight w:val="none"/>
                      <w:lang w:val="en-US" w:eastAsia="zh-CN"/>
                    </w:rPr>
                    <w:t>吹塑机</w:t>
                  </w:r>
                </w:p>
              </w:tc>
              <w:tc>
                <w:tcPr>
                  <w:tcW w:w="1087" w:type="pct"/>
                  <w:tcBorders>
                    <w:tl2br w:val="nil"/>
                    <w:tr2bl w:val="nil"/>
                  </w:tcBorders>
                  <w:noWrap w:val="0"/>
                  <w:vAlign w:val="center"/>
                </w:tcPr>
                <w:p w14:paraId="778BC5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035" w:type="pct"/>
                  <w:tcBorders>
                    <w:tl2br w:val="nil"/>
                    <w:tr2bl w:val="nil"/>
                  </w:tcBorders>
                  <w:noWrap w:val="0"/>
                  <w:vAlign w:val="center"/>
                </w:tcPr>
                <w:p w14:paraId="441A9B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减震、室内布置</w:t>
                  </w:r>
                </w:p>
              </w:tc>
              <w:tc>
                <w:tcPr>
                  <w:tcW w:w="1345" w:type="pct"/>
                  <w:tcBorders>
                    <w:tl2br w:val="nil"/>
                    <w:tr2bl w:val="nil"/>
                  </w:tcBorders>
                  <w:noWrap w:val="0"/>
                  <w:vAlign w:val="center"/>
                </w:tcPr>
                <w:p w14:paraId="6C967F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间歇</w:t>
                  </w:r>
                </w:p>
              </w:tc>
            </w:tr>
            <w:tr w14:paraId="7672D9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continue"/>
                  <w:tcBorders>
                    <w:tl2br w:val="nil"/>
                    <w:tr2bl w:val="nil"/>
                  </w:tcBorders>
                  <w:noWrap w:val="0"/>
                  <w:vAlign w:val="center"/>
                </w:tcPr>
                <w:p w14:paraId="41DA74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p>
              </w:tc>
              <w:tc>
                <w:tcPr>
                  <w:tcW w:w="1128" w:type="pct"/>
                  <w:gridSpan w:val="2"/>
                  <w:tcBorders>
                    <w:tl2br w:val="nil"/>
                    <w:tr2bl w:val="nil"/>
                  </w:tcBorders>
                  <w:noWrap w:val="0"/>
                  <w:vAlign w:val="center"/>
                </w:tcPr>
                <w:p w14:paraId="78FDA8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破碎机</w:t>
                  </w:r>
                </w:p>
              </w:tc>
              <w:tc>
                <w:tcPr>
                  <w:tcW w:w="1087" w:type="pct"/>
                  <w:tcBorders>
                    <w:tl2br w:val="nil"/>
                    <w:tr2bl w:val="nil"/>
                  </w:tcBorders>
                  <w:noWrap w:val="0"/>
                  <w:vAlign w:val="center"/>
                </w:tcPr>
                <w:p w14:paraId="2A6B86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035" w:type="pct"/>
                  <w:tcBorders>
                    <w:tl2br w:val="nil"/>
                    <w:tr2bl w:val="nil"/>
                  </w:tcBorders>
                  <w:noWrap w:val="0"/>
                  <w:vAlign w:val="center"/>
                </w:tcPr>
                <w:p w14:paraId="568BF2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减震、室内布置</w:t>
                  </w:r>
                </w:p>
              </w:tc>
              <w:tc>
                <w:tcPr>
                  <w:tcW w:w="1345" w:type="pct"/>
                  <w:tcBorders>
                    <w:tl2br w:val="nil"/>
                    <w:tr2bl w:val="nil"/>
                  </w:tcBorders>
                  <w:noWrap w:val="0"/>
                  <w:vAlign w:val="center"/>
                </w:tcPr>
                <w:p w14:paraId="09527C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间歇</w:t>
                  </w:r>
                </w:p>
              </w:tc>
            </w:tr>
            <w:tr w14:paraId="18A957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4" w:type="pct"/>
                  <w:vMerge w:val="restart"/>
                  <w:tcBorders>
                    <w:tl2br w:val="nil"/>
                    <w:tr2bl w:val="nil"/>
                  </w:tcBorders>
                  <w:noWrap w:val="0"/>
                  <w:vAlign w:val="center"/>
                </w:tcPr>
                <w:p w14:paraId="787A9D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固体废物</w:t>
                  </w:r>
                </w:p>
              </w:tc>
              <w:tc>
                <w:tcPr>
                  <w:tcW w:w="1128" w:type="pct"/>
                  <w:gridSpan w:val="2"/>
                  <w:tcBorders>
                    <w:tl2br w:val="nil"/>
                    <w:tr2bl w:val="nil"/>
                  </w:tcBorders>
                  <w:noWrap w:val="0"/>
                  <w:vAlign w:val="center"/>
                </w:tcPr>
                <w:p w14:paraId="199EA9E2">
                  <w:pPr>
                    <w:spacing w:line="240" w:lineRule="auto"/>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原料包装</w:t>
                  </w:r>
                </w:p>
              </w:tc>
              <w:tc>
                <w:tcPr>
                  <w:tcW w:w="1087" w:type="pct"/>
                  <w:tcBorders>
                    <w:tl2br w:val="nil"/>
                    <w:tr2bl w:val="nil"/>
                  </w:tcBorders>
                  <w:noWrap w:val="0"/>
                  <w:vAlign w:val="center"/>
                </w:tcPr>
                <w:p w14:paraId="74CB3711">
                  <w:pPr>
                    <w:spacing w:line="240" w:lineRule="auto"/>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en-US"/>
                    </w:rPr>
                    <w:t>一般废包装材料</w:t>
                  </w:r>
                </w:p>
              </w:tc>
              <w:tc>
                <w:tcPr>
                  <w:tcW w:w="1035" w:type="pct"/>
                  <w:tcBorders>
                    <w:tl2br w:val="nil"/>
                    <w:tr2bl w:val="nil"/>
                  </w:tcBorders>
                  <w:noWrap w:val="0"/>
                  <w:vAlign w:val="center"/>
                </w:tcPr>
                <w:p w14:paraId="1C08C8B1">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rPr>
                    <w:t>收集后外售综合利用</w:t>
                  </w:r>
                </w:p>
              </w:tc>
              <w:tc>
                <w:tcPr>
                  <w:tcW w:w="1345" w:type="pct"/>
                  <w:tcBorders>
                    <w:tl2br w:val="nil"/>
                    <w:tr2bl w:val="nil"/>
                  </w:tcBorders>
                  <w:noWrap w:val="0"/>
                  <w:vAlign w:val="center"/>
                </w:tcPr>
                <w:p w14:paraId="7AE93E01">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rPr>
                    <w:t>无外排</w:t>
                  </w:r>
                </w:p>
              </w:tc>
            </w:tr>
            <w:tr w14:paraId="165F7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404" w:type="pct"/>
                  <w:vMerge w:val="continue"/>
                  <w:tcBorders>
                    <w:tl2br w:val="nil"/>
                    <w:tr2bl w:val="nil"/>
                  </w:tcBorders>
                  <w:noWrap w:val="0"/>
                  <w:vAlign w:val="center"/>
                </w:tcPr>
                <w:p w14:paraId="0DC004B1">
                  <w:pPr>
                    <w:adjustRightInd w:val="0"/>
                    <w:snapToGrid w:val="0"/>
                    <w:jc w:val="center"/>
                    <w:rPr>
                      <w:rFonts w:hint="default" w:ascii="Times New Roman" w:hAnsi="Times New Roman" w:cs="Times New Roman"/>
                      <w:color w:val="auto"/>
                      <w:highlight w:val="none"/>
                    </w:rPr>
                  </w:pPr>
                </w:p>
              </w:tc>
              <w:tc>
                <w:tcPr>
                  <w:tcW w:w="1128" w:type="pct"/>
                  <w:gridSpan w:val="2"/>
                  <w:tcBorders>
                    <w:tl2br w:val="nil"/>
                    <w:tr2bl w:val="nil"/>
                  </w:tcBorders>
                  <w:noWrap w:val="0"/>
                  <w:vAlign w:val="center"/>
                </w:tcPr>
                <w:p w14:paraId="5F08CF6F">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吹塑</w:t>
                  </w:r>
                </w:p>
              </w:tc>
              <w:tc>
                <w:tcPr>
                  <w:tcW w:w="1087" w:type="pct"/>
                  <w:tcBorders>
                    <w:tl2br w:val="nil"/>
                    <w:tr2bl w:val="nil"/>
                  </w:tcBorders>
                  <w:noWrap w:val="0"/>
                  <w:vAlign w:val="center"/>
                </w:tcPr>
                <w:p w14:paraId="0F50173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塑料下脚料</w:t>
                  </w:r>
                </w:p>
              </w:tc>
              <w:tc>
                <w:tcPr>
                  <w:tcW w:w="1035" w:type="pct"/>
                  <w:tcBorders>
                    <w:tl2br w:val="nil"/>
                    <w:tr2bl w:val="nil"/>
                  </w:tcBorders>
                  <w:noWrap w:val="0"/>
                  <w:vAlign w:val="center"/>
                </w:tcPr>
                <w:p w14:paraId="08C12AFF">
                  <w:pPr>
                    <w:adjustRightInd w:val="0"/>
                    <w:snapToGrid w:val="0"/>
                    <w:jc w:val="center"/>
                    <w:rPr>
                      <w:rFonts w:hint="default" w:ascii="Times New Roman" w:hAnsi="Times New Roman" w:cs="Times New Roman"/>
                      <w:b w:val="0"/>
                      <w:bCs w:val="0"/>
                      <w:color w:val="auto"/>
                      <w:sz w:val="21"/>
                      <w:szCs w:val="21"/>
                      <w:highlight w:val="none"/>
                      <w:lang w:val="en-US" w:eastAsia="zh-CN"/>
                    </w:rPr>
                  </w:pPr>
                  <w:r>
                    <w:rPr>
                      <w:color w:val="auto"/>
                      <w:spacing w:val="1"/>
                      <w:sz w:val="22"/>
                      <w:szCs w:val="22"/>
                    </w:rPr>
                    <w:t>粉碎后回用于生产</w:t>
                  </w:r>
                </w:p>
              </w:tc>
              <w:tc>
                <w:tcPr>
                  <w:tcW w:w="1345" w:type="pct"/>
                  <w:tcBorders>
                    <w:tl2br w:val="nil"/>
                    <w:tr2bl w:val="nil"/>
                  </w:tcBorders>
                  <w:noWrap w:val="0"/>
                  <w:vAlign w:val="center"/>
                </w:tcPr>
                <w:p w14:paraId="3C10133C">
                  <w:pPr>
                    <w:adjustRightInd w:val="0"/>
                    <w:snapToGrid w:val="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rPr>
                    <w:t>无外排</w:t>
                  </w:r>
                </w:p>
              </w:tc>
            </w:tr>
            <w:tr w14:paraId="25892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04" w:type="pct"/>
                  <w:vMerge w:val="continue"/>
                  <w:tcBorders>
                    <w:tl2br w:val="nil"/>
                    <w:tr2bl w:val="nil"/>
                  </w:tcBorders>
                  <w:noWrap w:val="0"/>
                  <w:vAlign w:val="center"/>
                </w:tcPr>
                <w:p w14:paraId="4AFB354F">
                  <w:pPr>
                    <w:adjustRightInd w:val="0"/>
                    <w:snapToGrid w:val="0"/>
                    <w:jc w:val="center"/>
                    <w:rPr>
                      <w:rFonts w:hint="default" w:ascii="Times New Roman" w:hAnsi="Times New Roman" w:cs="Times New Roman"/>
                      <w:b w:val="0"/>
                      <w:bCs w:val="0"/>
                      <w:color w:val="auto"/>
                      <w:sz w:val="21"/>
                      <w:szCs w:val="21"/>
                      <w:highlight w:val="none"/>
                      <w:lang w:val="en-US" w:eastAsia="zh-CN"/>
                    </w:rPr>
                  </w:pPr>
                </w:p>
              </w:tc>
              <w:tc>
                <w:tcPr>
                  <w:tcW w:w="1128" w:type="pct"/>
                  <w:gridSpan w:val="2"/>
                  <w:tcBorders>
                    <w:tl2br w:val="nil"/>
                    <w:tr2bl w:val="nil"/>
                  </w:tcBorders>
                  <w:shd w:val="clear" w:color="auto" w:fill="auto"/>
                  <w:noWrap w:val="0"/>
                  <w:vAlign w:val="center"/>
                </w:tcPr>
                <w:p w14:paraId="56871AB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废气处理设施</w:t>
                  </w:r>
                </w:p>
              </w:tc>
              <w:tc>
                <w:tcPr>
                  <w:tcW w:w="1087" w:type="pct"/>
                  <w:tcBorders>
                    <w:tl2br w:val="nil"/>
                    <w:tr2bl w:val="nil"/>
                  </w:tcBorders>
                  <w:shd w:val="clear" w:color="auto" w:fill="auto"/>
                  <w:noWrap w:val="0"/>
                  <w:vAlign w:val="center"/>
                </w:tcPr>
                <w:p w14:paraId="00C3F86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c>
                <w:tcPr>
                  <w:tcW w:w="1035" w:type="pct"/>
                  <w:vMerge w:val="restart"/>
                  <w:tcBorders>
                    <w:tl2br w:val="nil"/>
                    <w:tr2bl w:val="nil"/>
                  </w:tcBorders>
                  <w:noWrap w:val="0"/>
                  <w:vAlign w:val="center"/>
                </w:tcPr>
                <w:p w14:paraId="3ACD43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委托有危废处置资质的单位进行处置</w:t>
                  </w:r>
                </w:p>
              </w:tc>
              <w:tc>
                <w:tcPr>
                  <w:tcW w:w="1345" w:type="pct"/>
                  <w:vMerge w:val="restart"/>
                  <w:tcBorders>
                    <w:tl2br w:val="nil"/>
                    <w:tr2bl w:val="nil"/>
                  </w:tcBorders>
                  <w:noWrap w:val="0"/>
                  <w:vAlign w:val="center"/>
                </w:tcPr>
                <w:p w14:paraId="16325A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无外排</w:t>
                  </w:r>
                </w:p>
              </w:tc>
            </w:tr>
            <w:tr w14:paraId="7BBAD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04" w:type="pct"/>
                  <w:vMerge w:val="continue"/>
                  <w:tcBorders>
                    <w:tl2br w:val="nil"/>
                    <w:tr2bl w:val="nil"/>
                  </w:tcBorders>
                  <w:noWrap w:val="0"/>
                  <w:vAlign w:val="center"/>
                </w:tcPr>
                <w:p w14:paraId="0C99B71E">
                  <w:pPr>
                    <w:adjustRightInd w:val="0"/>
                    <w:snapToGrid w:val="0"/>
                    <w:jc w:val="center"/>
                    <w:rPr>
                      <w:rFonts w:hint="default" w:ascii="Times New Roman" w:hAnsi="Times New Roman" w:cs="Times New Roman"/>
                      <w:b w:val="0"/>
                      <w:bCs w:val="0"/>
                      <w:color w:val="auto"/>
                      <w:sz w:val="21"/>
                      <w:szCs w:val="21"/>
                      <w:highlight w:val="none"/>
                      <w:lang w:val="en-US" w:eastAsia="zh-CN"/>
                    </w:rPr>
                  </w:pPr>
                </w:p>
              </w:tc>
              <w:tc>
                <w:tcPr>
                  <w:tcW w:w="1128" w:type="pct"/>
                  <w:gridSpan w:val="2"/>
                  <w:tcBorders>
                    <w:tl2br w:val="nil"/>
                    <w:tr2bl w:val="nil"/>
                  </w:tcBorders>
                  <w:shd w:val="clear" w:color="auto" w:fill="auto"/>
                  <w:noWrap w:val="0"/>
                  <w:vAlign w:val="center"/>
                </w:tcPr>
                <w:p w14:paraId="5F7FC89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废气处理</w:t>
                  </w:r>
                </w:p>
              </w:tc>
              <w:tc>
                <w:tcPr>
                  <w:tcW w:w="1087" w:type="pct"/>
                  <w:tcBorders>
                    <w:tl2br w:val="nil"/>
                    <w:tr2bl w:val="nil"/>
                  </w:tcBorders>
                  <w:shd w:val="clear" w:color="auto" w:fill="auto"/>
                  <w:noWrap w:val="0"/>
                  <w:vAlign w:val="center"/>
                </w:tcPr>
                <w:p w14:paraId="08BFEBD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废过滤棉</w:t>
                  </w:r>
                </w:p>
              </w:tc>
              <w:tc>
                <w:tcPr>
                  <w:tcW w:w="1035" w:type="pct"/>
                  <w:vMerge w:val="continue"/>
                  <w:tcBorders>
                    <w:tl2br w:val="nil"/>
                    <w:tr2bl w:val="nil"/>
                  </w:tcBorders>
                  <w:noWrap w:val="0"/>
                  <w:vAlign w:val="center"/>
                </w:tcPr>
                <w:p w14:paraId="565FD4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p>
              </w:tc>
              <w:tc>
                <w:tcPr>
                  <w:tcW w:w="1345" w:type="pct"/>
                  <w:vMerge w:val="continue"/>
                  <w:tcBorders>
                    <w:tl2br w:val="nil"/>
                    <w:tr2bl w:val="nil"/>
                  </w:tcBorders>
                  <w:noWrap w:val="0"/>
                  <w:vAlign w:val="center"/>
                </w:tcPr>
                <w:p w14:paraId="19E096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rPr>
                  </w:pPr>
                </w:p>
              </w:tc>
            </w:tr>
            <w:tr w14:paraId="42093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404" w:type="pct"/>
                  <w:vMerge w:val="continue"/>
                  <w:tcBorders>
                    <w:tl2br w:val="nil"/>
                    <w:tr2bl w:val="nil"/>
                  </w:tcBorders>
                  <w:noWrap w:val="0"/>
                  <w:vAlign w:val="center"/>
                </w:tcPr>
                <w:p w14:paraId="62A923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p>
              </w:tc>
              <w:tc>
                <w:tcPr>
                  <w:tcW w:w="1128" w:type="pct"/>
                  <w:gridSpan w:val="2"/>
                  <w:vMerge w:val="restart"/>
                  <w:tcBorders>
                    <w:tl2br w:val="nil"/>
                    <w:tr2bl w:val="nil"/>
                  </w:tcBorders>
                  <w:noWrap w:val="0"/>
                  <w:vAlign w:val="center"/>
                </w:tcPr>
                <w:p w14:paraId="6FB524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设备维护</w:t>
                  </w:r>
                </w:p>
              </w:tc>
              <w:tc>
                <w:tcPr>
                  <w:tcW w:w="1087" w:type="pct"/>
                  <w:tcBorders>
                    <w:tl2br w:val="nil"/>
                    <w:tr2bl w:val="nil"/>
                  </w:tcBorders>
                  <w:noWrap w:val="0"/>
                  <w:vAlign w:val="center"/>
                </w:tcPr>
                <w:p w14:paraId="05CD5F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废矿物油</w:t>
                  </w:r>
                </w:p>
              </w:tc>
              <w:tc>
                <w:tcPr>
                  <w:tcW w:w="1035" w:type="pct"/>
                  <w:vMerge w:val="continue"/>
                  <w:tcBorders>
                    <w:tl2br w:val="nil"/>
                    <w:tr2bl w:val="nil"/>
                  </w:tcBorders>
                  <w:noWrap w:val="0"/>
                  <w:vAlign w:val="center"/>
                </w:tcPr>
                <w:p w14:paraId="3895BE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p>
              </w:tc>
              <w:tc>
                <w:tcPr>
                  <w:tcW w:w="1345" w:type="pct"/>
                  <w:vMerge w:val="continue"/>
                  <w:tcBorders>
                    <w:tl2br w:val="nil"/>
                    <w:tr2bl w:val="nil"/>
                  </w:tcBorders>
                  <w:noWrap w:val="0"/>
                  <w:vAlign w:val="center"/>
                </w:tcPr>
                <w:p w14:paraId="2985B5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p>
              </w:tc>
            </w:tr>
            <w:tr w14:paraId="1AD149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404" w:type="pct"/>
                  <w:vMerge w:val="continue"/>
                  <w:tcBorders>
                    <w:tl2br w:val="nil"/>
                    <w:tr2bl w:val="nil"/>
                  </w:tcBorders>
                  <w:noWrap w:val="0"/>
                  <w:vAlign w:val="center"/>
                </w:tcPr>
                <w:p w14:paraId="1426C7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p>
              </w:tc>
              <w:tc>
                <w:tcPr>
                  <w:tcW w:w="1128" w:type="pct"/>
                  <w:gridSpan w:val="2"/>
                  <w:vMerge w:val="continue"/>
                  <w:tcBorders>
                    <w:tl2br w:val="nil"/>
                    <w:tr2bl w:val="nil"/>
                  </w:tcBorders>
                  <w:noWrap w:val="0"/>
                  <w:vAlign w:val="center"/>
                </w:tcPr>
                <w:p w14:paraId="24E1AE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p>
              </w:tc>
              <w:tc>
                <w:tcPr>
                  <w:tcW w:w="1087" w:type="pct"/>
                  <w:tcBorders>
                    <w:tl2br w:val="nil"/>
                    <w:tr2bl w:val="nil"/>
                  </w:tcBorders>
                  <w:noWrap w:val="0"/>
                  <w:vAlign w:val="center"/>
                </w:tcPr>
                <w:p w14:paraId="281BA5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废油桶</w:t>
                  </w:r>
                </w:p>
              </w:tc>
              <w:tc>
                <w:tcPr>
                  <w:tcW w:w="1035" w:type="pct"/>
                  <w:vMerge w:val="continue"/>
                  <w:tcBorders>
                    <w:tl2br w:val="nil"/>
                    <w:tr2bl w:val="nil"/>
                  </w:tcBorders>
                  <w:noWrap w:val="0"/>
                  <w:vAlign w:val="center"/>
                </w:tcPr>
                <w:p w14:paraId="1038A8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p>
              </w:tc>
              <w:tc>
                <w:tcPr>
                  <w:tcW w:w="1345" w:type="pct"/>
                  <w:vMerge w:val="continue"/>
                  <w:tcBorders>
                    <w:tl2br w:val="nil"/>
                    <w:tr2bl w:val="nil"/>
                  </w:tcBorders>
                  <w:noWrap w:val="0"/>
                  <w:vAlign w:val="center"/>
                </w:tcPr>
                <w:p w14:paraId="113A7D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p>
              </w:tc>
            </w:tr>
            <w:tr w14:paraId="5DE61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404" w:type="pct"/>
                  <w:vMerge w:val="continue"/>
                  <w:tcBorders>
                    <w:tl2br w:val="nil"/>
                    <w:tr2bl w:val="nil"/>
                  </w:tcBorders>
                  <w:noWrap w:val="0"/>
                  <w:vAlign w:val="center"/>
                </w:tcPr>
                <w:p w14:paraId="4373FD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p>
              </w:tc>
              <w:tc>
                <w:tcPr>
                  <w:tcW w:w="1128" w:type="pct"/>
                  <w:gridSpan w:val="2"/>
                  <w:tcBorders>
                    <w:tl2br w:val="nil"/>
                    <w:tr2bl w:val="nil"/>
                  </w:tcBorders>
                  <w:noWrap w:val="0"/>
                  <w:vAlign w:val="center"/>
                </w:tcPr>
                <w:p w14:paraId="317FA1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highlight w:val="none"/>
                      <w:lang w:val="en-US" w:eastAsia="zh-CN"/>
                    </w:rPr>
                  </w:pPr>
                  <w:r>
                    <w:rPr>
                      <w:rFonts w:hint="eastAsia"/>
                      <w:color w:val="auto"/>
                      <w:highlight w:val="none"/>
                      <w:lang w:val="en-US" w:eastAsia="zh-CN"/>
                    </w:rPr>
                    <w:t>职工生活</w:t>
                  </w:r>
                </w:p>
              </w:tc>
              <w:tc>
                <w:tcPr>
                  <w:tcW w:w="1087" w:type="pct"/>
                  <w:tcBorders>
                    <w:tl2br w:val="nil"/>
                    <w:tr2bl w:val="nil"/>
                  </w:tcBorders>
                  <w:noWrap w:val="0"/>
                  <w:vAlign w:val="center"/>
                </w:tcPr>
                <w:p w14:paraId="1C5A86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olor w:val="auto"/>
                      <w:highlight w:val="none"/>
                      <w:lang w:val="en-US" w:eastAsia="zh-CN"/>
                    </w:rPr>
                    <w:t>生活垃圾</w:t>
                  </w:r>
                </w:p>
              </w:tc>
              <w:tc>
                <w:tcPr>
                  <w:tcW w:w="1035" w:type="pct"/>
                  <w:tcBorders>
                    <w:tl2br w:val="nil"/>
                    <w:tr2bl w:val="nil"/>
                  </w:tcBorders>
                  <w:noWrap w:val="0"/>
                  <w:vAlign w:val="center"/>
                </w:tcPr>
                <w:p w14:paraId="7D7FD9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委托环卫部门定期清运</w:t>
                  </w:r>
                </w:p>
              </w:tc>
              <w:tc>
                <w:tcPr>
                  <w:tcW w:w="1345" w:type="pct"/>
                  <w:tcBorders>
                    <w:tl2br w:val="nil"/>
                    <w:tr2bl w:val="nil"/>
                  </w:tcBorders>
                  <w:noWrap w:val="0"/>
                  <w:vAlign w:val="center"/>
                </w:tcPr>
                <w:p w14:paraId="4E85BC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无外排</w:t>
                  </w:r>
                </w:p>
              </w:tc>
            </w:tr>
          </w:tbl>
          <w:p w14:paraId="71BEB36E">
            <w:pPr>
              <w:pStyle w:val="36"/>
              <w:ind w:left="0" w:leftChars="0" w:firstLine="420" w:firstLineChars="200"/>
              <w:rPr>
                <w:rFonts w:hint="default" w:ascii="Times New Roman" w:hAnsi="Times New Roman" w:eastAsia="宋体" w:cs="Times New Roman"/>
                <w:color w:val="auto"/>
                <w:sz w:val="21"/>
                <w:szCs w:val="21"/>
                <w:highlight w:val="none"/>
                <w:lang w:val="en-US" w:eastAsia="zh-CN"/>
              </w:rPr>
            </w:pPr>
          </w:p>
        </w:tc>
      </w:tr>
      <w:tr w14:paraId="16DD7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94" w:hRule="atLeast"/>
          <w:jc w:val="center"/>
        </w:trPr>
        <w:tc>
          <w:tcPr>
            <w:tcW w:w="448" w:type="dxa"/>
            <w:tcBorders>
              <w:top w:val="single" w:color="auto" w:sz="12" w:space="0"/>
              <w:bottom w:val="single" w:color="auto" w:sz="12" w:space="0"/>
            </w:tcBorders>
            <w:noWrap w:val="0"/>
            <w:vAlign w:val="center"/>
          </w:tcPr>
          <w:p w14:paraId="70A5CBEE">
            <w:pPr>
              <w:pStyle w:val="15"/>
              <w:keepNext w:val="0"/>
              <w:keepLines w:val="0"/>
              <w:pageBreakBefore w:val="0"/>
              <w:widowControl w:val="0"/>
              <w:kinsoku/>
              <w:wordWrap/>
              <w:overflowPunct/>
              <w:topLinePunct w:val="0"/>
              <w:autoSpaceDE/>
              <w:autoSpaceDN/>
              <w:bidi w:val="0"/>
              <w:adjustRightInd w:val="0"/>
              <w:snapToGrid w:val="0"/>
              <w:spacing w:before="0" w:line="240" w:lineRule="auto"/>
              <w:ind w:firstLine="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与项目有关的原有环境污染问题</w:t>
            </w:r>
          </w:p>
          <w:p w14:paraId="358701A2">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8419" w:type="dxa"/>
            <w:tcBorders>
              <w:top w:val="single" w:color="auto" w:sz="12" w:space="0"/>
              <w:bottom w:val="single" w:color="auto" w:sz="12" w:space="0"/>
            </w:tcBorders>
            <w:noWrap w:val="0"/>
            <w:vAlign w:val="top"/>
          </w:tcPr>
          <w:p w14:paraId="04E3829B">
            <w:pPr>
              <w:pStyle w:val="85"/>
              <w:spacing w:before="120"/>
              <w:ind w:firstLine="480" w:firstLineChars="200"/>
              <w:jc w:val="both"/>
              <w:rPr>
                <w:rFonts w:hint="default"/>
                <w:color w:val="auto"/>
                <w:lang w:val="en-US" w:eastAsia="zh-CN"/>
              </w:rPr>
            </w:pPr>
            <w:r>
              <w:rPr>
                <w:rFonts w:hint="default" w:ascii="Times New Roman" w:hAnsi="Times New Roman" w:eastAsia="宋体" w:cs="Times New Roman"/>
                <w:b w:val="0"/>
                <w:bCs/>
                <w:color w:val="auto"/>
                <w:sz w:val="24"/>
                <w:highlight w:val="none"/>
                <w:lang w:val="en-US" w:eastAsia="zh-CN"/>
              </w:rPr>
              <w:t>本项目为新建项目，租赁闲置的已建成车间，不存在与项目有关的原有环境污染问题。</w:t>
            </w:r>
          </w:p>
        </w:tc>
      </w:tr>
    </w:tbl>
    <w:p w14:paraId="1D96AAFF">
      <w:pPr>
        <w:spacing w:after="240" w:afterLines="100"/>
        <w:jc w:val="center"/>
        <w:outlineLvl w:val="0"/>
        <w:rPr>
          <w:rFonts w:hint="default" w:ascii="Times New Roman" w:hAnsi="Times New Roman" w:cs="Times New Roman"/>
          <w:b/>
          <w:color w:val="auto"/>
          <w:sz w:val="30"/>
          <w:szCs w:val="30"/>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p w14:paraId="05CEA0D2">
      <w:pPr>
        <w:spacing w:after="240" w:afterLines="100"/>
        <w:jc w:val="center"/>
        <w:outlineLvl w:val="0"/>
        <w:rPr>
          <w:rFonts w:hint="default" w:ascii="Times New Roman" w:hAnsi="Times New Roman" w:eastAsia="宋体" w:cs="Times New Roman"/>
          <w:b/>
          <w:color w:val="auto"/>
          <w:sz w:val="30"/>
          <w:szCs w:val="30"/>
          <w:lang w:val="en-US" w:eastAsia="zh-CN"/>
        </w:rPr>
      </w:pPr>
      <w:r>
        <w:rPr>
          <w:rFonts w:hint="default" w:ascii="Times New Roman" w:hAnsi="Times New Roman" w:cs="Times New Roman"/>
          <w:b/>
          <w:color w:val="auto"/>
          <w:sz w:val="30"/>
          <w:szCs w:val="30"/>
        </w:rPr>
        <w:t>三、</w:t>
      </w:r>
      <w:r>
        <w:rPr>
          <w:rFonts w:hint="eastAsia" w:ascii="Times New Roman" w:hAnsi="Times New Roman" w:cs="Times New Roman"/>
          <w:b/>
          <w:color w:val="auto"/>
          <w:sz w:val="30"/>
          <w:szCs w:val="30"/>
          <w:lang w:val="en-US" w:eastAsia="zh-CN"/>
        </w:rPr>
        <w:t>区域</w:t>
      </w:r>
      <w:r>
        <w:rPr>
          <w:rFonts w:hint="default" w:ascii="Times New Roman" w:hAnsi="Times New Roman" w:cs="Times New Roman"/>
          <w:b/>
          <w:color w:val="auto"/>
          <w:sz w:val="30"/>
          <w:szCs w:val="30"/>
        </w:rPr>
        <w:t>环境质量</w:t>
      </w:r>
      <w:r>
        <w:rPr>
          <w:rFonts w:hint="eastAsia" w:ascii="Times New Roman" w:hAnsi="Times New Roman" w:cs="Times New Roman"/>
          <w:b/>
          <w:color w:val="auto"/>
          <w:sz w:val="30"/>
          <w:szCs w:val="30"/>
          <w:lang w:val="en-US" w:eastAsia="zh-CN"/>
        </w:rPr>
        <w:t>现状、环境保护目标及评价标准</w:t>
      </w:r>
    </w:p>
    <w:tbl>
      <w:tblPr>
        <w:tblStyle w:val="3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6"/>
        <w:gridCol w:w="8032"/>
      </w:tblGrid>
      <w:tr w14:paraId="179ED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noWrap w:val="0"/>
            <w:vAlign w:val="center"/>
          </w:tcPr>
          <w:p w14:paraId="58F046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区域环境质量现状</w:t>
            </w:r>
          </w:p>
        </w:tc>
        <w:tc>
          <w:tcPr>
            <w:tcW w:w="8032" w:type="dxa"/>
            <w:noWrap w:val="0"/>
            <w:vAlign w:val="top"/>
          </w:tcPr>
          <w:p w14:paraId="76997596">
            <w:pPr>
              <w:widowControl/>
              <w:spacing w:line="360" w:lineRule="auto"/>
              <w:ind w:firstLine="482" w:firstLineChars="200"/>
              <w:rPr>
                <w:rFonts w:hint="default" w:ascii="Times New Roman" w:hAnsi="Times New Roman" w:eastAsia="宋体" w:cs="Times New Roman"/>
                <w:color w:val="auto"/>
                <w:spacing w:val="16"/>
                <w:sz w:val="24"/>
                <w:szCs w:val="24"/>
                <w:highlight w:val="none"/>
              </w:rPr>
            </w:pPr>
            <w:r>
              <w:rPr>
                <w:rFonts w:hint="default" w:ascii="Times New Roman" w:hAnsi="Times New Roman" w:eastAsia="宋体" w:cs="Times New Roman"/>
                <w:b/>
                <w:color w:val="auto"/>
                <w:sz w:val="24"/>
                <w:szCs w:val="24"/>
                <w:highlight w:val="none"/>
              </w:rPr>
              <w:t>一、环境空气质量现状</w:t>
            </w:r>
          </w:p>
          <w:p w14:paraId="314C83E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项目所在地环境空气质量功能区属二类区，执行《环境空气质量标准》（GB3095-2012）二级标准。</w:t>
            </w:r>
          </w:p>
          <w:p w14:paraId="25C8FAA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lang w:val="en-US" w:eastAsia="zh-CN"/>
              </w:rPr>
              <w:t>（1）区域环境空气质量达标情况</w:t>
            </w:r>
          </w:p>
          <w:p w14:paraId="19A35B8A">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宋体" w:eastAsia="宋体" w:cs="Times New Roman"/>
                <w:color w:val="auto"/>
                <w:sz w:val="24"/>
                <w:szCs w:val="24"/>
              </w:rPr>
              <w:t>根据济宁市生态环境局</w:t>
            </w:r>
            <w:r>
              <w:rPr>
                <w:rFonts w:hint="eastAsia" w:ascii="Times New Roman" w:hAnsi="宋体" w:eastAsia="宋体" w:cs="Times New Roman"/>
                <w:color w:val="auto"/>
                <w:sz w:val="24"/>
                <w:szCs w:val="24"/>
                <w:lang w:val="en-US" w:eastAsia="zh-CN"/>
              </w:rPr>
              <w:t>官方网站</w:t>
            </w:r>
            <w:r>
              <w:rPr>
                <w:rFonts w:hint="eastAsia" w:ascii="Times New Roman" w:hAnsi="宋体" w:eastAsia="宋体" w:cs="Times New Roman"/>
                <w:color w:val="auto"/>
                <w:sz w:val="24"/>
                <w:szCs w:val="24"/>
              </w:rPr>
              <w:t>公示的大气环境质量状况，</w:t>
            </w:r>
            <w:r>
              <w:rPr>
                <w:rFonts w:hint="eastAsia" w:ascii="Times New Roman" w:hAnsi="宋体" w:eastAsia="宋体" w:cs="Times New Roman"/>
                <w:color w:val="auto"/>
                <w:sz w:val="24"/>
                <w:szCs w:val="24"/>
                <w:lang w:val="en-US" w:eastAsia="zh-CN"/>
              </w:rPr>
              <w:t>泗水</w:t>
            </w:r>
            <w:r>
              <w:rPr>
                <w:rFonts w:hint="eastAsia" w:ascii="Times New Roman" w:hAnsi="宋体" w:eastAsia="宋体" w:cs="Times New Roman"/>
                <w:color w:val="auto"/>
                <w:sz w:val="24"/>
                <w:szCs w:val="24"/>
              </w:rPr>
              <w:t>县202</w:t>
            </w:r>
            <w:r>
              <w:rPr>
                <w:rFonts w:hint="eastAsia" w:ascii="Times New Roman" w:hAnsi="宋体" w:eastAsia="宋体" w:cs="Times New Roman"/>
                <w:color w:val="auto"/>
                <w:sz w:val="24"/>
                <w:szCs w:val="24"/>
                <w:lang w:val="en-US" w:eastAsia="zh-CN"/>
              </w:rPr>
              <w:t>4</w:t>
            </w:r>
            <w:r>
              <w:rPr>
                <w:rFonts w:hint="eastAsia" w:ascii="Times New Roman" w:hAnsi="宋体" w:eastAsia="宋体" w:cs="Times New Roman"/>
                <w:color w:val="auto"/>
                <w:sz w:val="24"/>
                <w:szCs w:val="24"/>
              </w:rPr>
              <w:t>年1月~202</w:t>
            </w:r>
            <w:r>
              <w:rPr>
                <w:rFonts w:hint="eastAsia" w:ascii="Times New Roman" w:hAnsi="宋体" w:eastAsia="宋体" w:cs="Times New Roman"/>
                <w:color w:val="auto"/>
                <w:sz w:val="24"/>
                <w:szCs w:val="24"/>
                <w:lang w:val="en-US" w:eastAsia="zh-CN"/>
              </w:rPr>
              <w:t>4</w:t>
            </w:r>
            <w:r>
              <w:rPr>
                <w:rFonts w:hint="eastAsia" w:ascii="Times New Roman" w:hAnsi="宋体" w:eastAsia="宋体" w:cs="Times New Roman"/>
                <w:color w:val="auto"/>
                <w:sz w:val="24"/>
                <w:szCs w:val="24"/>
              </w:rPr>
              <w:t>年12月连续1年的大气环境质量状况监测结果统计见下表</w:t>
            </w:r>
            <w:r>
              <w:rPr>
                <w:rFonts w:hint="eastAsia" w:ascii="Times New Roman" w:hAnsi="Times New Roman" w:eastAsia="宋体" w:cs="Times New Roman"/>
                <w:color w:val="auto"/>
                <w:sz w:val="24"/>
                <w:szCs w:val="24"/>
              </w:rPr>
              <w:t>。</w:t>
            </w:r>
          </w:p>
          <w:p w14:paraId="508A331C">
            <w:pPr>
              <w:adjustRightInd w:val="0"/>
              <w:snapToGrid w:val="0"/>
              <w:spacing w:line="240" w:lineRule="auto"/>
              <w:jc w:val="center"/>
              <w:rPr>
                <w:rFonts w:ascii="Times New Roman" w:hAnsi="Times New Roman" w:eastAsia="宋体" w:cs="Times New Roman"/>
                <w:b/>
                <w:color w:val="auto"/>
                <w:kern w:val="0"/>
                <w:szCs w:val="24"/>
              </w:rPr>
            </w:pPr>
            <w:r>
              <w:rPr>
                <w:rFonts w:ascii="Times New Roman" w:hAnsi="Times New Roman" w:eastAsia="新宋体" w:cs="Times New Roman"/>
                <w:b/>
                <w:color w:val="auto"/>
                <w:sz w:val="24"/>
                <w:szCs w:val="24"/>
              </w:rPr>
              <w:t>表3-</w:t>
            </w:r>
            <w:r>
              <w:rPr>
                <w:rFonts w:hint="eastAsia" w:ascii="Times New Roman" w:hAnsi="Times New Roman" w:eastAsia="新宋体" w:cs="Times New Roman"/>
                <w:b/>
                <w:color w:val="auto"/>
                <w:sz w:val="24"/>
                <w:szCs w:val="24"/>
                <w:lang w:val="en-US" w:eastAsia="zh-CN"/>
              </w:rPr>
              <w:t>1</w:t>
            </w:r>
            <w:r>
              <w:rPr>
                <w:rFonts w:ascii="Times New Roman" w:hAnsi="Times New Roman" w:eastAsia="新宋体" w:cs="Times New Roman"/>
                <w:b/>
                <w:color w:val="auto"/>
                <w:sz w:val="24"/>
                <w:szCs w:val="24"/>
              </w:rPr>
              <w:t xml:space="preserve">  </w:t>
            </w:r>
            <w:r>
              <w:rPr>
                <w:rFonts w:hint="eastAsia" w:ascii="Times New Roman" w:hAnsi="Times New Roman" w:eastAsia="新宋体" w:cs="Times New Roman"/>
                <w:b/>
                <w:color w:val="auto"/>
                <w:sz w:val="24"/>
                <w:szCs w:val="24"/>
                <w:lang w:val="en-US" w:eastAsia="zh-CN"/>
              </w:rPr>
              <w:t>泗水</w:t>
            </w:r>
            <w:r>
              <w:rPr>
                <w:rFonts w:hint="eastAsia" w:ascii="Times New Roman" w:hAnsi="Times New Roman" w:eastAsia="新宋体" w:cs="Times New Roman"/>
                <w:b/>
                <w:color w:val="auto"/>
                <w:sz w:val="24"/>
                <w:szCs w:val="24"/>
              </w:rPr>
              <w:t>县202</w:t>
            </w:r>
            <w:r>
              <w:rPr>
                <w:rFonts w:hint="eastAsia" w:ascii="Times New Roman" w:hAnsi="Times New Roman" w:eastAsia="新宋体" w:cs="Times New Roman"/>
                <w:b/>
                <w:color w:val="auto"/>
                <w:sz w:val="24"/>
                <w:szCs w:val="24"/>
                <w:lang w:val="en-US" w:eastAsia="zh-CN"/>
              </w:rPr>
              <w:t>4</w:t>
            </w:r>
            <w:r>
              <w:rPr>
                <w:rFonts w:hint="eastAsia" w:ascii="Times New Roman" w:hAnsi="Times New Roman" w:eastAsia="新宋体" w:cs="Times New Roman"/>
                <w:b/>
                <w:color w:val="auto"/>
                <w:sz w:val="24"/>
                <w:szCs w:val="24"/>
              </w:rPr>
              <w:t>年</w:t>
            </w:r>
            <w:r>
              <w:rPr>
                <w:rFonts w:hint="eastAsia" w:ascii="Times New Roman" w:hAnsi="Times New Roman" w:eastAsia="新宋体" w:cs="Times New Roman"/>
                <w:b/>
                <w:color w:val="auto"/>
                <w:sz w:val="24"/>
                <w:szCs w:val="24"/>
                <w:lang w:val="en-US" w:eastAsia="zh-CN"/>
              </w:rPr>
              <w:t>全</w:t>
            </w:r>
            <w:r>
              <w:rPr>
                <w:rFonts w:hint="eastAsia" w:ascii="Times New Roman" w:hAnsi="Times New Roman" w:eastAsia="新宋体" w:cs="Times New Roman"/>
                <w:b/>
                <w:color w:val="auto"/>
                <w:sz w:val="24"/>
                <w:szCs w:val="24"/>
              </w:rPr>
              <w:t>年空气质量现状</w:t>
            </w:r>
            <w:r>
              <w:rPr>
                <w:rFonts w:hint="eastAsia" w:ascii="Times New Roman" w:hAnsi="Times New Roman" w:eastAsia="新宋体" w:cs="Times New Roman"/>
                <w:b/>
                <w:color w:val="auto"/>
                <w:sz w:val="24"/>
                <w:szCs w:val="24"/>
                <w:lang w:val="en-US" w:eastAsia="zh-CN"/>
              </w:rPr>
              <w:t>一览</w:t>
            </w:r>
            <w:r>
              <w:rPr>
                <w:rFonts w:hint="eastAsia" w:ascii="Times New Roman" w:hAnsi="Times New Roman" w:eastAsia="新宋体" w:cs="Times New Roman"/>
                <w:b/>
                <w:color w:val="auto"/>
                <w:sz w:val="24"/>
                <w:szCs w:val="24"/>
              </w:rPr>
              <w:t>表</w:t>
            </w:r>
          </w:p>
          <w:tbl>
            <w:tblPr>
              <w:tblStyle w:val="155"/>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63"/>
              <w:gridCol w:w="876"/>
              <w:gridCol w:w="1056"/>
              <w:gridCol w:w="987"/>
              <w:gridCol w:w="1196"/>
              <w:gridCol w:w="1229"/>
              <w:gridCol w:w="1175"/>
            </w:tblGrid>
            <w:tr w14:paraId="0F3F65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73C5C8F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color w:val="auto"/>
                      <w:kern w:val="0"/>
                      <w:sz w:val="21"/>
                      <w:szCs w:val="21"/>
                      <w:lang w:val="en-US" w:eastAsia="zh-CN" w:bidi="ar-SA"/>
                    </w:rPr>
                  </w:pPr>
                  <w:r>
                    <w:rPr>
                      <w:rFonts w:ascii="宋体" w:hAnsi="宋体" w:eastAsia="宋体" w:cs="宋体"/>
                      <w:b/>
                      <w:bCs/>
                      <w:color w:val="auto"/>
                      <w:spacing w:val="6"/>
                      <w:kern w:val="0"/>
                      <w:sz w:val="21"/>
                      <w:szCs w:val="21"/>
                      <w:lang w:val="en-US" w:eastAsia="zh-CN" w:bidi="ar-SA"/>
                    </w:rPr>
                    <w:t>类别</w:t>
                  </w:r>
                </w:p>
              </w:tc>
              <w:tc>
                <w:tcPr>
                  <w:tcW w:w="562" w:type="pct"/>
                  <w:tcBorders>
                    <w:tl2br w:val="nil"/>
                    <w:tr2bl w:val="nil"/>
                  </w:tcBorders>
                  <w:noWrap w:val="0"/>
                  <w:vAlign w:val="center"/>
                </w:tcPr>
                <w:p w14:paraId="548DB68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b/>
                      <w:bCs/>
                      <w:color w:val="auto"/>
                      <w:spacing w:val="6"/>
                      <w:kern w:val="0"/>
                      <w:position w:val="-1"/>
                      <w:sz w:val="21"/>
                      <w:szCs w:val="21"/>
                      <w:vertAlign w:val="subscript"/>
                      <w:lang w:val="en-US" w:eastAsia="zh-CN" w:bidi="ar-SA"/>
                    </w:rPr>
                  </w:pPr>
                  <w:r>
                    <w:rPr>
                      <w:rFonts w:ascii="Times New Roman" w:hAnsi="Times New Roman" w:eastAsia="Times New Roman" w:cs="Times New Roman"/>
                      <w:b/>
                      <w:bCs/>
                      <w:color w:val="auto"/>
                      <w:kern w:val="0"/>
                      <w:sz w:val="21"/>
                      <w:szCs w:val="21"/>
                      <w:lang w:val="en-US" w:eastAsia="zh-CN" w:bidi="ar-SA"/>
                    </w:rPr>
                    <w:t>SO</w:t>
                  </w:r>
                  <w:r>
                    <w:rPr>
                      <w:rFonts w:ascii="Times New Roman" w:hAnsi="Times New Roman" w:eastAsia="Times New Roman" w:cs="Times New Roman"/>
                      <w:b/>
                      <w:bCs/>
                      <w:color w:val="auto"/>
                      <w:spacing w:val="6"/>
                      <w:kern w:val="0"/>
                      <w:position w:val="-1"/>
                      <w:sz w:val="21"/>
                      <w:szCs w:val="21"/>
                      <w:vertAlign w:val="subscript"/>
                      <w:lang w:val="en-US" w:eastAsia="zh-CN" w:bidi="ar-SA"/>
                    </w:rPr>
                    <w:t>2</w:t>
                  </w:r>
                </w:p>
                <w:p w14:paraId="58A4F8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color w:val="auto"/>
                      <w:kern w:val="0"/>
                      <w:sz w:val="21"/>
                      <w:szCs w:val="21"/>
                      <w:lang w:val="en-US" w:eastAsia="zh-CN" w:bidi="ar-SA"/>
                    </w:rPr>
                  </w:pPr>
                  <w:r>
                    <w:rPr>
                      <w:rFonts w:hint="eastAsia" w:ascii="宋体" w:hAnsi="宋体" w:eastAsia="宋体" w:cs="宋体"/>
                      <w:b/>
                      <w:bCs/>
                      <w:color w:val="auto"/>
                      <w:spacing w:val="2"/>
                      <w:kern w:val="0"/>
                      <w:sz w:val="21"/>
                      <w:szCs w:val="21"/>
                      <w:lang w:val="en-US" w:eastAsia="zh-CN" w:bidi="ar-SA"/>
                    </w:rPr>
                    <w:t>（</w:t>
                  </w:r>
                  <w:r>
                    <w:rPr>
                      <w:rFonts w:ascii="Times New Roman" w:hAnsi="Times New Roman" w:eastAsia="Times New Roman" w:cs="Times New Roman"/>
                      <w:b/>
                      <w:bCs/>
                      <w:color w:val="auto"/>
                      <w:spacing w:val="2"/>
                      <w:kern w:val="0"/>
                      <w:sz w:val="21"/>
                      <w:szCs w:val="21"/>
                      <w:lang w:val="en-US" w:eastAsia="zh-CN" w:bidi="ar-SA"/>
                    </w:rPr>
                    <w:t>μg/m</w:t>
                  </w:r>
                  <w:r>
                    <w:rPr>
                      <w:rFonts w:hint="eastAsia" w:ascii="Times New Roman" w:hAnsi="Times New Roman" w:eastAsia="宋体" w:cs="Times New Roman"/>
                      <w:b/>
                      <w:bCs/>
                      <w:color w:val="auto"/>
                      <w:spacing w:val="2"/>
                      <w:kern w:val="0"/>
                      <w:sz w:val="21"/>
                      <w:szCs w:val="21"/>
                      <w:vertAlign w:val="superscript"/>
                      <w:lang w:val="en-US" w:eastAsia="zh-CN" w:bidi="ar-SA"/>
                    </w:rPr>
                    <w:t>3</w:t>
                  </w:r>
                  <w:r>
                    <w:rPr>
                      <w:rFonts w:ascii="宋体" w:hAnsi="宋体" w:eastAsia="宋体" w:cs="宋体"/>
                      <w:b/>
                      <w:bCs/>
                      <w:color w:val="auto"/>
                      <w:spacing w:val="2"/>
                      <w:kern w:val="0"/>
                      <w:sz w:val="21"/>
                      <w:szCs w:val="21"/>
                      <w:lang w:val="en-US" w:eastAsia="zh-CN" w:bidi="ar-SA"/>
                    </w:rPr>
                    <w:t>）</w:t>
                  </w:r>
                </w:p>
              </w:tc>
              <w:tc>
                <w:tcPr>
                  <w:tcW w:w="678" w:type="pct"/>
                  <w:tcBorders>
                    <w:tl2br w:val="nil"/>
                    <w:tr2bl w:val="nil"/>
                  </w:tcBorders>
                  <w:noWrap w:val="0"/>
                  <w:vAlign w:val="center"/>
                </w:tcPr>
                <w:p w14:paraId="327E87A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b/>
                      <w:bCs/>
                      <w:color w:val="auto"/>
                      <w:spacing w:val="14"/>
                      <w:kern w:val="0"/>
                      <w:position w:val="-1"/>
                      <w:sz w:val="21"/>
                      <w:szCs w:val="21"/>
                      <w:vertAlign w:val="subscript"/>
                      <w:lang w:val="en-US" w:eastAsia="zh-CN" w:bidi="ar-SA"/>
                    </w:rPr>
                  </w:pPr>
                  <w:r>
                    <w:rPr>
                      <w:rFonts w:ascii="Times New Roman" w:hAnsi="Times New Roman" w:eastAsia="Times New Roman" w:cs="Times New Roman"/>
                      <w:b/>
                      <w:bCs/>
                      <w:color w:val="auto"/>
                      <w:kern w:val="0"/>
                      <w:sz w:val="21"/>
                      <w:szCs w:val="21"/>
                      <w:lang w:val="en-US" w:eastAsia="zh-CN" w:bidi="ar-SA"/>
                    </w:rPr>
                    <w:t>NO</w:t>
                  </w:r>
                  <w:r>
                    <w:rPr>
                      <w:rFonts w:ascii="Times New Roman" w:hAnsi="Times New Roman" w:eastAsia="Times New Roman" w:cs="Times New Roman"/>
                      <w:b/>
                      <w:bCs/>
                      <w:color w:val="auto"/>
                      <w:spacing w:val="14"/>
                      <w:kern w:val="0"/>
                      <w:position w:val="-1"/>
                      <w:sz w:val="21"/>
                      <w:szCs w:val="21"/>
                      <w:vertAlign w:val="subscript"/>
                      <w:lang w:val="en-US" w:eastAsia="zh-CN" w:bidi="ar-SA"/>
                    </w:rPr>
                    <w:t>2</w:t>
                  </w:r>
                </w:p>
                <w:p w14:paraId="439B039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color w:val="auto"/>
                      <w:kern w:val="0"/>
                      <w:sz w:val="21"/>
                      <w:szCs w:val="21"/>
                      <w:lang w:val="en-US" w:eastAsia="zh-CN" w:bidi="ar-SA"/>
                    </w:rPr>
                  </w:pPr>
                  <w:r>
                    <w:rPr>
                      <w:rFonts w:hint="eastAsia" w:ascii="宋体" w:hAnsi="宋体" w:eastAsia="宋体" w:cs="宋体"/>
                      <w:b/>
                      <w:bCs/>
                      <w:color w:val="auto"/>
                      <w:spacing w:val="2"/>
                      <w:kern w:val="0"/>
                      <w:sz w:val="21"/>
                      <w:szCs w:val="21"/>
                      <w:lang w:val="en-US" w:eastAsia="zh-CN" w:bidi="ar-SA"/>
                    </w:rPr>
                    <w:t>（</w:t>
                  </w:r>
                  <w:r>
                    <w:rPr>
                      <w:rFonts w:ascii="Times New Roman" w:hAnsi="Times New Roman" w:eastAsia="Times New Roman" w:cs="Times New Roman"/>
                      <w:b/>
                      <w:bCs/>
                      <w:color w:val="auto"/>
                      <w:spacing w:val="2"/>
                      <w:kern w:val="0"/>
                      <w:sz w:val="21"/>
                      <w:szCs w:val="21"/>
                      <w:lang w:val="en-US" w:eastAsia="zh-CN" w:bidi="ar-SA"/>
                    </w:rPr>
                    <w:t>μg/m</w:t>
                  </w:r>
                  <w:r>
                    <w:rPr>
                      <w:rFonts w:hint="eastAsia" w:ascii="Times New Roman" w:hAnsi="Times New Roman" w:eastAsia="宋体" w:cs="Times New Roman"/>
                      <w:b/>
                      <w:bCs/>
                      <w:color w:val="auto"/>
                      <w:spacing w:val="2"/>
                      <w:kern w:val="0"/>
                      <w:sz w:val="21"/>
                      <w:szCs w:val="21"/>
                      <w:vertAlign w:val="superscript"/>
                      <w:lang w:val="en-US" w:eastAsia="zh-CN" w:bidi="ar-SA"/>
                    </w:rPr>
                    <w:t>3</w:t>
                  </w:r>
                  <w:r>
                    <w:rPr>
                      <w:rFonts w:ascii="宋体" w:hAnsi="宋体" w:eastAsia="宋体" w:cs="宋体"/>
                      <w:b/>
                      <w:bCs/>
                      <w:color w:val="auto"/>
                      <w:spacing w:val="2"/>
                      <w:kern w:val="0"/>
                      <w:sz w:val="21"/>
                      <w:szCs w:val="21"/>
                      <w:lang w:val="en-US" w:eastAsia="zh-CN" w:bidi="ar-SA"/>
                    </w:rPr>
                    <w:t>）</w:t>
                  </w:r>
                </w:p>
              </w:tc>
              <w:tc>
                <w:tcPr>
                  <w:tcW w:w="634" w:type="pct"/>
                  <w:tcBorders>
                    <w:tl2br w:val="nil"/>
                    <w:tr2bl w:val="nil"/>
                  </w:tcBorders>
                  <w:noWrap w:val="0"/>
                  <w:vAlign w:val="center"/>
                </w:tcPr>
                <w:p w14:paraId="1B8E44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b/>
                      <w:bCs/>
                      <w:color w:val="auto"/>
                      <w:spacing w:val="4"/>
                      <w:kern w:val="0"/>
                      <w:position w:val="-1"/>
                      <w:sz w:val="21"/>
                      <w:szCs w:val="21"/>
                      <w:lang w:val="en-US" w:eastAsia="zh-CN" w:bidi="ar-SA"/>
                    </w:rPr>
                  </w:pPr>
                  <w:r>
                    <w:rPr>
                      <w:rFonts w:ascii="Times New Roman" w:hAnsi="Times New Roman" w:eastAsia="Times New Roman" w:cs="Times New Roman"/>
                      <w:b/>
                      <w:bCs/>
                      <w:color w:val="auto"/>
                      <w:kern w:val="0"/>
                      <w:sz w:val="21"/>
                      <w:szCs w:val="21"/>
                      <w:lang w:val="en-US" w:eastAsia="zh-CN" w:bidi="ar-SA"/>
                    </w:rPr>
                    <w:t>PM</w:t>
                  </w:r>
                  <w:r>
                    <w:rPr>
                      <w:rFonts w:ascii="Times New Roman" w:hAnsi="Times New Roman" w:eastAsia="Times New Roman" w:cs="Times New Roman"/>
                      <w:b/>
                      <w:bCs/>
                      <w:color w:val="auto"/>
                      <w:spacing w:val="4"/>
                      <w:kern w:val="0"/>
                      <w:position w:val="-1"/>
                      <w:sz w:val="21"/>
                      <w:szCs w:val="21"/>
                      <w:vertAlign w:val="subscript"/>
                      <w:lang w:val="en-US" w:eastAsia="zh-CN" w:bidi="ar-SA"/>
                    </w:rPr>
                    <w:t>10</w:t>
                  </w:r>
                </w:p>
                <w:p w14:paraId="14C40A1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color w:val="auto"/>
                      <w:kern w:val="0"/>
                      <w:sz w:val="21"/>
                      <w:szCs w:val="21"/>
                      <w:lang w:val="en-US" w:eastAsia="zh-CN" w:bidi="ar-SA"/>
                    </w:rPr>
                  </w:pPr>
                  <w:r>
                    <w:rPr>
                      <w:rFonts w:hint="eastAsia" w:ascii="宋体" w:hAnsi="宋体" w:eastAsia="宋体" w:cs="宋体"/>
                      <w:b/>
                      <w:bCs/>
                      <w:color w:val="auto"/>
                      <w:spacing w:val="4"/>
                      <w:kern w:val="0"/>
                      <w:sz w:val="21"/>
                      <w:szCs w:val="21"/>
                      <w:lang w:val="en-US" w:eastAsia="zh-CN" w:bidi="ar-SA"/>
                    </w:rPr>
                    <w:t>（</w:t>
                  </w:r>
                  <w:r>
                    <w:rPr>
                      <w:rFonts w:ascii="Times New Roman" w:hAnsi="Times New Roman" w:eastAsia="Times New Roman" w:cs="Times New Roman"/>
                      <w:b/>
                      <w:bCs/>
                      <w:color w:val="auto"/>
                      <w:spacing w:val="4"/>
                      <w:kern w:val="0"/>
                      <w:sz w:val="21"/>
                      <w:szCs w:val="21"/>
                      <w:lang w:val="en-US" w:eastAsia="zh-CN" w:bidi="ar-SA"/>
                    </w:rPr>
                    <w:t>μg/m</w:t>
                  </w:r>
                  <w:r>
                    <w:rPr>
                      <w:rFonts w:hint="eastAsia" w:ascii="Times New Roman" w:hAnsi="Times New Roman" w:eastAsia="宋体" w:cs="Times New Roman"/>
                      <w:b/>
                      <w:bCs/>
                      <w:color w:val="auto"/>
                      <w:spacing w:val="4"/>
                      <w:kern w:val="0"/>
                      <w:sz w:val="21"/>
                      <w:szCs w:val="21"/>
                      <w:vertAlign w:val="superscript"/>
                      <w:lang w:val="en-US" w:eastAsia="zh-CN" w:bidi="ar-SA"/>
                    </w:rPr>
                    <w:t>3</w:t>
                  </w:r>
                  <w:r>
                    <w:rPr>
                      <w:rFonts w:ascii="宋体" w:hAnsi="宋体" w:eastAsia="宋体" w:cs="宋体"/>
                      <w:b/>
                      <w:bCs/>
                      <w:color w:val="auto"/>
                      <w:spacing w:val="4"/>
                      <w:kern w:val="0"/>
                      <w:sz w:val="21"/>
                      <w:szCs w:val="21"/>
                      <w:lang w:val="en-US" w:eastAsia="zh-CN" w:bidi="ar-SA"/>
                    </w:rPr>
                    <w:t>）</w:t>
                  </w:r>
                </w:p>
              </w:tc>
              <w:tc>
                <w:tcPr>
                  <w:tcW w:w="768" w:type="pct"/>
                  <w:tcBorders>
                    <w:tl2br w:val="nil"/>
                    <w:tr2bl w:val="nil"/>
                  </w:tcBorders>
                  <w:noWrap w:val="0"/>
                  <w:vAlign w:val="center"/>
                </w:tcPr>
                <w:p w14:paraId="799B198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b/>
                      <w:bCs/>
                      <w:color w:val="auto"/>
                      <w:spacing w:val="3"/>
                      <w:kern w:val="0"/>
                      <w:position w:val="-1"/>
                      <w:sz w:val="21"/>
                      <w:szCs w:val="21"/>
                      <w:lang w:val="en-US" w:eastAsia="zh-CN" w:bidi="ar-SA"/>
                    </w:rPr>
                  </w:pPr>
                  <w:r>
                    <w:rPr>
                      <w:rFonts w:ascii="Times New Roman" w:hAnsi="Times New Roman" w:eastAsia="Times New Roman" w:cs="Times New Roman"/>
                      <w:b/>
                      <w:bCs/>
                      <w:color w:val="auto"/>
                      <w:kern w:val="0"/>
                      <w:sz w:val="21"/>
                      <w:szCs w:val="21"/>
                      <w:lang w:val="en-US" w:eastAsia="zh-CN" w:bidi="ar-SA"/>
                    </w:rPr>
                    <w:t>PM</w:t>
                  </w:r>
                  <w:r>
                    <w:rPr>
                      <w:rFonts w:ascii="Times New Roman" w:hAnsi="Times New Roman" w:eastAsia="Times New Roman" w:cs="Times New Roman"/>
                      <w:b/>
                      <w:bCs/>
                      <w:color w:val="auto"/>
                      <w:spacing w:val="3"/>
                      <w:kern w:val="0"/>
                      <w:position w:val="-1"/>
                      <w:sz w:val="21"/>
                      <w:szCs w:val="21"/>
                      <w:vertAlign w:val="subscript"/>
                      <w:lang w:val="en-US" w:eastAsia="zh-CN" w:bidi="ar-SA"/>
                    </w:rPr>
                    <w:t>2.5</w:t>
                  </w:r>
                </w:p>
                <w:p w14:paraId="436E6AE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b/>
                      <w:bCs/>
                      <w:color w:val="auto"/>
                      <w:kern w:val="0"/>
                      <w:sz w:val="21"/>
                      <w:szCs w:val="21"/>
                      <w:lang w:val="en-US" w:eastAsia="zh-CN" w:bidi="ar-SA"/>
                    </w:rPr>
                  </w:pPr>
                  <w:r>
                    <w:rPr>
                      <w:rFonts w:hint="eastAsia" w:ascii="宋体" w:hAnsi="宋体" w:eastAsia="宋体" w:cs="宋体"/>
                      <w:b/>
                      <w:bCs/>
                      <w:color w:val="auto"/>
                      <w:spacing w:val="3"/>
                      <w:kern w:val="0"/>
                      <w:sz w:val="21"/>
                      <w:szCs w:val="21"/>
                      <w:lang w:val="en-US" w:eastAsia="zh-CN" w:bidi="ar-SA"/>
                    </w:rPr>
                    <w:t>（</w:t>
                  </w:r>
                  <w:r>
                    <w:rPr>
                      <w:rFonts w:ascii="Times New Roman" w:hAnsi="Times New Roman" w:eastAsia="Times New Roman" w:cs="Times New Roman"/>
                      <w:b/>
                      <w:bCs/>
                      <w:color w:val="auto"/>
                      <w:spacing w:val="3"/>
                      <w:kern w:val="0"/>
                      <w:sz w:val="21"/>
                      <w:szCs w:val="21"/>
                      <w:lang w:val="en-US" w:eastAsia="zh-CN" w:bidi="ar-SA"/>
                    </w:rPr>
                    <w:t>μg/m</w:t>
                  </w:r>
                  <w:r>
                    <w:rPr>
                      <w:rFonts w:hint="eastAsia" w:ascii="Times New Roman" w:hAnsi="Times New Roman" w:eastAsia="宋体" w:cs="Times New Roman"/>
                      <w:b/>
                      <w:bCs/>
                      <w:color w:val="auto"/>
                      <w:spacing w:val="3"/>
                      <w:kern w:val="0"/>
                      <w:sz w:val="21"/>
                      <w:szCs w:val="21"/>
                      <w:vertAlign w:val="superscript"/>
                      <w:lang w:val="en-US" w:eastAsia="zh-CN" w:bidi="ar-SA"/>
                    </w:rPr>
                    <w:t>3</w:t>
                  </w:r>
                  <w:r>
                    <w:rPr>
                      <w:rFonts w:ascii="宋体" w:hAnsi="宋体" w:eastAsia="宋体" w:cs="宋体"/>
                      <w:b/>
                      <w:bCs/>
                      <w:color w:val="auto"/>
                      <w:spacing w:val="3"/>
                      <w:kern w:val="0"/>
                      <w:sz w:val="21"/>
                      <w:szCs w:val="21"/>
                      <w:lang w:val="en-US" w:eastAsia="zh-CN" w:bidi="ar-SA"/>
                    </w:rPr>
                    <w:t>）</w:t>
                  </w:r>
                </w:p>
              </w:tc>
              <w:tc>
                <w:tcPr>
                  <w:tcW w:w="789" w:type="pct"/>
                  <w:tcBorders>
                    <w:tl2br w:val="nil"/>
                    <w:tr2bl w:val="nil"/>
                  </w:tcBorders>
                  <w:noWrap w:val="0"/>
                  <w:vAlign w:val="center"/>
                </w:tcPr>
                <w:p w14:paraId="3FA5DA38">
                  <w:pPr>
                    <w:keepNext w:val="0"/>
                    <w:keepLines w:val="0"/>
                    <w:pageBreakBefore w:val="0"/>
                    <w:widowControl/>
                    <w:suppressLineNumbers w:val="0"/>
                    <w:wordWrap/>
                    <w:overflowPunct/>
                    <w:topLinePunct w:val="0"/>
                    <w:bidi w:val="0"/>
                    <w:snapToGrid w:val="0"/>
                    <w:spacing w:line="240" w:lineRule="auto"/>
                    <w:ind w:left="0"/>
                    <w:jc w:val="center"/>
                    <w:rPr>
                      <w:rFonts w:ascii="Times New Roman" w:hAnsi="Times New Roman" w:eastAsia="Times New Roman" w:cs="Times New Roman"/>
                      <w:b/>
                      <w:bCs/>
                      <w:snapToGrid w:val="0"/>
                      <w:color w:val="auto"/>
                      <w:kern w:val="0"/>
                      <w:sz w:val="21"/>
                      <w:szCs w:val="21"/>
                      <w:lang w:val="en-US" w:eastAsia="en-US" w:bidi="ar-SA"/>
                    </w:rPr>
                  </w:pPr>
                  <w:r>
                    <w:rPr>
                      <w:rFonts w:hint="default" w:ascii="Times New Roman" w:hAnsi="Times New Roman" w:eastAsia="Times New Roman" w:cs="Times New Roman"/>
                      <w:b/>
                      <w:bCs/>
                      <w:snapToGrid w:val="0"/>
                      <w:color w:val="auto"/>
                      <w:kern w:val="0"/>
                      <w:sz w:val="21"/>
                      <w:szCs w:val="21"/>
                      <w:lang w:val="en-US" w:eastAsia="zh-CN" w:bidi="ar-SA"/>
                    </w:rPr>
                    <w:t>CO95</w:t>
                  </w:r>
                  <w:r>
                    <w:rPr>
                      <w:rFonts w:hint="eastAsia" w:ascii="Times New Roman" w:hAnsi="Times New Roman" w:eastAsia="Times New Roman" w:cs="Times New Roman"/>
                      <w:b/>
                      <w:bCs/>
                      <w:snapToGrid w:val="0"/>
                      <w:color w:val="auto"/>
                      <w:kern w:val="0"/>
                      <w:sz w:val="21"/>
                      <w:szCs w:val="21"/>
                      <w:lang w:val="en-US" w:eastAsia="zh-CN" w:bidi="ar-SA"/>
                    </w:rPr>
                    <w:t>百分数浓度值（</w:t>
                  </w:r>
                  <w:r>
                    <w:rPr>
                      <w:rFonts w:hint="default" w:ascii="Times New Roman" w:hAnsi="Times New Roman" w:eastAsia="Times New Roman" w:cs="Times New Roman"/>
                      <w:b/>
                      <w:bCs/>
                      <w:snapToGrid w:val="0"/>
                      <w:color w:val="auto"/>
                      <w:kern w:val="0"/>
                      <w:sz w:val="21"/>
                      <w:szCs w:val="21"/>
                      <w:lang w:val="en-US" w:eastAsia="zh-CN" w:bidi="ar-SA"/>
                    </w:rPr>
                    <w:t>mg/m</w:t>
                  </w:r>
                  <w:r>
                    <w:rPr>
                      <w:rFonts w:hint="default" w:ascii="Times New Roman" w:hAnsi="Times New Roman" w:eastAsia="Times New Roman" w:cs="Times New Roman"/>
                      <w:b/>
                      <w:bCs/>
                      <w:snapToGrid w:val="0"/>
                      <w:color w:val="auto"/>
                      <w:kern w:val="0"/>
                      <w:sz w:val="21"/>
                      <w:szCs w:val="21"/>
                      <w:vertAlign w:val="superscript"/>
                      <w:lang w:val="en-US" w:eastAsia="zh-CN" w:bidi="ar-SA"/>
                    </w:rPr>
                    <w:t>3</w:t>
                  </w:r>
                  <w:r>
                    <w:rPr>
                      <w:rFonts w:hint="eastAsia" w:ascii="Times New Roman" w:hAnsi="Times New Roman" w:eastAsia="Times New Roman" w:cs="Times New Roman"/>
                      <w:b/>
                      <w:bCs/>
                      <w:snapToGrid w:val="0"/>
                      <w:color w:val="auto"/>
                      <w:kern w:val="0"/>
                      <w:sz w:val="21"/>
                      <w:szCs w:val="21"/>
                      <w:lang w:val="en-US" w:eastAsia="zh-CN" w:bidi="ar-SA"/>
                    </w:rPr>
                    <w:t>）</w:t>
                  </w:r>
                </w:p>
              </w:tc>
              <w:tc>
                <w:tcPr>
                  <w:tcW w:w="754" w:type="pct"/>
                  <w:tcBorders>
                    <w:tl2br w:val="nil"/>
                    <w:tr2bl w:val="nil"/>
                  </w:tcBorders>
                  <w:noWrap w:val="0"/>
                  <w:vAlign w:val="center"/>
                </w:tcPr>
                <w:p w14:paraId="0E5C7487">
                  <w:pPr>
                    <w:keepNext w:val="0"/>
                    <w:keepLines w:val="0"/>
                    <w:pageBreakBefore w:val="0"/>
                    <w:widowControl/>
                    <w:suppressLineNumbers w:val="0"/>
                    <w:wordWrap/>
                    <w:overflowPunct/>
                    <w:topLinePunct w:val="0"/>
                    <w:bidi w:val="0"/>
                    <w:snapToGrid w:val="0"/>
                    <w:spacing w:line="240" w:lineRule="auto"/>
                    <w:ind w:left="0"/>
                    <w:jc w:val="center"/>
                    <w:rPr>
                      <w:rFonts w:ascii="Times New Roman" w:hAnsi="Times New Roman" w:eastAsia="Times New Roman" w:cs="Times New Roman"/>
                      <w:b/>
                      <w:bCs/>
                      <w:snapToGrid w:val="0"/>
                      <w:color w:val="auto"/>
                      <w:kern w:val="0"/>
                      <w:sz w:val="21"/>
                      <w:szCs w:val="21"/>
                      <w:lang w:val="en-US" w:eastAsia="en-US" w:bidi="ar-SA"/>
                    </w:rPr>
                  </w:pPr>
                  <w:r>
                    <w:rPr>
                      <w:rFonts w:hint="default" w:ascii="Times New Roman" w:hAnsi="Times New Roman" w:eastAsia="Times New Roman" w:cs="Times New Roman"/>
                      <w:b/>
                      <w:bCs/>
                      <w:snapToGrid w:val="0"/>
                      <w:color w:val="auto"/>
                      <w:kern w:val="0"/>
                      <w:sz w:val="21"/>
                      <w:szCs w:val="21"/>
                      <w:lang w:val="en-US" w:eastAsia="zh-CN" w:bidi="ar-SA"/>
                    </w:rPr>
                    <w:t>O</w:t>
                  </w:r>
                  <w:r>
                    <w:rPr>
                      <w:rFonts w:hint="default" w:ascii="Times New Roman" w:hAnsi="Times New Roman" w:eastAsia="Times New Roman" w:cs="Times New Roman"/>
                      <w:b/>
                      <w:bCs/>
                      <w:snapToGrid w:val="0"/>
                      <w:color w:val="auto"/>
                      <w:kern w:val="0"/>
                      <w:sz w:val="21"/>
                      <w:szCs w:val="21"/>
                      <w:vertAlign w:val="subscript"/>
                      <w:lang w:val="en-US" w:eastAsia="zh-CN" w:bidi="ar-SA"/>
                    </w:rPr>
                    <w:t>3</w:t>
                  </w:r>
                  <w:r>
                    <w:rPr>
                      <w:rFonts w:hint="default" w:ascii="Times New Roman" w:hAnsi="Times New Roman" w:eastAsia="Times New Roman" w:cs="Times New Roman"/>
                      <w:b/>
                      <w:bCs/>
                      <w:snapToGrid w:val="0"/>
                      <w:color w:val="auto"/>
                      <w:kern w:val="0"/>
                      <w:sz w:val="21"/>
                      <w:szCs w:val="21"/>
                      <w:lang w:val="en-US" w:eastAsia="zh-CN" w:bidi="ar-SA"/>
                    </w:rPr>
                    <w:t>90</w:t>
                  </w:r>
                  <w:r>
                    <w:rPr>
                      <w:rFonts w:hint="eastAsia" w:ascii="Times New Roman" w:hAnsi="Times New Roman" w:eastAsia="Times New Roman" w:cs="Times New Roman"/>
                      <w:b/>
                      <w:bCs/>
                      <w:snapToGrid w:val="0"/>
                      <w:color w:val="auto"/>
                      <w:kern w:val="0"/>
                      <w:sz w:val="21"/>
                      <w:szCs w:val="21"/>
                      <w:lang w:val="en-US" w:eastAsia="zh-CN" w:bidi="ar-SA"/>
                    </w:rPr>
                    <w:t>百分数浓度值（</w:t>
                  </w:r>
                  <w:r>
                    <w:rPr>
                      <w:rFonts w:hint="default" w:ascii="Times New Roman" w:hAnsi="Times New Roman" w:eastAsia="Times New Roman" w:cs="Times New Roman"/>
                      <w:b/>
                      <w:bCs/>
                      <w:snapToGrid w:val="0"/>
                      <w:color w:val="auto"/>
                      <w:kern w:val="0"/>
                      <w:sz w:val="21"/>
                      <w:szCs w:val="21"/>
                      <w:lang w:val="en-US" w:eastAsia="zh-CN" w:bidi="ar-SA"/>
                    </w:rPr>
                    <w:t>μg/m</w:t>
                  </w:r>
                  <w:r>
                    <w:rPr>
                      <w:rFonts w:hint="eastAsia" w:ascii="Times New Roman" w:hAnsi="Times New Roman" w:eastAsia="Times New Roman" w:cs="Times New Roman"/>
                      <w:b/>
                      <w:bCs/>
                      <w:snapToGrid w:val="0"/>
                      <w:color w:val="auto"/>
                      <w:kern w:val="0"/>
                      <w:sz w:val="21"/>
                      <w:szCs w:val="21"/>
                      <w:vertAlign w:val="superscript"/>
                      <w:lang w:val="en-US" w:eastAsia="zh-CN" w:bidi="ar-SA"/>
                    </w:rPr>
                    <w:t>3</w:t>
                  </w:r>
                  <w:r>
                    <w:rPr>
                      <w:rFonts w:hint="eastAsia" w:ascii="Times New Roman" w:hAnsi="Times New Roman" w:eastAsia="Times New Roman" w:cs="Times New Roman"/>
                      <w:b/>
                      <w:bCs/>
                      <w:snapToGrid w:val="0"/>
                      <w:color w:val="auto"/>
                      <w:kern w:val="0"/>
                      <w:sz w:val="21"/>
                      <w:szCs w:val="21"/>
                      <w:lang w:val="en-US" w:eastAsia="zh-CN" w:bidi="ar-SA"/>
                    </w:rPr>
                    <w:t>）</w:t>
                  </w:r>
                </w:p>
              </w:tc>
            </w:tr>
            <w:tr w14:paraId="1CB806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6D2D67B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1</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6070EE69">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w:t>
                  </w:r>
                </w:p>
              </w:tc>
              <w:tc>
                <w:tcPr>
                  <w:tcW w:w="678" w:type="pct"/>
                  <w:tcBorders>
                    <w:tl2br w:val="nil"/>
                    <w:tr2bl w:val="nil"/>
                  </w:tcBorders>
                  <w:noWrap w:val="0"/>
                  <w:vAlign w:val="center"/>
                </w:tcPr>
                <w:p w14:paraId="160B442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42</w:t>
                  </w:r>
                </w:p>
              </w:tc>
              <w:tc>
                <w:tcPr>
                  <w:tcW w:w="634" w:type="pct"/>
                  <w:tcBorders>
                    <w:tl2br w:val="nil"/>
                    <w:tr2bl w:val="nil"/>
                  </w:tcBorders>
                  <w:noWrap w:val="0"/>
                  <w:vAlign w:val="center"/>
                </w:tcPr>
                <w:p w14:paraId="5B846AEF">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126</w:t>
                  </w:r>
                </w:p>
              </w:tc>
              <w:tc>
                <w:tcPr>
                  <w:tcW w:w="768" w:type="pct"/>
                  <w:tcBorders>
                    <w:tl2br w:val="nil"/>
                    <w:tr2bl w:val="nil"/>
                  </w:tcBorders>
                  <w:noWrap w:val="0"/>
                  <w:vAlign w:val="center"/>
                </w:tcPr>
                <w:p w14:paraId="39E6B78F">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91</w:t>
                  </w:r>
                </w:p>
              </w:tc>
              <w:tc>
                <w:tcPr>
                  <w:tcW w:w="789" w:type="pct"/>
                  <w:tcBorders>
                    <w:tl2br w:val="nil"/>
                    <w:tr2bl w:val="nil"/>
                  </w:tcBorders>
                  <w:noWrap w:val="0"/>
                  <w:vAlign w:val="center"/>
                </w:tcPr>
                <w:p w14:paraId="36929F5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754" w:type="pct"/>
                  <w:tcBorders>
                    <w:tl2br w:val="nil"/>
                    <w:tr2bl w:val="nil"/>
                  </w:tcBorders>
                  <w:noWrap w:val="0"/>
                  <w:vAlign w:val="center"/>
                </w:tcPr>
                <w:p w14:paraId="55DA72EA">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78</w:t>
                  </w:r>
                </w:p>
              </w:tc>
            </w:tr>
            <w:tr w14:paraId="54697C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428E38A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2"/>
                      <w:kern w:val="0"/>
                      <w:sz w:val="21"/>
                      <w:szCs w:val="21"/>
                      <w:lang w:val="en-US" w:eastAsia="zh-CN" w:bidi="ar-SA"/>
                    </w:rPr>
                    <w:t>2</w:t>
                  </w:r>
                  <w:r>
                    <w:rPr>
                      <w:rFonts w:ascii="宋体" w:hAnsi="宋体" w:eastAsia="宋体" w:cs="宋体"/>
                      <w:color w:val="auto"/>
                      <w:spacing w:val="2"/>
                      <w:kern w:val="0"/>
                      <w:sz w:val="21"/>
                      <w:szCs w:val="21"/>
                      <w:lang w:val="en-US" w:eastAsia="zh-CN" w:bidi="ar-SA"/>
                    </w:rPr>
                    <w:t>月</w:t>
                  </w:r>
                </w:p>
              </w:tc>
              <w:tc>
                <w:tcPr>
                  <w:tcW w:w="562" w:type="pct"/>
                  <w:tcBorders>
                    <w:tl2br w:val="nil"/>
                    <w:tr2bl w:val="nil"/>
                  </w:tcBorders>
                  <w:noWrap w:val="0"/>
                  <w:vAlign w:val="center"/>
                </w:tcPr>
                <w:p w14:paraId="39CC029D">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678" w:type="pct"/>
                  <w:tcBorders>
                    <w:tl2br w:val="nil"/>
                    <w:tr2bl w:val="nil"/>
                  </w:tcBorders>
                  <w:noWrap w:val="0"/>
                  <w:vAlign w:val="center"/>
                </w:tcPr>
                <w:p w14:paraId="5FCDC1C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25</w:t>
                  </w:r>
                </w:p>
              </w:tc>
              <w:tc>
                <w:tcPr>
                  <w:tcW w:w="634" w:type="pct"/>
                  <w:tcBorders>
                    <w:tl2br w:val="nil"/>
                    <w:tr2bl w:val="nil"/>
                  </w:tcBorders>
                  <w:noWrap w:val="0"/>
                  <w:vAlign w:val="center"/>
                </w:tcPr>
                <w:p w14:paraId="780B322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101</w:t>
                  </w:r>
                </w:p>
              </w:tc>
              <w:tc>
                <w:tcPr>
                  <w:tcW w:w="768" w:type="pct"/>
                  <w:tcBorders>
                    <w:tl2br w:val="nil"/>
                    <w:tr2bl w:val="nil"/>
                  </w:tcBorders>
                  <w:noWrap w:val="0"/>
                  <w:vAlign w:val="center"/>
                </w:tcPr>
                <w:p w14:paraId="07F8A353">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74</w:t>
                  </w:r>
                </w:p>
              </w:tc>
              <w:tc>
                <w:tcPr>
                  <w:tcW w:w="789" w:type="pct"/>
                  <w:tcBorders>
                    <w:tl2br w:val="nil"/>
                    <w:tr2bl w:val="nil"/>
                  </w:tcBorders>
                  <w:noWrap w:val="0"/>
                  <w:vAlign w:val="center"/>
                </w:tcPr>
                <w:p w14:paraId="07603CC8">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w:t>
                  </w:r>
                </w:p>
              </w:tc>
              <w:tc>
                <w:tcPr>
                  <w:tcW w:w="754" w:type="pct"/>
                  <w:tcBorders>
                    <w:tl2br w:val="nil"/>
                    <w:tr2bl w:val="nil"/>
                  </w:tcBorders>
                  <w:noWrap w:val="0"/>
                  <w:vAlign w:val="center"/>
                </w:tcPr>
                <w:p w14:paraId="15D17A4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r>
            <w:tr w14:paraId="537E77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31C7279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3</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18CC455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678" w:type="pct"/>
                  <w:tcBorders>
                    <w:tl2br w:val="nil"/>
                    <w:tr2bl w:val="nil"/>
                  </w:tcBorders>
                  <w:noWrap w:val="0"/>
                  <w:vAlign w:val="center"/>
                </w:tcPr>
                <w:p w14:paraId="48E774C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29</w:t>
                  </w:r>
                </w:p>
              </w:tc>
              <w:tc>
                <w:tcPr>
                  <w:tcW w:w="634" w:type="pct"/>
                  <w:tcBorders>
                    <w:tl2br w:val="nil"/>
                    <w:tr2bl w:val="nil"/>
                  </w:tcBorders>
                  <w:noWrap w:val="0"/>
                  <w:vAlign w:val="center"/>
                </w:tcPr>
                <w:p w14:paraId="58800967">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85</w:t>
                  </w:r>
                </w:p>
              </w:tc>
              <w:tc>
                <w:tcPr>
                  <w:tcW w:w="768" w:type="pct"/>
                  <w:tcBorders>
                    <w:tl2br w:val="nil"/>
                    <w:tr2bl w:val="nil"/>
                  </w:tcBorders>
                  <w:noWrap w:val="0"/>
                  <w:vAlign w:val="center"/>
                </w:tcPr>
                <w:p w14:paraId="28CEADD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45</w:t>
                  </w:r>
                </w:p>
              </w:tc>
              <w:tc>
                <w:tcPr>
                  <w:tcW w:w="789" w:type="pct"/>
                  <w:tcBorders>
                    <w:tl2br w:val="nil"/>
                    <w:tr2bl w:val="nil"/>
                  </w:tcBorders>
                  <w:noWrap w:val="0"/>
                  <w:vAlign w:val="center"/>
                </w:tcPr>
                <w:p w14:paraId="0AEDA67A">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0.9</w:t>
                  </w:r>
                </w:p>
              </w:tc>
              <w:tc>
                <w:tcPr>
                  <w:tcW w:w="754" w:type="pct"/>
                  <w:tcBorders>
                    <w:tl2br w:val="nil"/>
                    <w:tr2bl w:val="nil"/>
                  </w:tcBorders>
                  <w:noWrap w:val="0"/>
                  <w:vAlign w:val="center"/>
                </w:tcPr>
                <w:p w14:paraId="1ACFF04F">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142</w:t>
                  </w:r>
                </w:p>
              </w:tc>
            </w:tr>
            <w:tr w14:paraId="2B8391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284E0C4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2"/>
                      <w:kern w:val="0"/>
                      <w:sz w:val="21"/>
                      <w:szCs w:val="21"/>
                      <w:lang w:val="en-US" w:eastAsia="zh-CN" w:bidi="ar-SA"/>
                    </w:rPr>
                    <w:t>4</w:t>
                  </w:r>
                  <w:r>
                    <w:rPr>
                      <w:rFonts w:ascii="宋体" w:hAnsi="宋体" w:eastAsia="宋体" w:cs="宋体"/>
                      <w:color w:val="auto"/>
                      <w:spacing w:val="2"/>
                      <w:kern w:val="0"/>
                      <w:sz w:val="21"/>
                      <w:szCs w:val="21"/>
                      <w:lang w:val="en-US" w:eastAsia="zh-CN" w:bidi="ar-SA"/>
                    </w:rPr>
                    <w:t>月</w:t>
                  </w:r>
                </w:p>
              </w:tc>
              <w:tc>
                <w:tcPr>
                  <w:tcW w:w="562" w:type="pct"/>
                  <w:tcBorders>
                    <w:tl2br w:val="nil"/>
                    <w:tr2bl w:val="nil"/>
                  </w:tcBorders>
                  <w:noWrap w:val="0"/>
                  <w:vAlign w:val="center"/>
                </w:tcPr>
                <w:p w14:paraId="7AEF3181">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678" w:type="pct"/>
                  <w:tcBorders>
                    <w:tl2br w:val="nil"/>
                    <w:tr2bl w:val="nil"/>
                  </w:tcBorders>
                  <w:noWrap w:val="0"/>
                  <w:vAlign w:val="center"/>
                </w:tcPr>
                <w:p w14:paraId="68B3276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30</w:t>
                  </w:r>
                </w:p>
              </w:tc>
              <w:tc>
                <w:tcPr>
                  <w:tcW w:w="634" w:type="pct"/>
                  <w:tcBorders>
                    <w:tl2br w:val="nil"/>
                    <w:tr2bl w:val="nil"/>
                  </w:tcBorders>
                  <w:noWrap w:val="0"/>
                  <w:vAlign w:val="center"/>
                </w:tcPr>
                <w:p w14:paraId="3DED2AC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73</w:t>
                  </w:r>
                </w:p>
              </w:tc>
              <w:tc>
                <w:tcPr>
                  <w:tcW w:w="768" w:type="pct"/>
                  <w:tcBorders>
                    <w:tl2br w:val="nil"/>
                    <w:tr2bl w:val="nil"/>
                  </w:tcBorders>
                  <w:noWrap w:val="0"/>
                  <w:vAlign w:val="center"/>
                </w:tcPr>
                <w:p w14:paraId="250D8CF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34</w:t>
                  </w:r>
                </w:p>
              </w:tc>
              <w:tc>
                <w:tcPr>
                  <w:tcW w:w="789" w:type="pct"/>
                  <w:tcBorders>
                    <w:tl2br w:val="nil"/>
                    <w:tr2bl w:val="nil"/>
                  </w:tcBorders>
                  <w:noWrap w:val="0"/>
                  <w:vAlign w:val="center"/>
                </w:tcPr>
                <w:p w14:paraId="164206F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w:t>
                  </w:r>
                </w:p>
              </w:tc>
              <w:tc>
                <w:tcPr>
                  <w:tcW w:w="754" w:type="pct"/>
                  <w:tcBorders>
                    <w:tl2br w:val="nil"/>
                    <w:tr2bl w:val="nil"/>
                  </w:tcBorders>
                  <w:noWrap w:val="0"/>
                  <w:vAlign w:val="center"/>
                </w:tcPr>
                <w:p w14:paraId="051C780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164</w:t>
                  </w:r>
                </w:p>
              </w:tc>
            </w:tr>
            <w:tr w14:paraId="498F2B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77C5F71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5</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6F814AD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678" w:type="pct"/>
                  <w:tcBorders>
                    <w:tl2br w:val="nil"/>
                    <w:tr2bl w:val="nil"/>
                  </w:tcBorders>
                  <w:noWrap w:val="0"/>
                  <w:vAlign w:val="center"/>
                </w:tcPr>
                <w:p w14:paraId="7AA5C3CA">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25</w:t>
                  </w:r>
                </w:p>
              </w:tc>
              <w:tc>
                <w:tcPr>
                  <w:tcW w:w="634" w:type="pct"/>
                  <w:tcBorders>
                    <w:tl2br w:val="nil"/>
                    <w:tr2bl w:val="nil"/>
                  </w:tcBorders>
                  <w:noWrap w:val="0"/>
                  <w:vAlign w:val="center"/>
                </w:tcPr>
                <w:p w14:paraId="0FAF32B9">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52</w:t>
                  </w:r>
                </w:p>
              </w:tc>
              <w:tc>
                <w:tcPr>
                  <w:tcW w:w="768" w:type="pct"/>
                  <w:tcBorders>
                    <w:tl2br w:val="nil"/>
                    <w:tr2bl w:val="nil"/>
                  </w:tcBorders>
                  <w:noWrap w:val="0"/>
                  <w:vAlign w:val="center"/>
                </w:tcPr>
                <w:p w14:paraId="4AA71D54">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27</w:t>
                  </w:r>
                </w:p>
              </w:tc>
              <w:tc>
                <w:tcPr>
                  <w:tcW w:w="789" w:type="pct"/>
                  <w:tcBorders>
                    <w:tl2br w:val="nil"/>
                    <w:tr2bl w:val="nil"/>
                  </w:tcBorders>
                  <w:noWrap w:val="0"/>
                  <w:vAlign w:val="center"/>
                </w:tcPr>
                <w:p w14:paraId="4E2FB5F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w:t>
                  </w:r>
                </w:p>
              </w:tc>
              <w:tc>
                <w:tcPr>
                  <w:tcW w:w="754" w:type="pct"/>
                  <w:tcBorders>
                    <w:tl2br w:val="nil"/>
                    <w:tr2bl w:val="nil"/>
                  </w:tcBorders>
                  <w:noWrap w:val="0"/>
                  <w:vAlign w:val="center"/>
                </w:tcPr>
                <w:p w14:paraId="7173C7AB">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169</w:t>
                  </w:r>
                </w:p>
              </w:tc>
            </w:tr>
            <w:tr w14:paraId="373C30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32EE67A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6</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63DE985D">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w:t>
                  </w:r>
                </w:p>
              </w:tc>
              <w:tc>
                <w:tcPr>
                  <w:tcW w:w="678" w:type="pct"/>
                  <w:tcBorders>
                    <w:tl2br w:val="nil"/>
                    <w:tr2bl w:val="nil"/>
                  </w:tcBorders>
                  <w:noWrap w:val="0"/>
                  <w:vAlign w:val="center"/>
                </w:tcPr>
                <w:p w14:paraId="609E08B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634" w:type="pct"/>
                  <w:tcBorders>
                    <w:tl2br w:val="nil"/>
                    <w:tr2bl w:val="nil"/>
                  </w:tcBorders>
                  <w:noWrap w:val="0"/>
                  <w:vAlign w:val="center"/>
                </w:tcPr>
                <w:p w14:paraId="6EE8269F">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53</w:t>
                  </w:r>
                </w:p>
              </w:tc>
              <w:tc>
                <w:tcPr>
                  <w:tcW w:w="768" w:type="pct"/>
                  <w:tcBorders>
                    <w:tl2br w:val="nil"/>
                    <w:tr2bl w:val="nil"/>
                  </w:tcBorders>
                  <w:noWrap w:val="0"/>
                  <w:vAlign w:val="center"/>
                </w:tcPr>
                <w:p w14:paraId="2C98BF5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25</w:t>
                  </w:r>
                </w:p>
              </w:tc>
              <w:tc>
                <w:tcPr>
                  <w:tcW w:w="789" w:type="pct"/>
                  <w:tcBorders>
                    <w:tl2br w:val="nil"/>
                    <w:tr2bl w:val="nil"/>
                  </w:tcBorders>
                  <w:noWrap w:val="0"/>
                  <w:vAlign w:val="center"/>
                </w:tcPr>
                <w:p w14:paraId="3282032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0.9</w:t>
                  </w:r>
                </w:p>
              </w:tc>
              <w:tc>
                <w:tcPr>
                  <w:tcW w:w="754" w:type="pct"/>
                  <w:tcBorders>
                    <w:tl2br w:val="nil"/>
                    <w:tr2bl w:val="nil"/>
                  </w:tcBorders>
                  <w:noWrap w:val="0"/>
                  <w:vAlign w:val="center"/>
                </w:tcPr>
                <w:p w14:paraId="446966A0">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216</w:t>
                  </w:r>
                </w:p>
              </w:tc>
            </w:tr>
            <w:tr w14:paraId="781E7B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17D8D16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7</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1C54EF3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w:t>
                  </w:r>
                </w:p>
              </w:tc>
              <w:tc>
                <w:tcPr>
                  <w:tcW w:w="678" w:type="pct"/>
                  <w:tcBorders>
                    <w:tl2br w:val="nil"/>
                    <w:tr2bl w:val="nil"/>
                  </w:tcBorders>
                  <w:noWrap w:val="0"/>
                  <w:vAlign w:val="center"/>
                </w:tcPr>
                <w:p w14:paraId="3BBA2C1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w:t>
                  </w:r>
                </w:p>
              </w:tc>
              <w:tc>
                <w:tcPr>
                  <w:tcW w:w="634" w:type="pct"/>
                  <w:tcBorders>
                    <w:tl2br w:val="nil"/>
                    <w:tr2bl w:val="nil"/>
                  </w:tcBorders>
                  <w:noWrap w:val="0"/>
                  <w:vAlign w:val="center"/>
                </w:tcPr>
                <w:p w14:paraId="77DADBFB">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29</w:t>
                  </w:r>
                </w:p>
              </w:tc>
              <w:tc>
                <w:tcPr>
                  <w:tcW w:w="768" w:type="pct"/>
                  <w:tcBorders>
                    <w:tl2br w:val="nil"/>
                    <w:tr2bl w:val="nil"/>
                  </w:tcBorders>
                  <w:noWrap w:val="0"/>
                  <w:vAlign w:val="center"/>
                </w:tcPr>
                <w:p w14:paraId="1B458988">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789" w:type="pct"/>
                  <w:tcBorders>
                    <w:tl2br w:val="nil"/>
                    <w:tr2bl w:val="nil"/>
                  </w:tcBorders>
                  <w:noWrap w:val="0"/>
                  <w:vAlign w:val="center"/>
                </w:tcPr>
                <w:p w14:paraId="1115A91B">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w:t>
                  </w:r>
                </w:p>
              </w:tc>
              <w:tc>
                <w:tcPr>
                  <w:tcW w:w="754" w:type="pct"/>
                  <w:tcBorders>
                    <w:tl2br w:val="nil"/>
                    <w:tr2bl w:val="nil"/>
                  </w:tcBorders>
                  <w:noWrap w:val="0"/>
                  <w:vAlign w:val="center"/>
                </w:tcPr>
                <w:p w14:paraId="4B56EAF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172</w:t>
                  </w:r>
                </w:p>
              </w:tc>
            </w:tr>
            <w:tr w14:paraId="557C34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6F98727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8</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5C1BD2E3">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w:t>
                  </w:r>
                </w:p>
              </w:tc>
              <w:tc>
                <w:tcPr>
                  <w:tcW w:w="678" w:type="pct"/>
                  <w:tcBorders>
                    <w:tl2br w:val="nil"/>
                    <w:tr2bl w:val="nil"/>
                  </w:tcBorders>
                  <w:noWrap w:val="0"/>
                  <w:vAlign w:val="center"/>
                </w:tcPr>
                <w:p w14:paraId="3BC1ACC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19</w:t>
                  </w:r>
                </w:p>
              </w:tc>
              <w:tc>
                <w:tcPr>
                  <w:tcW w:w="634" w:type="pct"/>
                  <w:tcBorders>
                    <w:tl2br w:val="nil"/>
                    <w:tr2bl w:val="nil"/>
                  </w:tcBorders>
                  <w:noWrap w:val="0"/>
                  <w:vAlign w:val="center"/>
                </w:tcPr>
                <w:p w14:paraId="7526CBDD">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33</w:t>
                  </w:r>
                </w:p>
              </w:tc>
              <w:tc>
                <w:tcPr>
                  <w:tcW w:w="768" w:type="pct"/>
                  <w:tcBorders>
                    <w:tl2br w:val="nil"/>
                    <w:tr2bl w:val="nil"/>
                  </w:tcBorders>
                  <w:noWrap w:val="0"/>
                  <w:vAlign w:val="center"/>
                </w:tcPr>
                <w:p w14:paraId="43D0AE51">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789" w:type="pct"/>
                  <w:tcBorders>
                    <w:tl2br w:val="nil"/>
                    <w:tr2bl w:val="nil"/>
                  </w:tcBorders>
                  <w:noWrap w:val="0"/>
                  <w:vAlign w:val="center"/>
                </w:tcPr>
                <w:p w14:paraId="662530D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w:t>
                  </w:r>
                </w:p>
              </w:tc>
              <w:tc>
                <w:tcPr>
                  <w:tcW w:w="754" w:type="pct"/>
                  <w:tcBorders>
                    <w:tl2br w:val="nil"/>
                    <w:tr2bl w:val="nil"/>
                  </w:tcBorders>
                  <w:noWrap w:val="0"/>
                  <w:vAlign w:val="center"/>
                </w:tcPr>
                <w:p w14:paraId="2480C60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175</w:t>
                  </w:r>
                </w:p>
              </w:tc>
            </w:tr>
            <w:tr w14:paraId="42881E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0606AD9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9</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0BAA06CB">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w:t>
                  </w:r>
                </w:p>
              </w:tc>
              <w:tc>
                <w:tcPr>
                  <w:tcW w:w="678" w:type="pct"/>
                  <w:tcBorders>
                    <w:tl2br w:val="nil"/>
                    <w:tr2bl w:val="nil"/>
                  </w:tcBorders>
                  <w:noWrap w:val="0"/>
                  <w:vAlign w:val="center"/>
                </w:tcPr>
                <w:p w14:paraId="404B5F7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w:t>
                  </w:r>
                </w:p>
              </w:tc>
              <w:tc>
                <w:tcPr>
                  <w:tcW w:w="634" w:type="pct"/>
                  <w:tcBorders>
                    <w:tl2br w:val="nil"/>
                    <w:tr2bl w:val="nil"/>
                  </w:tcBorders>
                  <w:noWrap w:val="0"/>
                  <w:vAlign w:val="center"/>
                </w:tcPr>
                <w:p w14:paraId="57E7611C">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39</w:t>
                  </w:r>
                </w:p>
              </w:tc>
              <w:tc>
                <w:tcPr>
                  <w:tcW w:w="768" w:type="pct"/>
                  <w:tcBorders>
                    <w:tl2br w:val="nil"/>
                    <w:tr2bl w:val="nil"/>
                  </w:tcBorders>
                  <w:noWrap w:val="0"/>
                  <w:vAlign w:val="center"/>
                </w:tcPr>
                <w:p w14:paraId="58AB66F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21</w:t>
                  </w:r>
                </w:p>
              </w:tc>
              <w:tc>
                <w:tcPr>
                  <w:tcW w:w="789" w:type="pct"/>
                  <w:tcBorders>
                    <w:tl2br w:val="nil"/>
                    <w:tr2bl w:val="nil"/>
                  </w:tcBorders>
                  <w:noWrap w:val="0"/>
                  <w:vAlign w:val="center"/>
                </w:tcPr>
                <w:p w14:paraId="34AFDD0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c>
                <w:tcPr>
                  <w:tcW w:w="754" w:type="pct"/>
                  <w:tcBorders>
                    <w:tl2br w:val="nil"/>
                    <w:tr2bl w:val="nil"/>
                  </w:tcBorders>
                  <w:noWrap w:val="0"/>
                  <w:vAlign w:val="center"/>
                </w:tcPr>
                <w:p w14:paraId="5B87424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176</w:t>
                  </w:r>
                </w:p>
              </w:tc>
            </w:tr>
            <w:tr w14:paraId="1C7B46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35C0155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10</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1CB65F9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c>
                <w:tcPr>
                  <w:tcW w:w="678" w:type="pct"/>
                  <w:tcBorders>
                    <w:tl2br w:val="nil"/>
                    <w:tr2bl w:val="nil"/>
                  </w:tcBorders>
                  <w:noWrap w:val="0"/>
                  <w:vAlign w:val="center"/>
                </w:tcPr>
                <w:p w14:paraId="15B56D6D">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36</w:t>
                  </w:r>
                </w:p>
              </w:tc>
              <w:tc>
                <w:tcPr>
                  <w:tcW w:w="634" w:type="pct"/>
                  <w:tcBorders>
                    <w:tl2br w:val="nil"/>
                    <w:tr2bl w:val="nil"/>
                  </w:tcBorders>
                  <w:noWrap w:val="0"/>
                  <w:vAlign w:val="center"/>
                </w:tcPr>
                <w:p w14:paraId="6AE766A4">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58</w:t>
                  </w:r>
                </w:p>
              </w:tc>
              <w:tc>
                <w:tcPr>
                  <w:tcW w:w="768" w:type="pct"/>
                  <w:tcBorders>
                    <w:tl2br w:val="nil"/>
                    <w:tr2bl w:val="nil"/>
                  </w:tcBorders>
                  <w:noWrap w:val="0"/>
                  <w:vAlign w:val="center"/>
                </w:tcPr>
                <w:p w14:paraId="7FCAD17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36</w:t>
                  </w:r>
                </w:p>
              </w:tc>
              <w:tc>
                <w:tcPr>
                  <w:tcW w:w="789" w:type="pct"/>
                  <w:tcBorders>
                    <w:tl2br w:val="nil"/>
                    <w:tr2bl w:val="nil"/>
                  </w:tcBorders>
                  <w:noWrap w:val="0"/>
                  <w:vAlign w:val="center"/>
                </w:tcPr>
                <w:p w14:paraId="16B66C43">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754" w:type="pct"/>
                  <w:tcBorders>
                    <w:tl2br w:val="nil"/>
                    <w:tr2bl w:val="nil"/>
                  </w:tcBorders>
                  <w:noWrap w:val="0"/>
                  <w:vAlign w:val="center"/>
                </w:tcPr>
                <w:p w14:paraId="3987EDA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147</w:t>
                  </w:r>
                </w:p>
              </w:tc>
            </w:tr>
            <w:tr w14:paraId="607202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4B662D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11</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23A01207">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678" w:type="pct"/>
                  <w:tcBorders>
                    <w:tl2br w:val="nil"/>
                    <w:tr2bl w:val="nil"/>
                  </w:tcBorders>
                  <w:noWrap w:val="0"/>
                  <w:vAlign w:val="center"/>
                </w:tcPr>
                <w:p w14:paraId="7F009AA1">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38</w:t>
                  </w:r>
                </w:p>
              </w:tc>
              <w:tc>
                <w:tcPr>
                  <w:tcW w:w="634" w:type="pct"/>
                  <w:tcBorders>
                    <w:tl2br w:val="nil"/>
                    <w:tr2bl w:val="nil"/>
                  </w:tcBorders>
                  <w:noWrap w:val="0"/>
                  <w:vAlign w:val="center"/>
                </w:tcPr>
                <w:p w14:paraId="3284E398">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65</w:t>
                  </w:r>
                </w:p>
              </w:tc>
              <w:tc>
                <w:tcPr>
                  <w:tcW w:w="768" w:type="pct"/>
                  <w:tcBorders>
                    <w:tl2br w:val="nil"/>
                    <w:tr2bl w:val="nil"/>
                  </w:tcBorders>
                  <w:noWrap w:val="0"/>
                  <w:vAlign w:val="center"/>
                </w:tcPr>
                <w:p w14:paraId="5F8DFFDB">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39</w:t>
                  </w:r>
                </w:p>
              </w:tc>
              <w:tc>
                <w:tcPr>
                  <w:tcW w:w="789" w:type="pct"/>
                  <w:tcBorders>
                    <w:tl2br w:val="nil"/>
                    <w:tr2bl w:val="nil"/>
                  </w:tcBorders>
                  <w:noWrap w:val="0"/>
                  <w:vAlign w:val="center"/>
                </w:tcPr>
                <w:p w14:paraId="148441E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c>
                <w:tcPr>
                  <w:tcW w:w="754" w:type="pct"/>
                  <w:tcBorders>
                    <w:tl2br w:val="nil"/>
                    <w:tr2bl w:val="nil"/>
                  </w:tcBorders>
                  <w:noWrap w:val="0"/>
                  <w:vAlign w:val="center"/>
                </w:tcPr>
                <w:p w14:paraId="0D74F0A5">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r>
            <w:tr w14:paraId="4F0820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281525C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1"/>
                      <w:kern w:val="0"/>
                      <w:sz w:val="21"/>
                      <w:szCs w:val="21"/>
                      <w:lang w:val="en-US" w:eastAsia="zh-CN" w:bidi="ar-SA"/>
                    </w:rPr>
                    <w:t>202</w:t>
                  </w:r>
                  <w:r>
                    <w:rPr>
                      <w:rFonts w:hint="eastAsia" w:ascii="Times New Roman" w:hAnsi="Times New Roman" w:eastAsia="宋体" w:cs="Times New Roman"/>
                      <w:color w:val="auto"/>
                      <w:spacing w:val="1"/>
                      <w:kern w:val="0"/>
                      <w:sz w:val="21"/>
                      <w:szCs w:val="21"/>
                      <w:lang w:val="en-US" w:eastAsia="zh-CN" w:bidi="ar-SA"/>
                    </w:rPr>
                    <w:t>4</w:t>
                  </w:r>
                  <w:r>
                    <w:rPr>
                      <w:rFonts w:ascii="宋体" w:hAnsi="宋体" w:eastAsia="宋体" w:cs="宋体"/>
                      <w:color w:val="auto"/>
                      <w:spacing w:val="1"/>
                      <w:kern w:val="0"/>
                      <w:sz w:val="21"/>
                      <w:szCs w:val="21"/>
                      <w:lang w:val="en-US" w:eastAsia="zh-CN" w:bidi="ar-SA"/>
                    </w:rPr>
                    <w:t>年</w:t>
                  </w:r>
                  <w:r>
                    <w:rPr>
                      <w:rFonts w:ascii="Times New Roman" w:hAnsi="Times New Roman" w:eastAsia="Times New Roman" w:cs="Times New Roman"/>
                      <w:color w:val="auto"/>
                      <w:spacing w:val="1"/>
                      <w:kern w:val="0"/>
                      <w:sz w:val="21"/>
                      <w:szCs w:val="21"/>
                      <w:lang w:val="en-US" w:eastAsia="zh-CN" w:bidi="ar-SA"/>
                    </w:rPr>
                    <w:t>12</w:t>
                  </w:r>
                  <w:r>
                    <w:rPr>
                      <w:rFonts w:ascii="宋体" w:hAnsi="宋体" w:eastAsia="宋体" w:cs="宋体"/>
                      <w:color w:val="auto"/>
                      <w:spacing w:val="1"/>
                      <w:kern w:val="0"/>
                      <w:sz w:val="21"/>
                      <w:szCs w:val="21"/>
                      <w:lang w:val="en-US" w:eastAsia="zh-CN" w:bidi="ar-SA"/>
                    </w:rPr>
                    <w:t>月</w:t>
                  </w:r>
                </w:p>
              </w:tc>
              <w:tc>
                <w:tcPr>
                  <w:tcW w:w="562" w:type="pct"/>
                  <w:tcBorders>
                    <w:tl2br w:val="nil"/>
                    <w:tr2bl w:val="nil"/>
                  </w:tcBorders>
                  <w:noWrap w:val="0"/>
                  <w:vAlign w:val="center"/>
                </w:tcPr>
                <w:p w14:paraId="73833CCA">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18</w:t>
                  </w:r>
                </w:p>
              </w:tc>
              <w:tc>
                <w:tcPr>
                  <w:tcW w:w="678" w:type="pct"/>
                  <w:tcBorders>
                    <w:tl2br w:val="nil"/>
                    <w:tr2bl w:val="nil"/>
                  </w:tcBorders>
                  <w:noWrap w:val="0"/>
                  <w:vAlign w:val="center"/>
                </w:tcPr>
                <w:p w14:paraId="5BDC1BAF">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47</w:t>
                  </w:r>
                </w:p>
              </w:tc>
              <w:tc>
                <w:tcPr>
                  <w:tcW w:w="634" w:type="pct"/>
                  <w:tcBorders>
                    <w:tl2br w:val="nil"/>
                    <w:tr2bl w:val="nil"/>
                  </w:tcBorders>
                  <w:noWrap w:val="0"/>
                  <w:vAlign w:val="center"/>
                </w:tcPr>
                <w:p w14:paraId="7BF2F4DE">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112</w:t>
                  </w:r>
                </w:p>
              </w:tc>
              <w:tc>
                <w:tcPr>
                  <w:tcW w:w="768" w:type="pct"/>
                  <w:tcBorders>
                    <w:tl2br w:val="nil"/>
                    <w:tr2bl w:val="nil"/>
                  </w:tcBorders>
                  <w:noWrap w:val="0"/>
                  <w:vAlign w:val="center"/>
                </w:tcPr>
                <w:p w14:paraId="55E178D8">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75</w:t>
                  </w:r>
                </w:p>
              </w:tc>
              <w:tc>
                <w:tcPr>
                  <w:tcW w:w="789" w:type="pct"/>
                  <w:tcBorders>
                    <w:tl2br w:val="nil"/>
                    <w:tr2bl w:val="nil"/>
                  </w:tcBorders>
                  <w:noWrap w:val="0"/>
                  <w:vAlign w:val="center"/>
                </w:tcPr>
                <w:p w14:paraId="69B5272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754" w:type="pct"/>
                  <w:tcBorders>
                    <w:tl2br w:val="nil"/>
                    <w:tr2bl w:val="nil"/>
                  </w:tcBorders>
                  <w:noWrap w:val="0"/>
                  <w:vAlign w:val="center"/>
                </w:tcPr>
                <w:p w14:paraId="73F1B126">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70</w:t>
                  </w:r>
                </w:p>
              </w:tc>
            </w:tr>
            <w:tr w14:paraId="78E9B7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6565861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Times New Roman" w:hAnsi="Times New Roman" w:eastAsia="Times New Roman" w:cs="Times New Roman"/>
                      <w:color w:val="auto"/>
                      <w:spacing w:val="5"/>
                      <w:kern w:val="0"/>
                      <w:sz w:val="21"/>
                      <w:szCs w:val="21"/>
                      <w:lang w:val="en-US" w:eastAsia="zh-CN" w:bidi="ar-SA"/>
                    </w:rPr>
                    <w:t>202</w:t>
                  </w:r>
                  <w:r>
                    <w:rPr>
                      <w:rFonts w:hint="eastAsia" w:ascii="Times New Roman" w:hAnsi="Times New Roman" w:eastAsia="宋体" w:cs="Times New Roman"/>
                      <w:color w:val="auto"/>
                      <w:spacing w:val="5"/>
                      <w:kern w:val="0"/>
                      <w:sz w:val="21"/>
                      <w:szCs w:val="21"/>
                      <w:lang w:val="en-US" w:eastAsia="zh-CN" w:bidi="ar-SA"/>
                    </w:rPr>
                    <w:t>4</w:t>
                  </w:r>
                  <w:r>
                    <w:rPr>
                      <w:rFonts w:ascii="宋体" w:hAnsi="宋体" w:eastAsia="宋体" w:cs="宋体"/>
                      <w:color w:val="auto"/>
                      <w:spacing w:val="5"/>
                      <w:kern w:val="0"/>
                      <w:sz w:val="21"/>
                      <w:szCs w:val="21"/>
                      <w:lang w:val="en-US" w:eastAsia="zh-CN" w:bidi="ar-SA"/>
                    </w:rPr>
                    <w:t>年年均</w:t>
                  </w:r>
                </w:p>
              </w:tc>
              <w:tc>
                <w:tcPr>
                  <w:tcW w:w="562" w:type="pct"/>
                  <w:tcBorders>
                    <w:tl2br w:val="nil"/>
                    <w:tr2bl w:val="nil"/>
                  </w:tcBorders>
                  <w:noWrap w:val="0"/>
                  <w:vAlign w:val="center"/>
                </w:tcPr>
                <w:p w14:paraId="4CBF6FD0">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11 </w:t>
                  </w:r>
                </w:p>
              </w:tc>
              <w:tc>
                <w:tcPr>
                  <w:tcW w:w="678" w:type="pct"/>
                  <w:tcBorders>
                    <w:tl2br w:val="nil"/>
                    <w:tr2bl w:val="nil"/>
                  </w:tcBorders>
                  <w:noWrap w:val="0"/>
                  <w:vAlign w:val="center"/>
                </w:tcPr>
                <w:p w14:paraId="79839598">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29 </w:t>
                  </w:r>
                </w:p>
              </w:tc>
              <w:tc>
                <w:tcPr>
                  <w:tcW w:w="634" w:type="pct"/>
                  <w:tcBorders>
                    <w:tl2br w:val="nil"/>
                    <w:tr2bl w:val="nil"/>
                  </w:tcBorders>
                  <w:noWrap w:val="0"/>
                  <w:vAlign w:val="center"/>
                </w:tcPr>
                <w:p w14:paraId="71F6FC41">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69 </w:t>
                  </w:r>
                </w:p>
              </w:tc>
              <w:tc>
                <w:tcPr>
                  <w:tcW w:w="768" w:type="pct"/>
                  <w:tcBorders>
                    <w:tl2br w:val="nil"/>
                    <w:tr2bl w:val="nil"/>
                  </w:tcBorders>
                  <w:noWrap w:val="0"/>
                  <w:vAlign w:val="center"/>
                </w:tcPr>
                <w:p w14:paraId="310B5003">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42 </w:t>
                  </w:r>
                </w:p>
              </w:tc>
              <w:tc>
                <w:tcPr>
                  <w:tcW w:w="789" w:type="pct"/>
                  <w:tcBorders>
                    <w:tl2br w:val="nil"/>
                    <w:tr2bl w:val="nil"/>
                  </w:tcBorders>
                  <w:noWrap w:val="0"/>
                  <w:vAlign w:val="center"/>
                </w:tcPr>
                <w:p w14:paraId="16ECD722">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1.1 </w:t>
                  </w:r>
                </w:p>
              </w:tc>
              <w:tc>
                <w:tcPr>
                  <w:tcW w:w="754" w:type="pct"/>
                  <w:tcBorders>
                    <w:tl2br w:val="nil"/>
                    <w:tr2bl w:val="nil"/>
                  </w:tcBorders>
                  <w:noWrap w:val="0"/>
                  <w:vAlign w:val="center"/>
                </w:tcPr>
                <w:p w14:paraId="2821155A">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143 </w:t>
                  </w:r>
                </w:p>
              </w:tc>
            </w:tr>
            <w:tr w14:paraId="065E74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5A1609A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宋体" w:hAnsi="宋体" w:eastAsia="宋体" w:cs="宋体"/>
                      <w:color w:val="auto"/>
                      <w:kern w:val="0"/>
                      <w:sz w:val="21"/>
                      <w:szCs w:val="21"/>
                      <w:lang w:val="en-US" w:eastAsia="zh-CN" w:bidi="ar-SA"/>
                    </w:rPr>
                  </w:pPr>
                  <w:r>
                    <w:rPr>
                      <w:rFonts w:ascii="宋体" w:hAnsi="宋体" w:eastAsia="宋体" w:cs="宋体"/>
                      <w:color w:val="auto"/>
                      <w:spacing w:val="6"/>
                      <w:kern w:val="0"/>
                      <w:sz w:val="21"/>
                      <w:szCs w:val="21"/>
                      <w:lang w:val="en-US" w:eastAsia="zh-CN" w:bidi="ar-SA"/>
                    </w:rPr>
                    <w:t>二级标准</w:t>
                  </w:r>
                </w:p>
              </w:tc>
              <w:tc>
                <w:tcPr>
                  <w:tcW w:w="562" w:type="pct"/>
                  <w:tcBorders>
                    <w:tl2br w:val="nil"/>
                    <w:tr2bl w:val="nil"/>
                  </w:tcBorders>
                  <w:noWrap w:val="0"/>
                  <w:vAlign w:val="center"/>
                </w:tcPr>
                <w:p w14:paraId="12BC5446">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en-US" w:bidi="ar-SA"/>
                    </w:rPr>
                  </w:pPr>
                  <w:r>
                    <w:rPr>
                      <w:rFonts w:hint="eastAsia" w:ascii="Times New Roman" w:hAnsi="Times New Roman" w:eastAsia="宋体" w:cs="Times New Roman"/>
                      <w:color w:val="auto"/>
                      <w:kern w:val="2"/>
                      <w:sz w:val="21"/>
                      <w:szCs w:val="21"/>
                      <w:lang w:val="en-US" w:eastAsia="en-US" w:bidi="ar-SA"/>
                    </w:rPr>
                    <w:t>60</w:t>
                  </w:r>
                </w:p>
              </w:tc>
              <w:tc>
                <w:tcPr>
                  <w:tcW w:w="678" w:type="pct"/>
                  <w:tcBorders>
                    <w:tl2br w:val="nil"/>
                    <w:tr2bl w:val="nil"/>
                  </w:tcBorders>
                  <w:noWrap w:val="0"/>
                  <w:vAlign w:val="center"/>
                </w:tcPr>
                <w:p w14:paraId="2BAFC841">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en-US" w:bidi="ar-SA"/>
                    </w:rPr>
                  </w:pPr>
                  <w:r>
                    <w:rPr>
                      <w:rFonts w:hint="eastAsia" w:ascii="Times New Roman" w:hAnsi="Times New Roman" w:eastAsia="宋体" w:cs="Times New Roman"/>
                      <w:color w:val="auto"/>
                      <w:kern w:val="2"/>
                      <w:sz w:val="21"/>
                      <w:szCs w:val="21"/>
                      <w:lang w:val="en-US" w:eastAsia="en-US" w:bidi="ar-SA"/>
                    </w:rPr>
                    <w:t>40</w:t>
                  </w:r>
                </w:p>
              </w:tc>
              <w:tc>
                <w:tcPr>
                  <w:tcW w:w="634" w:type="pct"/>
                  <w:tcBorders>
                    <w:tl2br w:val="nil"/>
                    <w:tr2bl w:val="nil"/>
                  </w:tcBorders>
                  <w:noWrap w:val="0"/>
                  <w:vAlign w:val="center"/>
                </w:tcPr>
                <w:p w14:paraId="110A13B9">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en-US" w:bidi="ar-SA"/>
                    </w:rPr>
                  </w:pPr>
                  <w:r>
                    <w:rPr>
                      <w:rFonts w:hint="eastAsia" w:ascii="Times New Roman" w:hAnsi="Times New Roman" w:eastAsia="宋体" w:cs="Times New Roman"/>
                      <w:color w:val="auto"/>
                      <w:kern w:val="2"/>
                      <w:sz w:val="21"/>
                      <w:szCs w:val="21"/>
                      <w:lang w:val="en-US" w:eastAsia="en-US" w:bidi="ar-SA"/>
                    </w:rPr>
                    <w:t>70</w:t>
                  </w:r>
                </w:p>
              </w:tc>
              <w:tc>
                <w:tcPr>
                  <w:tcW w:w="768" w:type="pct"/>
                  <w:tcBorders>
                    <w:tl2br w:val="nil"/>
                    <w:tr2bl w:val="nil"/>
                  </w:tcBorders>
                  <w:noWrap w:val="0"/>
                  <w:vAlign w:val="center"/>
                </w:tcPr>
                <w:p w14:paraId="2256964C">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en-US" w:bidi="ar-SA"/>
                    </w:rPr>
                  </w:pPr>
                  <w:r>
                    <w:rPr>
                      <w:rFonts w:hint="eastAsia" w:ascii="Times New Roman" w:hAnsi="Times New Roman" w:eastAsia="宋体" w:cs="Times New Roman"/>
                      <w:color w:val="auto"/>
                      <w:kern w:val="2"/>
                      <w:sz w:val="21"/>
                      <w:szCs w:val="21"/>
                      <w:lang w:val="en-US" w:eastAsia="en-US" w:bidi="ar-SA"/>
                    </w:rPr>
                    <w:t>35</w:t>
                  </w:r>
                </w:p>
              </w:tc>
              <w:tc>
                <w:tcPr>
                  <w:tcW w:w="789" w:type="pct"/>
                  <w:tcBorders>
                    <w:tl2br w:val="nil"/>
                    <w:tr2bl w:val="nil"/>
                  </w:tcBorders>
                  <w:noWrap w:val="0"/>
                  <w:vAlign w:val="center"/>
                </w:tcPr>
                <w:p w14:paraId="08D97B94">
                  <w:pPr>
                    <w:keepNext w:val="0"/>
                    <w:keepLines w:val="0"/>
                    <w:pageBreakBefore w:val="0"/>
                    <w:wordWrap/>
                    <w:overflowPunct/>
                    <w:topLinePunct w:val="0"/>
                    <w:bidi w:val="0"/>
                    <w:snapToGrid w:val="0"/>
                    <w:spacing w:line="240" w:lineRule="auto"/>
                    <w:ind w:left="0" w:lef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w:t>
                  </w:r>
                </w:p>
              </w:tc>
              <w:tc>
                <w:tcPr>
                  <w:tcW w:w="754" w:type="pct"/>
                  <w:tcBorders>
                    <w:tl2br w:val="nil"/>
                    <w:tr2bl w:val="nil"/>
                  </w:tcBorders>
                  <w:noWrap w:val="0"/>
                  <w:vAlign w:val="center"/>
                </w:tcPr>
                <w:p w14:paraId="128EC7D7">
                  <w:pPr>
                    <w:keepNext w:val="0"/>
                    <w:keepLines w:val="0"/>
                    <w:pageBreakBefore w:val="0"/>
                    <w:wordWrap/>
                    <w:overflowPunct/>
                    <w:topLinePunct w:val="0"/>
                    <w:bidi w:val="0"/>
                    <w:snapToGrid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160</w:t>
                  </w:r>
                </w:p>
              </w:tc>
            </w:tr>
            <w:tr w14:paraId="5EBBA4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1" w:type="pct"/>
                  <w:tcBorders>
                    <w:tl2br w:val="nil"/>
                    <w:tr2bl w:val="nil"/>
                  </w:tcBorders>
                  <w:noWrap w:val="0"/>
                  <w:vAlign w:val="center"/>
                </w:tcPr>
                <w:p w14:paraId="6B4A527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宋体" w:hAnsi="宋体" w:eastAsia="宋体" w:cs="宋体"/>
                      <w:color w:val="auto"/>
                      <w:spacing w:val="6"/>
                      <w:kern w:val="0"/>
                      <w:sz w:val="21"/>
                      <w:szCs w:val="21"/>
                      <w:lang w:val="en-US" w:eastAsia="zh-CN" w:bidi="ar-SA"/>
                    </w:rPr>
                  </w:pPr>
                  <w:r>
                    <w:rPr>
                      <w:rFonts w:hint="eastAsia" w:ascii="宋体" w:hAnsi="宋体" w:eastAsia="宋体" w:cs="宋体"/>
                      <w:color w:val="auto"/>
                      <w:spacing w:val="6"/>
                      <w:kern w:val="0"/>
                      <w:sz w:val="21"/>
                      <w:szCs w:val="21"/>
                      <w:lang w:val="en-US" w:eastAsia="zh-CN" w:bidi="ar-SA"/>
                    </w:rPr>
                    <w:t>达标情况</w:t>
                  </w:r>
                </w:p>
              </w:tc>
              <w:tc>
                <w:tcPr>
                  <w:tcW w:w="562" w:type="pct"/>
                  <w:tcBorders>
                    <w:tl2br w:val="nil"/>
                    <w:tr2bl w:val="nil"/>
                  </w:tcBorders>
                  <w:noWrap w:val="0"/>
                  <w:vAlign w:val="center"/>
                </w:tcPr>
                <w:p w14:paraId="6FE4450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达标</w:t>
                  </w:r>
                </w:p>
              </w:tc>
              <w:tc>
                <w:tcPr>
                  <w:tcW w:w="678" w:type="pct"/>
                  <w:tcBorders>
                    <w:tl2br w:val="nil"/>
                    <w:tr2bl w:val="nil"/>
                  </w:tcBorders>
                  <w:noWrap w:val="0"/>
                  <w:vAlign w:val="center"/>
                </w:tcPr>
                <w:p w14:paraId="08F4963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ascii="Times New Roman" w:hAnsi="Times New Roman" w:eastAsia="Times New Roman" w:cs="Times New Roman"/>
                      <w:snapToGrid w:val="0"/>
                      <w:color w:val="auto"/>
                      <w:spacing w:val="3"/>
                      <w:kern w:val="0"/>
                      <w:sz w:val="21"/>
                      <w:szCs w:val="21"/>
                      <w:lang w:eastAsia="en-US"/>
                    </w:rPr>
                  </w:pPr>
                  <w:r>
                    <w:rPr>
                      <w:rFonts w:hint="eastAsia" w:ascii="Times New Roman" w:hAnsi="Times New Roman" w:eastAsia="宋体" w:cs="Times New Roman"/>
                      <w:snapToGrid w:val="0"/>
                      <w:color w:val="auto"/>
                      <w:kern w:val="0"/>
                      <w:sz w:val="21"/>
                      <w:szCs w:val="21"/>
                      <w:lang w:val="en-US" w:eastAsia="zh-CN"/>
                    </w:rPr>
                    <w:t>达标</w:t>
                  </w:r>
                </w:p>
              </w:tc>
              <w:tc>
                <w:tcPr>
                  <w:tcW w:w="634" w:type="pct"/>
                  <w:tcBorders>
                    <w:tl2br w:val="nil"/>
                    <w:tr2bl w:val="nil"/>
                  </w:tcBorders>
                  <w:noWrap w:val="0"/>
                  <w:vAlign w:val="center"/>
                </w:tcPr>
                <w:p w14:paraId="396FE40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auto"/>
                      <w:spacing w:val="1"/>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达标</w:t>
                  </w:r>
                </w:p>
              </w:tc>
              <w:tc>
                <w:tcPr>
                  <w:tcW w:w="768" w:type="pct"/>
                  <w:tcBorders>
                    <w:tl2br w:val="nil"/>
                    <w:tr2bl w:val="nil"/>
                  </w:tcBorders>
                  <w:noWrap w:val="0"/>
                  <w:vAlign w:val="center"/>
                </w:tcPr>
                <w:p w14:paraId="31585AA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b/>
                      <w:bCs/>
                      <w:snapToGrid w:val="0"/>
                      <w:color w:val="auto"/>
                      <w:kern w:val="0"/>
                      <w:sz w:val="21"/>
                      <w:szCs w:val="21"/>
                      <w:lang w:val="en-US" w:eastAsia="zh-CN"/>
                    </w:rPr>
                    <w:t>超标</w:t>
                  </w:r>
                </w:p>
              </w:tc>
              <w:tc>
                <w:tcPr>
                  <w:tcW w:w="789" w:type="pct"/>
                  <w:tcBorders>
                    <w:tl2br w:val="nil"/>
                    <w:tr2bl w:val="nil"/>
                  </w:tcBorders>
                  <w:noWrap w:val="0"/>
                  <w:vAlign w:val="center"/>
                </w:tcPr>
                <w:p w14:paraId="6061025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达标</w:t>
                  </w:r>
                </w:p>
              </w:tc>
              <w:tc>
                <w:tcPr>
                  <w:tcW w:w="754" w:type="pct"/>
                  <w:tcBorders>
                    <w:tl2br w:val="nil"/>
                    <w:tr2bl w:val="nil"/>
                  </w:tcBorders>
                  <w:noWrap w:val="0"/>
                  <w:vAlign w:val="center"/>
                </w:tcPr>
                <w:p w14:paraId="167812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达标</w:t>
                  </w:r>
                </w:p>
              </w:tc>
            </w:tr>
          </w:tbl>
          <w:p w14:paraId="51BAEB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2"/>
              </w:rPr>
            </w:pPr>
            <w:r>
              <w:rPr>
                <w:rFonts w:ascii="Times New Roman" w:hAnsi="Times New Roman" w:eastAsia="宋体" w:cs="Times New Roman"/>
                <w:color w:val="auto"/>
                <w:sz w:val="24"/>
                <w:szCs w:val="22"/>
              </w:rPr>
              <w:t>根据《环境空气质量评价技术规范（试行）》（HJ663-2013）规定：</w:t>
            </w:r>
            <w:r>
              <w:rPr>
                <w:rFonts w:hint="eastAsia" w:ascii="Times New Roman" w:hAnsi="Times New Roman" w:eastAsia="宋体" w:cs="Times New Roman"/>
                <w:color w:val="auto"/>
                <w:sz w:val="24"/>
                <w:szCs w:val="22"/>
              </w:rPr>
              <w:t>“</w:t>
            </w:r>
            <w:r>
              <w:rPr>
                <w:rFonts w:ascii="Times New Roman" w:hAnsi="Times New Roman" w:eastAsia="宋体" w:cs="Times New Roman"/>
                <w:color w:val="auto"/>
                <w:sz w:val="24"/>
                <w:szCs w:val="22"/>
              </w:rPr>
              <w:t>污染物年评价达标是指该污染物年平均浓度（CO和O</w:t>
            </w:r>
            <w:r>
              <w:rPr>
                <w:rFonts w:ascii="Times New Roman" w:hAnsi="Times New Roman" w:eastAsia="宋体" w:cs="Times New Roman"/>
                <w:color w:val="auto"/>
                <w:sz w:val="24"/>
                <w:szCs w:val="22"/>
                <w:vertAlign w:val="subscript"/>
              </w:rPr>
              <w:t>3</w:t>
            </w:r>
            <w:r>
              <w:rPr>
                <w:rFonts w:ascii="Times New Roman" w:hAnsi="Times New Roman" w:eastAsia="宋体" w:cs="Times New Roman"/>
                <w:color w:val="auto"/>
                <w:sz w:val="24"/>
                <w:szCs w:val="22"/>
              </w:rPr>
              <w:t>除外）和特定的百分位数浓度同时达标</w:t>
            </w:r>
            <w:r>
              <w:rPr>
                <w:rFonts w:hint="eastAsia" w:ascii="Times New Roman" w:hAnsi="Times New Roman" w:eastAsia="宋体" w:cs="Times New Roman"/>
                <w:color w:val="auto"/>
                <w:sz w:val="24"/>
                <w:szCs w:val="22"/>
              </w:rPr>
              <w:t>”</w:t>
            </w:r>
            <w:r>
              <w:rPr>
                <w:rFonts w:ascii="Times New Roman" w:hAnsi="Times New Roman" w:eastAsia="宋体" w:cs="Times New Roman"/>
                <w:color w:val="auto"/>
                <w:sz w:val="24"/>
                <w:szCs w:val="22"/>
              </w:rPr>
              <w:t>。</w:t>
            </w:r>
          </w:p>
          <w:p w14:paraId="63F9FA56">
            <w:pPr>
              <w:keepNext w:val="0"/>
              <w:keepLines w:val="0"/>
              <w:pageBreakBefore w:val="0"/>
              <w:widowControl w:val="0"/>
              <w:kinsoku/>
              <w:wordWrap/>
              <w:overflowPunct/>
              <w:topLinePunct w:val="0"/>
              <w:autoSpaceDE/>
              <w:autoSpaceDN/>
              <w:bidi w:val="0"/>
              <w:snapToGrid w:val="0"/>
              <w:spacing w:line="360" w:lineRule="auto"/>
              <w:ind w:left="0" w:leftChars="0" w:right="0" w:rightChars="0" w:firstLine="480" w:firstLineChars="200"/>
              <w:textAlignment w:val="auto"/>
              <w:outlineLvl w:val="9"/>
              <w:rPr>
                <w:rFonts w:hint="eastAsia" w:ascii="宋体" w:hAnsi="宋体" w:eastAsia="宋体" w:cs="宋体"/>
                <w:color w:val="auto"/>
                <w:sz w:val="24"/>
                <w:szCs w:val="24"/>
                <w:highlight w:val="none"/>
              </w:rPr>
            </w:pPr>
            <w:r>
              <w:rPr>
                <w:rFonts w:hint="eastAsia" w:ascii="Times New Roman" w:hAnsi="Times New Roman" w:eastAsia="宋体" w:cs="Times New Roman"/>
                <w:color w:val="auto"/>
                <w:sz w:val="24"/>
                <w:szCs w:val="22"/>
                <w:lang w:val="en-US" w:eastAsia="zh-CN"/>
              </w:rPr>
              <w:t>泗水县</w:t>
            </w:r>
            <w:r>
              <w:rPr>
                <w:rFonts w:hint="eastAsia" w:ascii="Times New Roman" w:hAnsi="Times New Roman" w:eastAsia="宋体" w:cs="Times New Roman"/>
                <w:color w:val="auto"/>
                <w:sz w:val="24"/>
                <w:szCs w:val="22"/>
              </w:rPr>
              <w:t>202</w:t>
            </w:r>
            <w:r>
              <w:rPr>
                <w:rFonts w:hint="eastAsia" w:ascii="Times New Roman" w:hAnsi="Times New Roman" w:eastAsia="宋体" w:cs="Times New Roman"/>
                <w:color w:val="auto"/>
                <w:sz w:val="24"/>
                <w:szCs w:val="22"/>
                <w:lang w:val="en-US" w:eastAsia="zh-CN"/>
              </w:rPr>
              <w:t>4</w:t>
            </w:r>
            <w:r>
              <w:rPr>
                <w:rFonts w:hint="eastAsia" w:ascii="Times New Roman" w:hAnsi="Times New Roman" w:eastAsia="宋体" w:cs="Times New Roman"/>
                <w:color w:val="auto"/>
                <w:sz w:val="24"/>
                <w:szCs w:val="22"/>
              </w:rPr>
              <w:t>年SO</w:t>
            </w:r>
            <w:r>
              <w:rPr>
                <w:rFonts w:hint="eastAsia" w:ascii="Times New Roman" w:hAnsi="Times New Roman" w:eastAsia="宋体" w:cs="Times New Roman"/>
                <w:color w:val="auto"/>
                <w:sz w:val="24"/>
                <w:szCs w:val="22"/>
                <w:vertAlign w:val="subscript"/>
              </w:rPr>
              <w:t>2</w:t>
            </w:r>
            <w:r>
              <w:rPr>
                <w:rFonts w:hint="eastAsia" w:ascii="Times New Roman" w:hAnsi="Times New Roman" w:eastAsia="宋体" w:cs="Times New Roman"/>
                <w:color w:val="auto"/>
                <w:sz w:val="24"/>
                <w:szCs w:val="22"/>
              </w:rPr>
              <w:t>、NO</w:t>
            </w:r>
            <w:r>
              <w:rPr>
                <w:rFonts w:hint="eastAsia" w:ascii="Times New Roman" w:hAnsi="Times New Roman" w:eastAsia="宋体" w:cs="Times New Roman"/>
                <w:color w:val="auto"/>
                <w:sz w:val="24"/>
                <w:szCs w:val="22"/>
                <w:vertAlign w:val="subscript"/>
              </w:rPr>
              <w:t>2</w:t>
            </w:r>
            <w:r>
              <w:rPr>
                <w:rFonts w:hint="eastAsia" w:ascii="Times New Roman" w:hAnsi="Times New Roman" w:eastAsia="宋体" w:cs="Times New Roman"/>
                <w:color w:val="auto"/>
                <w:sz w:val="24"/>
                <w:szCs w:val="22"/>
                <w:vertAlign w:val="baseline"/>
                <w:lang w:eastAsia="zh-CN"/>
              </w:rPr>
              <w:t>、</w:t>
            </w:r>
            <w:r>
              <w:rPr>
                <w:rFonts w:hint="eastAsia" w:ascii="Times New Roman" w:hAnsi="Times New Roman" w:eastAsia="宋体" w:cs="Times New Roman"/>
                <w:color w:val="auto"/>
                <w:sz w:val="24"/>
                <w:szCs w:val="22"/>
              </w:rPr>
              <w:t>PM</w:t>
            </w:r>
            <w:r>
              <w:rPr>
                <w:rFonts w:hint="eastAsia" w:ascii="Times New Roman" w:hAnsi="Times New Roman" w:eastAsia="宋体" w:cs="Times New Roman"/>
                <w:color w:val="auto"/>
                <w:sz w:val="24"/>
                <w:szCs w:val="22"/>
                <w:vertAlign w:val="subscript"/>
              </w:rPr>
              <w:t>10</w:t>
            </w:r>
            <w:r>
              <w:rPr>
                <w:rFonts w:hint="eastAsia" w:ascii="Times New Roman" w:hAnsi="Times New Roman" w:eastAsia="宋体" w:cs="Times New Roman"/>
                <w:color w:val="auto"/>
                <w:sz w:val="24"/>
                <w:szCs w:val="22"/>
                <w:vertAlign w:val="baseline"/>
                <w:lang w:val="en-US" w:eastAsia="zh-CN"/>
              </w:rPr>
              <w:t>年均浓度</w:t>
            </w:r>
            <w:r>
              <w:rPr>
                <w:rFonts w:hint="eastAsia" w:ascii="Times New Roman" w:hAnsi="Times New Roman" w:eastAsia="宋体" w:cs="Times New Roman"/>
                <w:color w:val="auto"/>
                <w:sz w:val="24"/>
                <w:szCs w:val="22"/>
              </w:rPr>
              <w:t>、CO日平均第95百分位数</w:t>
            </w:r>
            <w:r>
              <w:rPr>
                <w:rFonts w:hint="eastAsia" w:ascii="Times New Roman" w:hAnsi="Times New Roman" w:eastAsia="宋体" w:cs="Times New Roman"/>
                <w:color w:val="auto"/>
                <w:sz w:val="24"/>
                <w:szCs w:val="22"/>
                <w:lang w:eastAsia="zh-CN"/>
              </w:rPr>
              <w:t>、</w:t>
            </w:r>
            <w:r>
              <w:rPr>
                <w:rFonts w:hint="eastAsia" w:ascii="Times New Roman" w:hAnsi="Times New Roman" w:eastAsia="宋体" w:cs="Times New Roman"/>
                <w:color w:val="auto"/>
                <w:sz w:val="24"/>
                <w:szCs w:val="22"/>
              </w:rPr>
              <w:t>臭氧（O</w:t>
            </w:r>
            <w:r>
              <w:rPr>
                <w:rFonts w:hint="eastAsia" w:ascii="Times New Roman" w:hAnsi="Times New Roman" w:eastAsia="宋体" w:cs="Times New Roman"/>
                <w:color w:val="auto"/>
                <w:sz w:val="24"/>
                <w:szCs w:val="22"/>
                <w:vertAlign w:val="subscript"/>
              </w:rPr>
              <w:t>3</w:t>
            </w:r>
            <w:r>
              <w:rPr>
                <w:rFonts w:hint="eastAsia" w:ascii="Times New Roman" w:hAnsi="Times New Roman" w:eastAsia="宋体" w:cs="Times New Roman"/>
                <w:color w:val="auto"/>
                <w:sz w:val="24"/>
                <w:szCs w:val="22"/>
              </w:rPr>
              <w:t>）8小时平均第90百分位数监测浓度值均满足《环境空气质量标准》（GB3095-2012）及其修改单中二级标准要求；PM</w:t>
            </w:r>
            <w:r>
              <w:rPr>
                <w:rFonts w:hint="eastAsia" w:ascii="Times New Roman" w:hAnsi="Times New Roman" w:eastAsia="宋体" w:cs="Times New Roman"/>
                <w:color w:val="auto"/>
                <w:sz w:val="24"/>
                <w:szCs w:val="22"/>
                <w:vertAlign w:val="subscript"/>
              </w:rPr>
              <w:t>2.5</w:t>
            </w:r>
            <w:r>
              <w:rPr>
                <w:rFonts w:hint="eastAsia" w:ascii="Times New Roman" w:hAnsi="Times New Roman" w:eastAsia="宋体" w:cs="Times New Roman"/>
                <w:color w:val="auto"/>
                <w:sz w:val="24"/>
                <w:szCs w:val="22"/>
                <w:vertAlign w:val="baseline"/>
                <w:lang w:val="en-US" w:eastAsia="zh-CN"/>
              </w:rPr>
              <w:t>年均浓度</w:t>
            </w:r>
            <w:r>
              <w:rPr>
                <w:rFonts w:hint="eastAsia" w:ascii="Times New Roman" w:hAnsi="Times New Roman" w:eastAsia="宋体" w:cs="Times New Roman"/>
                <w:color w:val="auto"/>
                <w:sz w:val="24"/>
                <w:szCs w:val="22"/>
              </w:rPr>
              <w:t>监测浓度值超标</w:t>
            </w:r>
            <w:r>
              <w:rPr>
                <w:rFonts w:ascii="Times New Roman" w:hAnsi="Times New Roman" w:eastAsia="宋体" w:cs="Times New Roman"/>
                <w:color w:val="auto"/>
                <w:sz w:val="24"/>
                <w:szCs w:val="22"/>
              </w:rPr>
              <w:t>，项目所在区处于不达标区</w:t>
            </w:r>
            <w:r>
              <w:rPr>
                <w:rFonts w:hint="default" w:ascii="Times New Roman" w:hAnsi="Times New Roman" w:eastAsia="宋体" w:cs="Times New Roman"/>
                <w:color w:val="auto"/>
                <w:sz w:val="24"/>
                <w:szCs w:val="24"/>
                <w:highlight w:val="none"/>
              </w:rPr>
              <w:t>。</w:t>
            </w:r>
          </w:p>
          <w:p w14:paraId="7D1D9BB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（2）区域改善方案</w:t>
            </w:r>
          </w:p>
          <w:p w14:paraId="387D5380">
            <w:pPr>
              <w:keepNext w:val="0"/>
              <w:keepLines w:val="0"/>
              <w:pageBreakBefore w:val="0"/>
              <w:widowControl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eastAsia="宋体" w:cs="Times New Roman"/>
                <w:color w:val="auto"/>
                <w:kern w:val="0"/>
                <w:sz w:val="24"/>
                <w:szCs w:val="24"/>
                <w:lang w:val="en-US" w:eastAsia="zh-CN" w:bidi="ar-SA"/>
              </w:rPr>
            </w:pPr>
            <w:r>
              <w:rPr>
                <w:rFonts w:ascii="Times New Roman" w:hAnsi="Times New Roman" w:eastAsia="宋体" w:cs="Times New Roman"/>
                <w:color w:val="auto"/>
                <w:kern w:val="2"/>
                <w:sz w:val="24"/>
                <w:szCs w:val="24"/>
                <w:lang w:val="en-US" w:eastAsia="zh-CN" w:bidi="ar-SA"/>
              </w:rPr>
              <w:t>目前</w:t>
            </w:r>
            <w:r>
              <w:rPr>
                <w:rFonts w:hint="eastAsia" w:ascii="Times New Roman" w:hAnsi="Times New Roman" w:eastAsia="宋体" w:cs="Times New Roman"/>
                <w:color w:val="auto"/>
                <w:kern w:val="2"/>
                <w:sz w:val="24"/>
                <w:szCs w:val="24"/>
                <w:lang w:val="en-US" w:eastAsia="zh-CN" w:bidi="ar-SA"/>
              </w:rPr>
              <w:t>泗水</w:t>
            </w:r>
            <w:r>
              <w:rPr>
                <w:rFonts w:ascii="Times New Roman" w:hAnsi="Times New Roman" w:eastAsia="宋体" w:cs="Times New Roman"/>
                <w:color w:val="auto"/>
                <w:kern w:val="2"/>
                <w:sz w:val="24"/>
                <w:szCs w:val="24"/>
                <w:lang w:val="en-US" w:eastAsia="zh-CN" w:bidi="ar-SA"/>
              </w:rPr>
              <w:t>县正积极落实《济宁市深入打好蓝天保卫战行动计划（2021-2025）》、</w:t>
            </w:r>
            <w:r>
              <w:rPr>
                <w:rFonts w:hint="eastAsia" w:ascii="Times New Roman" w:hAnsi="Times New Roman" w:eastAsia="宋体" w:cs="Times New Roman"/>
                <w:color w:val="auto"/>
                <w:kern w:val="2"/>
                <w:sz w:val="24"/>
                <w:szCs w:val="24"/>
                <w:lang w:val="en-US" w:eastAsia="zh-CN" w:bidi="ar-SA"/>
              </w:rPr>
              <w:t>《济宁市空气质量持续改善暨第三轮“四减四增”行动实施方案》（济政字〔2024〕47号）、</w:t>
            </w:r>
            <w:r>
              <w:rPr>
                <w:rFonts w:ascii="Times New Roman" w:hAnsi="Times New Roman" w:eastAsia="宋体" w:cs="Times New Roman"/>
                <w:color w:val="auto"/>
                <w:kern w:val="2"/>
                <w:sz w:val="24"/>
                <w:szCs w:val="24"/>
                <w:lang w:val="en-US" w:eastAsia="zh-CN" w:bidi="ar-SA"/>
              </w:rPr>
              <w:t>《山东省生态环境厅关于印发山东省建设项目主要大气污染物排放总量替代指标核算及管理办法的通知》等文件要求，通过实行大气污染物排放总量指标2倍削减替代，推进煤炭清洁高效利用，推动产业优化升级，推动交通运输结构优化升级，加强重点示范区联防联控污染管控，全面挖掘大气污染减排空间，提升科学精准治污水平，实施秋冬季重点行业错峰生产等方面的行动，加快以细颗粒物为重点的大气污染治理，项目所在区域环境空气质量将会逐步得到改善</w:t>
            </w:r>
            <w:r>
              <w:rPr>
                <w:rFonts w:ascii="Times New Roman" w:hAnsi="Times New Roman" w:eastAsia="宋体" w:cs="Times New Roman"/>
                <w:color w:val="auto"/>
                <w:kern w:val="0"/>
                <w:sz w:val="24"/>
                <w:szCs w:val="24"/>
                <w:lang w:val="en-US" w:eastAsia="zh-CN" w:bidi="ar-SA"/>
              </w:rPr>
              <w:t>。</w:t>
            </w:r>
          </w:p>
          <w:p w14:paraId="03278EE1">
            <w:pPr>
              <w:adjustRightInd w:val="0"/>
              <w:snapToGrid w:val="0"/>
              <w:spacing w:line="360" w:lineRule="auto"/>
              <w:ind w:firstLine="48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二、</w:t>
            </w:r>
            <w:r>
              <w:rPr>
                <w:rFonts w:hint="default" w:ascii="Times New Roman" w:hAnsi="Times New Roman" w:eastAsia="宋体" w:cs="Times New Roman"/>
                <w:b/>
                <w:bCs/>
                <w:color w:val="auto"/>
                <w:sz w:val="24"/>
                <w:szCs w:val="24"/>
                <w:lang w:val="en-US" w:eastAsia="zh-CN"/>
              </w:rPr>
              <w:t>地表</w:t>
            </w:r>
            <w:r>
              <w:rPr>
                <w:rFonts w:hint="default" w:ascii="Times New Roman" w:hAnsi="Times New Roman" w:eastAsia="宋体" w:cs="Times New Roman"/>
                <w:b/>
                <w:bCs/>
                <w:color w:val="auto"/>
                <w:sz w:val="24"/>
                <w:szCs w:val="24"/>
              </w:rPr>
              <w:t>水</w:t>
            </w:r>
          </w:p>
          <w:p w14:paraId="3C142F1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 w:val="24"/>
                <w:szCs w:val="24"/>
                <w:highlight w:val="none"/>
                <w:lang w:val="en-US" w:eastAsia="zh-CN"/>
              </w:rPr>
              <w:t>项目周边地表水为泗河，水质</w:t>
            </w:r>
            <w:r>
              <w:rPr>
                <w:rFonts w:hint="default" w:ascii="Times New Roman" w:hAnsi="Times New Roman" w:eastAsia="宋体" w:cs="Times New Roman"/>
                <w:color w:val="auto"/>
                <w:sz w:val="24"/>
                <w:szCs w:val="24"/>
                <w:highlight w:val="none"/>
              </w:rPr>
              <w:t>执行《地表水环境质量标准》（GB3838-2002）Ⅲ类标准。根据山东省省控</w:t>
            </w:r>
            <w:r>
              <w:rPr>
                <w:rFonts w:hint="default" w:ascii="Times New Roman" w:hAnsi="Times New Roman" w:eastAsia="宋体" w:cs="Times New Roman"/>
                <w:color w:val="auto"/>
                <w:sz w:val="24"/>
                <w:szCs w:val="24"/>
                <w:highlight w:val="none"/>
                <w:lang w:val="en-US" w:eastAsia="zh-CN"/>
              </w:rPr>
              <w:t>地表水</w:t>
            </w:r>
            <w:r>
              <w:rPr>
                <w:rFonts w:hint="default" w:ascii="Times New Roman" w:hAnsi="Times New Roman" w:eastAsia="宋体" w:cs="Times New Roman"/>
                <w:color w:val="auto"/>
                <w:sz w:val="24"/>
                <w:szCs w:val="24"/>
                <w:highlight w:val="none"/>
              </w:rPr>
              <w:t>水质状况发布，</w:t>
            </w:r>
            <w:r>
              <w:rPr>
                <w:rFonts w:hint="default" w:ascii="Times New Roman" w:hAnsi="Times New Roman" w:eastAsia="宋体" w:cs="Times New Roman"/>
                <w:color w:val="auto"/>
                <w:sz w:val="24"/>
                <w:szCs w:val="24"/>
                <w:highlight w:val="none"/>
                <w:lang w:val="en-US" w:eastAsia="zh-CN"/>
              </w:rPr>
              <w:t>泗河水质</w:t>
            </w:r>
            <w:r>
              <w:rPr>
                <w:rFonts w:hint="default" w:ascii="Times New Roman" w:hAnsi="Times New Roman" w:eastAsia="宋体" w:cs="Times New Roman"/>
                <w:color w:val="auto"/>
                <w:sz w:val="24"/>
                <w:szCs w:val="24"/>
                <w:highlight w:val="none"/>
              </w:rPr>
              <w:t>满足《地表水环境质量标准》（GB3838-2002）Ⅲ类标准要求</w:t>
            </w:r>
            <w:r>
              <w:rPr>
                <w:rFonts w:hint="default" w:ascii="Times New Roman" w:hAnsi="Times New Roman" w:eastAsia="宋体" w:cs="Times New Roman"/>
                <w:color w:val="auto"/>
                <w:szCs w:val="24"/>
                <w:highlight w:val="none"/>
              </w:rPr>
              <w:t>。</w:t>
            </w:r>
          </w:p>
          <w:p w14:paraId="57269F0A">
            <w:pPr>
              <w:widowControl w:val="0"/>
              <w:spacing w:line="312" w:lineRule="auto"/>
              <w:ind w:firstLine="0"/>
              <w:jc w:val="both"/>
              <w:rPr>
                <w:rFonts w:hint="default" w:ascii="Times New Roman" w:hAnsi="Times New Roman" w:eastAsia="宋体" w:cs="Times New Roman"/>
                <w:color w:val="auto"/>
                <w:kern w:val="2"/>
                <w:sz w:val="24"/>
                <w:szCs w:val="24"/>
                <w:lang w:val="en-US" w:eastAsia="zh-CN" w:bidi="ar-SA"/>
              </w:rPr>
            </w:pPr>
            <w:r>
              <w:rPr>
                <w:rFonts w:ascii="宋体" w:hAnsi="Times New Roman" w:eastAsia="宋体" w:cs="Times New Roman"/>
                <w:color w:val="auto"/>
                <w:kern w:val="2"/>
                <w:sz w:val="28"/>
                <w:szCs w:val="24"/>
                <w:lang w:val="en-US" w:eastAsia="zh-CN" w:bidi="ar-SA"/>
              </w:rPr>
              <w:drawing>
                <wp:inline distT="0" distB="0" distL="114300" distR="114300">
                  <wp:extent cx="5772150" cy="2251075"/>
                  <wp:effectExtent l="0" t="0" r="0" b="1587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11"/>
                          <a:stretch>
                            <a:fillRect/>
                          </a:stretch>
                        </pic:blipFill>
                        <pic:spPr>
                          <a:xfrm>
                            <a:off x="0" y="0"/>
                            <a:ext cx="5772150" cy="2251075"/>
                          </a:xfrm>
                          <a:prstGeom prst="rect">
                            <a:avLst/>
                          </a:prstGeom>
                          <a:noFill/>
                          <a:ln>
                            <a:noFill/>
                          </a:ln>
                        </pic:spPr>
                      </pic:pic>
                    </a:graphicData>
                  </a:graphic>
                </wp:inline>
              </w:drawing>
            </w:r>
          </w:p>
          <w:p w14:paraId="2C8162A8">
            <w:pPr>
              <w:rPr>
                <w:rFonts w:hint="default" w:ascii="Times New Roman" w:hAnsi="Times New Roman" w:eastAsia="宋体" w:cs="Times New Roman"/>
                <w:color w:val="auto"/>
                <w:sz w:val="24"/>
                <w:szCs w:val="24"/>
              </w:rPr>
            </w:pPr>
            <w:r>
              <w:rPr>
                <w:rFonts w:ascii="Times New Roman" w:hAnsi="Times New Roman" w:eastAsia="宋体" w:cs="Times New Roman"/>
                <w:color w:val="auto"/>
                <w:sz w:val="24"/>
                <w:szCs w:val="24"/>
              </w:rPr>
              <mc:AlternateContent>
                <mc:Choice Requires="wps">
                  <w:drawing>
                    <wp:anchor distT="0" distB="0" distL="114300" distR="114300" simplePos="0" relativeHeight="251714560" behindDoc="0" locked="0" layoutInCell="1" allowOverlap="1">
                      <wp:simplePos x="0" y="0"/>
                      <wp:positionH relativeFrom="column">
                        <wp:posOffset>1530350</wp:posOffset>
                      </wp:positionH>
                      <wp:positionV relativeFrom="paragraph">
                        <wp:posOffset>2540</wp:posOffset>
                      </wp:positionV>
                      <wp:extent cx="2173605" cy="33782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2173605" cy="337820"/>
                              </a:xfrm>
                              <a:prstGeom prst="rect">
                                <a:avLst/>
                              </a:prstGeom>
                              <a:noFill/>
                              <a:ln>
                                <a:noFill/>
                              </a:ln>
                            </wps:spPr>
                            <wps:txbx>
                              <w:txbxContent>
                                <w:p w14:paraId="7BDAFE8A">
                                  <w:pPr>
                                    <w:rPr>
                                      <w:rFonts w:ascii="Times New Roman" w:hAnsi="Times New Roman" w:eastAsia="宋体" w:cs="Times New Roman"/>
                                      <w:b/>
                                      <w:bCs/>
                                      <w:sz w:val="24"/>
                                      <w:szCs w:val="32"/>
                                    </w:rPr>
                                  </w:pPr>
                                  <w:r>
                                    <w:rPr>
                                      <w:rFonts w:hint="eastAsia" w:ascii="Times New Roman" w:hAnsi="Times New Roman" w:eastAsia="宋体" w:cs="Times New Roman"/>
                                      <w:b/>
                                      <w:bCs/>
                                      <w:sz w:val="24"/>
                                      <w:szCs w:val="32"/>
                                    </w:rPr>
                                    <w:t>图3-1 地表水水质状况</w:t>
                                  </w:r>
                                </w:p>
                              </w:txbxContent>
                            </wps:txbx>
                            <wps:bodyPr upright="1"/>
                          </wps:wsp>
                        </a:graphicData>
                      </a:graphic>
                    </wp:anchor>
                  </w:drawing>
                </mc:Choice>
                <mc:Fallback>
                  <w:pict>
                    <v:shape id="_x0000_s1026" o:spid="_x0000_s1026" o:spt="202" type="#_x0000_t202" style="position:absolute;left:0pt;margin-left:120.5pt;margin-top:0.2pt;height:26.6pt;width:171.15pt;z-index:251714560;mso-width-relative:page;mso-height-relative:page;" filled="f" stroked="f" coordsize="21600,21600" o:gfxdata="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QYqXnW&#10;AAAABwEAAA8AAAAAAAAAAQAgAAAAIgAAAGRycy9kb3ducmV2LnhtbFBLAQIUABQAAAAIAIdO4kD0&#10;TGJ6sAEAAFADAAAOAAAAAAAAAAEAIAAAACUBAABkcnMvZTJvRG9jLnhtbFBLBQYAAAAABgAGAFkB&#10;AABHBQAAAAA=&#10;">
                      <v:fill on="f" focussize="0,0"/>
                      <v:stroke on="f"/>
                      <v:imagedata o:title=""/>
                      <o:lock v:ext="edit" aspectratio="f"/>
                      <v:textbox>
                        <w:txbxContent>
                          <w:p w14:paraId="7BDAFE8A">
                            <w:pPr>
                              <w:rPr>
                                <w:rFonts w:ascii="Times New Roman" w:hAnsi="Times New Roman" w:eastAsia="宋体" w:cs="Times New Roman"/>
                                <w:b/>
                                <w:bCs/>
                                <w:sz w:val="24"/>
                                <w:szCs w:val="32"/>
                              </w:rPr>
                            </w:pPr>
                            <w:r>
                              <w:rPr>
                                <w:rFonts w:hint="eastAsia" w:ascii="Times New Roman" w:hAnsi="Times New Roman" w:eastAsia="宋体" w:cs="Times New Roman"/>
                                <w:b/>
                                <w:bCs/>
                                <w:sz w:val="24"/>
                                <w:szCs w:val="32"/>
                              </w:rPr>
                              <w:t>图3-1 地表水水质状况</w:t>
                            </w:r>
                          </w:p>
                        </w:txbxContent>
                      </v:textbox>
                    </v:shape>
                  </w:pict>
                </mc:Fallback>
              </mc:AlternateContent>
            </w:r>
          </w:p>
          <w:p w14:paraId="35C9458C">
            <w:pPr>
              <w:rPr>
                <w:rFonts w:hint="default" w:ascii="Times New Roman" w:hAnsi="Times New Roman" w:eastAsia="宋体" w:cs="Times New Roman"/>
                <w:color w:val="auto"/>
                <w:sz w:val="24"/>
                <w:szCs w:val="24"/>
              </w:rPr>
            </w:pPr>
          </w:p>
          <w:p w14:paraId="78F6D689">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三、</w:t>
            </w:r>
            <w:r>
              <w:rPr>
                <w:rFonts w:hint="default" w:ascii="Times New Roman" w:hAnsi="Times New Roman" w:eastAsia="宋体" w:cs="Times New Roman"/>
                <w:b/>
                <w:bCs/>
                <w:color w:val="auto"/>
                <w:sz w:val="24"/>
                <w:szCs w:val="24"/>
              </w:rPr>
              <w:t>地下水</w:t>
            </w:r>
            <w:r>
              <w:rPr>
                <w:rFonts w:hint="eastAsia" w:ascii="Times New Roman" w:hAnsi="Times New Roman" w:eastAsia="宋体" w:cs="Times New Roman"/>
                <w:b/>
                <w:bCs/>
                <w:color w:val="auto"/>
                <w:sz w:val="24"/>
                <w:szCs w:val="24"/>
                <w:lang w:val="en-US" w:eastAsia="zh-CN"/>
              </w:rPr>
              <w:t>及土壤</w:t>
            </w:r>
          </w:p>
          <w:p w14:paraId="01A6AD82">
            <w:pPr>
              <w:keepNext w:val="0"/>
              <w:keepLines w:val="0"/>
              <w:pageBreakBefore w:val="0"/>
              <w:widowControl w:val="0"/>
              <w:kinsoku/>
              <w:wordWrap/>
              <w:overflowPunct/>
              <w:topLinePunct w:val="0"/>
              <w:autoSpaceDE/>
              <w:autoSpaceDN/>
              <w:bidi w:val="0"/>
              <w:adjustRightInd/>
              <w:snapToGrid/>
              <w:spacing w:line="360" w:lineRule="auto"/>
              <w:ind w:firstLine="476" w:firstLineChars="200"/>
              <w:jc w:val="left"/>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color w:val="auto"/>
                <w:spacing w:val="-1"/>
                <w:sz w:val="24"/>
                <w:szCs w:val="24"/>
              </w:rPr>
              <w:t>本项目所在区域地下水环境质量执行《地下水质量标准》</w:t>
            </w:r>
            <w:r>
              <w:rPr>
                <w:rFonts w:hint="eastAsia"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GB/T14848-2017</w:t>
            </w:r>
            <w:r>
              <w:rPr>
                <w:rFonts w:hint="eastAsia"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中的Ⅲ类标准。</w:t>
            </w:r>
            <w:r>
              <w:rPr>
                <w:rFonts w:hint="default" w:ascii="Times New Roman" w:hAnsi="Times New Roman" w:eastAsia="宋体" w:cs="Times New Roman"/>
                <w:color w:val="auto"/>
                <w:sz w:val="24"/>
                <w:szCs w:val="24"/>
              </w:rPr>
              <w:t>根据济宁市生态环境局</w:t>
            </w:r>
            <w:r>
              <w:rPr>
                <w:rFonts w:hint="default" w:ascii="Times New Roman" w:hAnsi="Times New Roman" w:eastAsia="宋体" w:cs="Times New Roman"/>
                <w:color w:val="auto"/>
                <w:sz w:val="24"/>
                <w:szCs w:val="24"/>
                <w:lang w:eastAsia="zh-CN"/>
              </w:rPr>
              <w:t>泗水县</w:t>
            </w:r>
            <w:r>
              <w:rPr>
                <w:rFonts w:hint="default" w:ascii="Times New Roman" w:hAnsi="Times New Roman" w:eastAsia="宋体" w:cs="Times New Roman"/>
                <w:color w:val="auto"/>
                <w:sz w:val="24"/>
                <w:szCs w:val="24"/>
              </w:rPr>
              <w:t>分局发布的泗水县2024年下半年集中式饮用水源水质状况报告</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b w:val="0"/>
                <w:bCs/>
                <w:color w:val="auto"/>
                <w:sz w:val="24"/>
                <w:szCs w:val="24"/>
                <w:lang w:val="en-US" w:eastAsia="zh-CN"/>
              </w:rPr>
              <w:t>http://www.sishui.gov.cn/art/2024/11/8/art_27269_2775421.html</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b w:val="0"/>
                <w:bCs/>
                <w:color w:val="auto"/>
                <w:sz w:val="24"/>
                <w:szCs w:val="24"/>
                <w:lang w:val="en-US" w:eastAsia="zh-CN"/>
              </w:rPr>
              <w:t>区域内地下水质量达到《地下水质量标准》（GB/T14848-2017）中Ⅲ类标准要求。</w:t>
            </w:r>
          </w:p>
          <w:p w14:paraId="7B7B055B">
            <w:pPr>
              <w:spacing w:line="360" w:lineRule="auto"/>
              <w:ind w:firstLine="480" w:firstLineChars="200"/>
              <w:jc w:val="left"/>
              <w:rPr>
                <w:rFonts w:ascii="Times New Roman" w:hAnsi="Times New Roman" w:eastAsia="新宋体" w:cs="Times New Roman"/>
                <w:b w:val="0"/>
                <w:bCs/>
                <w:color w:val="auto"/>
                <w:sz w:val="24"/>
                <w:szCs w:val="24"/>
              </w:rPr>
            </w:pPr>
            <w:r>
              <w:rPr>
                <w:rFonts w:hint="eastAsia" w:ascii="Times New Roman" w:hAnsi="Times New Roman" w:eastAsia="新宋体" w:cs="Times New Roman"/>
                <w:b w:val="0"/>
                <w:bCs/>
                <w:color w:val="auto"/>
                <w:sz w:val="24"/>
                <w:szCs w:val="24"/>
              </w:rPr>
              <w:t>本项目所在区域土壤环境执行《土壤环境质量建设用地土壤污染风险管控标准</w:t>
            </w:r>
            <w:r>
              <w:rPr>
                <w:rFonts w:hint="eastAsia" w:eastAsia="新宋体" w:cs="Times New Roman"/>
                <w:b w:val="0"/>
                <w:bCs/>
                <w:color w:val="auto"/>
                <w:sz w:val="24"/>
                <w:szCs w:val="24"/>
                <w:lang w:eastAsia="zh-CN"/>
              </w:rPr>
              <w:t>（</w:t>
            </w:r>
            <w:r>
              <w:rPr>
                <w:rFonts w:hint="eastAsia" w:eastAsia="新宋体" w:cs="Times New Roman"/>
                <w:b w:val="0"/>
                <w:bCs/>
                <w:color w:val="auto"/>
                <w:sz w:val="24"/>
                <w:szCs w:val="24"/>
                <w:lang w:val="en-US" w:eastAsia="zh-CN"/>
              </w:rPr>
              <w:t>试行）</w:t>
            </w:r>
            <w:r>
              <w:rPr>
                <w:rFonts w:hint="eastAsia" w:ascii="Times New Roman" w:hAnsi="Times New Roman" w:eastAsia="新宋体" w:cs="Times New Roman"/>
                <w:b w:val="0"/>
                <w:bCs/>
                <w:color w:val="auto"/>
                <w:sz w:val="24"/>
                <w:szCs w:val="24"/>
              </w:rPr>
              <w:t>》（GB36600-2018）中第二类用地筛选值标准要求。通过分区防控、采取严格的防渗措施，本项目可切断土壤污染途径，根据《建设项目环境影响报告表编制技术指南</w:t>
            </w:r>
            <w:r>
              <w:rPr>
                <w:rFonts w:hint="eastAsia" w:ascii="Times New Roman" w:hAnsi="Times New Roman" w:eastAsia="新宋体" w:cs="Times New Roman"/>
                <w:b w:val="0"/>
                <w:bCs/>
                <w:color w:val="auto"/>
                <w:sz w:val="24"/>
                <w:szCs w:val="24"/>
                <w:lang w:eastAsia="zh-CN"/>
              </w:rPr>
              <w:t>（</w:t>
            </w:r>
            <w:r>
              <w:rPr>
                <w:rFonts w:hint="eastAsia" w:ascii="Times New Roman" w:hAnsi="Times New Roman" w:eastAsia="新宋体" w:cs="Times New Roman"/>
                <w:b w:val="0"/>
                <w:bCs/>
                <w:color w:val="auto"/>
                <w:sz w:val="24"/>
                <w:szCs w:val="24"/>
              </w:rPr>
              <w:t>污染影响类</w:t>
            </w:r>
            <w:r>
              <w:rPr>
                <w:rFonts w:hint="eastAsia" w:ascii="Times New Roman" w:hAnsi="Times New Roman" w:eastAsia="新宋体" w:cs="Times New Roman"/>
                <w:b w:val="0"/>
                <w:bCs/>
                <w:color w:val="auto"/>
                <w:sz w:val="24"/>
                <w:szCs w:val="24"/>
                <w:lang w:eastAsia="zh-CN"/>
              </w:rPr>
              <w:t>）（</w:t>
            </w:r>
            <w:r>
              <w:rPr>
                <w:rFonts w:hint="eastAsia" w:ascii="Times New Roman" w:hAnsi="Times New Roman" w:eastAsia="新宋体" w:cs="Times New Roman"/>
                <w:b w:val="0"/>
                <w:bCs/>
                <w:color w:val="auto"/>
                <w:sz w:val="24"/>
                <w:szCs w:val="24"/>
              </w:rPr>
              <w:t>试行</w:t>
            </w:r>
            <w:r>
              <w:rPr>
                <w:rFonts w:hint="eastAsia" w:ascii="Times New Roman" w:hAnsi="Times New Roman" w:eastAsia="新宋体" w:cs="Times New Roman"/>
                <w:b w:val="0"/>
                <w:bCs/>
                <w:color w:val="auto"/>
                <w:sz w:val="24"/>
                <w:szCs w:val="24"/>
                <w:lang w:eastAsia="zh-CN"/>
              </w:rPr>
              <w:t>）</w:t>
            </w:r>
            <w:r>
              <w:rPr>
                <w:rFonts w:hint="eastAsia" w:ascii="Times New Roman" w:hAnsi="Times New Roman" w:eastAsia="新宋体" w:cs="Times New Roman"/>
                <w:b w:val="0"/>
                <w:bCs/>
                <w:color w:val="auto"/>
                <w:sz w:val="24"/>
                <w:szCs w:val="24"/>
              </w:rPr>
              <w:t>》要求，本次评价无需开展土壤环境现状背景值调查。</w:t>
            </w:r>
          </w:p>
          <w:p w14:paraId="50B5A1A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lang w:val="en-US" w:eastAsia="zh-CN"/>
              </w:rPr>
            </w:pPr>
            <w:r>
              <w:rPr>
                <w:rFonts w:hint="eastAsia" w:cs="Times New Roman"/>
                <w:b/>
                <w:bCs w:val="0"/>
                <w:color w:val="auto"/>
                <w:sz w:val="24"/>
                <w:szCs w:val="24"/>
                <w:lang w:val="en-US" w:eastAsia="zh-CN"/>
              </w:rPr>
              <w:t>四</w:t>
            </w:r>
            <w:r>
              <w:rPr>
                <w:rFonts w:hint="eastAsia" w:ascii="Times New Roman" w:hAnsi="Times New Roman" w:eastAsia="宋体" w:cs="Times New Roman"/>
                <w:b/>
                <w:bCs w:val="0"/>
                <w:color w:val="auto"/>
                <w:sz w:val="24"/>
                <w:szCs w:val="24"/>
                <w:lang w:val="en-US" w:eastAsia="zh-CN"/>
              </w:rPr>
              <w:t>、</w:t>
            </w:r>
            <w:r>
              <w:rPr>
                <w:rFonts w:hint="default" w:ascii="Times New Roman" w:hAnsi="Times New Roman" w:eastAsia="宋体" w:cs="Times New Roman"/>
                <w:b/>
                <w:bCs w:val="0"/>
                <w:color w:val="auto"/>
                <w:sz w:val="24"/>
                <w:szCs w:val="24"/>
                <w:lang w:val="en-US" w:eastAsia="zh-CN"/>
              </w:rPr>
              <w:t>声环境</w:t>
            </w:r>
          </w:p>
          <w:p w14:paraId="55A44DE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rPr>
            </w:pPr>
            <w:r>
              <w:rPr>
                <w:rFonts w:ascii="Times New Roman" w:hAnsi="Times New Roman" w:eastAsia="宋体" w:cs="Times New Roman"/>
                <w:color w:val="auto"/>
                <w:sz w:val="24"/>
                <w:szCs w:val="24"/>
              </w:rPr>
              <w:t>项目所在地声环境功能为</w:t>
            </w: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rPr>
              <w:t>类功能区域，声环境质量标准执行《声环境质量标准》（GB3096-2008）中的</w:t>
            </w:r>
            <w:r>
              <w:rPr>
                <w:rFonts w:hint="eastAsia" w:ascii="Times New Roman" w:hAnsi="Times New Roman" w:eastAsia="宋体" w:cs="Times New Roman"/>
                <w:color w:val="auto"/>
                <w:sz w:val="24"/>
                <w:szCs w:val="24"/>
                <w:lang w:val="en-US" w:eastAsia="zh-CN"/>
              </w:rPr>
              <w:t>2</w:t>
            </w:r>
            <w:r>
              <w:rPr>
                <w:rFonts w:ascii="Times New Roman" w:hAnsi="Times New Roman" w:eastAsia="宋体" w:cs="Times New Roman"/>
                <w:color w:val="auto"/>
                <w:sz w:val="24"/>
                <w:szCs w:val="24"/>
              </w:rPr>
              <w:t>类标准。</w:t>
            </w:r>
            <w:r>
              <w:rPr>
                <w:rFonts w:hint="eastAsia" w:ascii="Times New Roman" w:hAnsi="Times New Roman" w:eastAsia="宋体" w:cs="Times New Roman"/>
                <w:color w:val="auto"/>
                <w:sz w:val="24"/>
                <w:szCs w:val="24"/>
                <w:lang w:eastAsia="zh-CN"/>
              </w:rPr>
              <w:t>山东欣宏检测技术有限公司</w:t>
            </w:r>
            <w:r>
              <w:rPr>
                <w:rFonts w:hint="eastAsia" w:ascii="Times New Roman" w:hAnsi="Times New Roman" w:eastAsia="宋体" w:cs="Times New Roman"/>
                <w:color w:val="auto"/>
                <w:sz w:val="24"/>
                <w:szCs w:val="24"/>
                <w:highlight w:val="none"/>
                <w:lang w:val="en-US" w:eastAsia="zh-CN"/>
              </w:rPr>
              <w:t>于2026年1月5日对拟建项目厂界及周边50米范围内的声环境保护目标（山东机械附件厂家属院、天源机床附件公司家属院）进行了噪声现状监测，噪声</w:t>
            </w:r>
            <w:r>
              <w:rPr>
                <w:rFonts w:hint="default" w:ascii="Times New Roman" w:hAnsi="Times New Roman" w:eastAsia="宋体" w:cs="Times New Roman"/>
                <w:color w:val="auto"/>
                <w:sz w:val="24"/>
                <w:szCs w:val="24"/>
                <w:highlight w:val="none"/>
              </w:rPr>
              <w:t>监测结果见表</w:t>
            </w:r>
            <w:r>
              <w:rPr>
                <w:rFonts w:hint="eastAsia" w:ascii="Times New Roman" w:hAnsi="Times New Roman" w:eastAsia="宋体" w:cs="Times New Roman"/>
                <w:color w:val="auto"/>
                <w:sz w:val="24"/>
                <w:szCs w:val="24"/>
                <w:highlight w:val="none"/>
                <w:lang w:val="en-US" w:eastAsia="zh-CN"/>
              </w:rPr>
              <w:t>3-3，检测报告见附件。</w:t>
            </w:r>
          </w:p>
          <w:p w14:paraId="016A55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4"/>
                <w:szCs w:val="24"/>
                <w:highlight w:val="yellow"/>
              </w:rPr>
            </w:pPr>
            <w:r>
              <w:rPr>
                <w:rFonts w:hint="default"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w:t>
            </w:r>
            <w:r>
              <w:rPr>
                <w:rFonts w:hint="eastAsia"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bCs w:val="0"/>
                <w:color w:val="auto"/>
                <w:sz w:val="24"/>
                <w:szCs w:val="24"/>
                <w:highlight w:val="none"/>
              </w:rPr>
              <w:t xml:space="preserve"> </w:t>
            </w:r>
            <w:r>
              <w:rPr>
                <w:rFonts w:hint="eastAsia" w:ascii="Times New Roman" w:hAnsi="Times New Roman" w:eastAsia="宋体" w:cs="Times New Roman"/>
                <w:b/>
                <w:bCs w:val="0"/>
                <w:color w:val="auto"/>
                <w:sz w:val="24"/>
                <w:szCs w:val="24"/>
                <w:highlight w:val="none"/>
                <w:lang w:val="en-US" w:eastAsia="zh-CN"/>
              </w:rPr>
              <w:t>拟建</w:t>
            </w:r>
            <w:r>
              <w:rPr>
                <w:rFonts w:hint="default" w:ascii="Times New Roman" w:hAnsi="Times New Roman" w:eastAsia="宋体" w:cs="Times New Roman"/>
                <w:b/>
                <w:bCs w:val="0"/>
                <w:color w:val="auto"/>
                <w:sz w:val="24"/>
                <w:szCs w:val="24"/>
                <w:highlight w:val="none"/>
              </w:rPr>
              <w:t>项目</w:t>
            </w:r>
            <w:r>
              <w:rPr>
                <w:rFonts w:hint="eastAsia" w:ascii="Times New Roman" w:hAnsi="Times New Roman" w:eastAsia="宋体" w:cs="Times New Roman"/>
                <w:b/>
                <w:bCs w:val="0"/>
                <w:color w:val="auto"/>
                <w:sz w:val="24"/>
                <w:szCs w:val="24"/>
                <w:highlight w:val="none"/>
                <w:lang w:val="en-US" w:eastAsia="zh-CN"/>
              </w:rPr>
              <w:t>声环境保护目标噪声</w:t>
            </w:r>
            <w:r>
              <w:rPr>
                <w:rFonts w:hint="default" w:ascii="Times New Roman" w:hAnsi="Times New Roman" w:eastAsia="宋体" w:cs="Times New Roman"/>
                <w:b/>
                <w:bCs w:val="0"/>
                <w:color w:val="auto"/>
                <w:sz w:val="24"/>
                <w:szCs w:val="24"/>
                <w:highlight w:val="none"/>
              </w:rPr>
              <w:t>监测结果一览表</w:t>
            </w:r>
            <w:r>
              <w:rPr>
                <w:rFonts w:hint="default" w:ascii="Times New Roman" w:hAnsi="Times New Roman" w:eastAsia="宋体" w:cs="Times New Roman"/>
                <w:b/>
                <w:color w:val="auto"/>
                <w:sz w:val="24"/>
                <w:szCs w:val="24"/>
                <w:highlight w:val="none"/>
              </w:rPr>
              <w:t xml:space="preserve">    单位：dB（A）</w:t>
            </w:r>
          </w:p>
          <w:tbl>
            <w:tblPr>
              <w:tblStyle w:val="38"/>
              <w:tblW w:w="77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191"/>
              <w:gridCol w:w="1899"/>
              <w:gridCol w:w="630"/>
              <w:gridCol w:w="1145"/>
              <w:gridCol w:w="1291"/>
              <w:gridCol w:w="884"/>
              <w:gridCol w:w="718"/>
            </w:tblGrid>
            <w:tr w14:paraId="34A6D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634" w:hRule="atLeast"/>
                <w:jc w:val="center"/>
              </w:trPr>
              <w:tc>
                <w:tcPr>
                  <w:tcW w:w="1191" w:type="dxa"/>
                  <w:tcBorders>
                    <w:tl2br w:val="nil"/>
                    <w:tr2bl w:val="nil"/>
                  </w:tcBorders>
                  <w:vAlign w:val="center"/>
                </w:tcPr>
                <w:p w14:paraId="5354BAC0">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检测日期</w:t>
                  </w:r>
                </w:p>
              </w:tc>
              <w:tc>
                <w:tcPr>
                  <w:tcW w:w="1899" w:type="dxa"/>
                  <w:tcBorders>
                    <w:tl2br w:val="nil"/>
                    <w:tr2bl w:val="nil"/>
                  </w:tcBorders>
                  <w:vAlign w:val="center"/>
                </w:tcPr>
                <w:p w14:paraId="30869315">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检测点位</w:t>
                  </w:r>
                </w:p>
              </w:tc>
              <w:tc>
                <w:tcPr>
                  <w:tcW w:w="1775" w:type="dxa"/>
                  <w:gridSpan w:val="2"/>
                  <w:tcBorders>
                    <w:tl2br w:val="nil"/>
                    <w:tr2bl w:val="nil"/>
                  </w:tcBorders>
                  <w:vAlign w:val="center"/>
                </w:tcPr>
                <w:p w14:paraId="6C3DFC71">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检测时间</w:t>
                  </w:r>
                </w:p>
              </w:tc>
              <w:tc>
                <w:tcPr>
                  <w:tcW w:w="1291" w:type="dxa"/>
                  <w:tcBorders>
                    <w:tl2br w:val="nil"/>
                    <w:tr2bl w:val="nil"/>
                  </w:tcBorders>
                  <w:vAlign w:val="center"/>
                </w:tcPr>
                <w:p w14:paraId="3EB664AC">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检测结果dB(A)</w:t>
                  </w:r>
                </w:p>
              </w:tc>
              <w:tc>
                <w:tcPr>
                  <w:tcW w:w="884" w:type="dxa"/>
                  <w:tcBorders>
                    <w:tl2br w:val="nil"/>
                    <w:tr2bl w:val="nil"/>
                  </w:tcBorders>
                  <w:vAlign w:val="center"/>
                </w:tcPr>
                <w:p w14:paraId="6DE55DFF">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风速 m/s</w:t>
                  </w:r>
                </w:p>
              </w:tc>
              <w:tc>
                <w:tcPr>
                  <w:tcW w:w="718" w:type="dxa"/>
                  <w:tcBorders>
                    <w:tl2br w:val="nil"/>
                    <w:tr2bl w:val="nil"/>
                  </w:tcBorders>
                  <w:vAlign w:val="center"/>
                </w:tcPr>
                <w:p w14:paraId="0FBA17F1">
                  <w:pPr>
                    <w:spacing w:before="62" w:beforeLines="20"/>
                    <w:jc w:val="center"/>
                    <w:rPr>
                      <w:rFonts w:hint="default" w:ascii="Times New Roman" w:hAnsi="Times New Roman" w:cs="Times New Roman" w:eastAsiaTheme="minorEastAsia"/>
                      <w:b/>
                      <w:bCs w:val="0"/>
                      <w:color w:val="auto"/>
                      <w:szCs w:val="21"/>
                    </w:rPr>
                  </w:pPr>
                  <w:r>
                    <w:rPr>
                      <w:rFonts w:hint="default" w:ascii="Times New Roman" w:hAnsi="Times New Roman" w:cs="Times New Roman" w:eastAsiaTheme="minorEastAsia"/>
                      <w:b/>
                      <w:bCs w:val="0"/>
                      <w:color w:val="auto"/>
                      <w:szCs w:val="21"/>
                    </w:rPr>
                    <w:t>天气情况</w:t>
                  </w:r>
                </w:p>
              </w:tc>
            </w:tr>
            <w:tr w14:paraId="56CC8B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469" w:hRule="atLeast"/>
                <w:jc w:val="center"/>
              </w:trPr>
              <w:tc>
                <w:tcPr>
                  <w:tcW w:w="1191" w:type="dxa"/>
                  <w:vMerge w:val="restart"/>
                  <w:tcBorders>
                    <w:tl2br w:val="nil"/>
                    <w:tr2bl w:val="nil"/>
                  </w:tcBorders>
                  <w:vAlign w:val="center"/>
                </w:tcPr>
                <w:p w14:paraId="5047AE0D">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rPr>
                    <w:t>202</w:t>
                  </w:r>
                  <w:r>
                    <w:rPr>
                      <w:rFonts w:hint="default" w:ascii="Times New Roman" w:hAnsi="Times New Roman" w:cs="Times New Roman" w:eastAsiaTheme="minorEastAsia"/>
                      <w:bCs/>
                      <w:color w:val="auto"/>
                      <w:szCs w:val="21"/>
                      <w:lang w:val="en-US" w:eastAsia="zh-CN"/>
                    </w:rPr>
                    <w:t>6.01.05</w:t>
                  </w:r>
                </w:p>
              </w:tc>
              <w:tc>
                <w:tcPr>
                  <w:tcW w:w="1899" w:type="dxa"/>
                  <w:tcBorders>
                    <w:tl2br w:val="nil"/>
                    <w:tr2bl w:val="nil"/>
                  </w:tcBorders>
                  <w:vAlign w:val="center"/>
                </w:tcPr>
                <w:p w14:paraId="05234A0B">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1#</w:t>
                  </w:r>
                  <w:r>
                    <w:rPr>
                      <w:rFonts w:hint="default" w:ascii="Times New Roman" w:hAnsi="Times New Roman" w:cs="Times New Roman" w:eastAsiaTheme="minorEastAsia"/>
                      <w:bCs/>
                      <w:color w:val="auto"/>
                      <w:szCs w:val="21"/>
                    </w:rPr>
                    <w:t>东厂界外1m</w:t>
                  </w:r>
                  <w:r>
                    <w:rPr>
                      <w:rFonts w:hint="default" w:ascii="Times New Roman" w:hAnsi="Times New Roman" w:cs="Times New Roman" w:eastAsiaTheme="minorEastAsia"/>
                      <w:bCs/>
                      <w:color w:val="auto"/>
                      <w:szCs w:val="21"/>
                      <w:lang w:val="en-US" w:eastAsia="zh-CN"/>
                    </w:rPr>
                    <w:t>处</w:t>
                  </w:r>
                </w:p>
              </w:tc>
              <w:tc>
                <w:tcPr>
                  <w:tcW w:w="630" w:type="dxa"/>
                  <w:vMerge w:val="restart"/>
                  <w:tcBorders>
                    <w:tl2br w:val="nil"/>
                    <w:tr2bl w:val="nil"/>
                  </w:tcBorders>
                  <w:vAlign w:val="center"/>
                </w:tcPr>
                <w:p w14:paraId="13DD87B0">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昼间</w:t>
                  </w:r>
                </w:p>
              </w:tc>
              <w:tc>
                <w:tcPr>
                  <w:tcW w:w="1145" w:type="dxa"/>
                  <w:tcBorders>
                    <w:tl2br w:val="nil"/>
                    <w:tr2bl w:val="nil"/>
                  </w:tcBorders>
                  <w:vAlign w:val="center"/>
                </w:tcPr>
                <w:p w14:paraId="32D041D0">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09</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20</w:t>
                  </w:r>
                </w:p>
              </w:tc>
              <w:tc>
                <w:tcPr>
                  <w:tcW w:w="1291" w:type="dxa"/>
                  <w:tcBorders>
                    <w:tl2br w:val="nil"/>
                    <w:tr2bl w:val="nil"/>
                  </w:tcBorders>
                  <w:vAlign w:val="center"/>
                </w:tcPr>
                <w:p w14:paraId="160EDF78">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54.5</w:t>
                  </w:r>
                </w:p>
              </w:tc>
              <w:tc>
                <w:tcPr>
                  <w:tcW w:w="884" w:type="dxa"/>
                  <w:vMerge w:val="restart"/>
                  <w:tcBorders>
                    <w:tl2br w:val="nil"/>
                    <w:tr2bl w:val="nil"/>
                  </w:tcBorders>
                  <w:vAlign w:val="center"/>
                </w:tcPr>
                <w:p w14:paraId="1123468C">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1.9</w:t>
                  </w:r>
                </w:p>
              </w:tc>
              <w:tc>
                <w:tcPr>
                  <w:tcW w:w="718" w:type="dxa"/>
                  <w:vMerge w:val="restart"/>
                  <w:tcBorders>
                    <w:tl2br w:val="nil"/>
                    <w:tr2bl w:val="nil"/>
                  </w:tcBorders>
                  <w:vAlign w:val="center"/>
                </w:tcPr>
                <w:p w14:paraId="5D13027B">
                  <w:pPr>
                    <w:spacing w:before="62" w:beforeLines="20" w:line="300" w:lineRule="exact"/>
                    <w:jc w:val="center"/>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bCs/>
                      <w:color w:val="auto"/>
                      <w:szCs w:val="21"/>
                      <w:lang w:val="en-US" w:eastAsia="zh-CN"/>
                    </w:rPr>
                    <w:t>晴</w:t>
                  </w:r>
                </w:p>
              </w:tc>
            </w:tr>
            <w:tr w14:paraId="649194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469" w:hRule="atLeast"/>
                <w:jc w:val="center"/>
              </w:trPr>
              <w:tc>
                <w:tcPr>
                  <w:tcW w:w="1191" w:type="dxa"/>
                  <w:vMerge w:val="continue"/>
                  <w:tcBorders>
                    <w:tl2br w:val="nil"/>
                    <w:tr2bl w:val="nil"/>
                  </w:tcBorders>
                  <w:vAlign w:val="center"/>
                </w:tcPr>
                <w:p w14:paraId="225A9DC4">
                  <w:pPr>
                    <w:spacing w:before="62" w:beforeLines="20" w:line="300" w:lineRule="exact"/>
                    <w:jc w:val="center"/>
                    <w:rPr>
                      <w:rFonts w:hint="default" w:ascii="Times New Roman" w:hAnsi="Times New Roman" w:cs="Times New Roman" w:eastAsiaTheme="minorEastAsia"/>
                      <w:bCs/>
                      <w:color w:val="auto"/>
                      <w:szCs w:val="21"/>
                    </w:rPr>
                  </w:pPr>
                </w:p>
              </w:tc>
              <w:tc>
                <w:tcPr>
                  <w:tcW w:w="1899" w:type="dxa"/>
                  <w:tcBorders>
                    <w:tl2br w:val="nil"/>
                    <w:tr2bl w:val="nil"/>
                  </w:tcBorders>
                  <w:vAlign w:val="center"/>
                </w:tcPr>
                <w:p w14:paraId="1190B6F1">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2#</w:t>
                  </w:r>
                  <w:r>
                    <w:rPr>
                      <w:rFonts w:hint="default" w:ascii="Times New Roman" w:hAnsi="Times New Roman" w:cs="Times New Roman" w:eastAsiaTheme="minorEastAsia"/>
                      <w:bCs/>
                      <w:color w:val="auto"/>
                      <w:szCs w:val="21"/>
                    </w:rPr>
                    <w:t>南厂界外1m</w:t>
                  </w:r>
                  <w:r>
                    <w:rPr>
                      <w:rFonts w:hint="default" w:ascii="Times New Roman" w:hAnsi="Times New Roman" w:cs="Times New Roman" w:eastAsiaTheme="minorEastAsia"/>
                      <w:bCs/>
                      <w:color w:val="auto"/>
                      <w:szCs w:val="21"/>
                      <w:lang w:val="en-US" w:eastAsia="zh-CN"/>
                    </w:rPr>
                    <w:t>处</w:t>
                  </w:r>
                </w:p>
              </w:tc>
              <w:tc>
                <w:tcPr>
                  <w:tcW w:w="630" w:type="dxa"/>
                  <w:vMerge w:val="continue"/>
                  <w:tcBorders>
                    <w:tl2br w:val="nil"/>
                    <w:tr2bl w:val="nil"/>
                  </w:tcBorders>
                  <w:vAlign w:val="center"/>
                </w:tcPr>
                <w:p w14:paraId="514B6DBE">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1145" w:type="dxa"/>
                  <w:tcBorders>
                    <w:tl2br w:val="nil"/>
                    <w:tr2bl w:val="nil"/>
                  </w:tcBorders>
                  <w:vAlign w:val="center"/>
                </w:tcPr>
                <w:p w14:paraId="2B34957A">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09</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34</w:t>
                  </w:r>
                </w:p>
              </w:tc>
              <w:tc>
                <w:tcPr>
                  <w:tcW w:w="1291" w:type="dxa"/>
                  <w:tcBorders>
                    <w:tl2br w:val="nil"/>
                    <w:tr2bl w:val="nil"/>
                  </w:tcBorders>
                  <w:vAlign w:val="center"/>
                </w:tcPr>
                <w:p w14:paraId="5201DE88">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56.2</w:t>
                  </w:r>
                </w:p>
              </w:tc>
              <w:tc>
                <w:tcPr>
                  <w:tcW w:w="884" w:type="dxa"/>
                  <w:vMerge w:val="continue"/>
                  <w:tcBorders>
                    <w:tl2br w:val="nil"/>
                    <w:tr2bl w:val="nil"/>
                  </w:tcBorders>
                  <w:vAlign w:val="center"/>
                </w:tcPr>
                <w:p w14:paraId="205CCF60">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718" w:type="dxa"/>
                  <w:vMerge w:val="continue"/>
                  <w:tcBorders>
                    <w:tl2br w:val="nil"/>
                    <w:tr2bl w:val="nil"/>
                  </w:tcBorders>
                  <w:vAlign w:val="center"/>
                </w:tcPr>
                <w:p w14:paraId="115A4C8E">
                  <w:pPr>
                    <w:spacing w:before="62" w:beforeLines="20" w:line="300" w:lineRule="exact"/>
                    <w:jc w:val="center"/>
                    <w:rPr>
                      <w:rFonts w:hint="default" w:ascii="Times New Roman" w:hAnsi="Times New Roman" w:cs="Times New Roman" w:eastAsiaTheme="minorEastAsia"/>
                      <w:bCs/>
                      <w:color w:val="auto"/>
                      <w:szCs w:val="21"/>
                    </w:rPr>
                  </w:pPr>
                </w:p>
              </w:tc>
            </w:tr>
            <w:tr w14:paraId="688901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469" w:hRule="atLeast"/>
                <w:jc w:val="center"/>
              </w:trPr>
              <w:tc>
                <w:tcPr>
                  <w:tcW w:w="1191" w:type="dxa"/>
                  <w:vMerge w:val="continue"/>
                  <w:tcBorders>
                    <w:tl2br w:val="nil"/>
                    <w:tr2bl w:val="nil"/>
                  </w:tcBorders>
                  <w:vAlign w:val="center"/>
                </w:tcPr>
                <w:p w14:paraId="01BC2E0B">
                  <w:pPr>
                    <w:spacing w:before="62" w:beforeLines="20" w:line="300" w:lineRule="exact"/>
                    <w:jc w:val="center"/>
                    <w:rPr>
                      <w:rFonts w:hint="default" w:ascii="Times New Roman" w:hAnsi="Times New Roman" w:cs="Times New Roman" w:eastAsiaTheme="minorEastAsia"/>
                      <w:bCs/>
                      <w:color w:val="auto"/>
                      <w:szCs w:val="21"/>
                    </w:rPr>
                  </w:pPr>
                </w:p>
              </w:tc>
              <w:tc>
                <w:tcPr>
                  <w:tcW w:w="1899" w:type="dxa"/>
                  <w:tcBorders>
                    <w:tl2br w:val="nil"/>
                    <w:tr2bl w:val="nil"/>
                  </w:tcBorders>
                  <w:vAlign w:val="center"/>
                </w:tcPr>
                <w:p w14:paraId="44BFCFE0">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3#西</w:t>
                  </w:r>
                  <w:r>
                    <w:rPr>
                      <w:rFonts w:hint="default" w:ascii="Times New Roman" w:hAnsi="Times New Roman" w:cs="Times New Roman" w:eastAsiaTheme="minorEastAsia"/>
                      <w:bCs/>
                      <w:color w:val="auto"/>
                      <w:szCs w:val="21"/>
                    </w:rPr>
                    <w:t>厂界外1m</w:t>
                  </w:r>
                  <w:r>
                    <w:rPr>
                      <w:rFonts w:hint="default" w:ascii="Times New Roman" w:hAnsi="Times New Roman" w:cs="Times New Roman" w:eastAsiaTheme="minorEastAsia"/>
                      <w:bCs/>
                      <w:color w:val="auto"/>
                      <w:szCs w:val="21"/>
                      <w:lang w:val="en-US" w:eastAsia="zh-CN"/>
                    </w:rPr>
                    <w:t>处</w:t>
                  </w:r>
                </w:p>
              </w:tc>
              <w:tc>
                <w:tcPr>
                  <w:tcW w:w="630" w:type="dxa"/>
                  <w:vMerge w:val="continue"/>
                  <w:tcBorders>
                    <w:tl2br w:val="nil"/>
                    <w:tr2bl w:val="nil"/>
                  </w:tcBorders>
                  <w:vAlign w:val="center"/>
                </w:tcPr>
                <w:p w14:paraId="5A3FAE0A">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1145" w:type="dxa"/>
                  <w:tcBorders>
                    <w:tl2br w:val="nil"/>
                    <w:tr2bl w:val="nil"/>
                  </w:tcBorders>
                  <w:vAlign w:val="center"/>
                </w:tcPr>
                <w:p w14:paraId="7A633BCB">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09</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50</w:t>
                  </w:r>
                </w:p>
              </w:tc>
              <w:tc>
                <w:tcPr>
                  <w:tcW w:w="1291" w:type="dxa"/>
                  <w:tcBorders>
                    <w:tl2br w:val="nil"/>
                    <w:tr2bl w:val="nil"/>
                  </w:tcBorders>
                  <w:vAlign w:val="center"/>
                </w:tcPr>
                <w:p w14:paraId="49AE3ADD">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54.8</w:t>
                  </w:r>
                </w:p>
              </w:tc>
              <w:tc>
                <w:tcPr>
                  <w:tcW w:w="884" w:type="dxa"/>
                  <w:vMerge w:val="continue"/>
                  <w:tcBorders>
                    <w:tl2br w:val="nil"/>
                    <w:tr2bl w:val="nil"/>
                  </w:tcBorders>
                  <w:vAlign w:val="center"/>
                </w:tcPr>
                <w:p w14:paraId="28F4490E">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718" w:type="dxa"/>
                  <w:vMerge w:val="continue"/>
                  <w:tcBorders>
                    <w:tl2br w:val="nil"/>
                    <w:tr2bl w:val="nil"/>
                  </w:tcBorders>
                  <w:vAlign w:val="center"/>
                </w:tcPr>
                <w:p w14:paraId="56E36C6D">
                  <w:pPr>
                    <w:spacing w:before="62" w:beforeLines="20" w:line="300" w:lineRule="exact"/>
                    <w:jc w:val="center"/>
                    <w:rPr>
                      <w:rFonts w:hint="default" w:ascii="Times New Roman" w:hAnsi="Times New Roman" w:cs="Times New Roman" w:eastAsiaTheme="minorEastAsia"/>
                      <w:bCs/>
                      <w:color w:val="auto"/>
                      <w:szCs w:val="21"/>
                      <w:lang w:val="en-US" w:eastAsia="zh-CN"/>
                    </w:rPr>
                  </w:pPr>
                </w:p>
              </w:tc>
            </w:tr>
            <w:tr w14:paraId="1E93D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498" w:hRule="atLeast"/>
                <w:jc w:val="center"/>
              </w:trPr>
              <w:tc>
                <w:tcPr>
                  <w:tcW w:w="1191" w:type="dxa"/>
                  <w:vMerge w:val="continue"/>
                  <w:tcBorders>
                    <w:tl2br w:val="nil"/>
                    <w:tr2bl w:val="nil"/>
                  </w:tcBorders>
                  <w:vAlign w:val="center"/>
                </w:tcPr>
                <w:p w14:paraId="624E2085">
                  <w:pPr>
                    <w:spacing w:before="62" w:beforeLines="20" w:line="300" w:lineRule="exact"/>
                    <w:jc w:val="center"/>
                    <w:rPr>
                      <w:rFonts w:hint="default" w:ascii="Times New Roman" w:hAnsi="Times New Roman" w:cs="Times New Roman" w:eastAsiaTheme="minorEastAsia"/>
                      <w:bCs/>
                      <w:color w:val="auto"/>
                      <w:szCs w:val="21"/>
                    </w:rPr>
                  </w:pPr>
                </w:p>
              </w:tc>
              <w:tc>
                <w:tcPr>
                  <w:tcW w:w="1899" w:type="dxa"/>
                  <w:tcBorders>
                    <w:tl2br w:val="nil"/>
                    <w:tr2bl w:val="nil"/>
                  </w:tcBorders>
                  <w:vAlign w:val="center"/>
                </w:tcPr>
                <w:p w14:paraId="494B270B">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4#北</w:t>
                  </w:r>
                  <w:r>
                    <w:rPr>
                      <w:rFonts w:hint="default" w:ascii="Times New Roman" w:hAnsi="Times New Roman" w:cs="Times New Roman" w:eastAsiaTheme="minorEastAsia"/>
                      <w:bCs/>
                      <w:color w:val="auto"/>
                      <w:szCs w:val="21"/>
                    </w:rPr>
                    <w:t>厂界外1m</w:t>
                  </w:r>
                  <w:r>
                    <w:rPr>
                      <w:rFonts w:hint="default" w:ascii="Times New Roman" w:hAnsi="Times New Roman" w:cs="Times New Roman" w:eastAsiaTheme="minorEastAsia"/>
                      <w:bCs/>
                      <w:color w:val="auto"/>
                      <w:szCs w:val="21"/>
                      <w:lang w:val="en-US" w:eastAsia="zh-CN"/>
                    </w:rPr>
                    <w:t>处</w:t>
                  </w:r>
                </w:p>
              </w:tc>
              <w:tc>
                <w:tcPr>
                  <w:tcW w:w="630" w:type="dxa"/>
                  <w:vMerge w:val="continue"/>
                  <w:tcBorders>
                    <w:tl2br w:val="nil"/>
                    <w:tr2bl w:val="nil"/>
                  </w:tcBorders>
                  <w:vAlign w:val="center"/>
                </w:tcPr>
                <w:p w14:paraId="1A979862">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1145" w:type="dxa"/>
                  <w:tcBorders>
                    <w:tl2br w:val="nil"/>
                    <w:tr2bl w:val="nil"/>
                  </w:tcBorders>
                  <w:vAlign w:val="center"/>
                </w:tcPr>
                <w:p w14:paraId="333E2D66">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10</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03</w:t>
                  </w:r>
                </w:p>
              </w:tc>
              <w:tc>
                <w:tcPr>
                  <w:tcW w:w="1291" w:type="dxa"/>
                  <w:tcBorders>
                    <w:tl2br w:val="nil"/>
                    <w:tr2bl w:val="nil"/>
                  </w:tcBorders>
                  <w:vAlign w:val="center"/>
                </w:tcPr>
                <w:p w14:paraId="615D4A44">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53.8</w:t>
                  </w:r>
                </w:p>
              </w:tc>
              <w:tc>
                <w:tcPr>
                  <w:tcW w:w="884" w:type="dxa"/>
                  <w:vMerge w:val="continue"/>
                  <w:tcBorders>
                    <w:tl2br w:val="nil"/>
                    <w:tr2bl w:val="nil"/>
                  </w:tcBorders>
                  <w:vAlign w:val="center"/>
                </w:tcPr>
                <w:p w14:paraId="43E4612C">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718" w:type="dxa"/>
                  <w:vMerge w:val="continue"/>
                  <w:tcBorders>
                    <w:tl2br w:val="nil"/>
                    <w:tr2bl w:val="nil"/>
                  </w:tcBorders>
                  <w:vAlign w:val="center"/>
                </w:tcPr>
                <w:p w14:paraId="2A15D371">
                  <w:pPr>
                    <w:spacing w:before="62" w:beforeLines="20" w:line="300" w:lineRule="exact"/>
                    <w:jc w:val="center"/>
                    <w:rPr>
                      <w:rFonts w:hint="default" w:ascii="Times New Roman" w:hAnsi="Times New Roman" w:cs="Times New Roman" w:eastAsiaTheme="minorEastAsia"/>
                      <w:bCs/>
                      <w:color w:val="auto"/>
                      <w:szCs w:val="21"/>
                      <w:lang w:val="en-US" w:eastAsia="zh-CN"/>
                    </w:rPr>
                  </w:pPr>
                </w:p>
              </w:tc>
            </w:tr>
            <w:tr w14:paraId="5F6692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571" w:hRule="atLeast"/>
                <w:jc w:val="center"/>
              </w:trPr>
              <w:tc>
                <w:tcPr>
                  <w:tcW w:w="1191" w:type="dxa"/>
                  <w:vMerge w:val="continue"/>
                  <w:tcBorders>
                    <w:tl2br w:val="nil"/>
                    <w:tr2bl w:val="nil"/>
                  </w:tcBorders>
                  <w:vAlign w:val="center"/>
                </w:tcPr>
                <w:p w14:paraId="6A116F28">
                  <w:pPr>
                    <w:spacing w:before="62" w:beforeLines="20" w:line="300" w:lineRule="exact"/>
                    <w:jc w:val="center"/>
                    <w:rPr>
                      <w:rFonts w:hint="default" w:ascii="Times New Roman" w:hAnsi="Times New Roman" w:cs="Times New Roman" w:eastAsiaTheme="minorEastAsia"/>
                      <w:bCs/>
                      <w:color w:val="auto"/>
                      <w:szCs w:val="21"/>
                    </w:rPr>
                  </w:pPr>
                </w:p>
              </w:tc>
              <w:tc>
                <w:tcPr>
                  <w:tcW w:w="1899" w:type="dxa"/>
                  <w:tcBorders>
                    <w:tl2br w:val="nil"/>
                    <w:tr2bl w:val="nil"/>
                  </w:tcBorders>
                  <w:vAlign w:val="center"/>
                </w:tcPr>
                <w:p w14:paraId="7FEC76FE">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5#山东机械附件厂家属院</w:t>
                  </w:r>
                </w:p>
              </w:tc>
              <w:tc>
                <w:tcPr>
                  <w:tcW w:w="630" w:type="dxa"/>
                  <w:vMerge w:val="continue"/>
                  <w:tcBorders>
                    <w:tl2br w:val="nil"/>
                    <w:tr2bl w:val="nil"/>
                  </w:tcBorders>
                  <w:vAlign w:val="center"/>
                </w:tcPr>
                <w:p w14:paraId="2E99F873">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1145" w:type="dxa"/>
                  <w:tcBorders>
                    <w:tl2br w:val="nil"/>
                    <w:tr2bl w:val="nil"/>
                  </w:tcBorders>
                  <w:vAlign w:val="center"/>
                </w:tcPr>
                <w:p w14:paraId="7F6E158C">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10</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23</w:t>
                  </w:r>
                </w:p>
              </w:tc>
              <w:tc>
                <w:tcPr>
                  <w:tcW w:w="1291" w:type="dxa"/>
                  <w:tcBorders>
                    <w:tl2br w:val="nil"/>
                    <w:tr2bl w:val="nil"/>
                  </w:tcBorders>
                  <w:vAlign w:val="center"/>
                </w:tcPr>
                <w:p w14:paraId="77DFEFD0">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51.9</w:t>
                  </w:r>
                </w:p>
              </w:tc>
              <w:tc>
                <w:tcPr>
                  <w:tcW w:w="884" w:type="dxa"/>
                  <w:vMerge w:val="continue"/>
                  <w:tcBorders>
                    <w:tl2br w:val="nil"/>
                    <w:tr2bl w:val="nil"/>
                  </w:tcBorders>
                  <w:vAlign w:val="center"/>
                </w:tcPr>
                <w:p w14:paraId="44B2E8EE">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718" w:type="dxa"/>
                  <w:vMerge w:val="continue"/>
                  <w:tcBorders>
                    <w:tl2br w:val="nil"/>
                    <w:tr2bl w:val="nil"/>
                  </w:tcBorders>
                  <w:vAlign w:val="center"/>
                </w:tcPr>
                <w:p w14:paraId="412ED92F">
                  <w:pPr>
                    <w:spacing w:before="62" w:beforeLines="20" w:line="300" w:lineRule="exact"/>
                    <w:jc w:val="center"/>
                    <w:rPr>
                      <w:rFonts w:hint="default" w:ascii="Times New Roman" w:hAnsi="Times New Roman" w:cs="Times New Roman" w:eastAsiaTheme="minorEastAsia"/>
                      <w:bCs/>
                      <w:color w:val="auto"/>
                      <w:szCs w:val="21"/>
                      <w:lang w:val="en-US" w:eastAsia="zh-CN"/>
                    </w:rPr>
                  </w:pPr>
                </w:p>
              </w:tc>
            </w:tr>
            <w:tr w14:paraId="2E8AEE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576" w:hRule="atLeast"/>
                <w:jc w:val="center"/>
              </w:trPr>
              <w:tc>
                <w:tcPr>
                  <w:tcW w:w="1191" w:type="dxa"/>
                  <w:vMerge w:val="continue"/>
                  <w:tcBorders>
                    <w:tl2br w:val="nil"/>
                    <w:tr2bl w:val="nil"/>
                  </w:tcBorders>
                  <w:vAlign w:val="center"/>
                </w:tcPr>
                <w:p w14:paraId="08C274FE">
                  <w:pPr>
                    <w:spacing w:before="62" w:beforeLines="20" w:line="300" w:lineRule="exact"/>
                    <w:jc w:val="center"/>
                    <w:rPr>
                      <w:rFonts w:hint="default" w:ascii="Times New Roman" w:hAnsi="Times New Roman" w:cs="Times New Roman" w:eastAsiaTheme="minorEastAsia"/>
                      <w:bCs/>
                      <w:color w:val="auto"/>
                      <w:szCs w:val="21"/>
                    </w:rPr>
                  </w:pPr>
                </w:p>
              </w:tc>
              <w:tc>
                <w:tcPr>
                  <w:tcW w:w="1899" w:type="dxa"/>
                  <w:tcBorders>
                    <w:tl2br w:val="nil"/>
                    <w:tr2bl w:val="nil"/>
                  </w:tcBorders>
                  <w:vAlign w:val="center"/>
                </w:tcPr>
                <w:p w14:paraId="54FF94A7">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6#天源机床附件公司家属院</w:t>
                  </w:r>
                </w:p>
              </w:tc>
              <w:tc>
                <w:tcPr>
                  <w:tcW w:w="630" w:type="dxa"/>
                  <w:vMerge w:val="continue"/>
                  <w:tcBorders>
                    <w:tl2br w:val="nil"/>
                    <w:tr2bl w:val="nil"/>
                  </w:tcBorders>
                  <w:vAlign w:val="center"/>
                </w:tcPr>
                <w:p w14:paraId="5AF95DF7">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1145" w:type="dxa"/>
                  <w:tcBorders>
                    <w:tl2br w:val="nil"/>
                    <w:tr2bl w:val="nil"/>
                  </w:tcBorders>
                  <w:vAlign w:val="center"/>
                </w:tcPr>
                <w:p w14:paraId="2B6D1334">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10</w:t>
                  </w:r>
                  <w:r>
                    <w:rPr>
                      <w:rFonts w:hint="default" w:ascii="Times New Roman" w:hAnsi="Times New Roman" w:cs="Times New Roman" w:eastAsiaTheme="minorEastAsia"/>
                      <w:bCs/>
                      <w:color w:val="auto"/>
                      <w:szCs w:val="21"/>
                    </w:rPr>
                    <w:t>:</w:t>
                  </w:r>
                  <w:r>
                    <w:rPr>
                      <w:rFonts w:hint="default" w:ascii="Times New Roman" w:hAnsi="Times New Roman" w:cs="Times New Roman" w:eastAsiaTheme="minorEastAsia"/>
                      <w:bCs/>
                      <w:color w:val="auto"/>
                      <w:szCs w:val="21"/>
                      <w:lang w:val="en-US" w:eastAsia="zh-CN"/>
                    </w:rPr>
                    <w:t>41</w:t>
                  </w:r>
                </w:p>
              </w:tc>
              <w:tc>
                <w:tcPr>
                  <w:tcW w:w="1291" w:type="dxa"/>
                  <w:tcBorders>
                    <w:tl2br w:val="nil"/>
                    <w:tr2bl w:val="nil"/>
                  </w:tcBorders>
                  <w:vAlign w:val="center"/>
                </w:tcPr>
                <w:p w14:paraId="209F7FFC">
                  <w:pPr>
                    <w:spacing w:before="62" w:beforeLines="20" w:line="300" w:lineRule="exact"/>
                    <w:jc w:val="center"/>
                    <w:rPr>
                      <w:rFonts w:hint="default" w:ascii="Times New Roman" w:hAnsi="Times New Roman" w:cs="Times New Roman" w:eastAsiaTheme="minorEastAsia"/>
                      <w:bCs/>
                      <w:color w:val="auto"/>
                      <w:szCs w:val="21"/>
                      <w:lang w:val="en-US" w:eastAsia="zh-CN"/>
                    </w:rPr>
                  </w:pPr>
                  <w:r>
                    <w:rPr>
                      <w:rFonts w:hint="default" w:ascii="Times New Roman" w:hAnsi="Times New Roman" w:cs="Times New Roman" w:eastAsiaTheme="minorEastAsia"/>
                      <w:bCs/>
                      <w:color w:val="auto"/>
                      <w:szCs w:val="21"/>
                      <w:lang w:val="en-US" w:eastAsia="zh-CN"/>
                    </w:rPr>
                    <w:t>51.3</w:t>
                  </w:r>
                </w:p>
              </w:tc>
              <w:tc>
                <w:tcPr>
                  <w:tcW w:w="884" w:type="dxa"/>
                  <w:vMerge w:val="continue"/>
                  <w:tcBorders>
                    <w:tl2br w:val="nil"/>
                    <w:tr2bl w:val="nil"/>
                  </w:tcBorders>
                  <w:vAlign w:val="center"/>
                </w:tcPr>
                <w:p w14:paraId="39F684AD">
                  <w:pPr>
                    <w:spacing w:before="62" w:beforeLines="20" w:line="300" w:lineRule="exact"/>
                    <w:jc w:val="center"/>
                    <w:rPr>
                      <w:rFonts w:hint="default" w:ascii="Times New Roman" w:hAnsi="Times New Roman" w:cs="Times New Roman" w:eastAsiaTheme="minorEastAsia"/>
                      <w:bCs/>
                      <w:color w:val="auto"/>
                      <w:szCs w:val="21"/>
                      <w:lang w:val="en-US" w:eastAsia="zh-CN"/>
                    </w:rPr>
                  </w:pPr>
                </w:p>
              </w:tc>
              <w:tc>
                <w:tcPr>
                  <w:tcW w:w="718" w:type="dxa"/>
                  <w:vMerge w:val="continue"/>
                  <w:tcBorders>
                    <w:tl2br w:val="nil"/>
                    <w:tr2bl w:val="nil"/>
                  </w:tcBorders>
                  <w:vAlign w:val="center"/>
                </w:tcPr>
                <w:p w14:paraId="60A7B62C">
                  <w:pPr>
                    <w:spacing w:before="62" w:beforeLines="20" w:line="300" w:lineRule="exact"/>
                    <w:jc w:val="center"/>
                    <w:rPr>
                      <w:rFonts w:hint="default" w:ascii="Times New Roman" w:hAnsi="Times New Roman" w:cs="Times New Roman" w:eastAsiaTheme="minorEastAsia"/>
                      <w:bCs/>
                      <w:color w:val="auto"/>
                      <w:szCs w:val="21"/>
                      <w:lang w:val="en-US" w:eastAsia="zh-CN"/>
                    </w:rPr>
                  </w:pPr>
                </w:p>
              </w:tc>
            </w:tr>
          </w:tbl>
          <w:p w14:paraId="0AD4F8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由上表可知，项目厂界及周边敏感点</w:t>
            </w:r>
            <w:r>
              <w:rPr>
                <w:rFonts w:ascii="Times New Roman" w:hAnsi="Times New Roman" w:eastAsia="宋体" w:cs="Times New Roman"/>
                <w:color w:val="auto"/>
                <w:sz w:val="24"/>
                <w:szCs w:val="24"/>
              </w:rPr>
              <w:t>环境质量标准</w:t>
            </w:r>
            <w:r>
              <w:rPr>
                <w:rFonts w:hint="eastAsia" w:ascii="Times New Roman" w:hAnsi="Times New Roman" w:eastAsia="宋体" w:cs="Times New Roman"/>
                <w:color w:val="auto"/>
                <w:sz w:val="24"/>
                <w:szCs w:val="24"/>
                <w:lang w:val="en-US" w:eastAsia="zh-CN"/>
              </w:rPr>
              <w:t>能够满足</w:t>
            </w:r>
            <w:r>
              <w:rPr>
                <w:rFonts w:ascii="Times New Roman" w:hAnsi="Times New Roman" w:eastAsia="宋体" w:cs="Times New Roman"/>
                <w:color w:val="auto"/>
                <w:sz w:val="24"/>
                <w:szCs w:val="24"/>
              </w:rPr>
              <w:t>《声环境质量标准》（GB3096-2008）中的</w:t>
            </w:r>
            <w:r>
              <w:rPr>
                <w:rFonts w:hint="eastAsia" w:ascii="Times New Roman" w:hAnsi="Times New Roman" w:eastAsia="宋体" w:cs="Times New Roman"/>
                <w:color w:val="auto"/>
                <w:sz w:val="24"/>
                <w:szCs w:val="24"/>
              </w:rPr>
              <w:t>2</w:t>
            </w:r>
            <w:r>
              <w:rPr>
                <w:rFonts w:ascii="Times New Roman" w:hAnsi="Times New Roman" w:eastAsia="宋体" w:cs="Times New Roman"/>
                <w:color w:val="auto"/>
                <w:sz w:val="24"/>
                <w:szCs w:val="24"/>
              </w:rPr>
              <w:t>类标准。</w:t>
            </w:r>
          </w:p>
          <w:p w14:paraId="0AB03FA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lang w:val="en-US" w:eastAsia="zh-CN"/>
              </w:rPr>
            </w:pPr>
            <w:r>
              <w:rPr>
                <w:rFonts w:hint="eastAsia" w:cs="Times New Roman"/>
                <w:b/>
                <w:bCs w:val="0"/>
                <w:color w:val="auto"/>
                <w:sz w:val="24"/>
                <w:szCs w:val="24"/>
                <w:lang w:val="en-US" w:eastAsia="zh-CN"/>
              </w:rPr>
              <w:t>五</w:t>
            </w:r>
            <w:r>
              <w:rPr>
                <w:rFonts w:hint="eastAsia" w:ascii="Times New Roman" w:hAnsi="Times New Roman" w:eastAsia="宋体" w:cs="Times New Roman"/>
                <w:b/>
                <w:bCs w:val="0"/>
                <w:color w:val="auto"/>
                <w:sz w:val="24"/>
                <w:szCs w:val="24"/>
                <w:lang w:val="en-US" w:eastAsia="zh-CN"/>
              </w:rPr>
              <w:t>、</w:t>
            </w:r>
            <w:r>
              <w:rPr>
                <w:rFonts w:hint="default" w:ascii="Times New Roman" w:hAnsi="Times New Roman" w:eastAsia="宋体" w:cs="Times New Roman"/>
                <w:b/>
                <w:bCs w:val="0"/>
                <w:color w:val="auto"/>
                <w:sz w:val="24"/>
                <w:szCs w:val="24"/>
                <w:lang w:val="en-US" w:eastAsia="zh-CN"/>
              </w:rPr>
              <w:t>生态环境</w:t>
            </w:r>
          </w:p>
          <w:p w14:paraId="247252C1">
            <w:pPr>
              <w:spacing w:line="360" w:lineRule="auto"/>
              <w:ind w:firstLine="480" w:firstLineChars="200"/>
              <w:rPr>
                <w:rFonts w:hint="default" w:ascii="Times New Roman" w:hAnsi="Times New Roman" w:eastAsia="宋体" w:cs="Times New Roman"/>
                <w:color w:val="auto"/>
                <w:sz w:val="21"/>
                <w:szCs w:val="21"/>
                <w:highlight w:val="none"/>
              </w:rPr>
            </w:pPr>
            <w:r>
              <w:rPr>
                <w:rFonts w:hint="eastAsia" w:ascii="Times New Roman" w:hAnsi="Times New Roman" w:eastAsia="新宋体" w:cs="Times New Roman"/>
                <w:color w:val="auto"/>
                <w:sz w:val="24"/>
                <w:szCs w:val="24"/>
                <w:lang w:val="en-US"/>
              </w:rPr>
              <w:t>本项目</w:t>
            </w:r>
            <w:r>
              <w:rPr>
                <w:rFonts w:hint="eastAsia" w:ascii="Times New Roman" w:hAnsi="Times New Roman" w:eastAsia="新宋体" w:cs="Times New Roman"/>
                <w:color w:val="auto"/>
                <w:sz w:val="24"/>
                <w:szCs w:val="24"/>
                <w:lang w:val="en-US" w:eastAsia="zh-CN"/>
              </w:rPr>
              <w:t>租赁现有厂房进行</w:t>
            </w:r>
            <w:r>
              <w:rPr>
                <w:rFonts w:hint="eastAsia" w:ascii="Times New Roman" w:hAnsi="Times New Roman" w:eastAsia="新宋体" w:cs="Times New Roman"/>
                <w:color w:val="auto"/>
                <w:sz w:val="24"/>
                <w:szCs w:val="24"/>
                <w:lang w:val="en-US"/>
              </w:rPr>
              <w:t>建设，</w:t>
            </w:r>
            <w:r>
              <w:rPr>
                <w:rFonts w:hint="eastAsia" w:ascii="Times New Roman" w:hAnsi="Times New Roman" w:eastAsia="新宋体" w:cs="Times New Roman"/>
                <w:color w:val="auto"/>
                <w:sz w:val="24"/>
                <w:szCs w:val="24"/>
              </w:rPr>
              <w:t>不新增占地，项目区内无珍稀动植物和文物保护区，无重大环境制约因素。</w:t>
            </w:r>
          </w:p>
        </w:tc>
      </w:tr>
      <w:tr w14:paraId="0ABF2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9" w:hRule="atLeast"/>
          <w:jc w:val="center"/>
        </w:trPr>
        <w:tc>
          <w:tcPr>
            <w:tcW w:w="496" w:type="dxa"/>
            <w:noWrap w:val="0"/>
            <w:vAlign w:val="center"/>
          </w:tcPr>
          <w:p w14:paraId="5C79BD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环境保护目标</w:t>
            </w:r>
          </w:p>
        </w:tc>
        <w:tc>
          <w:tcPr>
            <w:tcW w:w="8032" w:type="dxa"/>
            <w:noWrap w:val="0"/>
            <w:vAlign w:val="center"/>
          </w:tcPr>
          <w:p w14:paraId="6678C613">
            <w:pPr>
              <w:widowControl/>
              <w:adjustRightInd w:val="0"/>
              <w:snapToGrid w:val="0"/>
              <w:spacing w:line="360" w:lineRule="auto"/>
              <w:ind w:firstLine="480" w:firstLineChars="200"/>
              <w:jc w:val="left"/>
              <w:rPr>
                <w:rFonts w:hint="default" w:ascii="Times New Roman" w:hAnsi="Times New Roman" w:eastAsia="宋体" w:cs="Times New Roman"/>
                <w:bCs/>
                <w:color w:val="auto"/>
                <w:kern w:val="4"/>
                <w:sz w:val="24"/>
                <w:szCs w:val="24"/>
                <w:lang w:val="en-US" w:eastAsia="zh-CN" w:bidi="ar-SA"/>
              </w:rPr>
            </w:pPr>
            <w:r>
              <w:rPr>
                <w:rFonts w:hint="default" w:ascii="Times New Roman" w:hAnsi="Times New Roman" w:eastAsia="宋体" w:cs="Times New Roman"/>
                <w:bCs/>
                <w:color w:val="auto"/>
                <w:kern w:val="4"/>
                <w:sz w:val="24"/>
                <w:szCs w:val="24"/>
                <w:lang w:val="en-US" w:eastAsia="zh-CN" w:bidi="ar-SA"/>
              </w:rPr>
              <w:t>一、大气环境：项目所在厂区厂界外500米范围内</w:t>
            </w:r>
            <w:r>
              <w:rPr>
                <w:rFonts w:hint="eastAsia" w:cs="Times New Roman"/>
                <w:bCs/>
                <w:color w:val="auto"/>
                <w:kern w:val="4"/>
                <w:sz w:val="24"/>
                <w:szCs w:val="24"/>
                <w:lang w:val="en-US" w:eastAsia="zh-CN" w:bidi="ar-SA"/>
              </w:rPr>
              <w:t>大气环境</w:t>
            </w:r>
            <w:r>
              <w:rPr>
                <w:rFonts w:hint="default" w:ascii="Times New Roman" w:hAnsi="Times New Roman" w:eastAsia="宋体" w:cs="Times New Roman"/>
                <w:bCs/>
                <w:color w:val="auto"/>
                <w:kern w:val="4"/>
                <w:sz w:val="24"/>
                <w:szCs w:val="24"/>
                <w:lang w:val="en-US" w:eastAsia="zh-CN" w:bidi="ar-SA"/>
              </w:rPr>
              <w:t>敏感目标</w:t>
            </w:r>
            <w:r>
              <w:rPr>
                <w:rFonts w:hint="eastAsia" w:cs="Times New Roman"/>
                <w:bCs/>
                <w:color w:val="auto"/>
                <w:kern w:val="4"/>
                <w:sz w:val="24"/>
                <w:szCs w:val="24"/>
                <w:lang w:val="en-US" w:eastAsia="zh-CN" w:bidi="ar-SA"/>
              </w:rPr>
              <w:t>为</w:t>
            </w:r>
            <w:r>
              <w:rPr>
                <w:rFonts w:hint="eastAsia" w:cs="Times New Roman"/>
                <w:color w:val="auto"/>
                <w:sz w:val="24"/>
                <w:szCs w:val="24"/>
                <w:lang w:val="en-US" w:eastAsia="zh-CN"/>
              </w:rPr>
              <w:t>泉林村、泉福新城、天源机床附件厂家属院、山东机械附件厂家属院、泉林村卫生院、泉林小学幼儿园、泉林小学教师公寓、潘坡村</w:t>
            </w:r>
            <w:r>
              <w:rPr>
                <w:rFonts w:hint="default" w:ascii="Times New Roman" w:hAnsi="Times New Roman" w:eastAsia="宋体" w:cs="Times New Roman"/>
                <w:bCs/>
                <w:color w:val="auto"/>
                <w:kern w:val="4"/>
                <w:sz w:val="24"/>
                <w:szCs w:val="24"/>
                <w:lang w:val="en-US" w:eastAsia="zh-CN" w:bidi="ar-SA"/>
              </w:rPr>
              <w:t>。</w:t>
            </w:r>
          </w:p>
          <w:p w14:paraId="2CD10D1E">
            <w:pPr>
              <w:widowControl/>
              <w:adjustRightInd w:val="0"/>
              <w:snapToGrid w:val="0"/>
              <w:spacing w:line="360" w:lineRule="auto"/>
              <w:ind w:firstLine="480" w:firstLineChars="200"/>
              <w:jc w:val="left"/>
              <w:rPr>
                <w:rFonts w:hint="default" w:ascii="Times New Roman" w:hAnsi="Times New Roman" w:eastAsia="宋体" w:cs="Times New Roman"/>
                <w:bCs/>
                <w:color w:val="auto"/>
                <w:kern w:val="4"/>
                <w:sz w:val="24"/>
                <w:szCs w:val="24"/>
                <w:lang w:val="en-US" w:eastAsia="zh-CN" w:bidi="ar-SA"/>
              </w:rPr>
            </w:pPr>
            <w:r>
              <w:rPr>
                <w:rFonts w:hint="default" w:ascii="Times New Roman" w:hAnsi="Times New Roman" w:eastAsia="宋体" w:cs="Times New Roman"/>
                <w:bCs/>
                <w:color w:val="auto"/>
                <w:kern w:val="4"/>
                <w:sz w:val="24"/>
                <w:szCs w:val="24"/>
                <w:lang w:val="en-US" w:eastAsia="zh-CN" w:bidi="ar-SA"/>
              </w:rPr>
              <w:t>二、声环境：项目所在厂区厂界外50米范围内声环境保护目标</w:t>
            </w:r>
            <w:r>
              <w:rPr>
                <w:rFonts w:hint="eastAsia" w:cs="Times New Roman"/>
                <w:bCs/>
                <w:color w:val="auto"/>
                <w:kern w:val="4"/>
                <w:sz w:val="24"/>
                <w:szCs w:val="24"/>
                <w:lang w:val="en-US" w:eastAsia="zh-CN" w:bidi="ar-SA"/>
              </w:rPr>
              <w:t>为</w:t>
            </w:r>
            <w:r>
              <w:rPr>
                <w:rFonts w:hint="eastAsia" w:cs="Times New Roman"/>
                <w:color w:val="auto"/>
                <w:sz w:val="24"/>
                <w:szCs w:val="24"/>
                <w:lang w:val="en-US" w:eastAsia="zh-CN"/>
              </w:rPr>
              <w:t>天源机床附件厂家属院、山东机械附件厂家属院</w:t>
            </w:r>
            <w:r>
              <w:rPr>
                <w:rFonts w:hint="default" w:ascii="Times New Roman" w:hAnsi="Times New Roman" w:eastAsia="宋体" w:cs="Times New Roman"/>
                <w:bCs/>
                <w:color w:val="auto"/>
                <w:kern w:val="4"/>
                <w:sz w:val="24"/>
                <w:szCs w:val="24"/>
                <w:lang w:val="en-US" w:eastAsia="zh-CN" w:bidi="ar-SA"/>
              </w:rPr>
              <w:t>。</w:t>
            </w:r>
          </w:p>
          <w:p w14:paraId="774ABB25">
            <w:pPr>
              <w:widowControl/>
              <w:adjustRightInd w:val="0"/>
              <w:snapToGrid w:val="0"/>
              <w:spacing w:line="360" w:lineRule="auto"/>
              <w:ind w:firstLine="480" w:firstLineChars="200"/>
              <w:jc w:val="left"/>
              <w:rPr>
                <w:rFonts w:hint="default" w:ascii="Times New Roman" w:hAnsi="Times New Roman" w:eastAsia="宋体" w:cs="Times New Roman"/>
                <w:bCs/>
                <w:color w:val="auto"/>
                <w:kern w:val="4"/>
                <w:sz w:val="24"/>
                <w:szCs w:val="24"/>
                <w:lang w:val="en-US" w:eastAsia="zh-CN" w:bidi="ar-SA"/>
              </w:rPr>
            </w:pPr>
            <w:r>
              <w:rPr>
                <w:rFonts w:hint="default" w:ascii="Times New Roman" w:hAnsi="Times New Roman" w:eastAsia="宋体" w:cs="Times New Roman"/>
                <w:bCs/>
                <w:color w:val="auto"/>
                <w:kern w:val="4"/>
                <w:sz w:val="24"/>
                <w:szCs w:val="24"/>
                <w:lang w:val="en-US" w:eastAsia="zh-CN" w:bidi="ar-SA"/>
              </w:rPr>
              <w:t>三、地下水环境：</w:t>
            </w:r>
            <w:r>
              <w:rPr>
                <w:rFonts w:hint="default" w:ascii="Times New Roman" w:hAnsi="Times New Roman" w:eastAsia="宋体" w:cs="Times New Roman"/>
                <w:b w:val="0"/>
                <w:bCs w:val="0"/>
                <w:color w:val="auto"/>
                <w:kern w:val="2"/>
                <w:sz w:val="24"/>
                <w:szCs w:val="24"/>
                <w:lang w:val="en-US" w:eastAsia="zh-CN" w:bidi="ar-SA"/>
              </w:rPr>
              <w:t>项目厂界外500米范围内无地下水集中式饮用水水源和热水、矿泉水、温泉等特殊地下水资源</w:t>
            </w:r>
            <w:r>
              <w:rPr>
                <w:rFonts w:hint="default" w:ascii="Times New Roman" w:hAnsi="Times New Roman" w:eastAsia="宋体" w:cs="Times New Roman"/>
                <w:bCs/>
                <w:color w:val="auto"/>
                <w:kern w:val="4"/>
                <w:sz w:val="24"/>
                <w:szCs w:val="24"/>
                <w:lang w:val="en-US" w:eastAsia="zh-CN" w:bidi="ar-SA"/>
              </w:rPr>
              <w:t>。</w:t>
            </w:r>
          </w:p>
          <w:p w14:paraId="53528325">
            <w:pPr>
              <w:widowControl/>
              <w:adjustRightInd w:val="0"/>
              <w:snapToGrid w:val="0"/>
              <w:spacing w:line="360" w:lineRule="auto"/>
              <w:ind w:firstLine="480" w:firstLineChars="200"/>
              <w:jc w:val="left"/>
              <w:rPr>
                <w:color w:val="auto"/>
                <w:sz w:val="24"/>
                <w:szCs w:val="24"/>
              </w:rPr>
            </w:pPr>
            <w:r>
              <w:rPr>
                <w:rFonts w:hint="default" w:ascii="Times New Roman" w:hAnsi="Times New Roman" w:eastAsia="宋体" w:cs="Times New Roman"/>
                <w:bCs/>
                <w:color w:val="auto"/>
                <w:kern w:val="4"/>
                <w:sz w:val="24"/>
                <w:szCs w:val="24"/>
                <w:lang w:val="en-US" w:eastAsia="zh-CN" w:bidi="ar-SA"/>
              </w:rPr>
              <w:t>本项目周围的环境保护目标见</w:t>
            </w:r>
            <w:r>
              <w:rPr>
                <w:rFonts w:hint="default" w:ascii="Times New Roman" w:hAnsi="Times New Roman" w:eastAsia="宋体" w:cs="Times New Roman"/>
                <w:b/>
                <w:bCs/>
                <w:color w:val="auto"/>
                <w:kern w:val="4"/>
                <w:sz w:val="24"/>
                <w:szCs w:val="24"/>
                <w:lang w:val="en-US" w:eastAsia="zh-CN" w:bidi="ar-SA"/>
              </w:rPr>
              <w:t>附图2</w:t>
            </w:r>
            <w:r>
              <w:rPr>
                <w:rFonts w:hint="default" w:ascii="Times New Roman" w:hAnsi="Times New Roman" w:eastAsia="宋体" w:cs="Times New Roman"/>
                <w:bCs/>
                <w:color w:val="auto"/>
                <w:kern w:val="4"/>
                <w:sz w:val="24"/>
                <w:szCs w:val="24"/>
                <w:lang w:val="en-US" w:eastAsia="zh-CN" w:bidi="ar-SA"/>
              </w:rPr>
              <w:t>。</w:t>
            </w:r>
          </w:p>
          <w:p w14:paraId="4DAD7DD0">
            <w:pPr>
              <w:keepNext w:val="0"/>
              <w:keepLines w:val="0"/>
              <w:pageBreakBefore w:val="0"/>
              <w:widowControl/>
              <w:kinsoku/>
              <w:wordWrap/>
              <w:overflowPunct/>
              <w:topLinePunct w:val="0"/>
              <w:autoSpaceDE/>
              <w:autoSpaceDN/>
              <w:bidi w:val="0"/>
              <w:adjustRightInd w:val="0"/>
              <w:snapToGrid w:val="0"/>
              <w:spacing w:line="240" w:lineRule="auto"/>
              <w:ind w:right="-340" w:firstLine="0" w:firstLineChars="0"/>
              <w:jc w:val="center"/>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表3-</w:t>
            </w:r>
            <w:r>
              <w:rPr>
                <w:rFonts w:hint="eastAsia" w:cs="Times New Roman"/>
                <w:b/>
                <w:bCs/>
                <w:color w:val="auto"/>
                <w:kern w:val="2"/>
                <w:sz w:val="24"/>
                <w:szCs w:val="24"/>
                <w:lang w:val="en-US" w:eastAsia="zh-CN" w:bidi="ar-SA"/>
              </w:rPr>
              <w:t>4</w:t>
            </w:r>
            <w:r>
              <w:rPr>
                <w:rFonts w:hint="eastAsia" w:ascii="Times New Roman" w:hAnsi="Times New Roman" w:eastAsia="宋体" w:cs="Times New Roman"/>
                <w:b/>
                <w:bCs/>
                <w:color w:val="auto"/>
                <w:kern w:val="2"/>
                <w:sz w:val="24"/>
                <w:szCs w:val="24"/>
                <w:lang w:val="en-US" w:eastAsia="zh-CN" w:bidi="ar-SA"/>
              </w:rPr>
              <w:t xml:space="preserve"> </w:t>
            </w:r>
            <w:r>
              <w:rPr>
                <w:rFonts w:hint="default" w:ascii="Times New Roman" w:hAnsi="Times New Roman" w:eastAsia="宋体" w:cs="Times New Roman"/>
                <w:b/>
                <w:bCs/>
                <w:color w:val="auto"/>
                <w:kern w:val="2"/>
                <w:sz w:val="24"/>
                <w:szCs w:val="24"/>
                <w:lang w:val="en-US" w:eastAsia="zh-CN" w:bidi="ar-SA"/>
              </w:rPr>
              <w:t>项目区周围</w:t>
            </w:r>
            <w:r>
              <w:rPr>
                <w:rFonts w:hint="eastAsia" w:ascii="Times New Roman" w:hAnsi="Times New Roman" w:eastAsia="宋体" w:cs="Times New Roman"/>
                <w:b/>
                <w:bCs/>
                <w:color w:val="auto"/>
                <w:kern w:val="2"/>
                <w:sz w:val="24"/>
                <w:szCs w:val="24"/>
                <w:lang w:val="en-US" w:eastAsia="zh-CN" w:bidi="ar-SA"/>
              </w:rPr>
              <w:t>大气环境</w:t>
            </w:r>
            <w:r>
              <w:rPr>
                <w:rFonts w:hint="default" w:ascii="Times New Roman" w:hAnsi="Times New Roman" w:eastAsia="宋体" w:cs="Times New Roman"/>
                <w:b/>
                <w:bCs/>
                <w:color w:val="auto"/>
                <w:kern w:val="2"/>
                <w:sz w:val="24"/>
                <w:szCs w:val="24"/>
                <w:lang w:val="en-US" w:eastAsia="zh-CN" w:bidi="ar-SA"/>
              </w:rPr>
              <w:t>主要保护目标一览表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822"/>
              <w:gridCol w:w="1259"/>
              <w:gridCol w:w="1127"/>
              <w:gridCol w:w="2457"/>
            </w:tblGrid>
            <w:tr w14:paraId="115956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 w:type="pct"/>
                  <w:tcBorders>
                    <w:tl2br w:val="nil"/>
                    <w:tr2bl w:val="nil"/>
                  </w:tcBorders>
                  <w:noWrap w:val="0"/>
                  <w:vAlign w:val="center"/>
                </w:tcPr>
                <w:p w14:paraId="78791DC6">
                  <w:pPr>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环境</w:t>
                  </w:r>
                  <w:r>
                    <w:rPr>
                      <w:rFonts w:ascii="Times New Roman" w:hAnsi="Times New Roman" w:eastAsia="宋体" w:cs="Times New Roman"/>
                      <w:b/>
                      <w:bCs/>
                      <w:color w:val="auto"/>
                      <w:sz w:val="21"/>
                      <w:szCs w:val="21"/>
                    </w:rPr>
                    <w:t>要素</w:t>
                  </w:r>
                </w:p>
              </w:tc>
              <w:tc>
                <w:tcPr>
                  <w:tcW w:w="1170" w:type="pct"/>
                  <w:tcBorders>
                    <w:tl2br w:val="nil"/>
                    <w:tr2bl w:val="nil"/>
                  </w:tcBorders>
                  <w:noWrap w:val="0"/>
                  <w:vAlign w:val="center"/>
                </w:tcPr>
                <w:p w14:paraId="423BF241">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环境保护目标名称</w:t>
                  </w:r>
                </w:p>
              </w:tc>
              <w:tc>
                <w:tcPr>
                  <w:tcW w:w="808" w:type="pct"/>
                  <w:tcBorders>
                    <w:tl2br w:val="nil"/>
                    <w:tr2bl w:val="nil"/>
                  </w:tcBorders>
                  <w:noWrap w:val="0"/>
                  <w:vAlign w:val="center"/>
                </w:tcPr>
                <w:p w14:paraId="3000DCCB">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相对厂界方位</w:t>
                  </w:r>
                </w:p>
              </w:tc>
              <w:tc>
                <w:tcPr>
                  <w:tcW w:w="724" w:type="pct"/>
                  <w:tcBorders>
                    <w:tl2br w:val="nil"/>
                    <w:tr2bl w:val="nil"/>
                  </w:tcBorders>
                  <w:noWrap w:val="0"/>
                  <w:vAlign w:val="center"/>
                </w:tcPr>
                <w:p w14:paraId="53812496">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相对厂界距离（m）</w:t>
                  </w:r>
                </w:p>
              </w:tc>
              <w:tc>
                <w:tcPr>
                  <w:tcW w:w="1578" w:type="pct"/>
                  <w:tcBorders>
                    <w:tl2br w:val="nil"/>
                    <w:tr2bl w:val="nil"/>
                  </w:tcBorders>
                  <w:noWrap w:val="0"/>
                  <w:vAlign w:val="center"/>
                </w:tcPr>
                <w:p w14:paraId="24BE4EAF">
                  <w:pPr>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保护级别</w:t>
                  </w:r>
                </w:p>
              </w:tc>
            </w:tr>
            <w:tr w14:paraId="65092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18" w:type="pct"/>
                  <w:vMerge w:val="restart"/>
                  <w:tcBorders>
                    <w:tl2br w:val="nil"/>
                    <w:tr2bl w:val="nil"/>
                  </w:tcBorders>
                  <w:noWrap w:val="0"/>
                  <w:vAlign w:val="center"/>
                </w:tcPr>
                <w:p w14:paraId="4320492C">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大气环境</w:t>
                  </w:r>
                </w:p>
              </w:tc>
              <w:tc>
                <w:tcPr>
                  <w:tcW w:w="1170" w:type="pct"/>
                  <w:tcBorders>
                    <w:tl2br w:val="nil"/>
                    <w:tr2bl w:val="nil"/>
                  </w:tcBorders>
                  <w:noWrap w:val="0"/>
                  <w:vAlign w:val="center"/>
                </w:tcPr>
                <w:p w14:paraId="42353FA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泉林村</w:t>
                  </w:r>
                </w:p>
              </w:tc>
              <w:tc>
                <w:tcPr>
                  <w:tcW w:w="808" w:type="pct"/>
                  <w:tcBorders>
                    <w:tl2br w:val="nil"/>
                    <w:tr2bl w:val="nil"/>
                  </w:tcBorders>
                  <w:noWrap w:val="0"/>
                  <w:vAlign w:val="center"/>
                </w:tcPr>
                <w:p w14:paraId="541D38E2">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N</w:t>
                  </w:r>
                </w:p>
              </w:tc>
              <w:tc>
                <w:tcPr>
                  <w:tcW w:w="724" w:type="pct"/>
                  <w:tcBorders>
                    <w:tl2br w:val="nil"/>
                    <w:tr2bl w:val="nil"/>
                  </w:tcBorders>
                  <w:noWrap w:val="0"/>
                  <w:vAlign w:val="center"/>
                </w:tcPr>
                <w:p w14:paraId="6A1828FC">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128</w:t>
                  </w:r>
                </w:p>
              </w:tc>
              <w:tc>
                <w:tcPr>
                  <w:tcW w:w="1578" w:type="pct"/>
                  <w:vMerge w:val="restart"/>
                  <w:tcBorders>
                    <w:tl2br w:val="nil"/>
                    <w:tr2bl w:val="nil"/>
                  </w:tcBorders>
                  <w:noWrap w:val="0"/>
                  <w:vAlign w:val="center"/>
                </w:tcPr>
                <w:p w14:paraId="5004B666">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《环境空气质量标准》（GB3095-2012）二级标准及修改单</w:t>
                  </w:r>
                </w:p>
              </w:tc>
            </w:tr>
            <w:tr w14:paraId="230522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18" w:type="pct"/>
                  <w:vMerge w:val="continue"/>
                  <w:tcBorders>
                    <w:tl2br w:val="nil"/>
                    <w:tr2bl w:val="nil"/>
                  </w:tcBorders>
                  <w:noWrap w:val="0"/>
                  <w:vAlign w:val="center"/>
                </w:tcPr>
                <w:p w14:paraId="4F6976DD">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04E9882F">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泉福新城</w:t>
                  </w:r>
                </w:p>
              </w:tc>
              <w:tc>
                <w:tcPr>
                  <w:tcW w:w="808" w:type="pct"/>
                  <w:tcBorders>
                    <w:tl2br w:val="nil"/>
                    <w:tr2bl w:val="nil"/>
                  </w:tcBorders>
                  <w:noWrap w:val="0"/>
                  <w:vAlign w:val="center"/>
                </w:tcPr>
                <w:p w14:paraId="7878C8F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NE</w:t>
                  </w:r>
                </w:p>
              </w:tc>
              <w:tc>
                <w:tcPr>
                  <w:tcW w:w="724" w:type="pct"/>
                  <w:tcBorders>
                    <w:tl2br w:val="nil"/>
                    <w:tr2bl w:val="nil"/>
                  </w:tcBorders>
                  <w:noWrap w:val="0"/>
                  <w:vAlign w:val="center"/>
                </w:tcPr>
                <w:p w14:paraId="1E6B07F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485</w:t>
                  </w:r>
                </w:p>
              </w:tc>
              <w:tc>
                <w:tcPr>
                  <w:tcW w:w="1578" w:type="pct"/>
                  <w:vMerge w:val="continue"/>
                  <w:tcBorders>
                    <w:tl2br w:val="nil"/>
                    <w:tr2bl w:val="nil"/>
                  </w:tcBorders>
                  <w:noWrap w:val="0"/>
                  <w:vAlign w:val="center"/>
                </w:tcPr>
                <w:p w14:paraId="6988103D">
                  <w:pPr>
                    <w:jc w:val="center"/>
                    <w:rPr>
                      <w:rFonts w:hint="eastAsia" w:ascii="Times New Roman" w:hAnsi="Times New Roman" w:eastAsia="宋体" w:cs="Times New Roman"/>
                      <w:color w:val="auto"/>
                      <w:sz w:val="21"/>
                      <w:szCs w:val="21"/>
                    </w:rPr>
                  </w:pPr>
                </w:p>
              </w:tc>
            </w:tr>
            <w:tr w14:paraId="2A595C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718" w:type="pct"/>
                  <w:vMerge w:val="continue"/>
                  <w:tcBorders>
                    <w:tl2br w:val="nil"/>
                    <w:tr2bl w:val="nil"/>
                  </w:tcBorders>
                  <w:noWrap w:val="0"/>
                  <w:vAlign w:val="center"/>
                </w:tcPr>
                <w:p w14:paraId="42A40087">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767B535F">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天源机床附件厂家属院</w:t>
                  </w:r>
                </w:p>
              </w:tc>
              <w:tc>
                <w:tcPr>
                  <w:tcW w:w="808" w:type="pct"/>
                  <w:tcBorders>
                    <w:tl2br w:val="nil"/>
                    <w:tr2bl w:val="nil"/>
                  </w:tcBorders>
                  <w:noWrap w:val="0"/>
                  <w:vAlign w:val="center"/>
                </w:tcPr>
                <w:p w14:paraId="0A0C5C29">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E</w:t>
                  </w:r>
                </w:p>
              </w:tc>
              <w:tc>
                <w:tcPr>
                  <w:tcW w:w="724" w:type="pct"/>
                  <w:tcBorders>
                    <w:tl2br w:val="nil"/>
                    <w:tr2bl w:val="nil"/>
                  </w:tcBorders>
                  <w:noWrap w:val="0"/>
                  <w:vAlign w:val="center"/>
                </w:tcPr>
                <w:p w14:paraId="2F27331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w:t>
                  </w:r>
                </w:p>
              </w:tc>
              <w:tc>
                <w:tcPr>
                  <w:tcW w:w="1578" w:type="pct"/>
                  <w:vMerge w:val="continue"/>
                  <w:tcBorders>
                    <w:tl2br w:val="nil"/>
                    <w:tr2bl w:val="nil"/>
                  </w:tcBorders>
                  <w:noWrap w:val="0"/>
                  <w:vAlign w:val="center"/>
                </w:tcPr>
                <w:p w14:paraId="422AB4C4">
                  <w:pPr>
                    <w:jc w:val="center"/>
                    <w:rPr>
                      <w:rFonts w:hint="eastAsia" w:ascii="Times New Roman" w:hAnsi="Times New Roman" w:eastAsia="宋体" w:cs="Times New Roman"/>
                      <w:color w:val="auto"/>
                      <w:sz w:val="21"/>
                      <w:szCs w:val="21"/>
                    </w:rPr>
                  </w:pPr>
                </w:p>
              </w:tc>
            </w:tr>
            <w:tr w14:paraId="4D3DF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 w:hRule="atLeast"/>
                <w:jc w:val="center"/>
              </w:trPr>
              <w:tc>
                <w:tcPr>
                  <w:tcW w:w="718" w:type="pct"/>
                  <w:vMerge w:val="continue"/>
                  <w:tcBorders>
                    <w:tl2br w:val="nil"/>
                    <w:tr2bl w:val="nil"/>
                  </w:tcBorders>
                  <w:noWrap w:val="0"/>
                  <w:vAlign w:val="center"/>
                </w:tcPr>
                <w:p w14:paraId="41ED4B94">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5AB8627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山东机械附件厂家属院</w:t>
                  </w:r>
                </w:p>
              </w:tc>
              <w:tc>
                <w:tcPr>
                  <w:tcW w:w="808" w:type="pct"/>
                  <w:tcBorders>
                    <w:tl2br w:val="nil"/>
                    <w:tr2bl w:val="nil"/>
                  </w:tcBorders>
                  <w:noWrap w:val="0"/>
                  <w:vAlign w:val="center"/>
                </w:tcPr>
                <w:p w14:paraId="6113532C">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w:t>
                  </w:r>
                </w:p>
              </w:tc>
              <w:tc>
                <w:tcPr>
                  <w:tcW w:w="724" w:type="pct"/>
                  <w:tcBorders>
                    <w:tl2br w:val="nil"/>
                    <w:tr2bl w:val="nil"/>
                  </w:tcBorders>
                  <w:noWrap w:val="0"/>
                  <w:vAlign w:val="center"/>
                </w:tcPr>
                <w:p w14:paraId="368AF419">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28</w:t>
                  </w:r>
                </w:p>
              </w:tc>
              <w:tc>
                <w:tcPr>
                  <w:tcW w:w="1578" w:type="pct"/>
                  <w:vMerge w:val="continue"/>
                  <w:tcBorders>
                    <w:tl2br w:val="nil"/>
                    <w:tr2bl w:val="nil"/>
                  </w:tcBorders>
                  <w:noWrap w:val="0"/>
                  <w:vAlign w:val="center"/>
                </w:tcPr>
                <w:p w14:paraId="489B895D">
                  <w:pPr>
                    <w:jc w:val="center"/>
                    <w:rPr>
                      <w:rFonts w:hint="eastAsia" w:ascii="Times New Roman" w:hAnsi="Times New Roman" w:eastAsia="宋体" w:cs="Times New Roman"/>
                      <w:color w:val="auto"/>
                      <w:sz w:val="21"/>
                      <w:szCs w:val="21"/>
                    </w:rPr>
                  </w:pPr>
                </w:p>
              </w:tc>
            </w:tr>
            <w:tr w14:paraId="32D1D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718" w:type="pct"/>
                  <w:vMerge w:val="continue"/>
                  <w:tcBorders>
                    <w:tl2br w:val="nil"/>
                    <w:tr2bl w:val="nil"/>
                  </w:tcBorders>
                  <w:noWrap w:val="0"/>
                  <w:vAlign w:val="center"/>
                </w:tcPr>
                <w:p w14:paraId="07B5321D">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36F9118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泉林村卫生院</w:t>
                  </w:r>
                </w:p>
              </w:tc>
              <w:tc>
                <w:tcPr>
                  <w:tcW w:w="808" w:type="pct"/>
                  <w:tcBorders>
                    <w:tl2br w:val="nil"/>
                    <w:tr2bl w:val="nil"/>
                  </w:tcBorders>
                  <w:noWrap w:val="0"/>
                  <w:vAlign w:val="center"/>
                </w:tcPr>
                <w:p w14:paraId="274AC5C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NW</w:t>
                  </w:r>
                </w:p>
              </w:tc>
              <w:tc>
                <w:tcPr>
                  <w:tcW w:w="724" w:type="pct"/>
                  <w:tcBorders>
                    <w:tl2br w:val="nil"/>
                    <w:tr2bl w:val="nil"/>
                  </w:tcBorders>
                  <w:noWrap w:val="0"/>
                  <w:vAlign w:val="center"/>
                </w:tcPr>
                <w:p w14:paraId="30FD8E32">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120</w:t>
                  </w:r>
                </w:p>
              </w:tc>
              <w:tc>
                <w:tcPr>
                  <w:tcW w:w="1578" w:type="pct"/>
                  <w:vMerge w:val="continue"/>
                  <w:tcBorders>
                    <w:tl2br w:val="nil"/>
                    <w:tr2bl w:val="nil"/>
                  </w:tcBorders>
                  <w:noWrap w:val="0"/>
                  <w:vAlign w:val="center"/>
                </w:tcPr>
                <w:p w14:paraId="6BDE8C54">
                  <w:pPr>
                    <w:jc w:val="center"/>
                    <w:rPr>
                      <w:rFonts w:hint="eastAsia" w:ascii="Times New Roman" w:hAnsi="Times New Roman" w:eastAsia="宋体" w:cs="Times New Roman"/>
                      <w:color w:val="auto"/>
                      <w:sz w:val="21"/>
                      <w:szCs w:val="21"/>
                    </w:rPr>
                  </w:pPr>
                </w:p>
              </w:tc>
            </w:tr>
            <w:tr w14:paraId="41C341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718" w:type="pct"/>
                  <w:vMerge w:val="continue"/>
                  <w:tcBorders>
                    <w:tl2br w:val="nil"/>
                    <w:tr2bl w:val="nil"/>
                  </w:tcBorders>
                  <w:noWrap w:val="0"/>
                  <w:vAlign w:val="center"/>
                </w:tcPr>
                <w:p w14:paraId="428F144D">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46F8C4B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泉林小学幼儿园</w:t>
                  </w:r>
                </w:p>
              </w:tc>
              <w:tc>
                <w:tcPr>
                  <w:tcW w:w="808" w:type="pct"/>
                  <w:tcBorders>
                    <w:tl2br w:val="nil"/>
                    <w:tr2bl w:val="nil"/>
                  </w:tcBorders>
                  <w:noWrap w:val="0"/>
                  <w:vAlign w:val="center"/>
                </w:tcPr>
                <w:p w14:paraId="6ACDDB27">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SW</w:t>
                  </w:r>
                </w:p>
              </w:tc>
              <w:tc>
                <w:tcPr>
                  <w:tcW w:w="724" w:type="pct"/>
                  <w:tcBorders>
                    <w:tl2br w:val="nil"/>
                    <w:tr2bl w:val="nil"/>
                  </w:tcBorders>
                  <w:noWrap w:val="0"/>
                  <w:vAlign w:val="center"/>
                </w:tcPr>
                <w:p w14:paraId="6C84D6E7">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241</w:t>
                  </w:r>
                </w:p>
              </w:tc>
              <w:tc>
                <w:tcPr>
                  <w:tcW w:w="1578" w:type="pct"/>
                  <w:vMerge w:val="continue"/>
                  <w:tcBorders>
                    <w:tl2br w:val="nil"/>
                    <w:tr2bl w:val="nil"/>
                  </w:tcBorders>
                  <w:noWrap w:val="0"/>
                  <w:vAlign w:val="center"/>
                </w:tcPr>
                <w:p w14:paraId="4212C146">
                  <w:pPr>
                    <w:jc w:val="center"/>
                    <w:rPr>
                      <w:rFonts w:hint="eastAsia" w:ascii="Times New Roman" w:hAnsi="Times New Roman" w:eastAsia="宋体" w:cs="Times New Roman"/>
                      <w:color w:val="auto"/>
                      <w:sz w:val="21"/>
                      <w:szCs w:val="21"/>
                    </w:rPr>
                  </w:pPr>
                </w:p>
              </w:tc>
            </w:tr>
            <w:tr w14:paraId="6A989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718" w:type="pct"/>
                  <w:vMerge w:val="continue"/>
                  <w:tcBorders>
                    <w:tl2br w:val="nil"/>
                    <w:tr2bl w:val="nil"/>
                  </w:tcBorders>
                  <w:noWrap w:val="0"/>
                  <w:vAlign w:val="center"/>
                </w:tcPr>
                <w:p w14:paraId="7CC6C989">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06EEFA3F">
                  <w:pPr>
                    <w:jc w:val="center"/>
                    <w:rPr>
                      <w:rFonts w:hint="default" w:cs="Times New Roman"/>
                      <w:color w:val="auto"/>
                      <w:sz w:val="21"/>
                      <w:szCs w:val="21"/>
                      <w:lang w:val="en-US" w:eastAsia="zh-CN"/>
                    </w:rPr>
                  </w:pPr>
                  <w:r>
                    <w:rPr>
                      <w:rFonts w:hint="eastAsia" w:cs="Times New Roman"/>
                      <w:color w:val="auto"/>
                      <w:sz w:val="21"/>
                      <w:szCs w:val="21"/>
                      <w:lang w:val="en-US" w:eastAsia="zh-CN"/>
                    </w:rPr>
                    <w:t>泉林小学教师公寓</w:t>
                  </w:r>
                </w:p>
              </w:tc>
              <w:tc>
                <w:tcPr>
                  <w:tcW w:w="808" w:type="pct"/>
                  <w:tcBorders>
                    <w:tl2br w:val="nil"/>
                    <w:tr2bl w:val="nil"/>
                  </w:tcBorders>
                  <w:noWrap w:val="0"/>
                  <w:vAlign w:val="center"/>
                </w:tcPr>
                <w:p w14:paraId="6C0469FB">
                  <w:pPr>
                    <w:jc w:val="center"/>
                    <w:rPr>
                      <w:rFonts w:hint="eastAsia" w:cs="Times New Roman"/>
                      <w:color w:val="auto"/>
                      <w:sz w:val="21"/>
                      <w:szCs w:val="21"/>
                      <w:lang w:val="en-US" w:eastAsia="zh-CN"/>
                    </w:rPr>
                  </w:pPr>
                  <w:r>
                    <w:rPr>
                      <w:rFonts w:hint="eastAsia" w:cs="Times New Roman"/>
                      <w:color w:val="auto"/>
                      <w:sz w:val="21"/>
                      <w:szCs w:val="21"/>
                      <w:lang w:val="en-US" w:eastAsia="zh-CN"/>
                    </w:rPr>
                    <w:t>SW</w:t>
                  </w:r>
                </w:p>
              </w:tc>
              <w:tc>
                <w:tcPr>
                  <w:tcW w:w="724" w:type="pct"/>
                  <w:tcBorders>
                    <w:tl2br w:val="nil"/>
                    <w:tr2bl w:val="nil"/>
                  </w:tcBorders>
                  <w:noWrap w:val="0"/>
                  <w:vAlign w:val="center"/>
                </w:tcPr>
                <w:p w14:paraId="5194220F">
                  <w:pPr>
                    <w:jc w:val="center"/>
                    <w:rPr>
                      <w:rFonts w:hint="default" w:cs="Times New Roman"/>
                      <w:color w:val="auto"/>
                      <w:sz w:val="21"/>
                      <w:szCs w:val="21"/>
                      <w:lang w:val="en-US" w:eastAsia="zh-CN"/>
                    </w:rPr>
                  </w:pPr>
                  <w:r>
                    <w:rPr>
                      <w:rFonts w:hint="eastAsia" w:cs="Times New Roman"/>
                      <w:color w:val="auto"/>
                      <w:sz w:val="21"/>
                      <w:szCs w:val="21"/>
                      <w:lang w:val="en-US" w:eastAsia="zh-CN"/>
                    </w:rPr>
                    <w:t>284</w:t>
                  </w:r>
                </w:p>
              </w:tc>
              <w:tc>
                <w:tcPr>
                  <w:tcW w:w="1578" w:type="pct"/>
                  <w:vMerge w:val="continue"/>
                  <w:tcBorders>
                    <w:tl2br w:val="nil"/>
                    <w:tr2bl w:val="nil"/>
                  </w:tcBorders>
                  <w:noWrap w:val="0"/>
                  <w:vAlign w:val="center"/>
                </w:tcPr>
                <w:p w14:paraId="018BFE70">
                  <w:pPr>
                    <w:jc w:val="center"/>
                    <w:rPr>
                      <w:rFonts w:hint="eastAsia" w:ascii="Times New Roman" w:hAnsi="Times New Roman" w:eastAsia="宋体" w:cs="Times New Roman"/>
                      <w:color w:val="auto"/>
                      <w:sz w:val="21"/>
                      <w:szCs w:val="21"/>
                    </w:rPr>
                  </w:pPr>
                </w:p>
              </w:tc>
            </w:tr>
            <w:tr w14:paraId="32138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718" w:type="pct"/>
                  <w:vMerge w:val="continue"/>
                  <w:tcBorders>
                    <w:tl2br w:val="nil"/>
                    <w:tr2bl w:val="nil"/>
                  </w:tcBorders>
                  <w:noWrap w:val="0"/>
                  <w:vAlign w:val="center"/>
                </w:tcPr>
                <w:p w14:paraId="665E79B9">
                  <w:pPr>
                    <w:jc w:val="center"/>
                    <w:rPr>
                      <w:rFonts w:hint="eastAsia" w:ascii="Times New Roman" w:hAnsi="Times New Roman" w:eastAsia="宋体" w:cs="Times New Roman"/>
                      <w:color w:val="auto"/>
                      <w:sz w:val="21"/>
                      <w:szCs w:val="21"/>
                    </w:rPr>
                  </w:pPr>
                </w:p>
              </w:tc>
              <w:tc>
                <w:tcPr>
                  <w:tcW w:w="1170" w:type="pct"/>
                  <w:tcBorders>
                    <w:tl2br w:val="nil"/>
                    <w:tr2bl w:val="nil"/>
                  </w:tcBorders>
                  <w:noWrap w:val="0"/>
                  <w:vAlign w:val="center"/>
                </w:tcPr>
                <w:p w14:paraId="41FD9548">
                  <w:pPr>
                    <w:jc w:val="center"/>
                    <w:rPr>
                      <w:rFonts w:hint="default" w:cs="Times New Roman"/>
                      <w:color w:val="auto"/>
                      <w:sz w:val="21"/>
                      <w:szCs w:val="21"/>
                      <w:lang w:val="en-US" w:eastAsia="zh-CN"/>
                    </w:rPr>
                  </w:pPr>
                  <w:r>
                    <w:rPr>
                      <w:rFonts w:hint="eastAsia" w:cs="Times New Roman"/>
                      <w:color w:val="auto"/>
                      <w:sz w:val="21"/>
                      <w:szCs w:val="21"/>
                      <w:lang w:val="en-US" w:eastAsia="zh-CN"/>
                    </w:rPr>
                    <w:t>潘坡村</w:t>
                  </w:r>
                </w:p>
              </w:tc>
              <w:tc>
                <w:tcPr>
                  <w:tcW w:w="808" w:type="pct"/>
                  <w:tcBorders>
                    <w:tl2br w:val="nil"/>
                    <w:tr2bl w:val="nil"/>
                  </w:tcBorders>
                  <w:noWrap w:val="0"/>
                  <w:vAlign w:val="center"/>
                </w:tcPr>
                <w:p w14:paraId="6F2B166A">
                  <w:pPr>
                    <w:jc w:val="center"/>
                    <w:rPr>
                      <w:rFonts w:hint="eastAsia" w:cs="Times New Roman"/>
                      <w:color w:val="auto"/>
                      <w:sz w:val="21"/>
                      <w:szCs w:val="21"/>
                      <w:lang w:val="en-US" w:eastAsia="zh-CN"/>
                    </w:rPr>
                  </w:pPr>
                  <w:r>
                    <w:rPr>
                      <w:rFonts w:hint="eastAsia" w:cs="Times New Roman"/>
                      <w:color w:val="auto"/>
                      <w:sz w:val="21"/>
                      <w:szCs w:val="21"/>
                      <w:lang w:val="en-US" w:eastAsia="zh-CN"/>
                    </w:rPr>
                    <w:t>SW</w:t>
                  </w:r>
                </w:p>
              </w:tc>
              <w:tc>
                <w:tcPr>
                  <w:tcW w:w="724" w:type="pct"/>
                  <w:tcBorders>
                    <w:tl2br w:val="nil"/>
                    <w:tr2bl w:val="nil"/>
                  </w:tcBorders>
                  <w:noWrap w:val="0"/>
                  <w:vAlign w:val="center"/>
                </w:tcPr>
                <w:p w14:paraId="179DD769">
                  <w:pPr>
                    <w:jc w:val="center"/>
                    <w:rPr>
                      <w:rFonts w:hint="default" w:cs="Times New Roman"/>
                      <w:color w:val="auto"/>
                      <w:sz w:val="21"/>
                      <w:szCs w:val="21"/>
                      <w:lang w:val="en-US" w:eastAsia="zh-CN"/>
                    </w:rPr>
                  </w:pPr>
                  <w:r>
                    <w:rPr>
                      <w:rFonts w:hint="eastAsia" w:cs="Times New Roman"/>
                      <w:color w:val="auto"/>
                      <w:sz w:val="21"/>
                      <w:szCs w:val="21"/>
                      <w:lang w:val="en-US" w:eastAsia="zh-CN"/>
                    </w:rPr>
                    <w:t>305</w:t>
                  </w:r>
                </w:p>
              </w:tc>
              <w:tc>
                <w:tcPr>
                  <w:tcW w:w="1578" w:type="pct"/>
                  <w:vMerge w:val="continue"/>
                  <w:tcBorders>
                    <w:tl2br w:val="nil"/>
                    <w:tr2bl w:val="nil"/>
                  </w:tcBorders>
                  <w:noWrap w:val="0"/>
                  <w:vAlign w:val="center"/>
                </w:tcPr>
                <w:p w14:paraId="43E26C9C">
                  <w:pPr>
                    <w:jc w:val="center"/>
                    <w:rPr>
                      <w:rFonts w:hint="eastAsia" w:ascii="Times New Roman" w:hAnsi="Times New Roman" w:eastAsia="宋体" w:cs="Times New Roman"/>
                      <w:color w:val="auto"/>
                      <w:sz w:val="21"/>
                      <w:szCs w:val="21"/>
                    </w:rPr>
                  </w:pPr>
                </w:p>
              </w:tc>
            </w:tr>
            <w:tr w14:paraId="42DF70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18" w:type="pct"/>
                  <w:vMerge w:val="restart"/>
                  <w:tcBorders>
                    <w:tl2br w:val="nil"/>
                    <w:tr2bl w:val="nil"/>
                  </w:tcBorders>
                  <w:noWrap w:val="0"/>
                  <w:vAlign w:val="center"/>
                </w:tcPr>
                <w:p w14:paraId="4C3D052D">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声环境</w:t>
                  </w:r>
                </w:p>
              </w:tc>
              <w:tc>
                <w:tcPr>
                  <w:tcW w:w="1822" w:type="dxa"/>
                  <w:tcBorders>
                    <w:tl2br w:val="nil"/>
                    <w:tr2bl w:val="nil"/>
                  </w:tcBorders>
                  <w:noWrap w:val="0"/>
                  <w:vAlign w:val="center"/>
                </w:tcPr>
                <w:p w14:paraId="244CF489">
                  <w:pPr>
                    <w:jc w:val="center"/>
                    <w:rPr>
                      <w:rFonts w:ascii="Times New Roman" w:hAnsi="Times New Roman" w:eastAsia="宋体" w:cs="Times New Roman"/>
                      <w:color w:val="auto"/>
                      <w:sz w:val="21"/>
                      <w:szCs w:val="21"/>
                    </w:rPr>
                  </w:pPr>
                  <w:r>
                    <w:rPr>
                      <w:rFonts w:hint="eastAsia" w:cs="Times New Roman"/>
                      <w:color w:val="auto"/>
                      <w:sz w:val="21"/>
                      <w:szCs w:val="21"/>
                      <w:lang w:val="en-US" w:eastAsia="zh-CN"/>
                    </w:rPr>
                    <w:t>天源机床附件厂家属院</w:t>
                  </w:r>
                </w:p>
              </w:tc>
              <w:tc>
                <w:tcPr>
                  <w:tcW w:w="1259" w:type="dxa"/>
                  <w:tcBorders>
                    <w:tl2br w:val="nil"/>
                    <w:tr2bl w:val="nil"/>
                  </w:tcBorders>
                  <w:noWrap w:val="0"/>
                  <w:vAlign w:val="center"/>
                </w:tcPr>
                <w:p w14:paraId="6B8C3A79">
                  <w:pPr>
                    <w:jc w:val="center"/>
                    <w:rPr>
                      <w:rFonts w:hint="eastAsia" w:ascii="Times New Roman" w:hAnsi="Times New Roman" w:eastAsia="宋体" w:cs="Times New Roman"/>
                      <w:color w:val="auto"/>
                      <w:sz w:val="21"/>
                      <w:szCs w:val="21"/>
                    </w:rPr>
                  </w:pPr>
                  <w:r>
                    <w:rPr>
                      <w:rFonts w:hint="eastAsia" w:cs="Times New Roman"/>
                      <w:color w:val="auto"/>
                      <w:sz w:val="21"/>
                      <w:szCs w:val="21"/>
                      <w:lang w:val="en-US" w:eastAsia="zh-CN"/>
                    </w:rPr>
                    <w:t>E</w:t>
                  </w:r>
                </w:p>
              </w:tc>
              <w:tc>
                <w:tcPr>
                  <w:tcW w:w="1127" w:type="dxa"/>
                  <w:tcBorders>
                    <w:tl2br w:val="nil"/>
                    <w:tr2bl w:val="nil"/>
                  </w:tcBorders>
                  <w:noWrap w:val="0"/>
                  <w:vAlign w:val="center"/>
                </w:tcPr>
                <w:p w14:paraId="26DDEA5B">
                  <w:pPr>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12</w:t>
                  </w:r>
                </w:p>
              </w:tc>
              <w:tc>
                <w:tcPr>
                  <w:tcW w:w="1578" w:type="pct"/>
                  <w:vMerge w:val="restart"/>
                  <w:tcBorders>
                    <w:tl2br w:val="nil"/>
                    <w:tr2bl w:val="nil"/>
                  </w:tcBorders>
                  <w:noWrap w:val="0"/>
                  <w:vAlign w:val="center"/>
                </w:tcPr>
                <w:p w14:paraId="1811E28A">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《声环境质量标准》（GB3096-2008）</w:t>
                  </w:r>
                  <w:r>
                    <w:rPr>
                      <w:rFonts w:hint="eastAsia" w:cs="Times New Roman"/>
                      <w:color w:val="auto"/>
                      <w:sz w:val="21"/>
                      <w:szCs w:val="21"/>
                      <w:lang w:eastAsia="zh-CN"/>
                    </w:rPr>
                    <w:t>2类</w:t>
                  </w:r>
                  <w:r>
                    <w:rPr>
                      <w:rFonts w:hint="eastAsia" w:ascii="Times New Roman" w:hAnsi="Times New Roman" w:eastAsia="宋体" w:cs="Times New Roman"/>
                      <w:color w:val="auto"/>
                      <w:sz w:val="21"/>
                      <w:szCs w:val="21"/>
                    </w:rPr>
                    <w:t>标准</w:t>
                  </w:r>
                </w:p>
              </w:tc>
            </w:tr>
            <w:tr w14:paraId="361D29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718" w:type="pct"/>
                  <w:vMerge w:val="continue"/>
                  <w:tcBorders>
                    <w:tl2br w:val="nil"/>
                    <w:tr2bl w:val="nil"/>
                  </w:tcBorders>
                  <w:noWrap w:val="0"/>
                  <w:vAlign w:val="center"/>
                </w:tcPr>
                <w:p w14:paraId="295D194B">
                  <w:pPr>
                    <w:jc w:val="center"/>
                    <w:rPr>
                      <w:rFonts w:hint="eastAsia" w:ascii="Times New Roman" w:hAnsi="Times New Roman" w:eastAsia="宋体" w:cs="Times New Roman"/>
                      <w:color w:val="auto"/>
                      <w:sz w:val="21"/>
                      <w:szCs w:val="21"/>
                    </w:rPr>
                  </w:pPr>
                </w:p>
              </w:tc>
              <w:tc>
                <w:tcPr>
                  <w:tcW w:w="1822" w:type="dxa"/>
                  <w:tcBorders>
                    <w:tl2br w:val="nil"/>
                    <w:tr2bl w:val="nil"/>
                  </w:tcBorders>
                  <w:noWrap w:val="0"/>
                  <w:vAlign w:val="center"/>
                </w:tcPr>
                <w:p w14:paraId="2F25A7E9">
                  <w:pPr>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山东机械附件厂家属院</w:t>
                  </w:r>
                </w:p>
              </w:tc>
              <w:tc>
                <w:tcPr>
                  <w:tcW w:w="1259" w:type="dxa"/>
                  <w:tcBorders>
                    <w:tl2br w:val="nil"/>
                    <w:tr2bl w:val="nil"/>
                  </w:tcBorders>
                  <w:noWrap w:val="0"/>
                  <w:vAlign w:val="center"/>
                </w:tcPr>
                <w:p w14:paraId="712CAEC3">
                  <w:pPr>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w:t>
                  </w:r>
                </w:p>
              </w:tc>
              <w:tc>
                <w:tcPr>
                  <w:tcW w:w="1127" w:type="dxa"/>
                  <w:tcBorders>
                    <w:tl2br w:val="nil"/>
                    <w:tr2bl w:val="nil"/>
                  </w:tcBorders>
                  <w:noWrap w:val="0"/>
                  <w:vAlign w:val="center"/>
                </w:tcPr>
                <w:p w14:paraId="00553E57">
                  <w:pPr>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28</w:t>
                  </w:r>
                </w:p>
              </w:tc>
              <w:tc>
                <w:tcPr>
                  <w:tcW w:w="1578" w:type="pct"/>
                  <w:vMerge w:val="continue"/>
                  <w:tcBorders>
                    <w:tl2br w:val="nil"/>
                    <w:tr2bl w:val="nil"/>
                  </w:tcBorders>
                  <w:noWrap w:val="0"/>
                  <w:vAlign w:val="center"/>
                </w:tcPr>
                <w:p w14:paraId="2B84F886">
                  <w:pPr>
                    <w:jc w:val="center"/>
                    <w:rPr>
                      <w:rFonts w:hint="eastAsia" w:ascii="Times New Roman" w:hAnsi="Times New Roman" w:eastAsia="宋体" w:cs="Times New Roman"/>
                      <w:color w:val="auto"/>
                      <w:sz w:val="21"/>
                      <w:szCs w:val="21"/>
                    </w:rPr>
                  </w:pPr>
                </w:p>
              </w:tc>
            </w:tr>
            <w:tr w14:paraId="472920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 w:type="pct"/>
                  <w:tcBorders>
                    <w:tl2br w:val="nil"/>
                    <w:tr2bl w:val="nil"/>
                  </w:tcBorders>
                  <w:noWrap w:val="0"/>
                  <w:vAlign w:val="center"/>
                </w:tcPr>
                <w:p w14:paraId="2D3368CF">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地下水环境</w:t>
                  </w:r>
                </w:p>
              </w:tc>
              <w:tc>
                <w:tcPr>
                  <w:tcW w:w="1979" w:type="pct"/>
                  <w:gridSpan w:val="2"/>
                  <w:tcBorders>
                    <w:tl2br w:val="nil"/>
                    <w:tr2bl w:val="nil"/>
                  </w:tcBorders>
                  <w:noWrap w:val="0"/>
                  <w:vAlign w:val="center"/>
                </w:tcPr>
                <w:p w14:paraId="74B2A426">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w:t>
                  </w:r>
                  <w:r>
                    <w:rPr>
                      <w:rFonts w:hint="eastAsia" w:ascii="Times New Roman" w:hAnsi="Times New Roman" w:eastAsia="宋体" w:cs="Times New Roman"/>
                      <w:color w:val="auto"/>
                      <w:sz w:val="21"/>
                      <w:szCs w:val="21"/>
                    </w:rPr>
                    <w:t>厂界外500米范围内无地下水集中式饮用水水源和热水、矿泉水、温泉等特殊地下水资源</w:t>
                  </w:r>
                </w:p>
              </w:tc>
              <w:tc>
                <w:tcPr>
                  <w:tcW w:w="2302" w:type="pct"/>
                  <w:gridSpan w:val="2"/>
                  <w:tcBorders>
                    <w:tl2br w:val="nil"/>
                    <w:tr2bl w:val="nil"/>
                  </w:tcBorders>
                  <w:noWrap w:val="0"/>
                  <w:vAlign w:val="center"/>
                </w:tcPr>
                <w:p w14:paraId="42B62094">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《地下水质量标准》（GB/T14848-20</w:t>
                  </w:r>
                  <w:r>
                    <w:rPr>
                      <w:rFonts w:ascii="Times New Roman" w:hAnsi="Times New Roman" w:eastAsia="宋体" w:cs="Times New Roman"/>
                      <w:color w:val="auto"/>
                      <w:sz w:val="21"/>
                      <w:szCs w:val="21"/>
                    </w:rPr>
                    <w:t>17）Ⅲ类</w:t>
                  </w:r>
                  <w:r>
                    <w:rPr>
                      <w:rFonts w:hint="eastAsia" w:ascii="Times New Roman" w:hAnsi="Times New Roman" w:eastAsia="宋体" w:cs="Times New Roman"/>
                      <w:color w:val="auto"/>
                      <w:sz w:val="21"/>
                      <w:szCs w:val="21"/>
                    </w:rPr>
                    <w:t>标准</w:t>
                  </w:r>
                </w:p>
              </w:tc>
            </w:tr>
          </w:tbl>
          <w:p w14:paraId="293D52D0">
            <w:pPr>
              <w:widowControl/>
              <w:adjustRightInd w:val="0"/>
              <w:snapToGrid w:val="0"/>
              <w:spacing w:line="360" w:lineRule="auto"/>
              <w:ind w:firstLine="420" w:firstLineChars="200"/>
              <w:jc w:val="left"/>
              <w:rPr>
                <w:rFonts w:hint="default"/>
                <w:color w:val="auto"/>
              </w:rPr>
            </w:pPr>
          </w:p>
        </w:tc>
      </w:tr>
      <w:tr w14:paraId="28D47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6" w:type="dxa"/>
            <w:noWrap w:val="0"/>
            <w:vAlign w:val="center"/>
          </w:tcPr>
          <w:p w14:paraId="4DAD482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w:t>
            </w:r>
          </w:p>
          <w:p w14:paraId="6AEF106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物排</w:t>
            </w:r>
          </w:p>
          <w:p w14:paraId="6898485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放标</w:t>
            </w:r>
          </w:p>
          <w:p w14:paraId="78D60D3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准</w:t>
            </w:r>
          </w:p>
        </w:tc>
        <w:tc>
          <w:tcPr>
            <w:tcW w:w="8032" w:type="dxa"/>
            <w:shd w:val="clear" w:color="auto" w:fill="auto"/>
            <w:noWrap w:val="0"/>
            <w:vAlign w:val="top"/>
          </w:tcPr>
          <w:p w14:paraId="357A8147">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一、</w:t>
            </w:r>
            <w:r>
              <w:rPr>
                <w:rFonts w:hint="default" w:ascii="Times New Roman" w:hAnsi="Times New Roman" w:eastAsia="宋体" w:cs="Times New Roman"/>
                <w:b/>
                <w:bCs/>
                <w:color w:val="auto"/>
                <w:sz w:val="24"/>
                <w:szCs w:val="24"/>
                <w:highlight w:val="none"/>
                <w:lang w:val="en-US" w:eastAsia="zh-CN"/>
              </w:rPr>
              <w:t>废水</w:t>
            </w:r>
          </w:p>
          <w:p w14:paraId="3943D0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cs="Times New Roman"/>
                <w:color w:val="auto"/>
                <w:sz w:val="24"/>
                <w:szCs w:val="24"/>
                <w:highlight w:val="none"/>
                <w:lang w:val="en-US" w:eastAsia="zh-CN"/>
              </w:rPr>
              <w:t>项目无生产废水产生，</w:t>
            </w:r>
            <w:r>
              <w:rPr>
                <w:rFonts w:hint="eastAsia" w:hAnsi="Times New Roman" w:cs="Times New Roman"/>
                <w:color w:val="auto"/>
                <w:kern w:val="0"/>
                <w:sz w:val="24"/>
                <w:szCs w:val="24"/>
                <w:highlight w:val="none"/>
                <w:lang w:val="en-US" w:eastAsia="zh-CN" w:bidi="ar"/>
              </w:rPr>
              <w:t>生活废水</w:t>
            </w:r>
            <w:r>
              <w:rPr>
                <w:rFonts w:hint="eastAsia" w:cs="Times New Roman"/>
                <w:color w:val="auto"/>
                <w:kern w:val="0"/>
                <w:sz w:val="24"/>
                <w:szCs w:val="24"/>
                <w:highlight w:val="none"/>
                <w:lang w:val="en-US" w:eastAsia="zh-CN" w:bidi="ar"/>
              </w:rPr>
              <w:t>委托环卫部门定期清运，不外排</w:t>
            </w:r>
            <w:r>
              <w:rPr>
                <w:rFonts w:hint="default" w:ascii="Times New Roman" w:hAnsi="Times New Roman" w:eastAsia="宋体" w:cs="Times New Roman"/>
                <w:color w:val="auto"/>
                <w:sz w:val="24"/>
                <w:szCs w:val="24"/>
              </w:rPr>
              <w:t>。</w:t>
            </w:r>
          </w:p>
          <w:p w14:paraId="7C66779F">
            <w:pPr>
              <w:keepNext w:val="0"/>
              <w:keepLines w:val="0"/>
              <w:pageBreakBefore w:val="0"/>
              <w:widowControl/>
              <w:numPr>
                <w:ilvl w:val="0"/>
                <w:numId w:val="0"/>
              </w:numPr>
              <w:tabs>
                <w:tab w:val="left" w:pos="6301"/>
              </w:tabs>
              <w:kinsoku/>
              <w:wordWrap/>
              <w:overflowPunct/>
              <w:topLinePunct w:val="0"/>
              <w:autoSpaceDE/>
              <w:autoSpaceDN/>
              <w:bidi w:val="0"/>
              <w:adjustRightInd w:val="0"/>
              <w:snapToGrid w:val="0"/>
              <w:spacing w:before="157" w:beforeLines="50" w:line="360" w:lineRule="auto"/>
              <w:ind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二、</w:t>
            </w:r>
            <w:r>
              <w:rPr>
                <w:rFonts w:hint="default" w:ascii="Times New Roman" w:hAnsi="Times New Roman" w:eastAsia="宋体" w:cs="Times New Roman"/>
                <w:b/>
                <w:bCs/>
                <w:color w:val="auto"/>
                <w:sz w:val="24"/>
                <w:szCs w:val="24"/>
                <w:highlight w:val="none"/>
                <w:lang w:val="en-US" w:eastAsia="zh-CN"/>
              </w:rPr>
              <w:t>废气</w:t>
            </w:r>
          </w:p>
          <w:p w14:paraId="4F9A6627">
            <w:pPr>
              <w:pStyle w:val="19"/>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cs="Times New Roman"/>
                <w:b w:val="0"/>
                <w:bCs w:val="0"/>
                <w:color w:val="auto"/>
                <w:kern w:val="2"/>
                <w:sz w:val="24"/>
                <w:szCs w:val="24"/>
                <w:highlight w:val="none"/>
                <w:lang w:val="en-US" w:eastAsia="zh-CN" w:bidi="ar-SA"/>
              </w:rPr>
              <w:t xml:space="preserve">   项目有组织颗粒物排放执行《区域性大气污染物综合排放标准》（DB37/2376-2019）表1一般控制区要求，排放速率参照执行《大气污染物综合排放标准》（GB16297-1996）表2二级标准要求；</w:t>
            </w:r>
            <w:r>
              <w:rPr>
                <w:rFonts w:hint="eastAsia" w:ascii="Times New Roman" w:hAnsi="Times New Roman" w:eastAsia="宋体" w:cs="Times New Roman"/>
                <w:b w:val="0"/>
                <w:bCs w:val="0"/>
                <w:color w:val="auto"/>
                <w:kern w:val="2"/>
                <w:sz w:val="24"/>
                <w:szCs w:val="24"/>
                <w:highlight w:val="none"/>
                <w:lang w:val="en-US" w:eastAsia="zh-CN" w:bidi="ar-SA"/>
              </w:rPr>
              <w:t>项目有组织</w:t>
            </w:r>
            <w:r>
              <w:rPr>
                <w:rFonts w:hint="default" w:ascii="Times New Roman" w:hAnsi="Times New Roman" w:eastAsia="宋体" w:cs="Times New Roman"/>
                <w:b w:val="0"/>
                <w:bCs w:val="0"/>
                <w:color w:val="auto"/>
                <w:kern w:val="2"/>
                <w:sz w:val="24"/>
                <w:szCs w:val="24"/>
                <w:highlight w:val="none"/>
                <w:lang w:val="en-US" w:eastAsia="zh-CN" w:bidi="ar-SA"/>
              </w:rPr>
              <w:t>VOCs排放</w:t>
            </w:r>
            <w:r>
              <w:rPr>
                <w:rFonts w:hint="eastAsia" w:ascii="Times New Roman" w:hAnsi="Times New Roman" w:eastAsia="宋体" w:cs="Times New Roman"/>
                <w:b w:val="0"/>
                <w:bCs w:val="0"/>
                <w:color w:val="auto"/>
                <w:kern w:val="2"/>
                <w:sz w:val="24"/>
                <w:szCs w:val="24"/>
                <w:highlight w:val="none"/>
                <w:lang w:val="en-US" w:eastAsia="zh-CN" w:bidi="ar-SA"/>
              </w:rPr>
              <w:t>执行</w:t>
            </w:r>
            <w:r>
              <w:rPr>
                <w:rFonts w:hint="default" w:ascii="Times New Roman" w:hAnsi="Times New Roman" w:eastAsia="宋体" w:cs="Times New Roman"/>
                <w:b w:val="0"/>
                <w:bCs w:val="0"/>
                <w:color w:val="auto"/>
                <w:kern w:val="2"/>
                <w:sz w:val="24"/>
                <w:szCs w:val="24"/>
                <w:highlight w:val="none"/>
                <w:lang w:val="en-US" w:eastAsia="zh-CN" w:bidi="ar-SA"/>
              </w:rPr>
              <w:t>《挥发性有机物排放标准 第6部分</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有机化工行业》（DB37/ 2801.6-2018）表1II时段标准要求</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其他行业</w:t>
            </w:r>
            <w:r>
              <w:rPr>
                <w:rFonts w:hint="eastAsia" w:ascii="Times New Roman" w:hAnsi="Times New Roman" w:eastAsia="宋体" w:cs="Times New Roman"/>
                <w:b w:val="0"/>
                <w:bCs w:val="0"/>
                <w:color w:val="auto"/>
                <w:kern w:val="2"/>
                <w:sz w:val="24"/>
                <w:szCs w:val="24"/>
                <w:highlight w:val="none"/>
                <w:lang w:val="en-US" w:eastAsia="zh-CN" w:bidi="ar-SA"/>
              </w:rPr>
              <w:t>）；有组织</w:t>
            </w:r>
            <w:r>
              <w:rPr>
                <w:rFonts w:hint="default" w:ascii="Times New Roman" w:hAnsi="Times New Roman" w:eastAsia="宋体" w:cs="Times New Roman"/>
                <w:b w:val="0"/>
                <w:bCs w:val="0"/>
                <w:color w:val="auto"/>
                <w:kern w:val="2"/>
                <w:sz w:val="24"/>
                <w:szCs w:val="24"/>
                <w:highlight w:val="none"/>
                <w:lang w:val="en-US" w:eastAsia="zh-CN" w:bidi="ar-SA"/>
              </w:rPr>
              <w:t>臭气浓度</w:t>
            </w:r>
            <w:r>
              <w:rPr>
                <w:rFonts w:hint="eastAsia" w:ascii="Times New Roman" w:hAnsi="Times New Roman" w:eastAsia="宋体" w:cs="Times New Roman"/>
                <w:b w:val="0"/>
                <w:bCs w:val="0"/>
                <w:color w:val="auto"/>
                <w:kern w:val="2"/>
                <w:sz w:val="24"/>
                <w:szCs w:val="24"/>
                <w:highlight w:val="none"/>
                <w:lang w:val="en-US" w:eastAsia="zh-CN" w:bidi="ar-SA"/>
              </w:rPr>
              <w:t>排放</w:t>
            </w:r>
            <w:r>
              <w:rPr>
                <w:rFonts w:hint="default" w:ascii="Times New Roman" w:hAnsi="Times New Roman" w:eastAsia="宋体" w:cs="Times New Roman"/>
                <w:b w:val="0"/>
                <w:bCs w:val="0"/>
                <w:color w:val="auto"/>
                <w:kern w:val="2"/>
                <w:sz w:val="24"/>
                <w:szCs w:val="24"/>
                <w:highlight w:val="none"/>
                <w:lang w:val="en-US" w:eastAsia="zh-CN" w:bidi="ar-SA"/>
              </w:rPr>
              <w:t>执行《恶臭污染物排放标准》</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GB 14554-93</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表</w:t>
            </w:r>
            <w:r>
              <w:rPr>
                <w:rFonts w:hint="eastAsia" w:ascii="Times New Roman" w:hAnsi="Times New Roman" w:eastAsia="宋体" w:cs="Times New Roman"/>
                <w:b w:val="0"/>
                <w:bCs w:val="0"/>
                <w:color w:val="auto"/>
                <w:kern w:val="2"/>
                <w:sz w:val="24"/>
                <w:szCs w:val="24"/>
                <w:highlight w:val="none"/>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标准</w:t>
            </w:r>
            <w:r>
              <w:rPr>
                <w:rFonts w:hint="eastAsia" w:ascii="Times New Roman" w:hAnsi="Times New Roman" w:eastAsia="宋体" w:cs="Times New Roman"/>
                <w:b w:val="0"/>
                <w:bCs w:val="0"/>
                <w:color w:val="auto"/>
                <w:kern w:val="2"/>
                <w:sz w:val="24"/>
                <w:szCs w:val="24"/>
                <w:highlight w:val="none"/>
                <w:lang w:val="en-US" w:eastAsia="zh-CN" w:bidi="ar-SA"/>
              </w:rPr>
              <w:t>。</w:t>
            </w:r>
          </w:p>
          <w:p w14:paraId="3AE271F6">
            <w:pPr>
              <w:widowControl/>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kern w:val="2"/>
                <w:sz w:val="24"/>
                <w:szCs w:val="24"/>
                <w:highlight w:val="none"/>
                <w:lang w:val="en-US" w:eastAsia="zh-CN" w:bidi="ar-SA"/>
              </w:rPr>
              <w:t>无组织颗粒物厂界浓度执行《大气污染物综合排放标准》</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GB16297-1996</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表2厂界无组织排放监控浓度限值要求</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无组织VOCs厂界浓度执行《挥发性有机物排放标准第 6部分：有机化工行业》</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DB37/2801.6-2018</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表3的要求</w:t>
            </w:r>
            <w:r>
              <w:rPr>
                <w:rFonts w:hint="eastAsia" w:cs="Times New Roman"/>
                <w:b w:val="0"/>
                <w:bCs w:val="0"/>
                <w:color w:val="auto"/>
                <w:sz w:val="24"/>
                <w:szCs w:val="24"/>
                <w:highlight w:val="none"/>
                <w:lang w:val="en-US" w:eastAsia="zh-CN"/>
              </w:rPr>
              <w:t>；</w:t>
            </w:r>
            <w:r>
              <w:rPr>
                <w:rFonts w:hint="eastAsia"/>
                <w:color w:val="auto"/>
                <w:sz w:val="24"/>
                <w:szCs w:val="24"/>
                <w:lang w:val="en-US" w:eastAsia="zh-CN"/>
              </w:rPr>
              <w:t>无组织</w:t>
            </w:r>
            <w:r>
              <w:rPr>
                <w:rFonts w:hint="default" w:ascii="Times New Roman" w:hAnsi="Times New Roman" w:eastAsia="宋体" w:cs="Times New Roman"/>
                <w:b w:val="0"/>
                <w:bCs w:val="0"/>
                <w:color w:val="auto"/>
                <w:sz w:val="24"/>
                <w:szCs w:val="24"/>
                <w:highlight w:val="none"/>
                <w:lang w:val="en-US" w:eastAsia="zh-CN"/>
              </w:rPr>
              <w:t>臭气浓度执行</w:t>
            </w:r>
            <w:r>
              <w:rPr>
                <w:rFonts w:hint="eastAsia" w:cs="Times New Roman"/>
                <w:color w:val="auto"/>
                <w:sz w:val="24"/>
                <w:szCs w:val="24"/>
                <w:highlight w:val="none"/>
                <w:lang w:val="en-US" w:eastAsia="zh-CN"/>
              </w:rPr>
              <w:t>《恶臭污染物排放标准》（GB14554-93）表1标准</w:t>
            </w:r>
            <w:r>
              <w:rPr>
                <w:rFonts w:hint="default" w:ascii="Times New Roman" w:hAnsi="Times New Roman" w:eastAsia="宋体" w:cs="Times New Roman"/>
                <w:color w:val="auto"/>
                <w:sz w:val="24"/>
                <w:szCs w:val="24"/>
                <w:highlight w:val="none"/>
                <w:lang w:val="en-US" w:eastAsia="zh-CN"/>
              </w:rPr>
              <w:t>要求</w:t>
            </w:r>
            <w:r>
              <w:rPr>
                <w:rFonts w:hint="default" w:ascii="Times New Roman" w:hAnsi="Times New Roman" w:eastAsia="宋体" w:cs="Times New Roman"/>
                <w:b w:val="0"/>
                <w:bCs w:val="0"/>
                <w:color w:val="auto"/>
                <w:sz w:val="24"/>
                <w:szCs w:val="24"/>
                <w:highlight w:val="none"/>
                <w:lang w:val="en-US" w:eastAsia="zh-CN"/>
              </w:rPr>
              <w:t xml:space="preserve">。车间外厂区内VOCs浓度执行《挥发性有机物无组织排放控制标准》 </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GB37822-2019</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表A.1特别排放限值要求。</w:t>
            </w:r>
          </w:p>
          <w:p w14:paraId="5C7207A7">
            <w:pPr>
              <w:pStyle w:val="73"/>
              <w:spacing w:before="156" w:line="240" w:lineRule="auto"/>
              <w:jc w:val="center"/>
              <w:rPr>
                <w:rFonts w:hint="default" w:ascii="Times New Roman" w:hAnsi="Times New Roman" w:eastAsia="宋体" w:cs="Times New Roman"/>
                <w:b/>
                <w:bCs/>
                <w:color w:val="auto"/>
                <w:spacing w:val="0"/>
                <w:sz w:val="24"/>
                <w:szCs w:val="24"/>
                <w:highlight w:val="none"/>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eastAsia="zh-CN"/>
              </w:rPr>
              <w:t>3-</w:t>
            </w:r>
            <w:r>
              <w:rPr>
                <w:rFonts w:hint="eastAsia" w:ascii="Times New Roman" w:hAnsi="Times New Roman" w:eastAsia="宋体" w:cs="Times New Roman"/>
                <w:b/>
                <w:bCs/>
                <w:color w:val="auto"/>
                <w:spacing w:val="0"/>
                <w:sz w:val="24"/>
                <w:szCs w:val="24"/>
                <w:highlight w:val="none"/>
                <w:lang w:val="en-US" w:eastAsia="zh-CN"/>
              </w:rPr>
              <w:t>5</w:t>
            </w:r>
            <w:r>
              <w:rPr>
                <w:rFonts w:hint="default" w:ascii="Times New Roman" w:hAnsi="Times New Roman" w:eastAsia="宋体" w:cs="Times New Roman"/>
                <w:b/>
                <w:bCs/>
                <w:color w:val="auto"/>
                <w:spacing w:val="0"/>
                <w:sz w:val="24"/>
                <w:szCs w:val="24"/>
                <w:highlight w:val="none"/>
              </w:rPr>
              <w:t xml:space="preserve">  </w:t>
            </w:r>
            <w:r>
              <w:rPr>
                <w:rFonts w:hint="default" w:ascii="Times New Roman" w:hAnsi="Times New Roman" w:eastAsia="宋体" w:cs="Times New Roman"/>
                <w:b/>
                <w:bCs/>
                <w:color w:val="auto"/>
                <w:spacing w:val="0"/>
                <w:sz w:val="24"/>
                <w:szCs w:val="24"/>
                <w:highlight w:val="none"/>
                <w:lang w:val="en-US" w:eastAsia="zh-CN"/>
              </w:rPr>
              <w:t>有组织</w:t>
            </w:r>
            <w:r>
              <w:rPr>
                <w:rFonts w:hint="default" w:ascii="Times New Roman" w:hAnsi="Times New Roman" w:eastAsia="宋体" w:cs="Times New Roman"/>
                <w:b/>
                <w:bCs/>
                <w:color w:val="auto"/>
                <w:spacing w:val="0"/>
                <w:sz w:val="24"/>
                <w:szCs w:val="24"/>
                <w:highlight w:val="none"/>
              </w:rPr>
              <w:t>大气污染物排放执行标准表</w:t>
            </w:r>
          </w:p>
          <w:tbl>
            <w:tblPr>
              <w:tblStyle w:val="37"/>
              <w:tblW w:w="75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7"/>
              <w:gridCol w:w="937"/>
              <w:gridCol w:w="1542"/>
              <w:gridCol w:w="1152"/>
              <w:gridCol w:w="2990"/>
            </w:tblGrid>
            <w:tr w14:paraId="2D5903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37" w:type="dxa"/>
                  <w:tcBorders>
                    <w:tl2br w:val="nil"/>
                    <w:tr2bl w:val="nil"/>
                  </w:tcBorders>
                  <w:noWrap w:val="0"/>
                  <w:vAlign w:val="center"/>
                </w:tcPr>
                <w:p w14:paraId="6CD10653">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排气筒</w:t>
                  </w:r>
                </w:p>
              </w:tc>
              <w:tc>
                <w:tcPr>
                  <w:tcW w:w="937" w:type="dxa"/>
                  <w:tcBorders>
                    <w:tl2br w:val="nil"/>
                    <w:tr2bl w:val="nil"/>
                  </w:tcBorders>
                  <w:noWrap w:val="0"/>
                  <w:vAlign w:val="center"/>
                </w:tcPr>
                <w:p w14:paraId="0C051946">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类别</w:t>
                  </w:r>
                </w:p>
              </w:tc>
              <w:tc>
                <w:tcPr>
                  <w:tcW w:w="1542" w:type="dxa"/>
                  <w:tcBorders>
                    <w:tl2br w:val="nil"/>
                    <w:tr2bl w:val="nil"/>
                  </w:tcBorders>
                  <w:noWrap w:val="0"/>
                  <w:vAlign w:val="center"/>
                </w:tcPr>
                <w:p w14:paraId="51AE75CA">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最高允许排放浓度mg/m</w:t>
                  </w:r>
                  <w:r>
                    <w:rPr>
                      <w:rFonts w:hint="default" w:ascii="Times New Roman" w:hAnsi="Times New Roman" w:eastAsia="宋体" w:cs="Times New Roman"/>
                      <w:b/>
                      <w:bCs/>
                      <w:color w:val="auto"/>
                      <w:sz w:val="21"/>
                      <w:szCs w:val="21"/>
                      <w:highlight w:val="none"/>
                      <w:vertAlign w:val="superscript"/>
                    </w:rPr>
                    <w:t>3</w:t>
                  </w:r>
                </w:p>
              </w:tc>
              <w:tc>
                <w:tcPr>
                  <w:tcW w:w="1152" w:type="dxa"/>
                  <w:tcBorders>
                    <w:tl2br w:val="nil"/>
                    <w:tr2bl w:val="nil"/>
                  </w:tcBorders>
                  <w:noWrap w:val="0"/>
                  <w:vAlign w:val="center"/>
                </w:tcPr>
                <w:p w14:paraId="50080428">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最高允许排放速率kg/h</w:t>
                  </w:r>
                </w:p>
              </w:tc>
              <w:tc>
                <w:tcPr>
                  <w:tcW w:w="2990" w:type="dxa"/>
                  <w:tcBorders>
                    <w:tl2br w:val="nil"/>
                    <w:tr2bl w:val="nil"/>
                  </w:tcBorders>
                  <w:noWrap w:val="0"/>
                  <w:vAlign w:val="center"/>
                </w:tcPr>
                <w:p w14:paraId="20751E7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执行标准</w:t>
                  </w:r>
                </w:p>
              </w:tc>
            </w:tr>
            <w:tr w14:paraId="3BD7F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937" w:type="dxa"/>
                  <w:vMerge w:val="restart"/>
                  <w:tcBorders>
                    <w:tl2br w:val="nil"/>
                    <w:tr2bl w:val="nil"/>
                  </w:tcBorders>
                  <w:noWrap w:val="0"/>
                  <w:vAlign w:val="center"/>
                </w:tcPr>
                <w:p w14:paraId="29A0FDB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DA001</w:t>
                  </w:r>
                </w:p>
              </w:tc>
              <w:tc>
                <w:tcPr>
                  <w:tcW w:w="937" w:type="dxa"/>
                  <w:vMerge w:val="restart"/>
                  <w:tcBorders>
                    <w:tl2br w:val="nil"/>
                    <w:tr2bl w:val="nil"/>
                  </w:tcBorders>
                  <w:shd w:val="clear" w:color="auto" w:fill="auto"/>
                  <w:noWrap w:val="0"/>
                  <w:vAlign w:val="center"/>
                </w:tcPr>
                <w:p w14:paraId="198EA07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w:t>
                  </w:r>
                </w:p>
              </w:tc>
              <w:tc>
                <w:tcPr>
                  <w:tcW w:w="1542" w:type="dxa"/>
                  <w:tcBorders>
                    <w:tl2br w:val="nil"/>
                    <w:tr2bl w:val="nil"/>
                  </w:tcBorders>
                  <w:noWrap w:val="0"/>
                  <w:vAlign w:val="center"/>
                </w:tcPr>
                <w:p w14:paraId="340A8AC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1152" w:type="dxa"/>
                  <w:tcBorders>
                    <w:tl2br w:val="nil"/>
                    <w:tr2bl w:val="nil"/>
                  </w:tcBorders>
                  <w:noWrap w:val="0"/>
                  <w:vAlign w:val="center"/>
                </w:tcPr>
                <w:p w14:paraId="2FF41CE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60mg/m³</w:t>
                  </w:r>
                </w:p>
              </w:tc>
              <w:tc>
                <w:tcPr>
                  <w:tcW w:w="2990" w:type="dxa"/>
                  <w:vMerge w:val="restart"/>
                  <w:tcBorders>
                    <w:tl2br w:val="nil"/>
                    <w:tr2bl w:val="nil"/>
                  </w:tcBorders>
                  <w:noWrap w:val="0"/>
                  <w:vAlign w:val="center"/>
                </w:tcPr>
                <w:p w14:paraId="78B9C659">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《挥发性有机物排放标准第6</w:t>
                  </w:r>
                </w:p>
                <w:p w14:paraId="1D1917D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部分：有机化工行业》</w:t>
                  </w:r>
                </w:p>
                <w:p w14:paraId="153BB23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DB37/2801.6-2018</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表1</w:t>
                  </w:r>
                  <w:r>
                    <w:rPr>
                      <w:rFonts w:hint="eastAsia" w:ascii="Times New Roman" w:hAnsi="Times New Roman" w:cs="Times New Roman"/>
                      <w:color w:val="auto"/>
                      <w:sz w:val="21"/>
                      <w:szCs w:val="21"/>
                      <w:highlight w:val="none"/>
                      <w:lang w:val="en-US" w:eastAsia="zh-CN"/>
                    </w:rPr>
                    <w:t>II</w:t>
                  </w:r>
                  <w:r>
                    <w:rPr>
                      <w:rFonts w:hint="default" w:ascii="Times New Roman" w:hAnsi="Times New Roman" w:eastAsia="宋体" w:cs="Times New Roman"/>
                      <w:color w:val="auto"/>
                      <w:sz w:val="21"/>
                      <w:szCs w:val="21"/>
                      <w:highlight w:val="none"/>
                      <w:lang w:val="en-US" w:eastAsia="zh-CN"/>
                    </w:rPr>
                    <w:t>时段标准要求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其他行业</w:t>
                  </w:r>
                  <w:r>
                    <w:rPr>
                      <w:rFonts w:hint="eastAsia" w:ascii="Times New Roman" w:hAnsi="Times New Roman" w:eastAsia="宋体" w:cs="Times New Roman"/>
                      <w:color w:val="auto"/>
                      <w:sz w:val="21"/>
                      <w:szCs w:val="21"/>
                      <w:highlight w:val="none"/>
                      <w:lang w:val="en-US" w:eastAsia="zh-CN"/>
                    </w:rPr>
                    <w:t>）</w:t>
                  </w:r>
                </w:p>
              </w:tc>
            </w:tr>
            <w:tr w14:paraId="474DA2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937" w:type="dxa"/>
                  <w:vMerge w:val="continue"/>
                  <w:tcBorders>
                    <w:tl2br w:val="nil"/>
                    <w:tr2bl w:val="nil"/>
                  </w:tcBorders>
                  <w:noWrap w:val="0"/>
                  <w:vAlign w:val="center"/>
                </w:tcPr>
                <w:p w14:paraId="640879F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937" w:type="dxa"/>
                  <w:vMerge w:val="continue"/>
                  <w:tcBorders>
                    <w:tl2br w:val="nil"/>
                    <w:tr2bl w:val="nil"/>
                  </w:tcBorders>
                  <w:noWrap w:val="0"/>
                  <w:vAlign w:val="center"/>
                </w:tcPr>
                <w:p w14:paraId="7CC2E883">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542" w:type="dxa"/>
                  <w:tcBorders>
                    <w:tl2br w:val="nil"/>
                    <w:tr2bl w:val="nil"/>
                  </w:tcBorders>
                  <w:noWrap w:val="0"/>
                  <w:vAlign w:val="center"/>
                </w:tcPr>
                <w:p w14:paraId="297C65C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排放速率</w:t>
                  </w:r>
                </w:p>
              </w:tc>
              <w:tc>
                <w:tcPr>
                  <w:tcW w:w="1152" w:type="dxa"/>
                  <w:tcBorders>
                    <w:tl2br w:val="nil"/>
                    <w:tr2bl w:val="nil"/>
                  </w:tcBorders>
                  <w:noWrap w:val="0"/>
                  <w:vAlign w:val="center"/>
                </w:tcPr>
                <w:p w14:paraId="48CC616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3kg/h</w:t>
                  </w:r>
                </w:p>
              </w:tc>
              <w:tc>
                <w:tcPr>
                  <w:tcW w:w="2990" w:type="dxa"/>
                  <w:vMerge w:val="continue"/>
                  <w:tcBorders>
                    <w:tl2br w:val="nil"/>
                    <w:tr2bl w:val="nil"/>
                  </w:tcBorders>
                  <w:noWrap w:val="0"/>
                  <w:vAlign w:val="center"/>
                </w:tcPr>
                <w:p w14:paraId="32F47144">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r>
            <w:tr w14:paraId="5BB7D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9" w:hRule="atLeast"/>
                <w:jc w:val="center"/>
              </w:trPr>
              <w:tc>
                <w:tcPr>
                  <w:tcW w:w="937" w:type="dxa"/>
                  <w:vMerge w:val="continue"/>
                  <w:tcBorders>
                    <w:tl2br w:val="nil"/>
                    <w:tr2bl w:val="nil"/>
                  </w:tcBorders>
                  <w:shd w:val="clear" w:color="auto" w:fill="auto"/>
                  <w:noWrap w:val="0"/>
                  <w:vAlign w:val="center"/>
                </w:tcPr>
                <w:p w14:paraId="6894138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937" w:type="dxa"/>
                  <w:tcBorders>
                    <w:tl2br w:val="nil"/>
                    <w:tr2bl w:val="nil"/>
                  </w:tcBorders>
                  <w:shd w:val="clear" w:color="auto" w:fill="auto"/>
                  <w:noWrap w:val="0"/>
                  <w:vAlign w:val="center"/>
                </w:tcPr>
                <w:p w14:paraId="3CC0964E">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tc>
              <w:tc>
                <w:tcPr>
                  <w:tcW w:w="1542" w:type="dxa"/>
                  <w:tcBorders>
                    <w:tl2br w:val="nil"/>
                    <w:tr2bl w:val="nil"/>
                  </w:tcBorders>
                  <w:shd w:val="clear" w:color="auto" w:fill="auto"/>
                  <w:noWrap w:val="0"/>
                  <w:vAlign w:val="center"/>
                </w:tcPr>
                <w:p w14:paraId="0F10812A">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1152" w:type="dxa"/>
                  <w:tcBorders>
                    <w:tl2br w:val="nil"/>
                    <w:tr2bl w:val="nil"/>
                  </w:tcBorders>
                  <w:shd w:val="clear" w:color="auto" w:fill="auto"/>
                  <w:noWrap w:val="0"/>
                  <w:vAlign w:val="center"/>
                </w:tcPr>
                <w:p w14:paraId="085D336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2000</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无量纲</w:t>
                  </w:r>
                  <w:r>
                    <w:rPr>
                      <w:rFonts w:hint="eastAsia" w:ascii="Times New Roman" w:hAnsi="Times New Roman" w:eastAsia="宋体" w:cs="Times New Roman"/>
                      <w:color w:val="auto"/>
                      <w:sz w:val="21"/>
                      <w:szCs w:val="21"/>
                      <w:highlight w:val="none"/>
                      <w:lang w:val="en-US" w:eastAsia="zh-CN"/>
                    </w:rPr>
                    <w:t>）</w:t>
                  </w:r>
                </w:p>
              </w:tc>
              <w:tc>
                <w:tcPr>
                  <w:tcW w:w="2990" w:type="dxa"/>
                  <w:tcBorders>
                    <w:tl2br w:val="nil"/>
                    <w:tr2bl w:val="nil"/>
                  </w:tcBorders>
                  <w:noWrap w:val="0"/>
                  <w:vAlign w:val="center"/>
                </w:tcPr>
                <w:p w14:paraId="595CA626">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《恶臭污染物排放标准》 </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GB14554-93</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表2标准要求</w:t>
                  </w:r>
                </w:p>
              </w:tc>
            </w:tr>
            <w:tr w14:paraId="1267B2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937" w:type="dxa"/>
                  <w:vMerge w:val="continue"/>
                  <w:tcBorders>
                    <w:tl2br w:val="nil"/>
                    <w:tr2bl w:val="nil"/>
                  </w:tcBorders>
                  <w:shd w:val="clear" w:color="auto" w:fill="auto"/>
                  <w:noWrap w:val="0"/>
                  <w:vAlign w:val="center"/>
                </w:tcPr>
                <w:p w14:paraId="2231F99E">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937" w:type="dxa"/>
                  <w:vMerge w:val="restart"/>
                  <w:tcBorders>
                    <w:tl2br w:val="nil"/>
                    <w:tr2bl w:val="nil"/>
                  </w:tcBorders>
                  <w:shd w:val="clear" w:color="auto" w:fill="auto"/>
                  <w:noWrap w:val="0"/>
                  <w:vAlign w:val="center"/>
                </w:tcPr>
                <w:p w14:paraId="4509AEE4">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颗粒物</w:t>
                  </w:r>
                </w:p>
                <w:p w14:paraId="1F9B3F28">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542" w:type="dxa"/>
                  <w:tcBorders>
                    <w:tl2br w:val="nil"/>
                    <w:tr2bl w:val="nil"/>
                  </w:tcBorders>
                  <w:shd w:val="clear" w:color="auto" w:fill="auto"/>
                  <w:noWrap w:val="0"/>
                  <w:vAlign w:val="center"/>
                </w:tcPr>
                <w:p w14:paraId="6678E6E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1152" w:type="dxa"/>
                  <w:tcBorders>
                    <w:tl2br w:val="nil"/>
                    <w:tr2bl w:val="nil"/>
                  </w:tcBorders>
                  <w:shd w:val="clear" w:color="auto" w:fill="auto"/>
                  <w:noWrap w:val="0"/>
                  <w:vAlign w:val="center"/>
                </w:tcPr>
                <w:p w14:paraId="449CFE5A">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20mg/m³</w:t>
                  </w:r>
                </w:p>
              </w:tc>
              <w:tc>
                <w:tcPr>
                  <w:tcW w:w="2990" w:type="dxa"/>
                  <w:tcBorders>
                    <w:tl2br w:val="nil"/>
                    <w:tr2bl w:val="nil"/>
                  </w:tcBorders>
                  <w:noWrap w:val="0"/>
                  <w:vAlign w:val="center"/>
                </w:tcPr>
                <w:p w14:paraId="63D8707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《区域性大气污染物综合排放</w:t>
                  </w:r>
                </w:p>
                <w:p w14:paraId="7843026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DB37/2376-2019</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表1一般控制区标准</w:t>
                  </w:r>
                </w:p>
              </w:tc>
            </w:tr>
            <w:tr w14:paraId="4C67EB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937" w:type="dxa"/>
                  <w:vMerge w:val="continue"/>
                  <w:tcBorders>
                    <w:tl2br w:val="nil"/>
                    <w:tr2bl w:val="nil"/>
                  </w:tcBorders>
                  <w:shd w:val="clear" w:color="auto" w:fill="auto"/>
                  <w:noWrap w:val="0"/>
                  <w:vAlign w:val="center"/>
                </w:tcPr>
                <w:p w14:paraId="42D5E57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937" w:type="dxa"/>
                  <w:vMerge w:val="continue"/>
                  <w:tcBorders>
                    <w:tl2br w:val="nil"/>
                    <w:tr2bl w:val="nil"/>
                  </w:tcBorders>
                  <w:shd w:val="clear" w:color="auto" w:fill="auto"/>
                  <w:noWrap w:val="0"/>
                  <w:vAlign w:val="center"/>
                </w:tcPr>
                <w:p w14:paraId="59C76E06">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542" w:type="dxa"/>
                  <w:tcBorders>
                    <w:tl2br w:val="nil"/>
                    <w:tr2bl w:val="nil"/>
                  </w:tcBorders>
                  <w:shd w:val="clear" w:color="auto" w:fill="auto"/>
                  <w:noWrap w:val="0"/>
                  <w:vAlign w:val="center"/>
                </w:tcPr>
                <w:p w14:paraId="69CE111B">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排放速率</w:t>
                  </w:r>
                </w:p>
              </w:tc>
              <w:tc>
                <w:tcPr>
                  <w:tcW w:w="1152" w:type="dxa"/>
                  <w:tcBorders>
                    <w:tl2br w:val="nil"/>
                    <w:tr2bl w:val="nil"/>
                  </w:tcBorders>
                  <w:shd w:val="clear" w:color="auto" w:fill="auto"/>
                  <w:noWrap w:val="0"/>
                  <w:vAlign w:val="center"/>
                </w:tcPr>
                <w:p w14:paraId="37E1EAE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3.5kg/h</w:t>
                  </w:r>
                </w:p>
              </w:tc>
              <w:tc>
                <w:tcPr>
                  <w:tcW w:w="2990" w:type="dxa"/>
                  <w:tcBorders>
                    <w:tl2br w:val="nil"/>
                    <w:tr2bl w:val="nil"/>
                  </w:tcBorders>
                  <w:noWrap w:val="0"/>
                  <w:vAlign w:val="center"/>
                </w:tcPr>
                <w:p w14:paraId="30CA67C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参照执行</w:t>
                  </w:r>
                  <w:r>
                    <w:rPr>
                      <w:rFonts w:hint="default" w:ascii="Times New Roman" w:hAnsi="Times New Roman" w:eastAsia="宋体" w:cs="Times New Roman"/>
                      <w:color w:val="auto"/>
                      <w:sz w:val="21"/>
                      <w:szCs w:val="21"/>
                      <w:highlight w:val="none"/>
                      <w:lang w:val="en-US" w:eastAsia="zh-CN"/>
                    </w:rPr>
                    <w:t>《大气污染物综合排放标准》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GB16297-1996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表2二级标准要求</w:t>
                  </w:r>
                </w:p>
              </w:tc>
            </w:tr>
          </w:tbl>
          <w:p w14:paraId="46CFFC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eastAsia="zh-CN"/>
              </w:rPr>
              <w:t>3-</w:t>
            </w:r>
            <w:r>
              <w:rPr>
                <w:rFonts w:hint="eastAsia" w:cs="Times New Roman"/>
                <w:b/>
                <w:bCs/>
                <w:color w:val="auto"/>
                <w:spacing w:val="0"/>
                <w:sz w:val="24"/>
                <w:szCs w:val="24"/>
                <w:highlight w:val="none"/>
                <w:lang w:val="en-US" w:eastAsia="zh-CN"/>
              </w:rPr>
              <w:t>6</w:t>
            </w:r>
            <w:r>
              <w:rPr>
                <w:rFonts w:hint="default" w:ascii="Times New Roman" w:hAnsi="Times New Roman" w:eastAsia="宋体" w:cs="Times New Roman"/>
                <w:b/>
                <w:bCs/>
                <w:color w:val="auto"/>
                <w:spacing w:val="0"/>
                <w:sz w:val="24"/>
                <w:szCs w:val="24"/>
                <w:highlight w:val="none"/>
              </w:rPr>
              <w:t xml:space="preserve"> </w:t>
            </w:r>
            <w:r>
              <w:rPr>
                <w:rFonts w:hint="default" w:ascii="Times New Roman" w:hAnsi="Times New Roman" w:eastAsia="宋体" w:cs="Times New Roman"/>
                <w:b/>
                <w:bCs/>
                <w:color w:val="auto"/>
                <w:spacing w:val="0"/>
                <w:sz w:val="24"/>
                <w:szCs w:val="24"/>
                <w:highlight w:val="none"/>
                <w:lang w:val="en-US" w:eastAsia="zh-CN"/>
              </w:rPr>
              <w:t>无组织</w:t>
            </w:r>
            <w:r>
              <w:rPr>
                <w:rFonts w:hint="default" w:ascii="Times New Roman" w:hAnsi="Times New Roman" w:eastAsia="宋体" w:cs="Times New Roman"/>
                <w:b/>
                <w:bCs/>
                <w:color w:val="auto"/>
                <w:spacing w:val="0"/>
                <w:sz w:val="24"/>
                <w:szCs w:val="24"/>
                <w:highlight w:val="none"/>
              </w:rPr>
              <w:t>大气污染物排放执行标准表</w:t>
            </w:r>
          </w:p>
          <w:tbl>
            <w:tblPr>
              <w:tblStyle w:val="37"/>
              <w:tblW w:w="76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4"/>
              <w:gridCol w:w="1052"/>
              <w:gridCol w:w="1146"/>
              <w:gridCol w:w="526"/>
              <w:gridCol w:w="647"/>
              <w:gridCol w:w="3402"/>
            </w:tblGrid>
            <w:tr w14:paraId="6E784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924" w:type="dxa"/>
                  <w:tcBorders>
                    <w:tl2br w:val="nil"/>
                    <w:tr2bl w:val="nil"/>
                  </w:tcBorders>
                  <w:noWrap w:val="0"/>
                  <w:vAlign w:val="center"/>
                </w:tcPr>
                <w:p w14:paraId="0ED05884">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排放源</w:t>
                  </w:r>
                </w:p>
              </w:tc>
              <w:tc>
                <w:tcPr>
                  <w:tcW w:w="1052" w:type="dxa"/>
                  <w:tcBorders>
                    <w:tl2br w:val="nil"/>
                    <w:tr2bl w:val="nil"/>
                  </w:tcBorders>
                  <w:noWrap w:val="0"/>
                  <w:vAlign w:val="center"/>
                </w:tcPr>
                <w:p w14:paraId="0ACD6DD8">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2319" w:type="dxa"/>
                  <w:gridSpan w:val="3"/>
                  <w:tcBorders>
                    <w:tl2br w:val="nil"/>
                    <w:tr2bl w:val="nil"/>
                  </w:tcBorders>
                  <w:noWrap w:val="0"/>
                  <w:vAlign w:val="center"/>
                </w:tcPr>
                <w:p w14:paraId="204E1A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rPr>
                    <w:t>无组织排放</w:t>
                  </w:r>
                  <w:r>
                    <w:rPr>
                      <w:rFonts w:hint="eastAsia" w:ascii="Times New Roman" w:hAnsi="Times New Roman" w:eastAsia="宋体" w:cs="Times New Roman"/>
                      <w:b/>
                      <w:bCs/>
                      <w:color w:val="auto"/>
                      <w:kern w:val="0"/>
                      <w:sz w:val="21"/>
                      <w:szCs w:val="21"/>
                      <w:highlight w:val="none"/>
                      <w:lang w:val="en-US" w:eastAsia="zh-CN"/>
                    </w:rPr>
                    <w:t>监控限值</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p>
              </w:tc>
              <w:tc>
                <w:tcPr>
                  <w:tcW w:w="3402" w:type="dxa"/>
                  <w:tcBorders>
                    <w:tl2br w:val="nil"/>
                    <w:tr2bl w:val="nil"/>
                  </w:tcBorders>
                  <w:shd w:val="clear" w:color="auto" w:fill="auto"/>
                  <w:noWrap w:val="0"/>
                  <w:vAlign w:val="center"/>
                </w:tcPr>
                <w:p w14:paraId="1A66017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执行标准</w:t>
                  </w:r>
                </w:p>
              </w:tc>
            </w:tr>
            <w:tr w14:paraId="60A2E3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4" w:type="dxa"/>
                  <w:vMerge w:val="restart"/>
                  <w:tcBorders>
                    <w:tl2br w:val="nil"/>
                    <w:tr2bl w:val="nil"/>
                  </w:tcBorders>
                  <w:shd w:val="clear" w:color="auto" w:fill="auto"/>
                  <w:noWrap w:val="0"/>
                  <w:vAlign w:val="center"/>
                </w:tcPr>
                <w:p w14:paraId="5B51F75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w:t>
                  </w:r>
                </w:p>
              </w:tc>
              <w:tc>
                <w:tcPr>
                  <w:tcW w:w="1052" w:type="dxa"/>
                  <w:tcBorders>
                    <w:tl2br w:val="nil"/>
                    <w:tr2bl w:val="nil"/>
                  </w:tcBorders>
                  <w:shd w:val="clear" w:color="auto" w:fill="auto"/>
                  <w:noWrap w:val="0"/>
                  <w:vAlign w:val="center"/>
                </w:tcPr>
                <w:p w14:paraId="018D183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146" w:type="dxa"/>
                  <w:tcBorders>
                    <w:tl2br w:val="nil"/>
                    <w:tr2bl w:val="nil"/>
                  </w:tcBorders>
                  <w:shd w:val="clear" w:color="auto" w:fill="auto"/>
                  <w:noWrap w:val="0"/>
                  <w:vAlign w:val="center"/>
                </w:tcPr>
                <w:p w14:paraId="1F0E61A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排放浓度</w:t>
                  </w:r>
                </w:p>
              </w:tc>
              <w:tc>
                <w:tcPr>
                  <w:tcW w:w="1173" w:type="dxa"/>
                  <w:gridSpan w:val="2"/>
                  <w:tcBorders>
                    <w:tl2br w:val="nil"/>
                    <w:tr2bl w:val="nil"/>
                  </w:tcBorders>
                  <w:noWrap w:val="0"/>
                  <w:vAlign w:val="center"/>
                </w:tcPr>
                <w:p w14:paraId="6657912B">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1mg/m³</w:t>
                  </w:r>
                </w:p>
              </w:tc>
              <w:tc>
                <w:tcPr>
                  <w:tcW w:w="3402" w:type="dxa"/>
                  <w:tcBorders>
                    <w:tl2br w:val="nil"/>
                    <w:tr2bl w:val="nil"/>
                  </w:tcBorders>
                  <w:noWrap w:val="0"/>
                  <w:vAlign w:val="center"/>
                </w:tcPr>
                <w:p w14:paraId="1961C94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《大气污染物综合排放标准》</w:t>
                  </w:r>
                </w:p>
                <w:p w14:paraId="42F00E0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GB16297-1996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表2厂界无组织排放监控浓度限值要求</w:t>
                  </w:r>
                </w:p>
              </w:tc>
            </w:tr>
            <w:tr w14:paraId="30BB3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924" w:type="dxa"/>
                  <w:vMerge w:val="continue"/>
                  <w:tcBorders>
                    <w:tl2br w:val="nil"/>
                    <w:tr2bl w:val="nil"/>
                  </w:tcBorders>
                  <w:shd w:val="clear" w:color="auto" w:fill="auto"/>
                  <w:noWrap w:val="0"/>
                  <w:vAlign w:val="center"/>
                </w:tcPr>
                <w:p w14:paraId="7E997FF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052" w:type="dxa"/>
                  <w:tcBorders>
                    <w:tl2br w:val="nil"/>
                    <w:tr2bl w:val="nil"/>
                  </w:tcBorders>
                  <w:shd w:val="clear" w:color="auto" w:fill="auto"/>
                  <w:noWrap w:val="0"/>
                  <w:vAlign w:val="center"/>
                </w:tcPr>
                <w:p w14:paraId="18C470A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w:t>
                  </w:r>
                </w:p>
              </w:tc>
              <w:tc>
                <w:tcPr>
                  <w:tcW w:w="1146" w:type="dxa"/>
                  <w:tcBorders>
                    <w:tl2br w:val="nil"/>
                    <w:tr2bl w:val="nil"/>
                  </w:tcBorders>
                  <w:shd w:val="clear" w:color="auto" w:fill="auto"/>
                  <w:noWrap w:val="0"/>
                  <w:vAlign w:val="center"/>
                </w:tcPr>
                <w:p w14:paraId="794B83D3">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1173" w:type="dxa"/>
                  <w:gridSpan w:val="2"/>
                  <w:tcBorders>
                    <w:tl2br w:val="nil"/>
                    <w:tr2bl w:val="nil"/>
                  </w:tcBorders>
                  <w:noWrap w:val="0"/>
                  <w:vAlign w:val="center"/>
                </w:tcPr>
                <w:p w14:paraId="4FE46E36">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2mg/m³</w:t>
                  </w:r>
                </w:p>
              </w:tc>
              <w:tc>
                <w:tcPr>
                  <w:tcW w:w="3402" w:type="dxa"/>
                  <w:tcBorders>
                    <w:tl2br w:val="nil"/>
                    <w:tr2bl w:val="nil"/>
                  </w:tcBorders>
                  <w:noWrap w:val="0"/>
                  <w:vAlign w:val="center"/>
                </w:tcPr>
                <w:p w14:paraId="7B221E2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《挥发性有机物排放标准第6部分：有机化工行业》</w:t>
                  </w:r>
                </w:p>
                <w:p w14:paraId="6C6B6C9A">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DB37/2801.6-2018</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表3标准要求</w:t>
                  </w:r>
                </w:p>
              </w:tc>
            </w:tr>
            <w:tr w14:paraId="42CD0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24" w:type="dxa"/>
                  <w:vMerge w:val="continue"/>
                  <w:tcBorders>
                    <w:tl2br w:val="nil"/>
                    <w:tr2bl w:val="nil"/>
                  </w:tcBorders>
                  <w:shd w:val="clear" w:color="auto" w:fill="auto"/>
                  <w:noWrap w:val="0"/>
                  <w:vAlign w:val="center"/>
                </w:tcPr>
                <w:p w14:paraId="58D7CAE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052" w:type="dxa"/>
                  <w:tcBorders>
                    <w:tl2br w:val="nil"/>
                    <w:tr2bl w:val="nil"/>
                  </w:tcBorders>
                  <w:shd w:val="clear" w:color="auto" w:fill="auto"/>
                  <w:noWrap w:val="0"/>
                  <w:vAlign w:val="center"/>
                </w:tcPr>
                <w:p w14:paraId="79DCD1A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tc>
              <w:tc>
                <w:tcPr>
                  <w:tcW w:w="1146" w:type="dxa"/>
                  <w:tcBorders>
                    <w:tl2br w:val="nil"/>
                    <w:tr2bl w:val="nil"/>
                  </w:tcBorders>
                  <w:shd w:val="clear" w:color="auto" w:fill="auto"/>
                  <w:noWrap w:val="0"/>
                  <w:vAlign w:val="center"/>
                </w:tcPr>
                <w:p w14:paraId="204113C4">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1173" w:type="dxa"/>
                  <w:gridSpan w:val="2"/>
                  <w:tcBorders>
                    <w:tl2br w:val="nil"/>
                    <w:tr2bl w:val="nil"/>
                  </w:tcBorders>
                  <w:noWrap w:val="0"/>
                  <w:vAlign w:val="center"/>
                </w:tcPr>
                <w:p w14:paraId="30398DC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20（无量纲）</w:t>
                  </w:r>
                </w:p>
              </w:tc>
              <w:tc>
                <w:tcPr>
                  <w:tcW w:w="3402" w:type="dxa"/>
                  <w:tcBorders>
                    <w:tl2br w:val="nil"/>
                    <w:tr2bl w:val="nil"/>
                  </w:tcBorders>
                  <w:noWrap w:val="0"/>
                  <w:vAlign w:val="center"/>
                </w:tcPr>
                <w:p w14:paraId="05D1DD8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《恶臭污染物排放标准》（GB14554-93）表1标准</w:t>
                  </w:r>
                  <w:r>
                    <w:rPr>
                      <w:rFonts w:hint="default" w:ascii="Times New Roman" w:hAnsi="Times New Roman" w:eastAsia="宋体" w:cs="Times New Roman"/>
                      <w:color w:val="auto"/>
                      <w:sz w:val="21"/>
                      <w:szCs w:val="21"/>
                      <w:highlight w:val="none"/>
                      <w:lang w:val="en-US" w:eastAsia="zh-CN"/>
                    </w:rPr>
                    <w:t>要求</w:t>
                  </w:r>
                </w:p>
              </w:tc>
            </w:tr>
            <w:tr w14:paraId="68445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24" w:type="dxa"/>
                  <w:vMerge w:val="restart"/>
                  <w:tcBorders>
                    <w:tl2br w:val="nil"/>
                    <w:tr2bl w:val="nil"/>
                  </w:tcBorders>
                  <w:shd w:val="clear" w:color="auto" w:fill="auto"/>
                  <w:noWrap w:val="0"/>
                  <w:vAlign w:val="center"/>
                </w:tcPr>
                <w:p w14:paraId="5D291368">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车间外</w:t>
                  </w:r>
                </w:p>
                <w:p w14:paraId="04424EFB">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w:t>
                  </w:r>
                </w:p>
                <w:p w14:paraId="4295E11B">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的监控</w:t>
                  </w:r>
                </w:p>
                <w:p w14:paraId="75E4AF16">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点</w:t>
                  </w:r>
                </w:p>
              </w:tc>
              <w:tc>
                <w:tcPr>
                  <w:tcW w:w="1052" w:type="dxa"/>
                  <w:vMerge w:val="restart"/>
                  <w:tcBorders>
                    <w:tl2br w:val="nil"/>
                    <w:tr2bl w:val="nil"/>
                  </w:tcBorders>
                  <w:shd w:val="clear" w:color="auto" w:fill="auto"/>
                  <w:noWrap w:val="0"/>
                  <w:vAlign w:val="center"/>
                </w:tcPr>
                <w:p w14:paraId="7350617D">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p w14:paraId="070E893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w:t>
                  </w:r>
                </w:p>
              </w:tc>
              <w:tc>
                <w:tcPr>
                  <w:tcW w:w="1146" w:type="dxa"/>
                  <w:vMerge w:val="restart"/>
                  <w:tcBorders>
                    <w:tl2br w:val="nil"/>
                    <w:tr2bl w:val="nil"/>
                  </w:tcBorders>
                  <w:shd w:val="clear" w:color="auto" w:fill="auto"/>
                  <w:noWrap w:val="0"/>
                  <w:vAlign w:val="center"/>
                </w:tcPr>
                <w:p w14:paraId="1258612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p w14:paraId="09EC383E">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排放浓度</w:t>
                  </w:r>
                </w:p>
              </w:tc>
              <w:tc>
                <w:tcPr>
                  <w:tcW w:w="526" w:type="dxa"/>
                  <w:tcBorders>
                    <w:tl2br w:val="nil"/>
                    <w:tr2bl w:val="nil"/>
                  </w:tcBorders>
                  <w:noWrap w:val="0"/>
                  <w:vAlign w:val="center"/>
                </w:tcPr>
                <w:p w14:paraId="72EE4173">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1h</w:t>
                  </w:r>
                </w:p>
              </w:tc>
              <w:tc>
                <w:tcPr>
                  <w:tcW w:w="647" w:type="dxa"/>
                  <w:tcBorders>
                    <w:tl2br w:val="nil"/>
                    <w:tr2bl w:val="nil"/>
                  </w:tcBorders>
                  <w:noWrap w:val="0"/>
                  <w:vAlign w:val="center"/>
                </w:tcPr>
                <w:p w14:paraId="2E05E33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6mg/m³</w:t>
                  </w:r>
                </w:p>
              </w:tc>
              <w:tc>
                <w:tcPr>
                  <w:tcW w:w="3402" w:type="dxa"/>
                  <w:vMerge w:val="restart"/>
                  <w:tcBorders>
                    <w:tl2br w:val="nil"/>
                    <w:tr2bl w:val="nil"/>
                  </w:tcBorders>
                  <w:noWrap w:val="0"/>
                  <w:vAlign w:val="center"/>
                </w:tcPr>
                <w:p w14:paraId="305B74E2">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《挥发性有机物无组织排放控制标准》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GB37822-2019</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w:t>
                  </w:r>
                </w:p>
                <w:p w14:paraId="7FFE733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A.1特别排放限值</w:t>
                  </w:r>
                </w:p>
              </w:tc>
            </w:tr>
            <w:tr w14:paraId="6CAF3C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924" w:type="dxa"/>
                  <w:vMerge w:val="continue"/>
                  <w:tcBorders>
                    <w:tl2br w:val="nil"/>
                    <w:tr2bl w:val="nil"/>
                  </w:tcBorders>
                  <w:shd w:val="clear" w:color="auto" w:fill="auto"/>
                  <w:noWrap w:val="0"/>
                  <w:vAlign w:val="center"/>
                </w:tcPr>
                <w:p w14:paraId="194CEFB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052" w:type="dxa"/>
                  <w:vMerge w:val="continue"/>
                  <w:tcBorders>
                    <w:tl2br w:val="nil"/>
                    <w:tr2bl w:val="nil"/>
                  </w:tcBorders>
                  <w:shd w:val="clear" w:color="auto" w:fill="auto"/>
                  <w:noWrap w:val="0"/>
                  <w:vAlign w:val="center"/>
                </w:tcPr>
                <w:p w14:paraId="0F47F7AE">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1146" w:type="dxa"/>
                  <w:vMerge w:val="continue"/>
                  <w:tcBorders>
                    <w:tl2br w:val="nil"/>
                    <w:tr2bl w:val="nil"/>
                  </w:tcBorders>
                  <w:shd w:val="clear" w:color="auto" w:fill="auto"/>
                  <w:noWrap w:val="0"/>
                  <w:vAlign w:val="center"/>
                </w:tcPr>
                <w:p w14:paraId="79AD198A">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526" w:type="dxa"/>
                  <w:tcBorders>
                    <w:tl2br w:val="nil"/>
                    <w:tr2bl w:val="nil"/>
                  </w:tcBorders>
                  <w:noWrap w:val="0"/>
                  <w:vAlign w:val="center"/>
                </w:tcPr>
                <w:p w14:paraId="0EFE996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任意</w:t>
                  </w:r>
                </w:p>
                <w:p w14:paraId="338677A1">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一次</w:t>
                  </w:r>
                </w:p>
              </w:tc>
              <w:tc>
                <w:tcPr>
                  <w:tcW w:w="647" w:type="dxa"/>
                  <w:tcBorders>
                    <w:tl2br w:val="nil"/>
                    <w:tr2bl w:val="nil"/>
                  </w:tcBorders>
                  <w:noWrap w:val="0"/>
                  <w:vAlign w:val="center"/>
                </w:tcPr>
                <w:p w14:paraId="1D9726D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20mg/m³</w:t>
                  </w:r>
                </w:p>
              </w:tc>
              <w:tc>
                <w:tcPr>
                  <w:tcW w:w="3402" w:type="dxa"/>
                  <w:vMerge w:val="continue"/>
                  <w:tcBorders>
                    <w:tl2br w:val="nil"/>
                    <w:tr2bl w:val="nil"/>
                  </w:tcBorders>
                  <w:noWrap w:val="0"/>
                  <w:vAlign w:val="center"/>
                </w:tcPr>
                <w:p w14:paraId="0D6B7ED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p>
              </w:tc>
            </w:tr>
          </w:tbl>
          <w:p w14:paraId="385465B6">
            <w:pPr>
              <w:keepNext w:val="0"/>
              <w:keepLines w:val="0"/>
              <w:pageBreakBefore w:val="0"/>
              <w:widowControl w:val="0"/>
              <w:tabs>
                <w:tab w:val="left" w:pos="210"/>
              </w:tabs>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val="0"/>
                <w:color w:val="auto"/>
                <w:sz w:val="24"/>
                <w:szCs w:val="24"/>
                <w:highlight w:val="none"/>
              </w:rPr>
            </w:pPr>
            <w:r>
              <w:rPr>
                <w:rFonts w:hint="eastAsia" w:cs="Times New Roman"/>
                <w:b/>
                <w:bCs w:val="0"/>
                <w:color w:val="auto"/>
                <w:sz w:val="24"/>
                <w:szCs w:val="24"/>
                <w:highlight w:val="none"/>
                <w:lang w:val="en-US" w:eastAsia="zh-CN"/>
              </w:rPr>
              <w:t>三</w:t>
            </w:r>
            <w:r>
              <w:rPr>
                <w:rFonts w:hint="default" w:ascii="Times New Roman" w:hAnsi="Times New Roman" w:eastAsia="宋体" w:cs="Times New Roman"/>
                <w:b/>
                <w:bCs w:val="0"/>
                <w:color w:val="auto"/>
                <w:sz w:val="24"/>
                <w:szCs w:val="24"/>
                <w:highlight w:val="none"/>
                <w:lang w:val="en-US" w:eastAsia="zh-CN"/>
              </w:rPr>
              <w:t>、</w:t>
            </w:r>
            <w:r>
              <w:rPr>
                <w:rFonts w:hint="default" w:ascii="Times New Roman" w:hAnsi="Times New Roman" w:eastAsia="宋体" w:cs="Times New Roman"/>
                <w:b/>
                <w:bCs w:val="0"/>
                <w:color w:val="auto"/>
                <w:sz w:val="24"/>
                <w:szCs w:val="24"/>
                <w:highlight w:val="none"/>
              </w:rPr>
              <w:t>噪声</w:t>
            </w:r>
          </w:p>
          <w:p w14:paraId="17736CAF">
            <w:pPr>
              <w:spacing w:line="360" w:lineRule="auto"/>
              <w:ind w:firstLine="352" w:firstLineChars="147"/>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2"/>
                <w:highlight w:val="none"/>
              </w:rPr>
              <w:t>运营期厂界噪声</w:t>
            </w:r>
            <w:r>
              <w:rPr>
                <w:rFonts w:hint="default" w:ascii="Times New Roman" w:hAnsi="Times New Roman" w:eastAsia="宋体" w:cs="Times New Roman"/>
                <w:color w:val="auto"/>
                <w:sz w:val="24"/>
                <w:szCs w:val="24"/>
                <w:highlight w:val="none"/>
              </w:rPr>
              <w:t>执行《工业企业厂界环境噪声排放标准》（GB12348-2008）</w:t>
            </w:r>
            <w:r>
              <w:rPr>
                <w:rFonts w:hint="eastAsia" w:cs="Times New Roman"/>
                <w:color w:val="auto"/>
                <w:sz w:val="24"/>
                <w:szCs w:val="24"/>
                <w:highlight w:val="none"/>
                <w:lang w:val="en-US" w:eastAsia="zh-CN"/>
              </w:rPr>
              <w:t>2类</w:t>
            </w:r>
            <w:r>
              <w:rPr>
                <w:rFonts w:hint="default" w:ascii="Times New Roman" w:hAnsi="Times New Roman" w:eastAsia="宋体" w:cs="Times New Roman"/>
                <w:color w:val="auto"/>
                <w:sz w:val="24"/>
                <w:szCs w:val="24"/>
                <w:highlight w:val="none"/>
              </w:rPr>
              <w:t>标准</w:t>
            </w:r>
            <w:r>
              <w:rPr>
                <w:rFonts w:hint="eastAsia" w:cs="Times New Roman"/>
                <w:color w:val="auto"/>
                <w:sz w:val="24"/>
                <w:szCs w:val="24"/>
                <w:highlight w:val="none"/>
                <w:lang w:eastAsia="zh-CN"/>
              </w:rPr>
              <w:t>。</w:t>
            </w:r>
          </w:p>
          <w:p w14:paraId="3227524E">
            <w:pPr>
              <w:spacing w:line="240" w:lineRule="auto"/>
              <w:jc w:val="center"/>
              <w:rPr>
                <w:rFonts w:hint="eastAsia"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w:t>
            </w:r>
            <w:r>
              <w:rPr>
                <w:rFonts w:hint="eastAsia" w:cs="Times New Roman"/>
                <w:b/>
                <w:color w:val="auto"/>
                <w:sz w:val="24"/>
                <w:szCs w:val="24"/>
                <w:highlight w:val="none"/>
                <w:lang w:val="en-US" w:eastAsia="zh-CN"/>
              </w:rPr>
              <w:t xml:space="preserve">7 </w:t>
            </w:r>
            <w:r>
              <w:rPr>
                <w:rFonts w:hint="default" w:ascii="Times New Roman" w:hAnsi="Times New Roman" w:eastAsia="宋体" w:cs="Times New Roman"/>
                <w:b/>
                <w:color w:val="auto"/>
                <w:sz w:val="24"/>
                <w:szCs w:val="24"/>
                <w:highlight w:val="none"/>
              </w:rPr>
              <w:t>厂界噪声执行标准单位：dB</w:t>
            </w:r>
            <w:r>
              <w:rPr>
                <w:rFonts w:hint="eastAsia" w:cs="Times New Roman"/>
                <w:b/>
                <w:color w:val="auto"/>
                <w:sz w:val="24"/>
                <w:szCs w:val="24"/>
                <w:highlight w:val="none"/>
                <w:lang w:eastAsia="zh-CN"/>
              </w:rPr>
              <w:t>（</w:t>
            </w:r>
            <w:r>
              <w:rPr>
                <w:rFonts w:hint="default" w:ascii="Times New Roman" w:hAnsi="Times New Roman" w:eastAsia="宋体" w:cs="Times New Roman"/>
                <w:b/>
                <w:color w:val="auto"/>
                <w:sz w:val="24"/>
                <w:szCs w:val="24"/>
                <w:highlight w:val="none"/>
              </w:rPr>
              <w:t>A</w:t>
            </w:r>
            <w:r>
              <w:rPr>
                <w:rFonts w:hint="eastAsia" w:cs="Times New Roman"/>
                <w:b/>
                <w:color w:val="auto"/>
                <w:sz w:val="24"/>
                <w:szCs w:val="24"/>
                <w:highlight w:val="none"/>
                <w:lang w:eastAsia="zh-CN"/>
              </w:rPr>
              <w:t>）</w:t>
            </w:r>
          </w:p>
          <w:tbl>
            <w:tblPr>
              <w:tblStyle w:val="37"/>
              <w:tblW w:w="78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04"/>
              <w:gridCol w:w="1675"/>
              <w:gridCol w:w="843"/>
              <w:gridCol w:w="910"/>
              <w:gridCol w:w="1203"/>
              <w:gridCol w:w="993"/>
            </w:tblGrid>
            <w:tr w14:paraId="0F4395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04" w:type="dxa"/>
                  <w:tcBorders>
                    <w:tl2br w:val="nil"/>
                    <w:tr2bl w:val="nil"/>
                  </w:tcBorders>
                  <w:noWrap w:val="0"/>
                  <w:vAlign w:val="center"/>
                </w:tcPr>
                <w:p w14:paraId="154ACA73">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1675" w:type="dxa"/>
                  <w:tcBorders>
                    <w:tl2br w:val="nil"/>
                    <w:tr2bl w:val="nil"/>
                  </w:tcBorders>
                  <w:noWrap w:val="0"/>
                  <w:vAlign w:val="center"/>
                </w:tcPr>
                <w:p w14:paraId="5CEBE899">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标准文号</w:t>
                  </w:r>
                </w:p>
              </w:tc>
              <w:tc>
                <w:tcPr>
                  <w:tcW w:w="843" w:type="dxa"/>
                  <w:tcBorders>
                    <w:tl2br w:val="nil"/>
                    <w:tr2bl w:val="nil"/>
                  </w:tcBorders>
                  <w:noWrap w:val="0"/>
                  <w:vAlign w:val="center"/>
                </w:tcPr>
                <w:p w14:paraId="29DD85AD">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910" w:type="dxa"/>
                  <w:tcBorders>
                    <w:tl2br w:val="nil"/>
                    <w:tr2bl w:val="nil"/>
                  </w:tcBorders>
                  <w:noWrap w:val="0"/>
                  <w:vAlign w:val="center"/>
                </w:tcPr>
                <w:p w14:paraId="2B114EA9">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级别</w:t>
                  </w:r>
                </w:p>
              </w:tc>
              <w:tc>
                <w:tcPr>
                  <w:tcW w:w="2196" w:type="dxa"/>
                  <w:gridSpan w:val="2"/>
                  <w:tcBorders>
                    <w:tl2br w:val="nil"/>
                    <w:tr2bl w:val="nil"/>
                  </w:tcBorders>
                  <w:noWrap w:val="0"/>
                  <w:vAlign w:val="center"/>
                </w:tcPr>
                <w:p w14:paraId="71B9C902">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标准限值</w:t>
                  </w:r>
                </w:p>
              </w:tc>
            </w:tr>
            <w:tr w14:paraId="4BE35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04" w:type="dxa"/>
                  <w:vMerge w:val="restart"/>
                  <w:tcBorders>
                    <w:tl2br w:val="nil"/>
                    <w:tr2bl w:val="nil"/>
                  </w:tcBorders>
                  <w:noWrap w:val="0"/>
                  <w:vAlign w:val="center"/>
                </w:tcPr>
                <w:p w14:paraId="4399ED0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w:t>
                  </w:r>
                </w:p>
                <w:p w14:paraId="1230889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环境噪声排放标准</w:t>
                  </w:r>
                </w:p>
              </w:tc>
              <w:tc>
                <w:tcPr>
                  <w:tcW w:w="1675" w:type="dxa"/>
                  <w:vMerge w:val="restart"/>
                  <w:tcBorders>
                    <w:tl2br w:val="nil"/>
                    <w:tr2bl w:val="nil"/>
                  </w:tcBorders>
                  <w:noWrap w:val="0"/>
                  <w:vAlign w:val="center"/>
                </w:tcPr>
                <w:p w14:paraId="67C0EFC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GB12348-2008</w:t>
                  </w:r>
                </w:p>
              </w:tc>
              <w:tc>
                <w:tcPr>
                  <w:tcW w:w="843" w:type="dxa"/>
                  <w:vMerge w:val="restart"/>
                  <w:tcBorders>
                    <w:tl2br w:val="nil"/>
                    <w:tr2bl w:val="nil"/>
                  </w:tcBorders>
                  <w:noWrap w:val="0"/>
                  <w:vAlign w:val="center"/>
                </w:tcPr>
                <w:p w14:paraId="1568553F">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dB</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eastAsia" w:ascii="Times New Roman" w:hAnsi="Times New Roman" w:eastAsia="宋体" w:cs="Times New Roman"/>
                      <w:color w:val="auto"/>
                      <w:sz w:val="21"/>
                      <w:szCs w:val="21"/>
                      <w:highlight w:val="none"/>
                      <w:lang w:eastAsia="zh-CN"/>
                    </w:rPr>
                    <w:t>）</w:t>
                  </w:r>
                </w:p>
              </w:tc>
              <w:tc>
                <w:tcPr>
                  <w:tcW w:w="910" w:type="dxa"/>
                  <w:vMerge w:val="restart"/>
                  <w:tcBorders>
                    <w:tl2br w:val="nil"/>
                    <w:tr2bl w:val="nil"/>
                  </w:tcBorders>
                  <w:noWrap w:val="0"/>
                  <w:vAlign w:val="center"/>
                </w:tcPr>
                <w:p w14:paraId="6512FA7D">
                  <w:pPr>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2类</w:t>
                  </w:r>
                </w:p>
              </w:tc>
              <w:tc>
                <w:tcPr>
                  <w:tcW w:w="1203" w:type="dxa"/>
                  <w:tcBorders>
                    <w:tl2br w:val="nil"/>
                    <w:tr2bl w:val="nil"/>
                  </w:tcBorders>
                  <w:noWrap w:val="0"/>
                  <w:vAlign w:val="center"/>
                </w:tcPr>
                <w:p w14:paraId="0E3AC07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993" w:type="dxa"/>
                  <w:tcBorders>
                    <w:tl2br w:val="nil"/>
                    <w:tr2bl w:val="nil"/>
                  </w:tcBorders>
                  <w:noWrap w:val="0"/>
                  <w:vAlign w:val="center"/>
                </w:tcPr>
                <w:p w14:paraId="4E1C314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r>
            <w:tr w14:paraId="6128F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204" w:type="dxa"/>
                  <w:vMerge w:val="continue"/>
                  <w:tcBorders>
                    <w:tl2br w:val="nil"/>
                    <w:tr2bl w:val="nil"/>
                  </w:tcBorders>
                  <w:noWrap w:val="0"/>
                  <w:vAlign w:val="center"/>
                </w:tcPr>
                <w:p w14:paraId="27F019C4">
                  <w:pPr>
                    <w:widowControl/>
                    <w:jc w:val="left"/>
                    <w:rPr>
                      <w:rFonts w:hint="default" w:ascii="Times New Roman" w:hAnsi="Times New Roman" w:eastAsia="宋体" w:cs="Times New Roman"/>
                      <w:color w:val="auto"/>
                      <w:sz w:val="21"/>
                      <w:szCs w:val="21"/>
                      <w:highlight w:val="none"/>
                    </w:rPr>
                  </w:pPr>
                </w:p>
              </w:tc>
              <w:tc>
                <w:tcPr>
                  <w:tcW w:w="1675" w:type="dxa"/>
                  <w:vMerge w:val="continue"/>
                  <w:tcBorders>
                    <w:tl2br w:val="nil"/>
                    <w:tr2bl w:val="nil"/>
                  </w:tcBorders>
                  <w:noWrap w:val="0"/>
                  <w:vAlign w:val="center"/>
                </w:tcPr>
                <w:p w14:paraId="062FB212">
                  <w:pPr>
                    <w:widowControl/>
                    <w:jc w:val="left"/>
                    <w:rPr>
                      <w:rFonts w:hint="default" w:ascii="Times New Roman" w:hAnsi="Times New Roman" w:eastAsia="宋体" w:cs="Times New Roman"/>
                      <w:color w:val="auto"/>
                      <w:sz w:val="21"/>
                      <w:szCs w:val="21"/>
                      <w:highlight w:val="none"/>
                    </w:rPr>
                  </w:pPr>
                </w:p>
              </w:tc>
              <w:tc>
                <w:tcPr>
                  <w:tcW w:w="843" w:type="dxa"/>
                  <w:vMerge w:val="continue"/>
                  <w:tcBorders>
                    <w:tl2br w:val="nil"/>
                    <w:tr2bl w:val="nil"/>
                  </w:tcBorders>
                  <w:noWrap w:val="0"/>
                  <w:vAlign w:val="center"/>
                </w:tcPr>
                <w:p w14:paraId="7B0150BA">
                  <w:pPr>
                    <w:widowControl/>
                    <w:jc w:val="left"/>
                    <w:rPr>
                      <w:rFonts w:hint="default" w:ascii="Times New Roman" w:hAnsi="Times New Roman" w:eastAsia="宋体" w:cs="Times New Roman"/>
                      <w:color w:val="auto"/>
                      <w:sz w:val="21"/>
                      <w:szCs w:val="21"/>
                      <w:highlight w:val="none"/>
                    </w:rPr>
                  </w:pPr>
                </w:p>
              </w:tc>
              <w:tc>
                <w:tcPr>
                  <w:tcW w:w="910" w:type="dxa"/>
                  <w:vMerge w:val="continue"/>
                  <w:tcBorders>
                    <w:tl2br w:val="nil"/>
                    <w:tr2bl w:val="nil"/>
                  </w:tcBorders>
                  <w:noWrap w:val="0"/>
                  <w:vAlign w:val="center"/>
                </w:tcPr>
                <w:p w14:paraId="7305A339">
                  <w:pPr>
                    <w:widowControl/>
                    <w:jc w:val="left"/>
                    <w:rPr>
                      <w:rFonts w:hint="default" w:ascii="Times New Roman" w:hAnsi="Times New Roman" w:eastAsia="宋体" w:cs="Times New Roman"/>
                      <w:color w:val="auto"/>
                      <w:sz w:val="21"/>
                      <w:szCs w:val="21"/>
                      <w:highlight w:val="none"/>
                    </w:rPr>
                  </w:pPr>
                </w:p>
              </w:tc>
              <w:tc>
                <w:tcPr>
                  <w:tcW w:w="1203" w:type="dxa"/>
                  <w:tcBorders>
                    <w:tl2br w:val="nil"/>
                    <w:tr2bl w:val="nil"/>
                  </w:tcBorders>
                  <w:noWrap w:val="0"/>
                  <w:vAlign w:val="center"/>
                </w:tcPr>
                <w:p w14:paraId="02C07C80">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6</w:t>
                  </w:r>
                  <w:r>
                    <w:rPr>
                      <w:rFonts w:hint="eastAsia" w:cs="Times New Roman"/>
                      <w:color w:val="auto"/>
                      <w:sz w:val="21"/>
                      <w:szCs w:val="21"/>
                      <w:highlight w:val="none"/>
                      <w:lang w:val="en-US" w:eastAsia="zh-CN"/>
                    </w:rPr>
                    <w:t>0</w:t>
                  </w:r>
                </w:p>
              </w:tc>
              <w:tc>
                <w:tcPr>
                  <w:tcW w:w="993" w:type="dxa"/>
                  <w:tcBorders>
                    <w:tl2br w:val="nil"/>
                    <w:tr2bl w:val="nil"/>
                  </w:tcBorders>
                  <w:noWrap w:val="0"/>
                  <w:vAlign w:val="center"/>
                </w:tcPr>
                <w:p w14:paraId="1D8C4E2C">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w:t>
                  </w:r>
                  <w:r>
                    <w:rPr>
                      <w:rFonts w:hint="eastAsia" w:cs="Times New Roman"/>
                      <w:color w:val="auto"/>
                      <w:sz w:val="21"/>
                      <w:szCs w:val="21"/>
                      <w:highlight w:val="none"/>
                      <w:lang w:val="en-US" w:eastAsia="zh-CN"/>
                    </w:rPr>
                    <w:t>0</w:t>
                  </w:r>
                </w:p>
              </w:tc>
            </w:tr>
          </w:tbl>
          <w:p w14:paraId="14A22C9A">
            <w:pPr>
              <w:keepNext w:val="0"/>
              <w:keepLines w:val="0"/>
              <w:pageBreakBefore w:val="0"/>
              <w:widowControl/>
              <w:numPr>
                <w:ilvl w:val="0"/>
                <w:numId w:val="0"/>
              </w:numPr>
              <w:shd w:val="clear"/>
              <w:tabs>
                <w:tab w:val="left" w:pos="6301"/>
              </w:tabs>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四、固废</w:t>
            </w:r>
          </w:p>
          <w:p w14:paraId="1825823C">
            <w:pPr>
              <w:keepNext w:val="0"/>
              <w:keepLines w:val="0"/>
              <w:pageBreakBefore w:val="0"/>
              <w:widowControl/>
              <w:numPr>
                <w:ilvl w:val="0"/>
                <w:numId w:val="0"/>
              </w:numPr>
              <w:shd w:val="clear"/>
              <w:tabs>
                <w:tab w:val="left" w:pos="6301"/>
              </w:tabs>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1"/>
                <w:szCs w:val="21"/>
                <w:highlight w:val="none"/>
                <w:lang w:val="en-US" w:eastAsia="zh-CN"/>
              </w:rPr>
            </w:pPr>
            <w:r>
              <w:rPr>
                <w:rFonts w:hint="eastAsia" w:ascii="宋体" w:hAnsi="宋体" w:eastAsia="宋体" w:cs="宋体"/>
                <w:color w:val="auto"/>
                <w:kern w:val="0"/>
                <w:sz w:val="24"/>
                <w:szCs w:val="24"/>
                <w:highlight w:val="none"/>
                <w:lang w:val="en-US" w:eastAsia="zh-CN" w:bidi="ar"/>
              </w:rPr>
              <w:t>一般工业固体废物执行《中华人民共和国固体废物污染环境防治法》</w:t>
            </w:r>
            <w:r>
              <w:rPr>
                <w:rFonts w:hint="default" w:ascii="Times New Roman" w:hAnsi="Times New Roman" w:eastAsia="宋体" w:cs="Times New Roman"/>
                <w:color w:val="auto"/>
                <w:sz w:val="24"/>
                <w:szCs w:val="24"/>
                <w:highlight w:val="none"/>
              </w:rPr>
              <w:t>中关于一般工业固体废物贮存相关要求</w:t>
            </w:r>
            <w:r>
              <w:rPr>
                <w:rFonts w:hint="eastAsia" w:ascii="宋体" w:hAnsi="宋体" w:eastAsia="宋体" w:cs="宋体"/>
                <w:color w:val="auto"/>
                <w:kern w:val="0"/>
                <w:sz w:val="24"/>
                <w:szCs w:val="24"/>
                <w:highlight w:val="none"/>
                <w:lang w:val="en-US" w:eastAsia="zh-CN" w:bidi="ar"/>
              </w:rPr>
              <w:t>，参照执行</w:t>
            </w:r>
            <w:r>
              <w:rPr>
                <w:rFonts w:hint="default" w:ascii="Times New Roman" w:hAnsi="Times New Roman" w:eastAsia="宋体" w:cs="Times New Roman"/>
                <w:color w:val="auto"/>
                <w:sz w:val="24"/>
                <w:szCs w:val="24"/>
                <w:highlight w:val="none"/>
                <w:lang w:val="zh-CN"/>
              </w:rPr>
              <w:t>《一般工业固体废物贮存和填埋污染控制标准》（GB18599-20</w:t>
            </w:r>
            <w:r>
              <w:rPr>
                <w:rFonts w:hint="default"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zh-CN"/>
              </w:rPr>
              <w:t>）</w:t>
            </w:r>
            <w:r>
              <w:rPr>
                <w:rFonts w:hint="eastAsia" w:cs="Times New Roman"/>
                <w:color w:val="auto"/>
                <w:sz w:val="24"/>
                <w:szCs w:val="24"/>
                <w:highlight w:val="none"/>
                <w:lang w:val="zh-CN"/>
              </w:rPr>
              <w:t>；危险废物执行《危险废物贮存污染控制标准》（GB18597-2023）要求。</w:t>
            </w:r>
          </w:p>
        </w:tc>
      </w:tr>
      <w:tr w14:paraId="547EE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tcBorders>
              <w:bottom w:val="single" w:color="auto" w:sz="12" w:space="0"/>
            </w:tcBorders>
            <w:noWrap w:val="0"/>
            <w:vAlign w:val="center"/>
          </w:tcPr>
          <w:p w14:paraId="28B645B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总量</w:t>
            </w:r>
          </w:p>
          <w:p w14:paraId="4FC4764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控制</w:t>
            </w:r>
          </w:p>
          <w:p w14:paraId="50CA03E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指标</w:t>
            </w:r>
          </w:p>
        </w:tc>
        <w:tc>
          <w:tcPr>
            <w:tcW w:w="8032" w:type="dxa"/>
            <w:tcBorders>
              <w:bottom w:val="single" w:color="auto" w:sz="12" w:space="0"/>
            </w:tcBorders>
            <w:noWrap w:val="0"/>
            <w:vAlign w:val="center"/>
          </w:tcPr>
          <w:p w14:paraId="3DFB8111">
            <w:pPr>
              <w:keepNext w:val="0"/>
              <w:keepLines w:val="0"/>
              <w:pageBreakBefore w:val="0"/>
              <w:widowControl w:val="0"/>
              <w:kinsoku/>
              <w:wordWrap/>
              <w:overflowPunct/>
              <w:topLinePunct w:val="0"/>
              <w:autoSpaceDE/>
              <w:autoSpaceDN/>
              <w:bidi w:val="0"/>
              <w:snapToGrid w:val="0"/>
              <w:spacing w:before="0" w:line="360" w:lineRule="auto"/>
              <w:ind w:firstLine="482" w:firstLineChars="200"/>
              <w:jc w:val="left"/>
              <w:textAlignment w:val="auto"/>
              <w:outlineLvl w:val="9"/>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sz w:val="24"/>
                <w:szCs w:val="24"/>
              </w:rPr>
              <w:t>一、总量控制原则</w:t>
            </w:r>
          </w:p>
          <w:p w14:paraId="18F659A7">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w:t>
            </w:r>
            <w:r>
              <w:rPr>
                <w:rFonts w:hint="default" w:ascii="Times New Roman" w:hAnsi="Times New Roman" w:eastAsia="宋体" w:cs="Times New Roman"/>
                <w:color w:val="auto"/>
                <w:sz w:val="24"/>
                <w:szCs w:val="24"/>
                <w:lang w:eastAsia="zh-CN"/>
              </w:rPr>
              <w:t>山东省建设项目主要大气污染物排放总量替代指标核算及管理办法</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（鲁环发</w:t>
            </w:r>
            <w:r>
              <w:rPr>
                <w:rFonts w:hint="default" w:ascii="Times New Roman" w:hAnsi="Times New Roman" w:eastAsia="宋体" w:cs="Times New Roman"/>
                <w:color w:val="auto"/>
                <w:sz w:val="24"/>
                <w:szCs w:val="24"/>
                <w:lang w:val="en-US" w:eastAsia="zh-CN"/>
              </w:rPr>
              <w:t>[2019]132号</w:t>
            </w:r>
            <w:r>
              <w:rPr>
                <w:rFonts w:hint="default" w:ascii="Times New Roman" w:hAnsi="Times New Roman" w:eastAsia="宋体" w:cs="Times New Roman"/>
                <w:color w:val="auto"/>
                <w:sz w:val="24"/>
                <w:szCs w:val="24"/>
                <w:lang w:eastAsia="zh-CN"/>
              </w:rPr>
              <w:t>），将烟粉尘、</w:t>
            </w:r>
            <w:r>
              <w:rPr>
                <w:rFonts w:hint="eastAsia" w:eastAsia="宋体" w:cs="Times New Roman"/>
                <w:color w:val="auto"/>
                <w:sz w:val="24"/>
                <w:szCs w:val="24"/>
                <w:lang w:val="en-US" w:eastAsia="zh-CN"/>
              </w:rPr>
              <w:t>VOCs</w:t>
            </w:r>
            <w:r>
              <w:rPr>
                <w:rFonts w:hint="default" w:ascii="Times New Roman" w:hAnsi="Times New Roman" w:eastAsia="宋体" w:cs="Times New Roman"/>
                <w:color w:val="auto"/>
                <w:sz w:val="24"/>
                <w:szCs w:val="24"/>
                <w:lang w:val="en-US" w:eastAsia="zh-CN"/>
              </w:rPr>
              <w:t>纳入大气污染物排放总量替代指标体系。</w:t>
            </w:r>
            <w:r>
              <w:rPr>
                <w:rFonts w:hint="default" w:ascii="Times New Roman" w:hAnsi="Times New Roman" w:eastAsia="宋体" w:cs="Times New Roman"/>
                <w:color w:val="auto"/>
                <w:sz w:val="24"/>
                <w:szCs w:val="24"/>
              </w:rPr>
              <w:t>综合考虑</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与本</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有关的总量控制</w:t>
            </w:r>
            <w:r>
              <w:rPr>
                <w:rFonts w:hint="default" w:ascii="Times New Roman" w:hAnsi="Times New Roman" w:eastAsia="宋体" w:cs="Times New Roman"/>
                <w:color w:val="auto"/>
                <w:sz w:val="24"/>
                <w:szCs w:val="24"/>
                <w:lang w:eastAsia="zh-CN"/>
              </w:rPr>
              <w:t>污染物</w:t>
            </w:r>
            <w:r>
              <w:rPr>
                <w:rFonts w:hint="default" w:ascii="Times New Roman" w:hAnsi="Times New Roman" w:eastAsia="宋体" w:cs="Times New Roman"/>
                <w:color w:val="auto"/>
                <w:sz w:val="24"/>
                <w:szCs w:val="24"/>
              </w:rPr>
              <w:t>为</w:t>
            </w:r>
            <w:r>
              <w:rPr>
                <w:rFonts w:hint="eastAsia" w:eastAsia="宋体" w:cs="Times New Roman"/>
                <w:color w:val="auto"/>
                <w:sz w:val="24"/>
                <w:szCs w:val="24"/>
                <w:lang w:val="en-US" w:eastAsia="zh-CN"/>
              </w:rPr>
              <w:t>VOCs</w:t>
            </w:r>
            <w:r>
              <w:rPr>
                <w:rFonts w:hint="default" w:ascii="Times New Roman" w:hAnsi="Times New Roman" w:eastAsia="宋体" w:cs="Times New Roman"/>
                <w:color w:val="auto"/>
                <w:sz w:val="24"/>
                <w:szCs w:val="24"/>
              </w:rPr>
              <w:t>。</w:t>
            </w:r>
          </w:p>
          <w:p w14:paraId="44DBBAB0">
            <w:pPr>
              <w:keepNext w:val="0"/>
              <w:keepLines w:val="0"/>
              <w:pageBreakBefore w:val="0"/>
              <w:widowControl w:val="0"/>
              <w:kinsoku/>
              <w:wordWrap/>
              <w:overflowPunct/>
              <w:topLinePunct w:val="0"/>
              <w:autoSpaceDE/>
              <w:autoSpaceDN/>
              <w:bidi w:val="0"/>
              <w:snapToGrid w:val="0"/>
              <w:spacing w:line="360" w:lineRule="auto"/>
              <w:ind w:firstLineChars="200"/>
              <w:jc w:val="left"/>
              <w:textAlignment w:val="auto"/>
              <w:outlineLvl w:val="9"/>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sz w:val="24"/>
                <w:szCs w:val="24"/>
              </w:rPr>
              <w:t>二、总量控制建议值</w:t>
            </w:r>
          </w:p>
          <w:p w14:paraId="07F326B2">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outlineLvl w:val="9"/>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1、水污染物</w:t>
            </w:r>
          </w:p>
          <w:p w14:paraId="73750F52">
            <w:pPr>
              <w:keepNext w:val="0"/>
              <w:keepLines w:val="0"/>
              <w:pageBreakBefore w:val="0"/>
              <w:widowControl w:val="0"/>
              <w:kinsoku/>
              <w:wordWrap/>
              <w:overflowPunct/>
              <w:topLinePunct w:val="0"/>
              <w:autoSpaceDE/>
              <w:autoSpaceDN/>
              <w:bidi w:val="0"/>
              <w:snapToGrid w:val="0"/>
              <w:spacing w:before="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lang w:val="en-US" w:eastAsia="zh-CN"/>
              </w:rPr>
              <w:t>无废水外排。无</w:t>
            </w:r>
            <w:r>
              <w:rPr>
                <w:rFonts w:hint="default" w:ascii="Times New Roman" w:hAnsi="Times New Roman" w:eastAsia="宋体" w:cs="Times New Roman"/>
                <w:color w:val="auto"/>
                <w:sz w:val="24"/>
                <w:szCs w:val="24"/>
                <w:highlight w:val="none"/>
                <w:lang w:val="en-US" w:eastAsia="zh-CN"/>
              </w:rPr>
              <w:t>需申请相应的管理指标</w:t>
            </w:r>
            <w:r>
              <w:rPr>
                <w:rFonts w:hint="default" w:ascii="Times New Roman" w:hAnsi="Times New Roman" w:eastAsia="宋体" w:cs="Times New Roman"/>
                <w:color w:val="auto"/>
                <w:sz w:val="24"/>
                <w:szCs w:val="24"/>
                <w:highlight w:val="none"/>
                <w:lang w:eastAsia="zh-CN"/>
              </w:rPr>
              <w:t>。</w:t>
            </w:r>
          </w:p>
          <w:p w14:paraId="66BC308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strike w:val="0"/>
                <w:dstrike w:val="0"/>
                <w:color w:val="auto"/>
                <w:sz w:val="24"/>
                <w:szCs w:val="24"/>
                <w:lang w:val="en-US" w:eastAsia="zh-CN"/>
              </w:rPr>
            </w:pPr>
            <w:r>
              <w:rPr>
                <w:rFonts w:hint="default" w:ascii="Times New Roman" w:hAnsi="Times New Roman" w:eastAsia="宋体" w:cs="Times New Roman"/>
                <w:b/>
                <w:bCs/>
                <w:strike w:val="0"/>
                <w:dstrike w:val="0"/>
                <w:color w:val="auto"/>
                <w:sz w:val="24"/>
                <w:szCs w:val="24"/>
                <w:lang w:val="en-US" w:eastAsia="zh-CN"/>
              </w:rPr>
              <w:t>2、大气污染物</w:t>
            </w:r>
          </w:p>
          <w:p w14:paraId="51179B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本项目</w:t>
            </w:r>
            <w:r>
              <w:rPr>
                <w:rFonts w:hint="eastAsia" w:cs="Times New Roman"/>
                <w:color w:val="auto"/>
                <w:sz w:val="24"/>
                <w:szCs w:val="32"/>
                <w:highlight w:val="none"/>
                <w:lang w:val="en-US" w:eastAsia="zh-CN"/>
              </w:rPr>
              <w:t>颗粒物</w:t>
            </w:r>
            <w:r>
              <w:rPr>
                <w:rFonts w:hint="eastAsia" w:ascii="Times New Roman" w:hAnsi="Times New Roman" w:eastAsia="宋体" w:cs="Times New Roman"/>
                <w:color w:val="auto"/>
                <w:kern w:val="2"/>
                <w:sz w:val="24"/>
                <w:szCs w:val="24"/>
                <w:highlight w:val="none"/>
                <w:lang w:val="en-US" w:eastAsia="zh-CN" w:bidi="ar-SA"/>
              </w:rPr>
              <w:t>产生量极少，因此本次评价不再对本工序颗粒物定量分析，纳入企业自行检测管理</w:t>
            </w:r>
            <w:r>
              <w:rPr>
                <w:rFonts w:hint="eastAsia" w:cs="Times New Roman"/>
                <w:color w:val="auto"/>
                <w:sz w:val="24"/>
                <w:szCs w:val="32"/>
                <w:highlight w:val="none"/>
                <w:lang w:val="en-US" w:eastAsia="zh-CN"/>
              </w:rPr>
              <w:t>，</w:t>
            </w:r>
            <w:r>
              <w:rPr>
                <w:rFonts w:hint="eastAsia" w:eastAsia="宋体" w:cs="Times New Roman"/>
                <w:color w:val="auto"/>
                <w:sz w:val="24"/>
                <w:szCs w:val="32"/>
                <w:highlight w:val="none"/>
                <w:lang w:val="en-US" w:eastAsia="zh-CN"/>
              </w:rPr>
              <w:t>VOCs</w:t>
            </w:r>
            <w:r>
              <w:rPr>
                <w:rFonts w:hint="default" w:ascii="Times New Roman" w:hAnsi="Times New Roman" w:eastAsia="宋体" w:cs="Times New Roman"/>
                <w:color w:val="auto"/>
                <w:sz w:val="24"/>
                <w:szCs w:val="32"/>
                <w:highlight w:val="none"/>
                <w:lang w:val="en-US" w:eastAsia="zh-CN"/>
              </w:rPr>
              <w:t>有组织排放量</w:t>
            </w:r>
            <w:r>
              <w:rPr>
                <w:rFonts w:hint="eastAsia" w:cs="Times New Roman"/>
                <w:color w:val="auto"/>
                <w:sz w:val="24"/>
                <w:szCs w:val="32"/>
                <w:highlight w:val="none"/>
                <w:lang w:val="en-US" w:eastAsia="zh-CN"/>
              </w:rPr>
              <w:t>分别</w:t>
            </w:r>
            <w:r>
              <w:rPr>
                <w:rFonts w:hint="default" w:ascii="Times New Roman" w:hAnsi="Times New Roman" w:eastAsia="宋体" w:cs="Times New Roman"/>
                <w:color w:val="auto"/>
                <w:sz w:val="24"/>
                <w:szCs w:val="32"/>
                <w:highlight w:val="none"/>
                <w:lang w:val="en-US" w:eastAsia="zh-CN"/>
              </w:rPr>
              <w:t>为</w:t>
            </w:r>
            <w:r>
              <w:rPr>
                <w:rFonts w:hint="eastAsia" w:cs="Times New Roman"/>
                <w:color w:val="auto"/>
                <w:sz w:val="24"/>
                <w:szCs w:val="32"/>
                <w:highlight w:val="none"/>
                <w:lang w:val="en-US" w:eastAsia="zh-CN"/>
              </w:rPr>
              <w:t>0.041t/a</w:t>
            </w:r>
            <w:r>
              <w:rPr>
                <w:rFonts w:hint="default" w:ascii="Times New Roman" w:hAnsi="Times New Roman" w:eastAsia="宋体" w:cs="Times New Roman"/>
                <w:color w:val="auto"/>
                <w:sz w:val="24"/>
                <w:szCs w:val="32"/>
                <w:highlight w:val="none"/>
                <w:lang w:val="en-US" w:eastAsia="zh-CN"/>
              </w:rPr>
              <w:t>。根据《济宁市生态环境局关于转发&lt;山东省生态环境厅关于印发山东省建设项目主要大气污染物排放总量替代指标核算及管理办法的通知&gt;的通知</w:t>
            </w:r>
            <w:r>
              <w:rPr>
                <w:rFonts w:hint="eastAsia"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lang w:val="en-US" w:eastAsia="zh-CN"/>
              </w:rPr>
              <w:t>山东省生态环境厅关于印发山东省建设项目主要大气污染物排放总量替代指标核算及管理办法的通知》（鲁环发[2019]132 号），</w:t>
            </w:r>
            <w:r>
              <w:rPr>
                <w:rFonts w:hint="eastAsia" w:eastAsia="宋体" w:cs="Times New Roman"/>
                <w:color w:val="auto"/>
                <w:sz w:val="24"/>
                <w:szCs w:val="32"/>
                <w:highlight w:val="none"/>
                <w:lang w:val="en-US" w:eastAsia="zh-CN"/>
              </w:rPr>
              <w:t>VOCs</w:t>
            </w:r>
            <w:r>
              <w:rPr>
                <w:rFonts w:hint="default" w:ascii="Times New Roman" w:hAnsi="Times New Roman" w:eastAsia="宋体" w:cs="Times New Roman"/>
                <w:color w:val="auto"/>
                <w:sz w:val="24"/>
                <w:szCs w:val="32"/>
                <w:highlight w:val="none"/>
                <w:lang w:val="en-US" w:eastAsia="zh-CN"/>
              </w:rPr>
              <w:t>应进行两倍替代，替代量为：</w:t>
            </w:r>
            <w:r>
              <w:rPr>
                <w:rFonts w:hint="eastAsia" w:eastAsia="宋体" w:cs="Times New Roman"/>
                <w:color w:val="auto"/>
                <w:sz w:val="24"/>
                <w:szCs w:val="32"/>
                <w:highlight w:val="none"/>
                <w:lang w:val="en-US" w:eastAsia="zh-CN"/>
              </w:rPr>
              <w:t>VOCs</w:t>
            </w:r>
            <w:r>
              <w:rPr>
                <w:rFonts w:hint="default" w:ascii="Times New Roman" w:hAnsi="Times New Roman" w:eastAsia="宋体" w:cs="Times New Roman"/>
                <w:color w:val="auto"/>
                <w:sz w:val="24"/>
                <w:szCs w:val="32"/>
                <w:highlight w:val="none"/>
                <w:lang w:val="en-US" w:eastAsia="zh-CN"/>
              </w:rPr>
              <w:t xml:space="preserve"> </w:t>
            </w:r>
            <w:r>
              <w:rPr>
                <w:rFonts w:hint="eastAsia" w:ascii="Times New Roman" w:hAnsi="Times New Roman" w:eastAsia="宋体" w:cs="Times New Roman"/>
                <w:color w:val="auto"/>
                <w:sz w:val="24"/>
                <w:szCs w:val="32"/>
                <w:highlight w:val="none"/>
                <w:lang w:val="en-US" w:eastAsia="zh-CN"/>
              </w:rPr>
              <w:t>0.</w:t>
            </w:r>
            <w:r>
              <w:rPr>
                <w:rFonts w:hint="eastAsia" w:cs="Times New Roman"/>
                <w:color w:val="auto"/>
                <w:sz w:val="24"/>
                <w:szCs w:val="32"/>
                <w:highlight w:val="none"/>
                <w:lang w:val="en-US" w:eastAsia="zh-CN"/>
              </w:rPr>
              <w:t>082</w:t>
            </w:r>
            <w:r>
              <w:rPr>
                <w:rFonts w:hint="eastAsia" w:eastAsia="宋体" w:cs="Times New Roman"/>
                <w:color w:val="auto"/>
                <w:sz w:val="24"/>
                <w:szCs w:val="32"/>
                <w:highlight w:val="none"/>
                <w:lang w:val="en-US" w:eastAsia="zh-CN"/>
              </w:rPr>
              <w:t>t</w:t>
            </w:r>
            <w:r>
              <w:rPr>
                <w:rFonts w:hint="default" w:ascii="Times New Roman" w:hAnsi="Times New Roman" w:eastAsia="宋体" w:cs="Times New Roman"/>
                <w:color w:val="auto"/>
                <w:sz w:val="24"/>
                <w:szCs w:val="32"/>
                <w:highlight w:val="none"/>
                <w:lang w:val="en-US" w:eastAsia="zh-CN"/>
              </w:rPr>
              <w:t>/a。</w:t>
            </w:r>
          </w:p>
          <w:p w14:paraId="4EC450CC">
            <w:pPr>
              <w:spacing w:line="360" w:lineRule="auto"/>
              <w:rPr>
                <w:rFonts w:hint="default" w:ascii="Times New Roman" w:hAnsi="Times New Roman" w:eastAsia="宋体" w:cs="Times New Roman"/>
                <w:color w:val="auto"/>
                <w:sz w:val="21"/>
                <w:szCs w:val="21"/>
                <w:highlight w:val="none"/>
                <w:lang w:val="en-US" w:eastAsia="zh-CN"/>
              </w:rPr>
            </w:pPr>
          </w:p>
        </w:tc>
      </w:tr>
    </w:tbl>
    <w:p w14:paraId="04220A4B">
      <w:pPr>
        <w:spacing w:after="240" w:afterLines="100"/>
        <w:outlineLvl w:val="0"/>
        <w:rPr>
          <w:rFonts w:hint="default" w:ascii="Times New Roman" w:hAnsi="Times New Roman" w:cs="Times New Roman"/>
          <w:b/>
          <w:color w:val="auto"/>
          <w:sz w:val="30"/>
          <w:szCs w:val="30"/>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p w14:paraId="07DAE4F6">
      <w:pPr>
        <w:spacing w:after="240" w:afterLines="100"/>
        <w:jc w:val="center"/>
        <w:outlineLvl w:val="0"/>
        <w:rPr>
          <w:rFonts w:hint="default" w:ascii="Times New Roman" w:hAnsi="Times New Roman" w:eastAsia="宋体" w:cs="Times New Roman"/>
          <w:b/>
          <w:color w:val="auto"/>
          <w:sz w:val="30"/>
          <w:szCs w:val="30"/>
          <w:lang w:val="en-US" w:eastAsia="zh-CN"/>
        </w:rPr>
      </w:pPr>
      <w:r>
        <w:rPr>
          <w:rFonts w:hint="eastAsia" w:ascii="Times New Roman" w:hAnsi="Times New Roman" w:cs="Times New Roman"/>
          <w:b/>
          <w:color w:val="auto"/>
          <w:sz w:val="30"/>
          <w:szCs w:val="30"/>
          <w:lang w:val="en-US" w:eastAsia="zh-CN"/>
        </w:rPr>
        <w:t>四</w:t>
      </w:r>
      <w:r>
        <w:rPr>
          <w:rFonts w:hint="default" w:ascii="Times New Roman" w:hAnsi="Times New Roman" w:cs="Times New Roman"/>
          <w:b/>
          <w:color w:val="auto"/>
          <w:sz w:val="30"/>
          <w:szCs w:val="30"/>
        </w:rPr>
        <w:t>、</w:t>
      </w:r>
      <w:r>
        <w:rPr>
          <w:rFonts w:hint="eastAsia" w:ascii="Times New Roman" w:hAnsi="Times New Roman" w:cs="Times New Roman"/>
          <w:b/>
          <w:color w:val="auto"/>
          <w:sz w:val="30"/>
          <w:szCs w:val="30"/>
          <w:lang w:val="en-US" w:eastAsia="zh-CN"/>
        </w:rPr>
        <w:t>主要</w:t>
      </w:r>
      <w:r>
        <w:rPr>
          <w:rFonts w:hint="default" w:ascii="Times New Roman" w:hAnsi="Times New Roman" w:cs="Times New Roman"/>
          <w:b/>
          <w:color w:val="auto"/>
          <w:sz w:val="30"/>
          <w:szCs w:val="30"/>
        </w:rPr>
        <w:t>环境影响</w:t>
      </w:r>
      <w:r>
        <w:rPr>
          <w:rFonts w:hint="eastAsia" w:ascii="Times New Roman" w:hAnsi="Times New Roman" w:cs="Times New Roman"/>
          <w:b/>
          <w:color w:val="auto"/>
          <w:sz w:val="30"/>
          <w:szCs w:val="30"/>
          <w:lang w:val="en-US" w:eastAsia="zh-CN"/>
        </w:rPr>
        <w:t>和保护措施</w:t>
      </w:r>
    </w:p>
    <w:tbl>
      <w:tblPr>
        <w:tblStyle w:val="37"/>
        <w:tblW w:w="93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9"/>
        <w:gridCol w:w="8913"/>
      </w:tblGrid>
      <w:tr w14:paraId="1B3C5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348" w:hRule="atLeast"/>
          <w:jc w:val="center"/>
        </w:trPr>
        <w:tc>
          <w:tcPr>
            <w:tcW w:w="469" w:type="dxa"/>
            <w:tcBorders>
              <w:top w:val="single" w:color="auto" w:sz="12" w:space="0"/>
              <w:bottom w:val="single" w:color="auto" w:sz="12" w:space="0"/>
            </w:tcBorders>
            <w:noWrap w:val="0"/>
            <w:vAlign w:val="center"/>
          </w:tcPr>
          <w:p w14:paraId="0C7693D9">
            <w:pPr>
              <w:pStyle w:val="36"/>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施工期环境保护措施</w:t>
            </w:r>
          </w:p>
        </w:tc>
        <w:tc>
          <w:tcPr>
            <w:tcW w:w="8913" w:type="dxa"/>
            <w:tcBorders>
              <w:top w:val="single" w:color="auto" w:sz="12" w:space="0"/>
              <w:bottom w:val="single" w:color="auto" w:sz="12" w:space="0"/>
            </w:tcBorders>
            <w:noWrap w:val="0"/>
            <w:vAlign w:val="top"/>
          </w:tcPr>
          <w:p w14:paraId="22E84C64">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4"/>
                <w:szCs w:val="24"/>
                <w:lang w:val="en-US" w:eastAsia="zh-CN"/>
              </w:rPr>
              <w:t>企业租赁已建成的厂房，施工期只进行简单的设备安装，施工期较短，随着施工的结束，对周围环境影响也会随之消失，故本项目不对施工期进行分析。</w:t>
            </w:r>
          </w:p>
        </w:tc>
      </w:tr>
      <w:tr w14:paraId="7D5A8D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tcBorders>
              <w:top w:val="single" w:color="auto" w:sz="12" w:space="0"/>
              <w:bottom w:val="single" w:color="auto" w:sz="12" w:space="0"/>
            </w:tcBorders>
            <w:noWrap w:val="0"/>
            <w:vAlign w:val="center"/>
          </w:tcPr>
          <w:p w14:paraId="5476CBE1">
            <w:pPr>
              <w:pStyle w:val="36"/>
              <w:keepNext w:val="0"/>
              <w:keepLines w:val="0"/>
              <w:pageBreakBefore w:val="0"/>
              <w:widowControl w:val="0"/>
              <w:kinsoku/>
              <w:wordWrap/>
              <w:overflowPunct/>
              <w:topLinePunct w:val="0"/>
              <w:autoSpaceDE/>
              <w:autoSpaceDN/>
              <w:bidi w:val="0"/>
              <w:adjustRightInd w:val="0"/>
              <w:snapToGrid w:val="0"/>
              <w:spacing w:before="0" w:after="0"/>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运营期环境影响和保护措施</w:t>
            </w:r>
          </w:p>
        </w:tc>
        <w:tc>
          <w:tcPr>
            <w:tcW w:w="8913" w:type="dxa"/>
            <w:tcBorders>
              <w:top w:val="single" w:color="auto" w:sz="12" w:space="0"/>
              <w:bottom w:val="single" w:color="auto" w:sz="12" w:space="0"/>
            </w:tcBorders>
            <w:noWrap w:val="0"/>
            <w:vAlign w:val="center"/>
          </w:tcPr>
          <w:p w14:paraId="617E6ABB">
            <w:pPr>
              <w:spacing w:line="440" w:lineRule="exact"/>
              <w:ind w:firstLine="482" w:firstLineChars="200"/>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一、废气</w:t>
            </w:r>
          </w:p>
          <w:p w14:paraId="239C02CD">
            <w:pPr>
              <w:spacing w:line="440" w:lineRule="exact"/>
              <w:ind w:firstLine="482" w:firstLineChars="200"/>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1、源强分析</w:t>
            </w:r>
          </w:p>
          <w:p w14:paraId="698A0964">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r>
              <w:rPr>
                <w:rFonts w:hint="eastAsia" w:cs="Times New Roman"/>
                <w:color w:val="auto"/>
                <w:sz w:val="24"/>
                <w:szCs w:val="24"/>
                <w:lang w:val="en-US" w:eastAsia="zh-CN"/>
              </w:rPr>
              <w:t>吹</w:t>
            </w:r>
            <w:r>
              <w:rPr>
                <w:rFonts w:hint="eastAsia" w:ascii="Times New Roman" w:hAnsi="Times New Roman" w:eastAsia="宋体" w:cs="Times New Roman"/>
                <w:color w:val="auto"/>
                <w:sz w:val="24"/>
                <w:szCs w:val="24"/>
                <w:lang w:val="en-US" w:eastAsia="zh-CN"/>
              </w:rPr>
              <w:t>塑废气</w:t>
            </w:r>
          </w:p>
          <w:p w14:paraId="5058DF9E">
            <w:pPr>
              <w:spacing w:line="360" w:lineRule="auto"/>
              <w:ind w:firstLine="480" w:firstLineChars="200"/>
              <w:rPr>
                <w:rFonts w:hint="eastAsia" w:ascii="Times New Roman" w:hAnsi="Times New Roman" w:eastAsia="新宋体" w:cs="Times New Roman"/>
                <w:color w:val="auto"/>
                <w:sz w:val="24"/>
                <w:szCs w:val="22"/>
                <w:highlight w:val="none"/>
                <w:lang w:val="en-US" w:eastAsia="zh-CN"/>
              </w:rPr>
            </w:pPr>
            <w:r>
              <w:rPr>
                <w:rFonts w:hint="eastAsia" w:ascii="Times New Roman" w:hAnsi="Times New Roman" w:eastAsia="新宋体" w:cs="Times New Roman"/>
                <w:color w:val="auto"/>
                <w:sz w:val="24"/>
                <w:szCs w:val="22"/>
                <w:highlight w:val="none"/>
                <w:lang w:val="en-US" w:eastAsia="zh-CN"/>
              </w:rPr>
              <w:t>①VOCs</w:t>
            </w:r>
          </w:p>
          <w:p w14:paraId="12793DD6">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新宋体" w:cs="Times New Roman"/>
                <w:color w:val="auto"/>
                <w:sz w:val="24"/>
                <w:szCs w:val="22"/>
                <w:highlight w:val="none"/>
                <w:lang w:val="en-US" w:eastAsia="zh-CN"/>
              </w:rPr>
              <w:t>本项目所用原料为聚乙烯</w:t>
            </w:r>
            <w:r>
              <w:rPr>
                <w:rFonts w:hint="eastAsia" w:eastAsia="新宋体" w:cs="Times New Roman"/>
                <w:color w:val="auto"/>
                <w:sz w:val="24"/>
                <w:szCs w:val="22"/>
                <w:highlight w:val="none"/>
                <w:lang w:val="en-US" w:eastAsia="zh-CN"/>
              </w:rPr>
              <w:t>、聚丙烯</w:t>
            </w:r>
            <w:r>
              <w:rPr>
                <w:rFonts w:hint="eastAsia" w:ascii="Times New Roman" w:hAnsi="Times New Roman" w:eastAsia="新宋体" w:cs="Times New Roman"/>
                <w:color w:val="auto"/>
                <w:sz w:val="24"/>
                <w:szCs w:val="22"/>
                <w:highlight w:val="none"/>
                <w:lang w:val="en-US" w:eastAsia="zh-CN"/>
              </w:rPr>
              <w:t>颗粒。加热融化挤出过程温度为200℃左右，原料不会分解，只有原料中的少量封闭在聚合物中产单体及游离的有机物分子可能会被释放出来，加热过程温度为</w:t>
            </w:r>
            <w:r>
              <w:rPr>
                <w:rFonts w:hint="eastAsia" w:eastAsia="新宋体" w:cs="Times New Roman"/>
                <w:color w:val="auto"/>
                <w:sz w:val="24"/>
                <w:szCs w:val="22"/>
                <w:highlight w:val="none"/>
                <w:lang w:val="en-US" w:eastAsia="zh-CN"/>
              </w:rPr>
              <w:t>200</w:t>
            </w:r>
            <w:r>
              <w:rPr>
                <w:rFonts w:hint="eastAsia" w:ascii="Times New Roman" w:hAnsi="Times New Roman" w:eastAsia="新宋体" w:cs="Times New Roman"/>
                <w:color w:val="auto"/>
                <w:sz w:val="24"/>
                <w:szCs w:val="22"/>
                <w:highlight w:val="none"/>
                <w:lang w:val="en-US" w:eastAsia="zh-CN"/>
              </w:rPr>
              <w:t>℃左右</w:t>
            </w:r>
            <w:r>
              <w:rPr>
                <w:rFonts w:hint="eastAsia" w:ascii="Times New Roman" w:hAnsi="Times New Roman" w:eastAsia="宋体" w:cs="Times New Roman"/>
                <w:color w:val="auto"/>
                <w:sz w:val="24"/>
                <w:szCs w:val="24"/>
                <w:lang w:val="en-US" w:eastAsia="zh-CN"/>
              </w:rPr>
              <w:t>，加热过程产生的废气量较少，以VOCs作为评价。</w:t>
            </w:r>
          </w:p>
          <w:p w14:paraId="246C82EF">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根据《排放源统计调查产排污核算方法和系数手册》“292塑料制品业系数手册中2926 塑料包装箱及容器制造行业系数表”配料-混合挤出/ 注（吹）塑工序挥发性有机物（以非甲烷总烃计）产污系数为3.76千克/吨-产品。本项目产品总量为120t/a，则吹塑工序挥发性有机物（以非甲烷总烃计）产生量约为0.451t/a。项目设计在各生产线的吹塑工序上方设置集气罩，并设置软帘。根据《大气污染控制工程》（第三版）计算风机风量，公式如下：</w:t>
            </w:r>
          </w:p>
          <w:p w14:paraId="48BDD960">
            <w:pPr>
              <w:widowControl w:val="0"/>
              <w:spacing w:before="287" w:line="183" w:lineRule="auto"/>
              <w:ind w:left="519"/>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L=K×P×H×V×3600</w:t>
            </w:r>
          </w:p>
          <w:p w14:paraId="5F5EFD17">
            <w:pPr>
              <w:widowControl w:val="0"/>
              <w:spacing w:before="175" w:line="220" w:lineRule="auto"/>
              <w:ind w:left="519"/>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式中：</w:t>
            </w:r>
          </w:p>
          <w:p w14:paraId="16E10601">
            <w:pPr>
              <w:widowControl w:val="0"/>
              <w:spacing w:before="208" w:line="219" w:lineRule="auto"/>
              <w:ind w:left="529"/>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L---集气罩排风量，m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p>
          <w:p w14:paraId="254C6FA9">
            <w:pPr>
              <w:widowControl w:val="0"/>
              <w:spacing w:before="217" w:line="219" w:lineRule="auto"/>
              <w:ind w:left="529"/>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K-考虑沿高度分布不均匀的安全系数，通常取K=1.4；</w:t>
            </w:r>
          </w:p>
          <w:p w14:paraId="5C40ACF9">
            <w:pPr>
              <w:widowControl w:val="0"/>
              <w:spacing w:before="181" w:line="394" w:lineRule="auto"/>
              <w:ind w:right="42"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P--排风罩敞开面的周长，m；吹塑机为密闭，废气排出的部分在出料部位，本工序设置12个集气罩，单个集气罩敞开面周长为1.2m，合计周长14.4m；</w:t>
            </w:r>
          </w:p>
          <w:p w14:paraId="7BEB5682">
            <w:pPr>
              <w:widowControl w:val="0"/>
              <w:spacing w:line="218" w:lineRule="auto"/>
              <w:ind w:left="529"/>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H-罩口至有害物源的距离，m；本项目设置带软帘的集气罩，距离取0.3；</w:t>
            </w:r>
          </w:p>
          <w:p w14:paraId="330E9ABB">
            <w:pPr>
              <w:widowControl w:val="0"/>
              <w:spacing w:before="220" w:line="393" w:lineRule="auto"/>
              <w:ind w:left="129" w:right="39" w:firstLine="41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V-边缘控制点的控制风速，m/s；本项目污染物放散情况为以很缓慢的速度放散到相当平静的空气中，一般取0.25-0.5m/s，本项目取0.3m/s。</w:t>
            </w:r>
          </w:p>
          <w:p w14:paraId="0E7D82B2">
            <w:pPr>
              <w:pStyle w:val="157"/>
              <w:spacing w:line="360" w:lineRule="auto"/>
              <w:ind w:left="10" w:firstLine="437"/>
              <w:rPr>
                <w:rFonts w:hint="eastAsia" w:ascii="Times New Roman" w:hAnsi="Times New Roman" w:eastAsia="新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经核算，本工序集气装置所需风量约为6531.84m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/h，考虑管道风阻及风量损耗，本次评价设置废气处理设施的风机风量为6500m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default" w:ascii="Times New Roman" w:hAnsi="Times New Roman" w:eastAsia="宋体" w:cs="Times New Roman"/>
                <w:b w:val="0"/>
                <w:bCs w:val="0"/>
                <w:color w:val="auto"/>
                <w:sz w:val="24"/>
                <w:szCs w:val="24"/>
                <w:highlight w:val="none"/>
                <w:shd w:val="clear" w:color="auto" w:fill="FFFFFF"/>
                <w:lang w:eastAsia="zh-CN"/>
              </w:rPr>
              <w:t>收集效率为</w:t>
            </w:r>
            <w:r>
              <w:rPr>
                <w:rFonts w:hint="default" w:ascii="Times New Roman" w:hAnsi="Times New Roman" w:eastAsia="宋体" w:cs="Times New Roman"/>
                <w:b w:val="0"/>
                <w:bCs w:val="0"/>
                <w:color w:val="auto"/>
                <w:sz w:val="24"/>
                <w:szCs w:val="24"/>
                <w:highlight w:val="none"/>
                <w:shd w:val="clear" w:color="auto" w:fill="FFFFFF"/>
                <w:lang w:val="en-US" w:eastAsia="zh-CN"/>
              </w:rPr>
              <w:t>9</w:t>
            </w:r>
            <w:r>
              <w:rPr>
                <w:rFonts w:hint="eastAsia" w:ascii="Times New Roman" w:hAnsi="Times New Roman" w:eastAsia="宋体" w:cs="Times New Roman"/>
                <w:b w:val="0"/>
                <w:bCs w:val="0"/>
                <w:color w:val="auto"/>
                <w:sz w:val="24"/>
                <w:szCs w:val="24"/>
                <w:highlight w:val="none"/>
                <w:shd w:val="clear" w:color="auto" w:fill="FFFFFF"/>
                <w:lang w:val="en-US" w:eastAsia="zh-CN"/>
              </w:rPr>
              <w:t>0</w:t>
            </w:r>
            <w:r>
              <w:rPr>
                <w:rFonts w:hint="default" w:ascii="Times New Roman" w:hAnsi="Times New Roman" w:eastAsia="宋体" w:cs="Times New Roman"/>
                <w:b w:val="0"/>
                <w:bCs w:val="0"/>
                <w:color w:val="auto"/>
                <w:sz w:val="24"/>
                <w:szCs w:val="24"/>
                <w:highlight w:val="none"/>
                <w:shd w:val="clear" w:color="auto" w:fill="FFFFFF"/>
                <w:lang w:eastAsia="zh-CN"/>
              </w:rPr>
              <w:t>%，</w:t>
            </w:r>
            <w:r>
              <w:rPr>
                <w:rFonts w:hint="eastAsia" w:ascii="Times New Roman" w:hAnsi="Times New Roman" w:eastAsia="宋体" w:cs="Times New Roman"/>
                <w:color w:val="auto"/>
                <w:kern w:val="2"/>
                <w:sz w:val="24"/>
                <w:szCs w:val="24"/>
                <w:highlight w:val="none"/>
                <w:lang w:val="en-US" w:eastAsia="zh-CN" w:bidi="ar-SA"/>
              </w:rPr>
              <w:t>工作时间为2400h/a。</w:t>
            </w:r>
            <w:r>
              <w:rPr>
                <w:rFonts w:hint="default" w:ascii="Times New Roman" w:hAnsi="Times New Roman" w:eastAsia="宋体" w:cs="Times New Roman"/>
                <w:b w:val="0"/>
                <w:bCs w:val="0"/>
                <w:color w:val="auto"/>
                <w:sz w:val="24"/>
                <w:szCs w:val="24"/>
                <w:highlight w:val="none"/>
                <w:shd w:val="clear" w:color="auto" w:fill="FFFFFF"/>
                <w:lang w:eastAsia="zh-CN"/>
              </w:rPr>
              <w:t>则有组织</w:t>
            </w:r>
            <w:r>
              <w:rPr>
                <w:rFonts w:hint="default" w:ascii="Times New Roman" w:hAnsi="Times New Roman" w:eastAsia="宋体" w:cs="Times New Roman"/>
                <w:b w:val="0"/>
                <w:bCs w:val="0"/>
                <w:color w:val="auto"/>
                <w:sz w:val="24"/>
                <w:szCs w:val="24"/>
                <w:highlight w:val="none"/>
                <w:lang w:val="en-US" w:eastAsia="zh-CN"/>
              </w:rPr>
              <w:t>VOCs</w:t>
            </w:r>
            <w:r>
              <w:rPr>
                <w:rFonts w:hint="default" w:ascii="Times New Roman" w:hAnsi="Times New Roman" w:eastAsia="宋体" w:cs="Times New Roman"/>
                <w:b w:val="0"/>
                <w:bCs w:val="0"/>
                <w:color w:val="auto"/>
                <w:sz w:val="24"/>
                <w:szCs w:val="24"/>
                <w:highlight w:val="none"/>
                <w:shd w:val="clear" w:color="auto" w:fill="FFFFFF"/>
                <w:lang w:val="en-US" w:eastAsia="zh-CN"/>
              </w:rPr>
              <w:t>收集</w:t>
            </w:r>
            <w:r>
              <w:rPr>
                <w:rFonts w:hint="default" w:ascii="Times New Roman" w:hAnsi="Times New Roman" w:eastAsia="宋体" w:cs="Times New Roman"/>
                <w:b w:val="0"/>
                <w:bCs w:val="0"/>
                <w:color w:val="auto"/>
                <w:sz w:val="24"/>
                <w:szCs w:val="24"/>
                <w:highlight w:val="none"/>
                <w:shd w:val="clear" w:color="auto" w:fill="FFFFFF"/>
                <w:lang w:eastAsia="zh-CN"/>
              </w:rPr>
              <w:t>量为</w:t>
            </w:r>
            <w:r>
              <w:rPr>
                <w:rFonts w:hint="eastAsia" w:ascii="Times New Roman" w:hAnsi="Times New Roman" w:eastAsia="宋体" w:cs="Times New Roman"/>
                <w:b w:val="0"/>
                <w:bCs w:val="0"/>
                <w:color w:val="auto"/>
                <w:sz w:val="24"/>
                <w:szCs w:val="24"/>
                <w:highlight w:val="none"/>
                <w:shd w:val="clear" w:color="auto" w:fill="FFFFFF"/>
                <w:lang w:val="en-US" w:eastAsia="zh-CN"/>
              </w:rPr>
              <w:t>0.406</w:t>
            </w:r>
            <w:r>
              <w:rPr>
                <w:rFonts w:hint="default" w:ascii="Times New Roman" w:hAnsi="Times New Roman" w:eastAsia="宋体" w:cs="Times New Roman"/>
                <w:b w:val="0"/>
                <w:bCs w:val="0"/>
                <w:color w:val="auto"/>
                <w:sz w:val="24"/>
                <w:szCs w:val="24"/>
                <w:highlight w:val="none"/>
                <w:shd w:val="clear" w:color="auto" w:fill="FFFFFF"/>
                <w:lang w:eastAsia="zh-CN"/>
              </w:rPr>
              <w:t>t/a，</w:t>
            </w:r>
            <w:r>
              <w:rPr>
                <w:rFonts w:hint="default" w:ascii="Times New Roman" w:hAnsi="Times New Roman" w:eastAsia="宋体" w:cs="Times New Roman"/>
                <w:b w:val="0"/>
                <w:bCs w:val="0"/>
                <w:color w:val="auto"/>
                <w:sz w:val="24"/>
                <w:szCs w:val="24"/>
                <w:highlight w:val="none"/>
                <w:lang w:val="en-US" w:eastAsia="zh-CN"/>
              </w:rPr>
              <w:t>VOCs</w:t>
            </w:r>
            <w:r>
              <w:rPr>
                <w:rFonts w:hint="default" w:ascii="Times New Roman" w:hAnsi="Times New Roman" w:eastAsia="宋体" w:cs="Times New Roman"/>
                <w:b w:val="0"/>
                <w:bCs w:val="0"/>
                <w:color w:val="auto"/>
                <w:sz w:val="24"/>
                <w:szCs w:val="24"/>
                <w:highlight w:val="none"/>
                <w:shd w:val="clear" w:color="auto" w:fill="FFFFFF"/>
                <w:vertAlign w:val="baseline"/>
                <w:lang w:val="en-US" w:eastAsia="zh-CN"/>
              </w:rPr>
              <w:t>产生速率</w:t>
            </w:r>
            <w:r>
              <w:rPr>
                <w:rFonts w:hint="eastAsia" w:ascii="Times New Roman" w:hAnsi="Times New Roman" w:eastAsia="宋体" w:cs="Times New Roman"/>
                <w:b w:val="0"/>
                <w:bCs w:val="0"/>
                <w:color w:val="auto"/>
                <w:sz w:val="24"/>
                <w:szCs w:val="24"/>
                <w:highlight w:val="none"/>
                <w:shd w:val="clear" w:color="auto" w:fill="FFFFFF"/>
                <w:vertAlign w:val="baseline"/>
                <w:lang w:val="en-US" w:eastAsia="zh-CN"/>
              </w:rPr>
              <w:t>0.169</w:t>
            </w:r>
            <w:r>
              <w:rPr>
                <w:rFonts w:hint="default" w:ascii="Times New Roman" w:hAnsi="Times New Roman" w:eastAsia="宋体" w:cs="Times New Roman"/>
                <w:b w:val="0"/>
                <w:bCs w:val="0"/>
                <w:color w:val="auto"/>
                <w:sz w:val="24"/>
                <w:szCs w:val="24"/>
                <w:highlight w:val="none"/>
                <w:shd w:val="clear" w:color="auto" w:fill="FFFFFF"/>
                <w:vertAlign w:val="baseline"/>
                <w:lang w:val="en-US" w:eastAsia="zh-CN"/>
              </w:rPr>
              <w:t>kg/h，</w:t>
            </w:r>
            <w:r>
              <w:rPr>
                <w:rFonts w:hint="default" w:ascii="Times New Roman" w:hAnsi="Times New Roman" w:eastAsia="宋体" w:cs="Times New Roman"/>
                <w:b w:val="0"/>
                <w:bCs w:val="0"/>
                <w:color w:val="auto"/>
                <w:sz w:val="24"/>
                <w:szCs w:val="24"/>
                <w:highlight w:val="none"/>
                <w:shd w:val="clear" w:color="auto" w:fill="FFFFFF"/>
                <w:lang w:eastAsia="zh-CN"/>
              </w:rPr>
              <w:t>产生浓度为</w:t>
            </w:r>
            <w:r>
              <w:rPr>
                <w:rFonts w:hint="eastAsia" w:ascii="Times New Roman" w:hAnsi="Times New Roman" w:eastAsia="宋体" w:cs="Times New Roman"/>
                <w:b w:val="0"/>
                <w:bCs w:val="0"/>
                <w:color w:val="auto"/>
                <w:sz w:val="24"/>
                <w:szCs w:val="24"/>
                <w:highlight w:val="none"/>
                <w:shd w:val="clear" w:color="auto" w:fill="FFFFFF"/>
                <w:lang w:val="en-US" w:eastAsia="zh-CN"/>
              </w:rPr>
              <w:t>26.026</w:t>
            </w:r>
            <w:r>
              <w:rPr>
                <w:rFonts w:hint="default" w:ascii="Times New Roman" w:hAnsi="Times New Roman" w:eastAsia="宋体" w:cs="Times New Roman"/>
                <w:b w:val="0"/>
                <w:bCs w:val="0"/>
                <w:color w:val="auto"/>
                <w:sz w:val="24"/>
                <w:szCs w:val="24"/>
                <w:highlight w:val="none"/>
                <w:shd w:val="clear" w:color="auto" w:fill="FFFFFF"/>
                <w:lang w:eastAsia="zh-CN"/>
              </w:rPr>
              <w:t>mg/m</w:t>
            </w:r>
            <w:r>
              <w:rPr>
                <w:rFonts w:hint="default" w:ascii="Times New Roman" w:hAnsi="Times New Roman" w:eastAsia="宋体" w:cs="Times New Roman"/>
                <w:b w:val="0"/>
                <w:bCs w:val="0"/>
                <w:color w:val="auto"/>
                <w:sz w:val="24"/>
                <w:szCs w:val="24"/>
                <w:highlight w:val="none"/>
                <w:shd w:val="clear" w:color="auto" w:fill="FFFFFF"/>
                <w:vertAlign w:val="superscript"/>
                <w:lang w:eastAsia="zh-CN"/>
              </w:rPr>
              <w:t>3</w:t>
            </w:r>
            <w:r>
              <w:rPr>
                <w:rFonts w:hint="default" w:ascii="Times New Roman" w:hAnsi="Times New Roman" w:eastAsia="宋体" w:cs="Times New Roman"/>
                <w:b w:val="0"/>
                <w:bCs w:val="0"/>
                <w:color w:val="auto"/>
                <w:sz w:val="24"/>
                <w:szCs w:val="24"/>
                <w:highlight w:val="none"/>
                <w:shd w:val="clear" w:color="auto" w:fill="FFFFFF"/>
                <w:vertAlign w:val="baseline"/>
                <w:lang w:eastAsia="zh-CN"/>
              </w:rPr>
              <w:t>；本项目</w:t>
            </w:r>
            <w:r>
              <w:rPr>
                <w:rFonts w:hint="default" w:ascii="Times New Roman" w:hAnsi="Times New Roman" w:eastAsia="宋体" w:cs="Times New Roman"/>
                <w:b w:val="0"/>
                <w:bCs w:val="0"/>
                <w:color w:val="auto"/>
                <w:sz w:val="24"/>
                <w:szCs w:val="24"/>
                <w:highlight w:val="none"/>
                <w:lang w:val="en-US" w:eastAsia="zh-CN"/>
              </w:rPr>
              <w:t>VOCs</w:t>
            </w:r>
            <w:r>
              <w:rPr>
                <w:rFonts w:hint="default" w:ascii="Times New Roman" w:hAnsi="Times New Roman" w:eastAsia="宋体" w:cs="Times New Roman"/>
                <w:b w:val="0"/>
                <w:bCs w:val="0"/>
                <w:color w:val="auto"/>
                <w:sz w:val="24"/>
                <w:szCs w:val="24"/>
                <w:highlight w:val="none"/>
                <w:shd w:val="clear" w:color="auto" w:fill="FFFFFF"/>
                <w:vertAlign w:val="baseline"/>
                <w:lang w:eastAsia="zh-CN"/>
              </w:rPr>
              <w:t>经过</w:t>
            </w:r>
            <w:r>
              <w:rPr>
                <w:rFonts w:hint="default" w:ascii="Times New Roman" w:hAnsi="Times New Roman" w:eastAsia="宋体" w:cs="Times New Roman"/>
                <w:b w:val="0"/>
                <w:bCs w:val="0"/>
                <w:color w:val="auto"/>
                <w:sz w:val="24"/>
                <w:szCs w:val="24"/>
                <w:highlight w:val="none"/>
                <w:shd w:val="clear" w:color="auto" w:fill="FFFFFF"/>
                <w:vertAlign w:val="baseline"/>
                <w:lang w:val="en-US" w:eastAsia="zh-CN"/>
              </w:rPr>
              <w:t>二级活性炭吸附</w:t>
            </w:r>
            <w:r>
              <w:rPr>
                <w:rFonts w:hint="default" w:ascii="Times New Roman" w:hAnsi="Times New Roman" w:eastAsia="宋体" w:cs="Times New Roman"/>
                <w:b w:val="0"/>
                <w:bCs w:val="0"/>
                <w:color w:val="auto"/>
                <w:sz w:val="24"/>
                <w:szCs w:val="24"/>
                <w:highlight w:val="none"/>
                <w:shd w:val="clear" w:color="auto" w:fill="FFFFFF"/>
                <w:lang w:val="en-US" w:eastAsia="zh-CN"/>
              </w:rPr>
              <w:t>处理后，</w:t>
            </w:r>
            <w:r>
              <w:rPr>
                <w:rFonts w:hint="default" w:ascii="Times New Roman" w:hAnsi="Times New Roman" w:eastAsia="宋体" w:cs="Times New Roman"/>
                <w:b w:val="0"/>
                <w:bCs w:val="0"/>
                <w:color w:val="auto"/>
                <w:sz w:val="24"/>
                <w:szCs w:val="24"/>
                <w:highlight w:val="none"/>
                <w:shd w:val="clear" w:color="auto" w:fill="FFFFFF"/>
                <w:lang w:eastAsia="zh-CN"/>
              </w:rPr>
              <w:t>通过</w:t>
            </w:r>
            <w:r>
              <w:rPr>
                <w:rFonts w:hint="default" w:ascii="Times New Roman" w:hAnsi="Times New Roman" w:eastAsia="宋体" w:cs="Times New Roman"/>
                <w:b w:val="0"/>
                <w:bCs w:val="0"/>
                <w:color w:val="auto"/>
                <w:sz w:val="24"/>
                <w:szCs w:val="24"/>
                <w:highlight w:val="none"/>
                <w:shd w:val="clear" w:color="auto" w:fill="FFFFFF"/>
                <w:lang w:val="en-US" w:eastAsia="zh-CN"/>
              </w:rPr>
              <w:t>15m高的排气筒（</w:t>
            </w:r>
            <w:r>
              <w:rPr>
                <w:rFonts w:hint="eastAsia" w:ascii="Times New Roman" w:hAnsi="Times New Roman" w:eastAsia="宋体" w:cs="Times New Roman"/>
                <w:b w:val="0"/>
                <w:bCs w:val="0"/>
                <w:color w:val="auto"/>
                <w:sz w:val="24"/>
                <w:szCs w:val="24"/>
                <w:highlight w:val="none"/>
                <w:shd w:val="clear" w:color="auto" w:fill="FFFFFF"/>
                <w:lang w:val="en-US" w:eastAsia="zh-CN"/>
              </w:rPr>
              <w:t>DA001</w:t>
            </w:r>
            <w:r>
              <w:rPr>
                <w:rFonts w:hint="default" w:ascii="Times New Roman" w:hAnsi="Times New Roman" w:eastAsia="宋体" w:cs="Times New Roman"/>
                <w:b w:val="0"/>
                <w:bCs w:val="0"/>
                <w:color w:val="auto"/>
                <w:sz w:val="24"/>
                <w:szCs w:val="24"/>
                <w:highlight w:val="none"/>
                <w:shd w:val="clear" w:color="auto" w:fill="FFFFFF"/>
                <w:lang w:val="en-US" w:eastAsia="zh-CN"/>
              </w:rPr>
              <w:t>）排放</w:t>
            </w:r>
            <w:r>
              <w:rPr>
                <w:rFonts w:hint="default" w:ascii="Times New Roman" w:hAnsi="Times New Roman" w:eastAsia="宋体" w:cs="Times New Roman"/>
                <w:b w:val="0"/>
                <w:bCs w:val="0"/>
                <w:color w:val="auto"/>
                <w:sz w:val="24"/>
                <w:szCs w:val="24"/>
                <w:highlight w:val="none"/>
                <w:shd w:val="clear" w:color="auto" w:fill="FFFFFF"/>
                <w:lang w:eastAsia="zh-CN"/>
              </w:rPr>
              <w:t>，去除效率为9</w:t>
            </w:r>
            <w:r>
              <w:rPr>
                <w:rFonts w:hint="eastAsia" w:ascii="Times New Roman" w:hAnsi="Times New Roman" w:eastAsia="宋体" w:cs="Times New Roman"/>
                <w:b w:val="0"/>
                <w:bCs w:val="0"/>
                <w:color w:val="auto"/>
                <w:sz w:val="24"/>
                <w:szCs w:val="24"/>
                <w:highlight w:val="none"/>
                <w:shd w:val="clear" w:color="auto" w:fill="FFFFFF"/>
                <w:lang w:val="en-US" w:eastAsia="zh-CN"/>
              </w:rPr>
              <w:t>0</w:t>
            </w:r>
            <w:r>
              <w:rPr>
                <w:rFonts w:hint="default" w:ascii="Times New Roman" w:hAnsi="Times New Roman" w:eastAsia="宋体" w:cs="Times New Roman"/>
                <w:b w:val="0"/>
                <w:bCs w:val="0"/>
                <w:color w:val="auto"/>
                <w:sz w:val="24"/>
                <w:szCs w:val="24"/>
                <w:highlight w:val="none"/>
                <w:shd w:val="clear" w:color="auto" w:fill="FFFFFF"/>
                <w:lang w:eastAsia="zh-CN"/>
              </w:rPr>
              <w:t>%，则项目有组织</w:t>
            </w:r>
            <w:r>
              <w:rPr>
                <w:rFonts w:hint="default" w:ascii="Times New Roman" w:hAnsi="Times New Roman" w:eastAsia="宋体" w:cs="Times New Roman"/>
                <w:b w:val="0"/>
                <w:bCs w:val="0"/>
                <w:color w:val="auto"/>
                <w:sz w:val="24"/>
                <w:szCs w:val="24"/>
                <w:highlight w:val="none"/>
                <w:lang w:val="en-US" w:eastAsia="zh-CN"/>
              </w:rPr>
              <w:t>VOCs</w:t>
            </w:r>
            <w:r>
              <w:rPr>
                <w:rFonts w:hint="default" w:ascii="Times New Roman" w:hAnsi="Times New Roman" w:eastAsia="宋体" w:cs="Times New Roman"/>
                <w:b w:val="0"/>
                <w:bCs w:val="0"/>
                <w:color w:val="auto"/>
                <w:sz w:val="24"/>
                <w:szCs w:val="24"/>
                <w:highlight w:val="none"/>
                <w:shd w:val="clear" w:color="auto" w:fill="FFFFFF"/>
                <w:lang w:eastAsia="zh-CN"/>
              </w:rPr>
              <w:t>排放量为</w:t>
            </w:r>
            <w:r>
              <w:rPr>
                <w:rFonts w:hint="eastAsia" w:ascii="Times New Roman" w:hAnsi="Times New Roman" w:eastAsia="宋体" w:cs="Times New Roman"/>
                <w:b w:val="0"/>
                <w:bCs w:val="0"/>
                <w:color w:val="auto"/>
                <w:sz w:val="24"/>
                <w:szCs w:val="24"/>
                <w:highlight w:val="none"/>
                <w:shd w:val="clear" w:color="auto" w:fill="FFFFFF"/>
                <w:lang w:val="en-US" w:eastAsia="zh-CN"/>
              </w:rPr>
              <w:t>0.041</w:t>
            </w:r>
            <w:r>
              <w:rPr>
                <w:rFonts w:hint="default" w:ascii="Times New Roman" w:hAnsi="Times New Roman" w:eastAsia="宋体" w:cs="Times New Roman"/>
                <w:b w:val="0"/>
                <w:bCs w:val="0"/>
                <w:color w:val="auto"/>
                <w:sz w:val="24"/>
                <w:szCs w:val="24"/>
                <w:highlight w:val="none"/>
                <w:shd w:val="clear" w:color="auto" w:fill="FFFFFF"/>
                <w:lang w:eastAsia="zh-CN"/>
              </w:rPr>
              <w:t>t/a，排放速率为</w:t>
            </w:r>
            <w:r>
              <w:rPr>
                <w:rFonts w:hint="eastAsia" w:ascii="Times New Roman" w:hAnsi="Times New Roman" w:eastAsia="宋体" w:cs="Times New Roman"/>
                <w:b w:val="0"/>
                <w:bCs w:val="0"/>
                <w:color w:val="auto"/>
                <w:sz w:val="24"/>
                <w:szCs w:val="24"/>
                <w:highlight w:val="none"/>
                <w:shd w:val="clear" w:color="auto" w:fill="FFFFFF"/>
                <w:lang w:val="en-US" w:eastAsia="zh-CN"/>
              </w:rPr>
              <w:t>0.017</w:t>
            </w:r>
            <w:r>
              <w:rPr>
                <w:rFonts w:hint="default" w:ascii="Times New Roman" w:hAnsi="Times New Roman" w:eastAsia="宋体" w:cs="Times New Roman"/>
                <w:b w:val="0"/>
                <w:bCs w:val="0"/>
                <w:color w:val="auto"/>
                <w:sz w:val="24"/>
                <w:szCs w:val="24"/>
                <w:highlight w:val="none"/>
                <w:shd w:val="clear" w:color="auto" w:fill="FFFFFF"/>
                <w:lang w:eastAsia="zh-CN"/>
              </w:rPr>
              <w:t>kg/h、排放浓度为</w:t>
            </w:r>
            <w:r>
              <w:rPr>
                <w:rFonts w:hint="eastAsia" w:ascii="Times New Roman" w:hAnsi="Times New Roman" w:eastAsia="宋体" w:cs="Times New Roman"/>
                <w:b w:val="0"/>
                <w:bCs w:val="0"/>
                <w:color w:val="auto"/>
                <w:sz w:val="24"/>
                <w:szCs w:val="24"/>
                <w:highlight w:val="none"/>
                <w:shd w:val="clear" w:color="auto" w:fill="FFFFFF"/>
                <w:lang w:val="en-US" w:eastAsia="zh-CN"/>
              </w:rPr>
              <w:t>2.628</w:t>
            </w:r>
            <w:r>
              <w:rPr>
                <w:rFonts w:hint="default" w:ascii="Times New Roman" w:hAnsi="Times New Roman" w:eastAsia="宋体" w:cs="Times New Roman"/>
                <w:b w:val="0"/>
                <w:bCs w:val="0"/>
                <w:color w:val="auto"/>
                <w:sz w:val="24"/>
                <w:szCs w:val="24"/>
                <w:highlight w:val="none"/>
                <w:shd w:val="clear" w:color="auto" w:fill="FFFFFF"/>
                <w:lang w:eastAsia="zh-CN"/>
              </w:rPr>
              <w:t>mg/m</w:t>
            </w:r>
            <w:r>
              <w:rPr>
                <w:rFonts w:hint="default" w:ascii="Times New Roman" w:hAnsi="Times New Roman" w:eastAsia="宋体" w:cs="Times New Roman"/>
                <w:b w:val="0"/>
                <w:bCs w:val="0"/>
                <w:color w:val="auto"/>
                <w:sz w:val="24"/>
                <w:szCs w:val="24"/>
                <w:highlight w:val="none"/>
                <w:shd w:val="clear" w:color="auto" w:fill="FFFFFF"/>
                <w:vertAlign w:val="superscript"/>
                <w:lang w:eastAsia="zh-CN"/>
              </w:rPr>
              <w:t>3</w:t>
            </w:r>
            <w:r>
              <w:rPr>
                <w:rFonts w:hint="eastAsia" w:ascii="Times New Roman" w:hAnsi="Times New Roman" w:eastAsia="宋体" w:cs="Times New Roman"/>
                <w:b w:val="0"/>
                <w:bCs w:val="0"/>
                <w:color w:val="auto"/>
                <w:sz w:val="24"/>
                <w:szCs w:val="24"/>
                <w:highlight w:val="none"/>
                <w:shd w:val="clear" w:color="auto" w:fill="FFFFFF"/>
                <w:lang w:eastAsia="zh-CN"/>
              </w:rPr>
              <w:t>，</w:t>
            </w:r>
            <w:r>
              <w:rPr>
                <w:rFonts w:hint="default" w:ascii="Times New Roman" w:hAnsi="Times New Roman" w:eastAsia="宋体" w:cs="Times New Roman"/>
                <w:b w:val="0"/>
                <w:bCs w:val="0"/>
                <w:color w:val="auto"/>
                <w:sz w:val="24"/>
                <w:szCs w:val="24"/>
                <w:highlight w:val="none"/>
                <w:lang w:val="en-US" w:eastAsia="zh-CN"/>
              </w:rPr>
              <w:t>VOCs</w:t>
            </w:r>
            <w:r>
              <w:rPr>
                <w:rFonts w:hint="default" w:ascii="Times New Roman" w:hAnsi="Times New Roman" w:eastAsia="宋体" w:cs="Times New Roman"/>
                <w:b w:val="0"/>
                <w:bCs w:val="0"/>
                <w:color w:val="auto"/>
                <w:sz w:val="24"/>
                <w:szCs w:val="24"/>
                <w:highlight w:val="none"/>
                <w:shd w:val="clear" w:color="auto" w:fill="FFFFFF"/>
                <w:lang w:val="en-US" w:eastAsia="zh-CN"/>
              </w:rPr>
              <w:t>排放满足</w:t>
            </w:r>
            <w:r>
              <w:rPr>
                <w:rFonts w:hint="default" w:ascii="Times New Roman" w:hAnsi="Times New Roman" w:eastAsia="宋体" w:cs="Times New Roman"/>
                <w:b w:val="0"/>
                <w:bCs w:val="0"/>
                <w:color w:val="auto"/>
                <w:sz w:val="24"/>
                <w:szCs w:val="24"/>
                <w:highlight w:val="none"/>
                <w:lang w:val="en-US" w:eastAsia="zh-CN"/>
              </w:rPr>
              <w:t>《挥发性有机物排放标准 第6部分：有机化工行业》（DB37/2801.6-2018）表1中II段其他行业排放限值（60mg/m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shd w:val="clear" w:color="auto" w:fill="FFFFFF"/>
                <w:lang w:val="en-US" w:eastAsia="zh-CN"/>
              </w:rPr>
              <w:t>3.0kg/h</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color w:val="auto"/>
                <w:sz w:val="24"/>
                <w:szCs w:val="24"/>
                <w:highlight w:val="none"/>
              </w:rPr>
              <w:t>。</w:t>
            </w:r>
          </w:p>
          <w:p w14:paraId="3F72D739">
            <w:pPr>
              <w:pStyle w:val="157"/>
              <w:spacing w:before="1"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未被收集的</w:t>
            </w:r>
            <w:r>
              <w:rPr>
                <w:rFonts w:hint="default" w:ascii="Times New Roman" w:hAnsi="Times New Roman" w:eastAsia="宋体" w:cs="Times New Roman"/>
                <w:b w:val="0"/>
                <w:bCs w:val="0"/>
                <w:color w:val="auto"/>
                <w:sz w:val="24"/>
                <w:szCs w:val="24"/>
                <w:highlight w:val="none"/>
                <w:lang w:val="en-US" w:eastAsia="zh-CN"/>
              </w:rPr>
              <w:t>VOCs</w:t>
            </w:r>
            <w:r>
              <w:rPr>
                <w:rFonts w:hint="eastAsia" w:ascii="Times New Roman" w:hAnsi="Times New Roman" w:eastAsia="宋体" w:cs="Times New Roman"/>
                <w:b w:val="0"/>
                <w:bCs w:val="0"/>
                <w:color w:val="auto"/>
                <w:sz w:val="24"/>
                <w:szCs w:val="24"/>
                <w:highlight w:val="none"/>
                <w:shd w:val="clear" w:color="auto" w:fill="FFFFFF"/>
                <w:lang w:val="en-US" w:eastAsia="zh-CN"/>
              </w:rPr>
              <w:t>产生</w:t>
            </w:r>
            <w:r>
              <w:rPr>
                <w:rFonts w:hint="default" w:ascii="Times New Roman" w:hAnsi="Times New Roman" w:eastAsia="宋体" w:cs="Times New Roman"/>
                <w:b w:val="0"/>
                <w:bCs w:val="0"/>
                <w:color w:val="auto"/>
                <w:sz w:val="24"/>
                <w:szCs w:val="24"/>
                <w:highlight w:val="none"/>
                <w:shd w:val="clear" w:color="auto" w:fill="FFFFFF"/>
                <w:lang w:eastAsia="zh-CN"/>
              </w:rPr>
              <w:t>量为</w:t>
            </w:r>
            <w:r>
              <w:rPr>
                <w:rFonts w:hint="eastAsia" w:ascii="Times New Roman" w:hAnsi="Times New Roman" w:eastAsia="宋体" w:cs="Times New Roman"/>
                <w:b w:val="0"/>
                <w:bCs w:val="0"/>
                <w:color w:val="auto"/>
                <w:sz w:val="24"/>
                <w:szCs w:val="24"/>
                <w:highlight w:val="none"/>
                <w:shd w:val="clear" w:color="auto" w:fill="FFFFFF"/>
                <w:lang w:val="en-US" w:eastAsia="zh-CN"/>
              </w:rPr>
              <w:t>0.045</w:t>
            </w:r>
            <w:r>
              <w:rPr>
                <w:rFonts w:hint="default" w:ascii="Times New Roman" w:hAnsi="Times New Roman" w:eastAsia="宋体" w:cs="Times New Roman"/>
                <w:b w:val="0"/>
                <w:bCs w:val="0"/>
                <w:color w:val="auto"/>
                <w:sz w:val="24"/>
                <w:szCs w:val="24"/>
                <w:highlight w:val="none"/>
                <w:shd w:val="clear" w:color="auto" w:fill="FFFFFF"/>
                <w:lang w:eastAsia="zh-CN"/>
              </w:rPr>
              <w:t>t/a，排放速率为</w:t>
            </w:r>
            <w:r>
              <w:rPr>
                <w:rFonts w:hint="eastAsia" w:ascii="Times New Roman" w:hAnsi="Times New Roman" w:eastAsia="宋体" w:cs="Times New Roman"/>
                <w:b w:val="0"/>
                <w:bCs w:val="0"/>
                <w:color w:val="auto"/>
                <w:sz w:val="24"/>
                <w:szCs w:val="24"/>
                <w:highlight w:val="none"/>
                <w:shd w:val="clear" w:color="auto" w:fill="FFFFFF"/>
                <w:lang w:val="en-US" w:eastAsia="zh-CN"/>
              </w:rPr>
              <w:t>0.019</w:t>
            </w:r>
            <w:r>
              <w:rPr>
                <w:rFonts w:hint="default" w:ascii="Times New Roman" w:hAnsi="Times New Roman" w:eastAsia="宋体" w:cs="Times New Roman"/>
                <w:b w:val="0"/>
                <w:bCs w:val="0"/>
                <w:color w:val="auto"/>
                <w:sz w:val="24"/>
                <w:szCs w:val="24"/>
                <w:highlight w:val="none"/>
                <w:shd w:val="clear" w:color="auto" w:fill="FFFFFF"/>
                <w:lang w:eastAsia="zh-CN"/>
              </w:rPr>
              <w:t>kg/h</w:t>
            </w:r>
            <w:r>
              <w:rPr>
                <w:rFonts w:hint="eastAsia" w:ascii="Times New Roman" w:hAnsi="Times New Roman" w:eastAsia="宋体" w:cs="Times New Roman"/>
                <w:b w:val="0"/>
                <w:bCs w:val="0"/>
                <w:color w:val="auto"/>
                <w:sz w:val="24"/>
                <w:szCs w:val="24"/>
                <w:highlight w:val="none"/>
                <w:shd w:val="clear" w:color="auto" w:fill="FFFFFF"/>
                <w:lang w:eastAsia="zh-CN"/>
              </w:rPr>
              <w:t>，</w:t>
            </w:r>
            <w:r>
              <w:rPr>
                <w:rFonts w:hint="eastAsia" w:ascii="Times New Roman" w:hAnsi="Times New Roman" w:eastAsia="宋体" w:cs="Times New Roman"/>
                <w:b w:val="0"/>
                <w:bCs w:val="0"/>
                <w:color w:val="auto"/>
                <w:sz w:val="24"/>
                <w:szCs w:val="24"/>
                <w:highlight w:val="none"/>
                <w:shd w:val="clear" w:color="auto" w:fill="FFFFFF"/>
                <w:lang w:val="en-US" w:eastAsia="zh-CN"/>
              </w:rPr>
              <w:t>通过加强车间通风无组织排放。</w:t>
            </w:r>
          </w:p>
          <w:p w14:paraId="5D863DA4">
            <w:pPr>
              <w:pStyle w:val="157"/>
              <w:spacing w:before="1" w:line="360" w:lineRule="auto"/>
              <w:ind w:left="48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③恶臭</w:t>
            </w:r>
          </w:p>
          <w:p w14:paraId="4E562116">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hAnsi="Times New Roman" w:cs="Times New Roman"/>
                <w:color w:val="auto"/>
                <w:kern w:val="2"/>
                <w:sz w:val="24"/>
                <w:szCs w:val="24"/>
                <w:highlight w:val="none"/>
                <w:lang w:val="en-US" w:eastAsia="zh-CN" w:bidi="ar-SA"/>
              </w:rPr>
              <w:t>吹塑</w:t>
            </w:r>
            <w:r>
              <w:rPr>
                <w:rFonts w:hint="eastAsia" w:ascii="Times New Roman" w:hAnsi="Times New Roman" w:eastAsia="宋体" w:cs="Times New Roman"/>
                <w:color w:val="auto"/>
                <w:kern w:val="2"/>
                <w:sz w:val="24"/>
                <w:szCs w:val="24"/>
                <w:highlight w:val="none"/>
                <w:lang w:val="en-US" w:eastAsia="zh-CN" w:bidi="ar-SA"/>
              </w:rPr>
              <w:t>过程中会产生少量的异味，该异味污染物以臭气浓度为表征。《关于发布排放源统计调查产排污核算方法和系数手册的公告》（生态环境部，公告2021年第24号）无相关产污系数，本次评价引用张欢等在《恶臭污染评价分级方法》中基于韦伯-费希纳公式所建立的臭气强度与臭气浓度的关系进行分析。该文献将国外臭气强度6级法与我国《恶臭污染物排放标准》（GB14554-1993）结合，以臭气强度的嗅觉感觉和实验经验为分级依据，对臭气浓度进行等级划分，提高了分级的准确程度。一般认为，该行业产生的臭气强度一般在2-3级，对应的臭气浓度为51~117（无量纲），本次评价按120 （无量纲）分析，异味气体随VOCs一起收集处理排放。</w:t>
            </w:r>
          </w:p>
          <w:p w14:paraId="648A4B9E">
            <w:pPr>
              <w:pStyle w:val="157"/>
              <w:spacing w:before="4" w:line="394"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④颗粒物：塑料颗粒直径较大，表面无粉尘杂质，进料过程颗粒物产生量极少。</w:t>
            </w:r>
            <w:r>
              <w:rPr>
                <w:rFonts w:hint="eastAsia" w:ascii="Times New Roman" w:hAnsi="Times New Roman" w:cs="Times New Roman"/>
                <w:color w:val="auto"/>
                <w:kern w:val="2"/>
                <w:sz w:val="24"/>
                <w:szCs w:val="24"/>
                <w:highlight w:val="none"/>
                <w:lang w:val="en-US" w:eastAsia="zh-CN" w:bidi="ar-SA"/>
              </w:rPr>
              <w:t>吹塑</w:t>
            </w:r>
            <w:r>
              <w:rPr>
                <w:rFonts w:hint="eastAsia" w:ascii="Times New Roman" w:hAnsi="Times New Roman" w:eastAsia="宋体" w:cs="Times New Roman"/>
                <w:color w:val="auto"/>
                <w:kern w:val="2"/>
                <w:sz w:val="24"/>
                <w:szCs w:val="24"/>
                <w:highlight w:val="none"/>
                <w:lang w:val="en-US" w:eastAsia="zh-CN" w:bidi="ar-SA"/>
              </w:rPr>
              <w:t>过程中少量颗粒物产生于物料在刚离开机头未定型时，处于设备的内部密闭空间内，产生量极少且不会溢出。《排污许可证申请与核发技术规范橡胶和塑料制品工业》（HJ1122-2020）、《排放源统计调查产排污核算方法和系数手册》中的“292塑料制品行业系数手册”</w:t>
            </w:r>
            <w:r>
              <w:rPr>
                <w:rFonts w:hint="eastAsia" w:ascii="Times New Roman" w:hAnsi="Times New Roman" w:cs="Times New Roman"/>
                <w:color w:val="auto"/>
                <w:kern w:val="2"/>
                <w:sz w:val="24"/>
                <w:szCs w:val="24"/>
                <w:highlight w:val="none"/>
                <w:lang w:val="en-US" w:eastAsia="zh-CN" w:bidi="ar-SA"/>
              </w:rPr>
              <w:t>吹塑</w:t>
            </w:r>
            <w:r>
              <w:rPr>
                <w:rFonts w:hint="eastAsia" w:ascii="Times New Roman" w:hAnsi="Times New Roman" w:eastAsia="宋体" w:cs="Times New Roman"/>
                <w:color w:val="auto"/>
                <w:kern w:val="2"/>
                <w:sz w:val="24"/>
                <w:szCs w:val="24"/>
                <w:highlight w:val="none"/>
                <w:lang w:val="en-US" w:eastAsia="zh-CN" w:bidi="ar-SA"/>
              </w:rPr>
              <w:t>工序无颗粒物产生系数，因此本次评价不再对本工序颗粒物定量分析，纳入企业自行检测管理。</w:t>
            </w:r>
          </w:p>
          <w:p w14:paraId="7E062B6C">
            <w:pPr>
              <w:pStyle w:val="157"/>
              <w:spacing w:before="2" w:line="395" w:lineRule="auto"/>
              <w:ind w:left="129" w:firstLine="40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经计算，废气产生排放情况见下表。</w:t>
            </w:r>
          </w:p>
          <w:p w14:paraId="0563AC0E">
            <w:pPr>
              <w:pStyle w:val="36"/>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482" w:firstLineChars="20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hAnsi="Times New Roman" w:cs="Times New Roman"/>
                <w:b/>
                <w:bCs/>
                <w:color w:val="auto"/>
                <w:kern w:val="2"/>
                <w:sz w:val="24"/>
                <w:szCs w:val="24"/>
                <w:highlight w:val="none"/>
                <w:lang w:val="en-US" w:eastAsia="zh-CN" w:bidi="ar-SA"/>
              </w:rPr>
              <w:t>1吹塑</w:t>
            </w:r>
            <w:r>
              <w:rPr>
                <w:rFonts w:hint="eastAsia" w:ascii="Times New Roman" w:hAnsi="Times New Roman" w:eastAsia="宋体" w:cs="Times New Roman"/>
                <w:b/>
                <w:bCs/>
                <w:color w:val="auto"/>
                <w:kern w:val="2"/>
                <w:sz w:val="24"/>
                <w:szCs w:val="24"/>
                <w:highlight w:val="none"/>
                <w:lang w:val="en-US" w:eastAsia="zh-CN" w:bidi="ar-SA"/>
              </w:rPr>
              <w:t>废气产生排放情况表</w:t>
            </w:r>
          </w:p>
          <w:tbl>
            <w:tblPr>
              <w:tblStyle w:val="38"/>
              <w:tblW w:w="86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7"/>
              <w:gridCol w:w="787"/>
              <w:gridCol w:w="787"/>
              <w:gridCol w:w="787"/>
              <w:gridCol w:w="787"/>
              <w:gridCol w:w="787"/>
              <w:gridCol w:w="787"/>
              <w:gridCol w:w="787"/>
              <w:gridCol w:w="787"/>
              <w:gridCol w:w="787"/>
              <w:gridCol w:w="787"/>
            </w:tblGrid>
            <w:tr w14:paraId="364595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7" w:type="dxa"/>
                  <w:vMerge w:val="restart"/>
                  <w:tcBorders>
                    <w:tl2br w:val="nil"/>
                    <w:tr2bl w:val="nil"/>
                  </w:tcBorders>
                  <w:shd w:val="clear" w:color="auto" w:fill="auto"/>
                  <w:vAlign w:val="center"/>
                </w:tcPr>
                <w:p w14:paraId="2B2F90E8">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产污 工序</w:t>
                  </w:r>
                </w:p>
              </w:tc>
              <w:tc>
                <w:tcPr>
                  <w:tcW w:w="787" w:type="dxa"/>
                  <w:vMerge w:val="restart"/>
                  <w:tcBorders>
                    <w:tl2br w:val="nil"/>
                    <w:tr2bl w:val="nil"/>
                  </w:tcBorders>
                  <w:shd w:val="clear" w:color="auto" w:fill="auto"/>
                  <w:vAlign w:val="center"/>
                </w:tcPr>
                <w:p w14:paraId="66B87666">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排放形式</w:t>
                  </w:r>
                </w:p>
              </w:tc>
              <w:tc>
                <w:tcPr>
                  <w:tcW w:w="787" w:type="dxa"/>
                  <w:vMerge w:val="restart"/>
                  <w:tcBorders>
                    <w:tl2br w:val="nil"/>
                    <w:tr2bl w:val="nil"/>
                  </w:tcBorders>
                  <w:shd w:val="clear" w:color="auto" w:fill="auto"/>
                  <w:vAlign w:val="center"/>
                </w:tcPr>
                <w:p w14:paraId="6020ABDB">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污染物</w:t>
                  </w:r>
                </w:p>
              </w:tc>
              <w:tc>
                <w:tcPr>
                  <w:tcW w:w="2361" w:type="dxa"/>
                  <w:gridSpan w:val="3"/>
                  <w:tcBorders>
                    <w:tl2br w:val="nil"/>
                    <w:tr2bl w:val="nil"/>
                  </w:tcBorders>
                  <w:shd w:val="clear" w:color="auto" w:fill="auto"/>
                  <w:vAlign w:val="center"/>
                </w:tcPr>
                <w:p w14:paraId="56C30C99">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产生情况</w:t>
                  </w:r>
                </w:p>
              </w:tc>
              <w:tc>
                <w:tcPr>
                  <w:tcW w:w="787" w:type="dxa"/>
                  <w:vMerge w:val="restart"/>
                  <w:tcBorders>
                    <w:tl2br w:val="nil"/>
                    <w:tr2bl w:val="nil"/>
                  </w:tcBorders>
                  <w:shd w:val="clear" w:color="auto" w:fill="auto"/>
                  <w:vAlign w:val="center"/>
                </w:tcPr>
                <w:p w14:paraId="3089F5E4">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处理</w:t>
                  </w:r>
                </w:p>
                <w:p w14:paraId="133876AD">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效率</w:t>
                  </w:r>
                </w:p>
              </w:tc>
              <w:tc>
                <w:tcPr>
                  <w:tcW w:w="787" w:type="dxa"/>
                  <w:vMerge w:val="restart"/>
                  <w:tcBorders>
                    <w:tl2br w:val="nil"/>
                    <w:tr2bl w:val="nil"/>
                  </w:tcBorders>
                  <w:shd w:val="clear" w:color="auto" w:fill="auto"/>
                  <w:vAlign w:val="center"/>
                </w:tcPr>
                <w:p w14:paraId="6866D4E8">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排放时间</w:t>
                  </w:r>
                </w:p>
                <w:p w14:paraId="257B1B4D">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h/a</w:t>
                  </w:r>
                </w:p>
              </w:tc>
              <w:tc>
                <w:tcPr>
                  <w:tcW w:w="2361" w:type="dxa"/>
                  <w:gridSpan w:val="3"/>
                  <w:tcBorders>
                    <w:tl2br w:val="nil"/>
                    <w:tr2bl w:val="nil"/>
                  </w:tcBorders>
                  <w:shd w:val="clear" w:color="auto" w:fill="auto"/>
                  <w:vAlign w:val="center"/>
                </w:tcPr>
                <w:p w14:paraId="356D7500">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排放情况</w:t>
                  </w:r>
                </w:p>
              </w:tc>
            </w:tr>
            <w:tr w14:paraId="1CF4B6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787" w:type="dxa"/>
                  <w:vMerge w:val="continue"/>
                  <w:tcBorders>
                    <w:tl2br w:val="nil"/>
                    <w:tr2bl w:val="nil"/>
                  </w:tcBorders>
                  <w:vAlign w:val="center"/>
                </w:tcPr>
                <w:p w14:paraId="3B37A962">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p>
              </w:tc>
              <w:tc>
                <w:tcPr>
                  <w:tcW w:w="787" w:type="dxa"/>
                  <w:vMerge w:val="continue"/>
                  <w:tcBorders>
                    <w:tl2br w:val="nil"/>
                    <w:tr2bl w:val="nil"/>
                  </w:tcBorders>
                  <w:vAlign w:val="center"/>
                </w:tcPr>
                <w:p w14:paraId="5A86F353">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vMerge w:val="continue"/>
                  <w:tcBorders>
                    <w:tl2br w:val="nil"/>
                    <w:tr2bl w:val="nil"/>
                  </w:tcBorders>
                  <w:vAlign w:val="center"/>
                </w:tcPr>
                <w:p w14:paraId="30710749">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shd w:val="clear" w:color="auto" w:fill="auto"/>
                  <w:vAlign w:val="center"/>
                </w:tcPr>
                <w:p w14:paraId="0EE41CF3">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产生量</w:t>
                  </w:r>
                </w:p>
                <w:p w14:paraId="1A7FEEDD">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t/a</w:t>
                  </w:r>
                </w:p>
              </w:tc>
              <w:tc>
                <w:tcPr>
                  <w:tcW w:w="787" w:type="dxa"/>
                  <w:tcBorders>
                    <w:tl2br w:val="nil"/>
                    <w:tr2bl w:val="nil"/>
                  </w:tcBorders>
                  <w:shd w:val="clear" w:color="auto" w:fill="auto"/>
                  <w:vAlign w:val="center"/>
                </w:tcPr>
                <w:p w14:paraId="63FEDC48">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产生速率</w:t>
                  </w:r>
                </w:p>
                <w:p w14:paraId="0730C406">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kgh</w:t>
                  </w:r>
                </w:p>
              </w:tc>
              <w:tc>
                <w:tcPr>
                  <w:tcW w:w="787" w:type="dxa"/>
                  <w:tcBorders>
                    <w:tl2br w:val="nil"/>
                    <w:tr2bl w:val="nil"/>
                  </w:tcBorders>
                  <w:shd w:val="clear" w:color="auto" w:fill="auto"/>
                  <w:vAlign w:val="center"/>
                </w:tcPr>
                <w:p w14:paraId="358074C6">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产生浓度</w:t>
                  </w:r>
                </w:p>
                <w:p w14:paraId="0F92B36D">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mg/m³</w:t>
                  </w:r>
                </w:p>
              </w:tc>
              <w:tc>
                <w:tcPr>
                  <w:tcW w:w="787" w:type="dxa"/>
                  <w:vMerge w:val="continue"/>
                  <w:tcBorders>
                    <w:tl2br w:val="nil"/>
                    <w:tr2bl w:val="nil"/>
                  </w:tcBorders>
                  <w:vAlign w:val="center"/>
                </w:tcPr>
                <w:p w14:paraId="626B019B">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vMerge w:val="continue"/>
                  <w:tcBorders>
                    <w:tl2br w:val="nil"/>
                    <w:tr2bl w:val="nil"/>
                  </w:tcBorders>
                  <w:vAlign w:val="center"/>
                </w:tcPr>
                <w:p w14:paraId="1E5C5BE5">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shd w:val="clear" w:color="auto" w:fill="auto"/>
                  <w:vAlign w:val="center"/>
                </w:tcPr>
                <w:p w14:paraId="391F94DC">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排放量</w:t>
                  </w:r>
                </w:p>
                <w:p w14:paraId="7A6F0575">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t/a</w:t>
                  </w:r>
                </w:p>
              </w:tc>
              <w:tc>
                <w:tcPr>
                  <w:tcW w:w="787" w:type="dxa"/>
                  <w:tcBorders>
                    <w:tl2br w:val="nil"/>
                    <w:tr2bl w:val="nil"/>
                  </w:tcBorders>
                  <w:shd w:val="clear" w:color="auto" w:fill="auto"/>
                  <w:vAlign w:val="center"/>
                </w:tcPr>
                <w:p w14:paraId="2F98046E">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排放速率</w:t>
                  </w:r>
                </w:p>
                <w:p w14:paraId="25A950F3">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kg/h</w:t>
                  </w:r>
                </w:p>
              </w:tc>
              <w:tc>
                <w:tcPr>
                  <w:tcW w:w="787" w:type="dxa"/>
                  <w:tcBorders>
                    <w:tl2br w:val="nil"/>
                    <w:tr2bl w:val="nil"/>
                  </w:tcBorders>
                  <w:shd w:val="clear" w:color="auto" w:fill="auto"/>
                  <w:vAlign w:val="center"/>
                </w:tcPr>
                <w:p w14:paraId="70A8B802">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排放浓度</w:t>
                  </w:r>
                </w:p>
                <w:p w14:paraId="4AD05FF6">
                  <w:pPr>
                    <w:adjustRightInd/>
                    <w:snapToGrid/>
                    <w:spacing w:line="240" w:lineRule="auto"/>
                    <w:ind w:firstLineChars="0"/>
                    <w:jc w:val="center"/>
                    <w:rPr>
                      <w:rFonts w:hint="eastAsia" w:ascii="Times New Roman" w:hAnsi="Times New Roman" w:eastAsia="宋体" w:cs="Times New Roman"/>
                      <w:b/>
                      <w:bCs/>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zh-CN"/>
                    </w:rPr>
                    <w:t>mg/m³</w:t>
                  </w:r>
                </w:p>
              </w:tc>
            </w:tr>
            <w:tr w14:paraId="2DB780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87" w:type="dxa"/>
                  <w:vMerge w:val="restart"/>
                  <w:tcBorders>
                    <w:tl2br w:val="nil"/>
                    <w:tr2bl w:val="nil"/>
                  </w:tcBorders>
                  <w:shd w:val="clear" w:color="auto" w:fill="auto"/>
                  <w:vAlign w:val="center"/>
                </w:tcPr>
                <w:p w14:paraId="07D49076">
                  <w:pPr>
                    <w:adjustRightInd/>
                    <w:snapToGrid/>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吹塑</w:t>
                  </w:r>
                  <w:r>
                    <w:rPr>
                      <w:rFonts w:hint="eastAsia" w:ascii="Times New Roman" w:hAnsi="Times New Roman" w:eastAsia="宋体" w:cs="Times New Roman"/>
                      <w:color w:val="auto"/>
                      <w:sz w:val="21"/>
                      <w:szCs w:val="21"/>
                      <w:highlight w:val="none"/>
                      <w:lang w:val="en-US" w:eastAsia="zh-CN"/>
                    </w:rPr>
                    <w:t>工序</w:t>
                  </w:r>
                </w:p>
              </w:tc>
              <w:tc>
                <w:tcPr>
                  <w:tcW w:w="787" w:type="dxa"/>
                  <w:tcBorders>
                    <w:tl2br w:val="nil"/>
                    <w:tr2bl w:val="nil"/>
                  </w:tcBorders>
                  <w:shd w:val="clear" w:color="auto" w:fill="auto"/>
                  <w:vAlign w:val="center"/>
                </w:tcPr>
                <w:p w14:paraId="6A9ABF3A">
                  <w:pPr>
                    <w:adjustRightInd/>
                    <w:snapToGrid/>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有组织</w:t>
                  </w:r>
                </w:p>
              </w:tc>
              <w:tc>
                <w:tcPr>
                  <w:tcW w:w="787" w:type="dxa"/>
                  <w:tcBorders>
                    <w:tl2br w:val="nil"/>
                    <w:tr2bl w:val="nil"/>
                  </w:tcBorders>
                  <w:vAlign w:val="center"/>
                </w:tcPr>
                <w:p w14:paraId="1454C3E2">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787" w:type="dxa"/>
                  <w:tcBorders>
                    <w:tl2br w:val="nil"/>
                    <w:tr2bl w:val="nil"/>
                  </w:tcBorders>
                  <w:vAlign w:val="center"/>
                </w:tcPr>
                <w:p w14:paraId="5E85B330">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406</w:t>
                  </w:r>
                </w:p>
              </w:tc>
              <w:tc>
                <w:tcPr>
                  <w:tcW w:w="787" w:type="dxa"/>
                  <w:tcBorders>
                    <w:tl2br w:val="nil"/>
                    <w:tr2bl w:val="nil"/>
                  </w:tcBorders>
                  <w:vAlign w:val="center"/>
                </w:tcPr>
                <w:p w14:paraId="18311C3D">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169</w:t>
                  </w:r>
                </w:p>
              </w:tc>
              <w:tc>
                <w:tcPr>
                  <w:tcW w:w="787" w:type="dxa"/>
                  <w:tcBorders>
                    <w:tl2br w:val="nil"/>
                    <w:tr2bl w:val="nil"/>
                  </w:tcBorders>
                  <w:vAlign w:val="center"/>
                </w:tcPr>
                <w:p w14:paraId="02925579">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26.026</w:t>
                  </w:r>
                </w:p>
              </w:tc>
              <w:tc>
                <w:tcPr>
                  <w:tcW w:w="787" w:type="dxa"/>
                  <w:tcBorders>
                    <w:tl2br w:val="nil"/>
                    <w:tr2bl w:val="nil"/>
                  </w:tcBorders>
                  <w:vAlign w:val="center"/>
                </w:tcPr>
                <w:p w14:paraId="6EF02CCD">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6A5F057A">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c>
                <w:tcPr>
                  <w:tcW w:w="787" w:type="dxa"/>
                  <w:tcBorders>
                    <w:tl2br w:val="nil"/>
                    <w:tr2bl w:val="nil"/>
                  </w:tcBorders>
                  <w:vAlign w:val="center"/>
                </w:tcPr>
                <w:p w14:paraId="5C347826">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41</w:t>
                  </w:r>
                </w:p>
              </w:tc>
              <w:tc>
                <w:tcPr>
                  <w:tcW w:w="787" w:type="dxa"/>
                  <w:tcBorders>
                    <w:tl2br w:val="nil"/>
                    <w:tr2bl w:val="nil"/>
                  </w:tcBorders>
                  <w:vAlign w:val="center"/>
                </w:tcPr>
                <w:p w14:paraId="75F66E9E">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17</w:t>
                  </w:r>
                </w:p>
              </w:tc>
              <w:tc>
                <w:tcPr>
                  <w:tcW w:w="787" w:type="dxa"/>
                  <w:tcBorders>
                    <w:tl2br w:val="nil"/>
                    <w:tr2bl w:val="nil"/>
                  </w:tcBorders>
                  <w:vAlign w:val="center"/>
                </w:tcPr>
                <w:p w14:paraId="72311BA2">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2.628</w:t>
                  </w:r>
                </w:p>
              </w:tc>
            </w:tr>
            <w:tr w14:paraId="3F221B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87" w:type="dxa"/>
                  <w:vMerge w:val="continue"/>
                  <w:tcBorders>
                    <w:tl2br w:val="nil"/>
                    <w:tr2bl w:val="nil"/>
                  </w:tcBorders>
                  <w:vAlign w:val="center"/>
                </w:tcPr>
                <w:p w14:paraId="3224B276">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vAlign w:val="center"/>
                </w:tcPr>
                <w:p w14:paraId="4715B137">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有组织</w:t>
                  </w:r>
                </w:p>
              </w:tc>
              <w:tc>
                <w:tcPr>
                  <w:tcW w:w="787" w:type="dxa"/>
                  <w:tcBorders>
                    <w:tl2br w:val="nil"/>
                    <w:tr2bl w:val="nil"/>
                  </w:tcBorders>
                  <w:vAlign w:val="center"/>
                </w:tcPr>
                <w:p w14:paraId="50A6A99A">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臭气浓度</w:t>
                  </w:r>
                </w:p>
              </w:tc>
              <w:tc>
                <w:tcPr>
                  <w:tcW w:w="787" w:type="dxa"/>
                  <w:tcBorders>
                    <w:tl2br w:val="nil"/>
                    <w:tr2bl w:val="nil"/>
                  </w:tcBorders>
                  <w:vAlign w:val="center"/>
                </w:tcPr>
                <w:p w14:paraId="5A99F981">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1D636EE2">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120（无 量纲）</w:t>
                  </w:r>
                </w:p>
              </w:tc>
              <w:tc>
                <w:tcPr>
                  <w:tcW w:w="787" w:type="dxa"/>
                  <w:tcBorders>
                    <w:tl2br w:val="nil"/>
                    <w:tr2bl w:val="nil"/>
                  </w:tcBorders>
                  <w:vAlign w:val="center"/>
                </w:tcPr>
                <w:p w14:paraId="1CA4785E">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60BC37DF">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90</w:t>
                  </w: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1BEC955A">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2400</w:t>
                  </w:r>
                </w:p>
              </w:tc>
              <w:tc>
                <w:tcPr>
                  <w:tcW w:w="787" w:type="dxa"/>
                  <w:tcBorders>
                    <w:tl2br w:val="nil"/>
                    <w:tr2bl w:val="nil"/>
                  </w:tcBorders>
                  <w:vAlign w:val="center"/>
                </w:tcPr>
                <w:p w14:paraId="01EB00B5">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40855B46">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12（无量纲）</w:t>
                  </w:r>
                </w:p>
              </w:tc>
              <w:tc>
                <w:tcPr>
                  <w:tcW w:w="787" w:type="dxa"/>
                  <w:tcBorders>
                    <w:tl2br w:val="nil"/>
                    <w:tr2bl w:val="nil"/>
                  </w:tcBorders>
                  <w:vAlign w:val="center"/>
                </w:tcPr>
                <w:p w14:paraId="16154CA7">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r>
            <w:tr w14:paraId="0FA0B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87" w:type="dxa"/>
                  <w:vMerge w:val="continue"/>
                  <w:tcBorders>
                    <w:tl2br w:val="nil"/>
                    <w:tr2bl w:val="nil"/>
                  </w:tcBorders>
                  <w:vAlign w:val="center"/>
                </w:tcPr>
                <w:p w14:paraId="134CD4DB">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vAlign w:val="center"/>
                </w:tcPr>
                <w:p w14:paraId="24606E97">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有组织</w:t>
                  </w:r>
                </w:p>
              </w:tc>
              <w:tc>
                <w:tcPr>
                  <w:tcW w:w="787" w:type="dxa"/>
                  <w:tcBorders>
                    <w:tl2br w:val="nil"/>
                    <w:tr2bl w:val="nil"/>
                  </w:tcBorders>
                  <w:vAlign w:val="center"/>
                </w:tcPr>
                <w:p w14:paraId="379128E0">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787" w:type="dxa"/>
                  <w:tcBorders>
                    <w:tl2br w:val="nil"/>
                    <w:tr2bl w:val="nil"/>
                  </w:tcBorders>
                  <w:vAlign w:val="center"/>
                </w:tcPr>
                <w:p w14:paraId="61ED5851">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6E451BF8">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3721AD25">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4CCE3E6D">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90</w:t>
                  </w: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29D729DE">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2400</w:t>
                  </w:r>
                </w:p>
              </w:tc>
              <w:tc>
                <w:tcPr>
                  <w:tcW w:w="787" w:type="dxa"/>
                  <w:tcBorders>
                    <w:tl2br w:val="nil"/>
                    <w:tr2bl w:val="nil"/>
                  </w:tcBorders>
                  <w:vAlign w:val="center"/>
                </w:tcPr>
                <w:p w14:paraId="1A33688A">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26451C62">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1943D39B">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r>
            <w:tr w14:paraId="048E7D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87" w:type="dxa"/>
                  <w:vMerge w:val="continue"/>
                  <w:tcBorders>
                    <w:tl2br w:val="nil"/>
                    <w:tr2bl w:val="nil"/>
                  </w:tcBorders>
                  <w:vAlign w:val="center"/>
                </w:tcPr>
                <w:p w14:paraId="20C9B422">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vAlign w:val="center"/>
                </w:tcPr>
                <w:p w14:paraId="36370735">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w:t>
                  </w:r>
                </w:p>
              </w:tc>
              <w:tc>
                <w:tcPr>
                  <w:tcW w:w="787" w:type="dxa"/>
                  <w:tcBorders>
                    <w:tl2br w:val="nil"/>
                    <w:tr2bl w:val="nil"/>
                  </w:tcBorders>
                  <w:vAlign w:val="center"/>
                </w:tcPr>
                <w:p w14:paraId="48186CA1">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787" w:type="dxa"/>
                  <w:tcBorders>
                    <w:tl2br w:val="nil"/>
                    <w:tr2bl w:val="nil"/>
                  </w:tcBorders>
                  <w:vAlign w:val="center"/>
                </w:tcPr>
                <w:p w14:paraId="3D11DE38">
                  <w:pPr>
                    <w:adjustRightInd/>
                    <w:snapToGrid/>
                    <w:spacing w:line="240" w:lineRule="auto"/>
                    <w:ind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45</w:t>
                  </w:r>
                </w:p>
              </w:tc>
              <w:tc>
                <w:tcPr>
                  <w:tcW w:w="787" w:type="dxa"/>
                  <w:tcBorders>
                    <w:tl2br w:val="nil"/>
                    <w:tr2bl w:val="nil"/>
                  </w:tcBorders>
                  <w:vAlign w:val="center"/>
                </w:tcPr>
                <w:p w14:paraId="36912A96">
                  <w:pPr>
                    <w:adjustRightInd/>
                    <w:snapToGrid/>
                    <w:spacing w:line="240" w:lineRule="auto"/>
                    <w:ind w:firstLine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w:t>
                  </w:r>
                  <w:r>
                    <w:rPr>
                      <w:rFonts w:hint="eastAsia" w:cs="Times New Roman"/>
                      <w:color w:val="FF0000"/>
                      <w:sz w:val="21"/>
                      <w:szCs w:val="21"/>
                      <w:highlight w:val="none"/>
                      <w:lang w:val="en-US" w:eastAsia="zh-CN"/>
                    </w:rPr>
                    <w:t>019</w:t>
                  </w:r>
                </w:p>
              </w:tc>
              <w:tc>
                <w:tcPr>
                  <w:tcW w:w="787" w:type="dxa"/>
                  <w:tcBorders>
                    <w:tl2br w:val="nil"/>
                    <w:tr2bl w:val="nil"/>
                  </w:tcBorders>
                  <w:vAlign w:val="center"/>
                </w:tcPr>
                <w:p w14:paraId="20C7F4BA">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10A48DB2">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0A4BEEF6">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2400</w:t>
                  </w:r>
                </w:p>
              </w:tc>
              <w:tc>
                <w:tcPr>
                  <w:tcW w:w="787" w:type="dxa"/>
                  <w:tcBorders>
                    <w:tl2br w:val="nil"/>
                    <w:tr2bl w:val="nil"/>
                  </w:tcBorders>
                  <w:vAlign w:val="center"/>
                </w:tcPr>
                <w:p w14:paraId="13E40EAB">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w:t>
                  </w:r>
                  <w:r>
                    <w:rPr>
                      <w:rFonts w:hint="eastAsia" w:cs="Times New Roman"/>
                      <w:color w:val="FF0000"/>
                      <w:sz w:val="21"/>
                      <w:szCs w:val="21"/>
                      <w:highlight w:val="none"/>
                      <w:lang w:val="en-US" w:eastAsia="zh-CN"/>
                    </w:rPr>
                    <w:t>45</w:t>
                  </w:r>
                </w:p>
              </w:tc>
              <w:tc>
                <w:tcPr>
                  <w:tcW w:w="787" w:type="dxa"/>
                  <w:tcBorders>
                    <w:tl2br w:val="nil"/>
                    <w:tr2bl w:val="nil"/>
                  </w:tcBorders>
                  <w:vAlign w:val="center"/>
                </w:tcPr>
                <w:p w14:paraId="431F59C6">
                  <w:pPr>
                    <w:adjustRightInd/>
                    <w:snapToGrid/>
                    <w:spacing w:line="240" w:lineRule="auto"/>
                    <w:ind w:firstLine="0"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w:t>
                  </w:r>
                  <w:r>
                    <w:rPr>
                      <w:rFonts w:hint="eastAsia" w:cs="Times New Roman"/>
                      <w:color w:val="FF0000"/>
                      <w:sz w:val="21"/>
                      <w:szCs w:val="21"/>
                      <w:highlight w:val="none"/>
                      <w:lang w:val="en-US" w:eastAsia="zh-CN"/>
                    </w:rPr>
                    <w:t>019</w:t>
                  </w:r>
                </w:p>
              </w:tc>
              <w:tc>
                <w:tcPr>
                  <w:tcW w:w="787" w:type="dxa"/>
                  <w:tcBorders>
                    <w:tl2br w:val="nil"/>
                    <w:tr2bl w:val="nil"/>
                  </w:tcBorders>
                  <w:vAlign w:val="center"/>
                </w:tcPr>
                <w:p w14:paraId="33C2DE73">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r>
            <w:tr w14:paraId="087CB3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87" w:type="dxa"/>
                  <w:vMerge w:val="continue"/>
                  <w:tcBorders>
                    <w:tl2br w:val="nil"/>
                    <w:tr2bl w:val="nil"/>
                  </w:tcBorders>
                  <w:vAlign w:val="center"/>
                </w:tcPr>
                <w:p w14:paraId="0E876746">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vAlign w:val="center"/>
                </w:tcPr>
                <w:p w14:paraId="6D57F046">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w:t>
                  </w:r>
                </w:p>
              </w:tc>
              <w:tc>
                <w:tcPr>
                  <w:tcW w:w="787" w:type="dxa"/>
                  <w:tcBorders>
                    <w:tl2br w:val="nil"/>
                    <w:tr2bl w:val="nil"/>
                  </w:tcBorders>
                  <w:vAlign w:val="center"/>
                </w:tcPr>
                <w:p w14:paraId="3ABBB0ED">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臭气浓度</w:t>
                  </w:r>
                </w:p>
              </w:tc>
              <w:tc>
                <w:tcPr>
                  <w:tcW w:w="787" w:type="dxa"/>
                  <w:tcBorders>
                    <w:tl2br w:val="nil"/>
                    <w:tr2bl w:val="nil"/>
                  </w:tcBorders>
                  <w:vAlign w:val="center"/>
                </w:tcPr>
                <w:p w14:paraId="30D920CF">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3B9CACF7">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10（无 量纲）</w:t>
                  </w:r>
                </w:p>
              </w:tc>
              <w:tc>
                <w:tcPr>
                  <w:tcW w:w="787" w:type="dxa"/>
                  <w:tcBorders>
                    <w:tl2br w:val="nil"/>
                    <w:tr2bl w:val="nil"/>
                  </w:tcBorders>
                  <w:vAlign w:val="center"/>
                </w:tcPr>
                <w:p w14:paraId="61B7112E">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20D0A606">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146B13DA">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2400</w:t>
                  </w:r>
                </w:p>
              </w:tc>
              <w:tc>
                <w:tcPr>
                  <w:tcW w:w="787" w:type="dxa"/>
                  <w:tcBorders>
                    <w:tl2br w:val="nil"/>
                    <w:tr2bl w:val="nil"/>
                  </w:tcBorders>
                  <w:vAlign w:val="center"/>
                </w:tcPr>
                <w:p w14:paraId="0A2AC337">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c>
                <w:tcPr>
                  <w:tcW w:w="787" w:type="dxa"/>
                  <w:tcBorders>
                    <w:tl2br w:val="nil"/>
                    <w:tr2bl w:val="nil"/>
                  </w:tcBorders>
                  <w:vAlign w:val="center"/>
                </w:tcPr>
                <w:p w14:paraId="5BAC6380">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10（无 量纲）</w:t>
                  </w:r>
                </w:p>
              </w:tc>
              <w:tc>
                <w:tcPr>
                  <w:tcW w:w="787" w:type="dxa"/>
                  <w:tcBorders>
                    <w:tl2br w:val="nil"/>
                    <w:tr2bl w:val="nil"/>
                  </w:tcBorders>
                  <w:vAlign w:val="center"/>
                </w:tcPr>
                <w:p w14:paraId="3FC84C8F">
                  <w:pPr>
                    <w:adjustRightInd/>
                    <w:snapToGrid/>
                    <w:spacing w:line="240" w:lineRule="auto"/>
                    <w:ind w:firstLine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p>
              </w:tc>
            </w:tr>
            <w:tr w14:paraId="3B98BD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87" w:type="dxa"/>
                  <w:vMerge w:val="continue"/>
                  <w:tcBorders>
                    <w:tl2br w:val="nil"/>
                    <w:tr2bl w:val="nil"/>
                  </w:tcBorders>
                  <w:vAlign w:val="center"/>
                </w:tcPr>
                <w:p w14:paraId="38BC272B">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787" w:type="dxa"/>
                  <w:tcBorders>
                    <w:tl2br w:val="nil"/>
                    <w:tr2bl w:val="nil"/>
                  </w:tcBorders>
                  <w:vAlign w:val="center"/>
                </w:tcPr>
                <w:p w14:paraId="4AF0DB33">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w:t>
                  </w:r>
                </w:p>
              </w:tc>
              <w:tc>
                <w:tcPr>
                  <w:tcW w:w="787" w:type="dxa"/>
                  <w:tcBorders>
                    <w:tl2br w:val="nil"/>
                    <w:tr2bl w:val="nil"/>
                  </w:tcBorders>
                  <w:shd w:val="clear" w:color="auto" w:fill="auto"/>
                  <w:vAlign w:val="center"/>
                </w:tcPr>
                <w:p w14:paraId="511FF50C">
                  <w:pPr>
                    <w:adjustRightInd/>
                    <w:snapToGrid/>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臭气浓度</w:t>
                  </w:r>
                </w:p>
              </w:tc>
              <w:tc>
                <w:tcPr>
                  <w:tcW w:w="787" w:type="dxa"/>
                  <w:tcBorders>
                    <w:tl2br w:val="nil"/>
                    <w:tr2bl w:val="nil"/>
                  </w:tcBorders>
                  <w:vAlign w:val="center"/>
                </w:tcPr>
                <w:p w14:paraId="3DA7D80A">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4FC7EA81">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44E5A54F">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12804CE4">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3A401A85">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c>
                <w:tcPr>
                  <w:tcW w:w="787" w:type="dxa"/>
                  <w:tcBorders>
                    <w:tl2br w:val="nil"/>
                    <w:tr2bl w:val="nil"/>
                  </w:tcBorders>
                  <w:vAlign w:val="center"/>
                </w:tcPr>
                <w:p w14:paraId="5B21CA0C">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221E6588">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tcBorders>
                    <w:tl2br w:val="nil"/>
                    <w:tr2bl w:val="nil"/>
                  </w:tcBorders>
                  <w:vAlign w:val="center"/>
                </w:tcPr>
                <w:p w14:paraId="075A3681">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5034F5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87" w:type="dxa"/>
                  <w:vMerge w:val="continue"/>
                  <w:vAlign w:val="center"/>
                </w:tcPr>
                <w:p w14:paraId="369AC9B5">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p>
              </w:tc>
              <w:tc>
                <w:tcPr>
                  <w:tcW w:w="0" w:type="auto"/>
                  <w:vAlign w:val="center"/>
                </w:tcPr>
                <w:p w14:paraId="0984636A">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w:t>
                  </w:r>
                </w:p>
              </w:tc>
              <w:tc>
                <w:tcPr>
                  <w:tcW w:w="0" w:type="auto"/>
                  <w:shd w:val="clear" w:color="auto" w:fill="auto"/>
                  <w:vAlign w:val="center"/>
                </w:tcPr>
                <w:p w14:paraId="6C0C6CFC">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787" w:type="dxa"/>
                  <w:vAlign w:val="center"/>
                </w:tcPr>
                <w:p w14:paraId="47F8E8CB">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vAlign w:val="center"/>
                </w:tcPr>
                <w:p w14:paraId="47DBB379">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vAlign w:val="center"/>
                </w:tcPr>
                <w:p w14:paraId="3A8D4744">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vAlign w:val="center"/>
                </w:tcPr>
                <w:p w14:paraId="24A4F330">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0" w:type="auto"/>
                  <w:vAlign w:val="center"/>
                </w:tcPr>
                <w:p w14:paraId="514D7214">
                  <w:pPr>
                    <w:adjustRightInd/>
                    <w:snapToGrid/>
                    <w:spacing w:line="240" w:lineRule="auto"/>
                    <w:ind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c>
                <w:tcPr>
                  <w:tcW w:w="787" w:type="dxa"/>
                  <w:vAlign w:val="center"/>
                </w:tcPr>
                <w:p w14:paraId="4C61CF4E">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vAlign w:val="center"/>
                </w:tcPr>
                <w:p w14:paraId="3BB60E41">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7" w:type="dxa"/>
                  <w:vAlign w:val="center"/>
                </w:tcPr>
                <w:p w14:paraId="6F24240D">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bl>
          <w:p w14:paraId="20AA0E2E">
            <w:pPr>
              <w:bidi w:val="0"/>
              <w:spacing w:line="360" w:lineRule="auto"/>
              <w:ind w:firstLine="480" w:firstLineChars="200"/>
              <w:rPr>
                <w:rFonts w:hint="eastAsia"/>
                <w:color w:val="auto"/>
                <w:sz w:val="24"/>
                <w:szCs w:val="22"/>
                <w:lang w:val="en-US" w:eastAsia="zh-CN"/>
              </w:rPr>
            </w:pPr>
            <w:r>
              <w:rPr>
                <w:rFonts w:hint="eastAsia"/>
                <w:color w:val="auto"/>
                <w:sz w:val="24"/>
                <w:szCs w:val="22"/>
                <w:lang w:val="en-US" w:eastAsia="zh-CN"/>
              </w:rPr>
              <w:t>（2）下脚料破碎产生的粉尘</w:t>
            </w:r>
          </w:p>
          <w:p w14:paraId="452603E0">
            <w:pPr>
              <w:bidi w:val="0"/>
              <w:spacing w:line="360" w:lineRule="auto"/>
              <w:ind w:firstLine="480" w:firstLineChars="200"/>
              <w:rPr>
                <w:rFonts w:hint="eastAsia"/>
                <w:color w:val="auto"/>
                <w:sz w:val="24"/>
                <w:szCs w:val="22"/>
                <w:lang w:val="en-US" w:eastAsia="zh-CN"/>
              </w:rPr>
            </w:pPr>
            <w:r>
              <w:rPr>
                <w:rFonts w:hint="eastAsia"/>
                <w:color w:val="auto"/>
                <w:sz w:val="24"/>
                <w:szCs w:val="22"/>
                <w:lang w:val="en-US" w:eastAsia="zh-CN"/>
              </w:rPr>
              <w:t>参照《排放源统计调查产排污核算方法和系数手册》中的“4220非金属废料和碎屑加工处理行业系数手册”，废PP/PE干法破碎颗粒物的产生系数为375克/吨-原料，根据企业提供资料，塑料下脚料产生量约为3t/a，则粉碎产生的粉尘为0.001t/a，粉碎机为密闭加工，通过连接的封闭管道直接吸取粉碎料回用，粉尘逸散极少，约5%的粉尘逸出，则粉尘无组织排放量为0.00005t/a。该工序工作时间为200h/a，则无组织排放速率为0.00025kg/h。</w:t>
            </w:r>
          </w:p>
          <w:p w14:paraId="15959EF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eastAsia" w:ascii="Times New Roman" w:hAnsi="Times New Roman" w:eastAsia="新宋体" w:cs="Times New Roman"/>
                <w:color w:val="FF0000"/>
                <w:sz w:val="24"/>
                <w:szCs w:val="22"/>
                <w:highlight w:val="none"/>
                <w:lang w:val="en-US" w:eastAsia="zh-CN"/>
              </w:rPr>
            </w:pPr>
            <w:r>
              <w:rPr>
                <w:rFonts w:hint="eastAsia" w:ascii="Times New Roman" w:hAnsi="Times New Roman" w:eastAsia="新宋体" w:cs="Times New Roman"/>
                <w:color w:val="FF0000"/>
                <w:sz w:val="24"/>
                <w:szCs w:val="22"/>
                <w:highlight w:val="none"/>
                <w:lang w:val="en-US" w:eastAsia="zh-CN"/>
              </w:rPr>
              <w:t>（3）投料/混料工序废气</w:t>
            </w:r>
          </w:p>
          <w:p w14:paraId="520F688C">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eastAsia" w:ascii="Times New Roman" w:hAnsi="Times New Roman" w:eastAsia="新宋体" w:cs="Times New Roman"/>
                <w:color w:val="auto"/>
                <w:sz w:val="24"/>
                <w:szCs w:val="22"/>
                <w:highlight w:val="none"/>
                <w:lang w:val="en-US" w:eastAsia="zh-CN"/>
              </w:rPr>
            </w:pPr>
            <w:r>
              <w:rPr>
                <w:rFonts w:hint="eastAsia" w:ascii="Times New Roman" w:hAnsi="Times New Roman" w:eastAsia="新宋体" w:cs="Times New Roman"/>
                <w:color w:val="FF0000"/>
                <w:sz w:val="24"/>
                <w:szCs w:val="22"/>
                <w:highlight w:val="none"/>
                <w:lang w:val="en-US" w:eastAsia="zh-CN"/>
              </w:rPr>
              <w:t>项目外购原料均为颗粒状，粒径约为1.5~2mm，混料时产生的粉尘量极少，经设备自带的除尘器处理后无组织排放</w:t>
            </w:r>
            <w:r>
              <w:rPr>
                <w:rFonts w:hint="eastAsia" w:eastAsia="新宋体" w:cs="Times New Roman"/>
                <w:color w:val="FF0000"/>
                <w:sz w:val="24"/>
                <w:szCs w:val="22"/>
                <w:highlight w:val="none"/>
                <w:lang w:val="en-US" w:eastAsia="zh-CN"/>
              </w:rPr>
              <w:t>，</w:t>
            </w:r>
            <w:r>
              <w:rPr>
                <w:rFonts w:hint="eastAsia" w:ascii="Times New Roman" w:hAnsi="Times New Roman" w:eastAsia="新宋体" w:cs="Times New Roman"/>
                <w:color w:val="FF0000"/>
                <w:sz w:val="24"/>
                <w:szCs w:val="22"/>
                <w:highlight w:val="none"/>
                <w:lang w:val="en-US" w:eastAsia="zh-CN"/>
              </w:rPr>
              <w:t>除尘效率</w:t>
            </w:r>
            <w:r>
              <w:rPr>
                <w:rFonts w:hint="eastAsia" w:eastAsia="新宋体" w:cs="Times New Roman"/>
                <w:color w:val="FF0000"/>
                <w:sz w:val="24"/>
                <w:szCs w:val="22"/>
                <w:highlight w:val="none"/>
                <w:lang w:val="en-US" w:eastAsia="zh-CN"/>
              </w:rPr>
              <w:t>为99%。</w:t>
            </w:r>
            <w:r>
              <w:rPr>
                <w:rFonts w:hint="eastAsia" w:ascii="Times New Roman" w:hAnsi="Times New Roman" w:eastAsia="新宋体" w:cs="Times New Roman"/>
                <w:color w:val="FF0000"/>
                <w:sz w:val="24"/>
                <w:szCs w:val="22"/>
                <w:highlight w:val="none"/>
                <w:lang w:val="en-US" w:eastAsia="zh-CN"/>
              </w:rPr>
              <w:t>本次评价不</w:t>
            </w:r>
            <w:r>
              <w:rPr>
                <w:rFonts w:hint="eastAsia" w:ascii="Times New Roman" w:hAnsi="Times New Roman" w:eastAsia="新宋体" w:cs="Times New Roman"/>
                <w:color w:val="auto"/>
                <w:sz w:val="24"/>
                <w:szCs w:val="22"/>
                <w:highlight w:val="none"/>
                <w:lang w:val="en-US" w:eastAsia="zh-CN"/>
              </w:rPr>
              <w:t>进行定量分析。</w:t>
            </w:r>
          </w:p>
          <w:p w14:paraId="00749C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firstLine="480" w:firstLineChars="200"/>
              <w:jc w:val="both"/>
              <w:textAlignment w:val="auto"/>
              <w:rPr>
                <w:rFonts w:hint="eastAsia"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项目有组织废气产生及排放情况详见下表。</w:t>
            </w:r>
          </w:p>
          <w:p w14:paraId="725F0143">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157" w:beforeLines="50" w:line="240" w:lineRule="auto"/>
              <w:ind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w:t>
            </w:r>
            <w:r>
              <w:rPr>
                <w:rFonts w:hint="eastAsia"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有组织排放情况一览表</w:t>
            </w:r>
          </w:p>
          <w:tbl>
            <w:tblPr>
              <w:tblStyle w:val="38"/>
              <w:tblW w:w="867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0"/>
              <w:gridCol w:w="718"/>
              <w:gridCol w:w="992"/>
              <w:gridCol w:w="925"/>
              <w:gridCol w:w="583"/>
              <w:gridCol w:w="674"/>
              <w:gridCol w:w="585"/>
              <w:gridCol w:w="758"/>
              <w:gridCol w:w="825"/>
              <w:gridCol w:w="918"/>
              <w:gridCol w:w="918"/>
            </w:tblGrid>
            <w:tr w14:paraId="6962C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780" w:type="dxa"/>
                  <w:tcBorders>
                    <w:tl2br w:val="nil"/>
                    <w:tr2bl w:val="nil"/>
                  </w:tcBorders>
                  <w:noWrap w:val="0"/>
                  <w:vAlign w:val="center"/>
                </w:tcPr>
                <w:p w14:paraId="3B28B1D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排气筒编号</w:t>
                  </w:r>
                </w:p>
              </w:tc>
              <w:tc>
                <w:tcPr>
                  <w:tcW w:w="718" w:type="dxa"/>
                  <w:tcBorders>
                    <w:tl2br w:val="nil"/>
                    <w:tr2bl w:val="nil"/>
                  </w:tcBorders>
                  <w:noWrap w:val="0"/>
                  <w:vAlign w:val="center"/>
                </w:tcPr>
                <w:p w14:paraId="78D21AE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排气筒名称</w:t>
                  </w:r>
                </w:p>
              </w:tc>
              <w:tc>
                <w:tcPr>
                  <w:tcW w:w="992" w:type="dxa"/>
                  <w:tcBorders>
                    <w:tl2br w:val="nil"/>
                    <w:tr2bl w:val="nil"/>
                  </w:tcBorders>
                  <w:noWrap w:val="0"/>
                  <w:vAlign w:val="center"/>
                </w:tcPr>
                <w:p w14:paraId="7C15FB8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经度</w:t>
                  </w:r>
                </w:p>
              </w:tc>
              <w:tc>
                <w:tcPr>
                  <w:tcW w:w="925" w:type="dxa"/>
                  <w:tcBorders>
                    <w:tl2br w:val="nil"/>
                    <w:tr2bl w:val="nil"/>
                  </w:tcBorders>
                  <w:noWrap w:val="0"/>
                  <w:vAlign w:val="center"/>
                </w:tcPr>
                <w:p w14:paraId="1418DE6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纬度</w:t>
                  </w:r>
                </w:p>
              </w:tc>
              <w:tc>
                <w:tcPr>
                  <w:tcW w:w="583" w:type="dxa"/>
                  <w:tcBorders>
                    <w:tl2br w:val="nil"/>
                    <w:tr2bl w:val="nil"/>
                  </w:tcBorders>
                  <w:noWrap w:val="0"/>
                  <w:vAlign w:val="center"/>
                </w:tcPr>
                <w:p w14:paraId="3A92017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排气筒高度</w:t>
                  </w:r>
                </w:p>
              </w:tc>
              <w:tc>
                <w:tcPr>
                  <w:tcW w:w="674" w:type="dxa"/>
                  <w:tcBorders>
                    <w:tl2br w:val="nil"/>
                    <w:tr2bl w:val="nil"/>
                  </w:tcBorders>
                  <w:noWrap w:val="0"/>
                  <w:vAlign w:val="center"/>
                </w:tcPr>
                <w:p w14:paraId="4DA677B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排气筒温度</w:t>
                  </w:r>
                </w:p>
              </w:tc>
              <w:tc>
                <w:tcPr>
                  <w:tcW w:w="585" w:type="dxa"/>
                  <w:tcBorders>
                    <w:tl2br w:val="nil"/>
                    <w:tr2bl w:val="nil"/>
                  </w:tcBorders>
                  <w:noWrap w:val="0"/>
                  <w:vAlign w:val="center"/>
                </w:tcPr>
                <w:p w14:paraId="5582015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污染物名称</w:t>
                  </w:r>
                </w:p>
              </w:tc>
              <w:tc>
                <w:tcPr>
                  <w:tcW w:w="758" w:type="dxa"/>
                  <w:tcBorders>
                    <w:tl2br w:val="nil"/>
                    <w:tr2bl w:val="nil"/>
                  </w:tcBorders>
                  <w:noWrap w:val="0"/>
                  <w:vAlign w:val="center"/>
                </w:tcPr>
                <w:p w14:paraId="7344279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排放量t/a</w:t>
                  </w:r>
                </w:p>
              </w:tc>
              <w:tc>
                <w:tcPr>
                  <w:tcW w:w="825" w:type="dxa"/>
                  <w:tcBorders>
                    <w:tl2br w:val="nil"/>
                    <w:tr2bl w:val="nil"/>
                  </w:tcBorders>
                  <w:noWrap w:val="0"/>
                  <w:vAlign w:val="center"/>
                </w:tcPr>
                <w:p w14:paraId="2425A99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b/>
                      <w:bCs/>
                      <w:color w:val="auto"/>
                      <w:sz w:val="21"/>
                      <w:szCs w:val="21"/>
                      <w:lang w:val="en-US" w:eastAsia="zh-CN"/>
                    </w:rPr>
                  </w:pPr>
                  <w:r>
                    <w:rPr>
                      <w:rFonts w:hint="eastAsia" w:ascii="Times New Roman" w:hAnsi="Times New Roman" w:cs="Times New Roman" w:eastAsiaTheme="minorEastAsia"/>
                      <w:b/>
                      <w:bCs/>
                      <w:color w:val="auto"/>
                      <w:sz w:val="21"/>
                      <w:szCs w:val="21"/>
                      <w:lang w:val="en-US" w:eastAsia="zh-CN"/>
                    </w:rPr>
                    <w:t>排放速率kg</w:t>
                  </w:r>
                  <w:r>
                    <w:rPr>
                      <w:rFonts w:hint="default" w:ascii="Times New Roman" w:hAnsi="Times New Roman" w:cs="Times New Roman" w:eastAsiaTheme="minorEastAsia"/>
                      <w:b/>
                      <w:bCs/>
                      <w:color w:val="auto"/>
                      <w:sz w:val="21"/>
                      <w:szCs w:val="21"/>
                      <w:lang w:val="en-US" w:eastAsia="zh-CN"/>
                    </w:rPr>
                    <w:t>/</w:t>
                  </w:r>
                  <w:r>
                    <w:rPr>
                      <w:rFonts w:hint="eastAsia" w:ascii="Times New Roman" w:hAnsi="Times New Roman" w:cs="Times New Roman" w:eastAsiaTheme="minorEastAsia"/>
                      <w:b/>
                      <w:bCs/>
                      <w:color w:val="auto"/>
                      <w:sz w:val="21"/>
                      <w:szCs w:val="21"/>
                      <w:lang w:val="en-US" w:eastAsia="zh-CN"/>
                    </w:rPr>
                    <w:t>h</w:t>
                  </w:r>
                </w:p>
                <w:p w14:paraId="4E5C3BA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p>
              </w:tc>
              <w:tc>
                <w:tcPr>
                  <w:tcW w:w="918" w:type="dxa"/>
                  <w:tcBorders>
                    <w:tl2br w:val="nil"/>
                    <w:tr2bl w:val="nil"/>
                  </w:tcBorders>
                  <w:noWrap w:val="0"/>
                  <w:vAlign w:val="center"/>
                </w:tcPr>
                <w:p w14:paraId="785A7B8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排放浓度mg/m</w:t>
                  </w:r>
                  <w:r>
                    <w:rPr>
                      <w:rFonts w:hint="default" w:ascii="Times New Roman" w:hAnsi="Times New Roman" w:cs="Times New Roman" w:eastAsiaTheme="minorEastAsia"/>
                      <w:b/>
                      <w:bCs/>
                      <w:color w:val="auto"/>
                      <w:sz w:val="21"/>
                      <w:szCs w:val="21"/>
                      <w:vertAlign w:val="superscript"/>
                      <w:lang w:val="en-US" w:eastAsia="zh-CN"/>
                    </w:rPr>
                    <w:t>3</w:t>
                  </w:r>
                </w:p>
              </w:tc>
              <w:tc>
                <w:tcPr>
                  <w:tcW w:w="918" w:type="dxa"/>
                  <w:tcBorders>
                    <w:tl2br w:val="nil"/>
                    <w:tr2bl w:val="nil"/>
                  </w:tcBorders>
                  <w:noWrap w:val="0"/>
                  <w:vAlign w:val="center"/>
                </w:tcPr>
                <w:p w14:paraId="6F8C19F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执行标准mg/m</w:t>
                  </w:r>
                  <w:r>
                    <w:rPr>
                      <w:rFonts w:hint="default" w:ascii="Times New Roman" w:hAnsi="Times New Roman" w:eastAsia="宋体" w:cs="Times New Roman"/>
                      <w:b/>
                      <w:bCs/>
                      <w:color w:val="auto"/>
                      <w:sz w:val="21"/>
                      <w:szCs w:val="21"/>
                      <w:vertAlign w:val="superscript"/>
                      <w:lang w:val="en-US" w:eastAsia="zh-CN"/>
                    </w:rPr>
                    <w:t>3</w:t>
                  </w:r>
                </w:p>
              </w:tc>
            </w:tr>
            <w:tr w14:paraId="55B0F2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780" w:type="dxa"/>
                  <w:vMerge w:val="restart"/>
                  <w:tcBorders>
                    <w:tl2br w:val="nil"/>
                    <w:tr2bl w:val="nil"/>
                  </w:tcBorders>
                  <w:noWrap w:val="0"/>
                  <w:vAlign w:val="center"/>
                </w:tcPr>
                <w:p w14:paraId="57E344C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DA00</w:t>
                  </w:r>
                  <w:r>
                    <w:rPr>
                      <w:rFonts w:hint="eastAsia" w:eastAsia="宋体" w:cs="Times New Roman"/>
                      <w:color w:val="auto"/>
                      <w:sz w:val="21"/>
                      <w:szCs w:val="21"/>
                      <w:lang w:val="en-US" w:eastAsia="zh-CN"/>
                    </w:rPr>
                    <w:t>1</w:t>
                  </w:r>
                </w:p>
              </w:tc>
              <w:tc>
                <w:tcPr>
                  <w:tcW w:w="718" w:type="dxa"/>
                  <w:vMerge w:val="restart"/>
                  <w:tcBorders>
                    <w:tl2br w:val="nil"/>
                    <w:tr2bl w:val="nil"/>
                  </w:tcBorders>
                  <w:noWrap w:val="0"/>
                  <w:vAlign w:val="center"/>
                </w:tcPr>
                <w:p w14:paraId="1C3F1B8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吹塑</w:t>
                  </w:r>
                  <w:r>
                    <w:rPr>
                      <w:rFonts w:hint="eastAsia" w:ascii="Times New Roman" w:hAnsi="Times New Roman" w:eastAsia="宋体" w:cs="Times New Roman"/>
                      <w:color w:val="auto"/>
                      <w:sz w:val="21"/>
                      <w:szCs w:val="21"/>
                      <w:highlight w:val="none"/>
                      <w:lang w:val="en-US" w:eastAsia="zh-CN"/>
                    </w:rPr>
                    <w:t>工序</w:t>
                  </w:r>
                  <w:r>
                    <w:rPr>
                      <w:rFonts w:hint="eastAsia" w:cs="Times New Roman"/>
                      <w:color w:val="auto"/>
                      <w:sz w:val="21"/>
                      <w:szCs w:val="21"/>
                      <w:lang w:val="en-US" w:eastAsia="zh-CN"/>
                    </w:rPr>
                    <w:t>排气筒</w:t>
                  </w:r>
                </w:p>
              </w:tc>
              <w:tc>
                <w:tcPr>
                  <w:tcW w:w="992" w:type="dxa"/>
                  <w:vMerge w:val="restart"/>
                  <w:tcBorders>
                    <w:tl2br w:val="nil"/>
                    <w:tr2bl w:val="nil"/>
                  </w:tcBorders>
                  <w:noWrap w:val="0"/>
                  <w:vAlign w:val="center"/>
                </w:tcPr>
                <w:p w14:paraId="5637ED4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11</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度</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分</w:t>
                  </w:r>
                  <w:r>
                    <w:rPr>
                      <w:rFonts w:hint="eastAsia" w:cs="Times New Roman"/>
                      <w:color w:val="auto"/>
                      <w:sz w:val="21"/>
                      <w:szCs w:val="21"/>
                      <w:highlight w:val="none"/>
                      <w:lang w:val="en-US" w:eastAsia="zh-CN"/>
                    </w:rPr>
                    <w:t>54.947</w:t>
                  </w:r>
                  <w:r>
                    <w:rPr>
                      <w:rFonts w:hint="default" w:ascii="Times New Roman" w:hAnsi="Times New Roman" w:eastAsia="宋体" w:cs="Times New Roman"/>
                      <w:color w:val="auto"/>
                      <w:sz w:val="21"/>
                      <w:szCs w:val="21"/>
                      <w:highlight w:val="none"/>
                      <w:lang w:val="en-US" w:eastAsia="zh-CN"/>
                    </w:rPr>
                    <w:t>秒</w:t>
                  </w:r>
                </w:p>
              </w:tc>
              <w:tc>
                <w:tcPr>
                  <w:tcW w:w="925" w:type="dxa"/>
                  <w:vMerge w:val="restart"/>
                  <w:tcBorders>
                    <w:tl2br w:val="nil"/>
                    <w:tr2bl w:val="nil"/>
                  </w:tcBorders>
                  <w:noWrap w:val="0"/>
                  <w:vAlign w:val="center"/>
                </w:tcPr>
                <w:p w14:paraId="0B57DEF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35度</w:t>
                  </w:r>
                  <w:r>
                    <w:rPr>
                      <w:rFonts w:hint="eastAsia" w:cs="Times New Roman"/>
                      <w:color w:val="auto"/>
                      <w:sz w:val="21"/>
                      <w:szCs w:val="21"/>
                      <w:highlight w:val="none"/>
                      <w:lang w:val="en-US" w:eastAsia="zh-CN"/>
                    </w:rPr>
                    <w:t>37</w:t>
                  </w:r>
                  <w:r>
                    <w:rPr>
                      <w:rFonts w:hint="default" w:ascii="Times New Roman" w:hAnsi="Times New Roman" w:eastAsia="宋体" w:cs="Times New Roman"/>
                      <w:color w:val="auto"/>
                      <w:sz w:val="21"/>
                      <w:szCs w:val="21"/>
                      <w:highlight w:val="none"/>
                      <w:lang w:val="en-US" w:eastAsia="zh-CN"/>
                    </w:rPr>
                    <w:t>分</w:t>
                  </w:r>
                  <w:r>
                    <w:rPr>
                      <w:rFonts w:hint="eastAsia" w:cs="Times New Roman"/>
                      <w:color w:val="auto"/>
                      <w:sz w:val="21"/>
                      <w:szCs w:val="21"/>
                      <w:highlight w:val="none"/>
                      <w:lang w:val="en-US" w:eastAsia="zh-CN"/>
                    </w:rPr>
                    <w:t>8.757</w:t>
                  </w:r>
                  <w:r>
                    <w:rPr>
                      <w:rFonts w:hint="default" w:ascii="Times New Roman" w:hAnsi="Times New Roman" w:eastAsia="宋体" w:cs="Times New Roman"/>
                      <w:color w:val="auto"/>
                      <w:sz w:val="21"/>
                      <w:szCs w:val="21"/>
                      <w:highlight w:val="none"/>
                      <w:lang w:val="en-US" w:eastAsia="zh-CN"/>
                    </w:rPr>
                    <w:t>秒</w:t>
                  </w:r>
                </w:p>
              </w:tc>
              <w:tc>
                <w:tcPr>
                  <w:tcW w:w="583" w:type="dxa"/>
                  <w:vMerge w:val="restart"/>
                  <w:tcBorders>
                    <w:tl2br w:val="nil"/>
                    <w:tr2bl w:val="nil"/>
                  </w:tcBorders>
                  <w:noWrap w:val="0"/>
                  <w:vAlign w:val="center"/>
                </w:tcPr>
                <w:p w14:paraId="07015D7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15m</w:t>
                  </w:r>
                </w:p>
              </w:tc>
              <w:tc>
                <w:tcPr>
                  <w:tcW w:w="674" w:type="dxa"/>
                  <w:vMerge w:val="restart"/>
                  <w:tcBorders>
                    <w:tl2br w:val="nil"/>
                    <w:tr2bl w:val="nil"/>
                  </w:tcBorders>
                  <w:noWrap w:val="0"/>
                  <w:vAlign w:val="center"/>
                </w:tcPr>
                <w:p w14:paraId="7165064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常温</w:t>
                  </w:r>
                </w:p>
              </w:tc>
              <w:tc>
                <w:tcPr>
                  <w:tcW w:w="585" w:type="dxa"/>
                  <w:tcBorders>
                    <w:tl2br w:val="nil"/>
                    <w:tr2bl w:val="nil"/>
                  </w:tcBorders>
                  <w:noWrap w:val="0"/>
                  <w:vAlign w:val="center"/>
                </w:tcPr>
                <w:p w14:paraId="03914C6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VOCs</w:t>
                  </w:r>
                </w:p>
              </w:tc>
              <w:tc>
                <w:tcPr>
                  <w:tcW w:w="758" w:type="dxa"/>
                  <w:tcBorders>
                    <w:tl2br w:val="nil"/>
                    <w:tr2bl w:val="nil"/>
                  </w:tcBorders>
                  <w:noWrap w:val="0"/>
                  <w:vAlign w:val="center"/>
                </w:tcPr>
                <w:p w14:paraId="5A5C70F9">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41</w:t>
                  </w:r>
                </w:p>
              </w:tc>
              <w:tc>
                <w:tcPr>
                  <w:tcW w:w="825" w:type="dxa"/>
                  <w:tcBorders>
                    <w:tl2br w:val="nil"/>
                    <w:tr2bl w:val="nil"/>
                  </w:tcBorders>
                  <w:noWrap w:val="0"/>
                  <w:vAlign w:val="center"/>
                </w:tcPr>
                <w:p w14:paraId="2801B5E5">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17</w:t>
                  </w:r>
                </w:p>
              </w:tc>
              <w:tc>
                <w:tcPr>
                  <w:tcW w:w="918" w:type="dxa"/>
                  <w:tcBorders>
                    <w:tl2br w:val="nil"/>
                    <w:tr2bl w:val="nil"/>
                  </w:tcBorders>
                  <w:noWrap w:val="0"/>
                  <w:vAlign w:val="center"/>
                </w:tcPr>
                <w:p w14:paraId="347742BA">
                  <w:pPr>
                    <w:adjustRightInd/>
                    <w:snapToGrid/>
                    <w:spacing w:line="240" w:lineRule="auto"/>
                    <w:ind w:firstLine="0" w:firstLineChars="0"/>
                    <w:jc w:val="center"/>
                    <w:rPr>
                      <w:rFonts w:hint="eastAsia" w:eastAsia="宋体" w:cs="Times New Roman"/>
                      <w:color w:val="auto"/>
                      <w:sz w:val="21"/>
                      <w:szCs w:val="21"/>
                      <w:lang w:val="en-US" w:eastAsia="zh-CN"/>
                    </w:rPr>
                  </w:pPr>
                  <w:r>
                    <w:rPr>
                      <w:rFonts w:hint="eastAsia" w:cs="Times New Roman"/>
                      <w:color w:val="auto"/>
                      <w:sz w:val="21"/>
                      <w:szCs w:val="21"/>
                      <w:highlight w:val="none"/>
                      <w:lang w:val="en-US" w:eastAsia="zh-CN"/>
                    </w:rPr>
                    <w:t>2.628</w:t>
                  </w:r>
                </w:p>
              </w:tc>
              <w:tc>
                <w:tcPr>
                  <w:tcW w:w="918" w:type="dxa"/>
                  <w:tcBorders>
                    <w:tl2br w:val="nil"/>
                    <w:tr2bl w:val="nil"/>
                  </w:tcBorders>
                  <w:noWrap w:val="0"/>
                  <w:vAlign w:val="center"/>
                </w:tcPr>
                <w:p w14:paraId="2E14DEA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w:t>
                  </w:r>
                </w:p>
              </w:tc>
            </w:tr>
            <w:tr w14:paraId="2817E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80" w:type="dxa"/>
                  <w:vMerge w:val="continue"/>
                  <w:tcBorders>
                    <w:tl2br w:val="nil"/>
                    <w:tr2bl w:val="nil"/>
                  </w:tcBorders>
                  <w:noWrap w:val="0"/>
                  <w:vAlign w:val="center"/>
                </w:tcPr>
                <w:p w14:paraId="3CB11D0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718" w:type="dxa"/>
                  <w:vMerge w:val="continue"/>
                  <w:tcBorders>
                    <w:tl2br w:val="nil"/>
                    <w:tr2bl w:val="nil"/>
                  </w:tcBorders>
                  <w:noWrap w:val="0"/>
                  <w:vAlign w:val="center"/>
                </w:tcPr>
                <w:p w14:paraId="253C010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lang w:val="en-US" w:eastAsia="zh-CN"/>
                    </w:rPr>
                  </w:pPr>
                </w:p>
              </w:tc>
              <w:tc>
                <w:tcPr>
                  <w:tcW w:w="992" w:type="dxa"/>
                  <w:vMerge w:val="continue"/>
                  <w:tcBorders>
                    <w:tl2br w:val="nil"/>
                    <w:tr2bl w:val="nil"/>
                  </w:tcBorders>
                  <w:noWrap w:val="0"/>
                  <w:vAlign w:val="center"/>
                </w:tcPr>
                <w:p w14:paraId="0A61322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925" w:type="dxa"/>
                  <w:vMerge w:val="continue"/>
                  <w:tcBorders>
                    <w:tl2br w:val="nil"/>
                    <w:tr2bl w:val="nil"/>
                  </w:tcBorders>
                  <w:noWrap w:val="0"/>
                  <w:vAlign w:val="center"/>
                </w:tcPr>
                <w:p w14:paraId="72F912E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83" w:type="dxa"/>
                  <w:vMerge w:val="continue"/>
                  <w:tcBorders>
                    <w:tl2br w:val="nil"/>
                    <w:tr2bl w:val="nil"/>
                  </w:tcBorders>
                  <w:noWrap w:val="0"/>
                  <w:vAlign w:val="center"/>
                </w:tcPr>
                <w:p w14:paraId="5AEC055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74" w:type="dxa"/>
                  <w:vMerge w:val="continue"/>
                  <w:tcBorders>
                    <w:tl2br w:val="nil"/>
                    <w:tr2bl w:val="nil"/>
                  </w:tcBorders>
                  <w:noWrap w:val="0"/>
                  <w:vAlign w:val="center"/>
                </w:tcPr>
                <w:p w14:paraId="60F0C63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585" w:type="dxa"/>
                  <w:tcBorders>
                    <w:tl2br w:val="nil"/>
                    <w:tr2bl w:val="nil"/>
                  </w:tcBorders>
                  <w:noWrap w:val="0"/>
                  <w:vAlign w:val="center"/>
                </w:tcPr>
                <w:p w14:paraId="230B6C8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臭气浓度</w:t>
                  </w:r>
                </w:p>
              </w:tc>
              <w:tc>
                <w:tcPr>
                  <w:tcW w:w="758" w:type="dxa"/>
                  <w:tcBorders>
                    <w:tl2br w:val="nil"/>
                    <w:tr2bl w:val="nil"/>
                  </w:tcBorders>
                  <w:shd w:val="clear" w:color="auto" w:fill="auto"/>
                  <w:noWrap w:val="0"/>
                  <w:vAlign w:val="center"/>
                </w:tcPr>
                <w:p w14:paraId="569160F7">
                  <w:pPr>
                    <w:adjustRightInd/>
                    <w:snapToGrid/>
                    <w:spacing w:line="240" w:lineRule="auto"/>
                    <w:ind w:firstLine="0" w:firstLineChars="0"/>
                    <w:jc w:val="center"/>
                    <w:rPr>
                      <w:rFonts w:hint="eastAsia" w:ascii="Times New Roman" w:hAnsi="Times New Roman" w:cs="Times New Roman" w:eastAsiaTheme="minorEastAsia"/>
                      <w:color w:val="FF0000"/>
                      <w:kern w:val="2"/>
                      <w:sz w:val="21"/>
                      <w:szCs w:val="21"/>
                      <w:lang w:val="en-US" w:eastAsia="zh-CN" w:bidi="ar-SA"/>
                    </w:rPr>
                  </w:pPr>
                  <w:r>
                    <w:rPr>
                      <w:rFonts w:hint="eastAsia" w:ascii="Times New Roman" w:hAnsi="Times New Roman" w:eastAsia="宋体" w:cs="Times New Roman"/>
                      <w:color w:val="FF0000"/>
                      <w:sz w:val="21"/>
                      <w:szCs w:val="21"/>
                      <w:highlight w:val="none"/>
                      <w:lang w:val="en-US" w:eastAsia="zh-CN"/>
                    </w:rPr>
                    <w:t>/</w:t>
                  </w:r>
                </w:p>
              </w:tc>
              <w:tc>
                <w:tcPr>
                  <w:tcW w:w="825" w:type="dxa"/>
                  <w:tcBorders>
                    <w:tl2br w:val="nil"/>
                    <w:tr2bl w:val="nil"/>
                  </w:tcBorders>
                  <w:shd w:val="clear" w:color="auto" w:fill="auto"/>
                  <w:noWrap w:val="0"/>
                  <w:vAlign w:val="center"/>
                </w:tcPr>
                <w:p w14:paraId="35A9ACAE">
                  <w:pPr>
                    <w:adjustRightInd/>
                    <w:snapToGrid/>
                    <w:spacing w:line="240" w:lineRule="auto"/>
                    <w:ind w:firstLine="0" w:firstLineChars="0"/>
                    <w:jc w:val="center"/>
                    <w:rPr>
                      <w:rFonts w:hint="eastAsia" w:ascii="Times New Roman" w:hAnsi="Times New Roman" w:cs="Times New Roman" w:eastAsiaTheme="minorEastAsia"/>
                      <w:color w:val="FF0000"/>
                      <w:kern w:val="2"/>
                      <w:sz w:val="21"/>
                      <w:szCs w:val="21"/>
                      <w:lang w:val="en-US" w:eastAsia="zh-CN" w:bidi="ar-SA"/>
                    </w:rPr>
                  </w:pPr>
                  <w:r>
                    <w:rPr>
                      <w:rFonts w:hint="eastAsia" w:ascii="Times New Roman" w:hAnsi="Times New Roman" w:eastAsia="宋体" w:cs="Times New Roman"/>
                      <w:color w:val="FF0000"/>
                      <w:sz w:val="21"/>
                      <w:szCs w:val="21"/>
                      <w:highlight w:val="none"/>
                      <w:lang w:val="en-US" w:eastAsia="zh-CN"/>
                    </w:rPr>
                    <w:t>1</w:t>
                  </w:r>
                  <w:r>
                    <w:rPr>
                      <w:rFonts w:hint="eastAsia" w:cs="Times New Roman"/>
                      <w:color w:val="FF0000"/>
                      <w:sz w:val="21"/>
                      <w:szCs w:val="21"/>
                      <w:highlight w:val="none"/>
                      <w:lang w:val="en-US" w:eastAsia="zh-CN"/>
                    </w:rPr>
                    <w:t>2</w:t>
                  </w:r>
                  <w:r>
                    <w:rPr>
                      <w:rFonts w:hint="eastAsia" w:ascii="Times New Roman" w:hAnsi="Times New Roman" w:eastAsia="宋体" w:cs="Times New Roman"/>
                      <w:color w:val="FF0000"/>
                      <w:sz w:val="21"/>
                      <w:szCs w:val="21"/>
                      <w:highlight w:val="none"/>
                      <w:lang w:val="en-US" w:eastAsia="zh-CN"/>
                    </w:rPr>
                    <w:t>（无量纲）</w:t>
                  </w:r>
                </w:p>
              </w:tc>
              <w:tc>
                <w:tcPr>
                  <w:tcW w:w="918" w:type="dxa"/>
                  <w:tcBorders>
                    <w:tl2br w:val="nil"/>
                    <w:tr2bl w:val="nil"/>
                  </w:tcBorders>
                  <w:shd w:val="clear" w:color="auto" w:fill="auto"/>
                  <w:noWrap w:val="0"/>
                  <w:vAlign w:val="center"/>
                </w:tcPr>
                <w:p w14:paraId="68D85A04">
                  <w:pPr>
                    <w:adjustRightInd/>
                    <w:snapToGrid/>
                    <w:spacing w:line="240" w:lineRule="auto"/>
                    <w:ind w:firstLine="0" w:firstLineChars="0"/>
                    <w:jc w:val="center"/>
                    <w:rPr>
                      <w:rFonts w:hint="eastAsia" w:ascii="Times New Roman" w:hAnsi="Times New Roman" w:cs="Times New Roman" w:eastAsiaTheme="minorEastAsia"/>
                      <w:color w:val="FF0000"/>
                      <w:kern w:val="2"/>
                      <w:sz w:val="21"/>
                      <w:szCs w:val="21"/>
                      <w:lang w:val="en-US" w:eastAsia="zh-CN" w:bidi="ar-SA"/>
                    </w:rPr>
                  </w:pPr>
                  <w:r>
                    <w:rPr>
                      <w:rFonts w:hint="eastAsia" w:ascii="Times New Roman" w:hAnsi="Times New Roman" w:eastAsia="宋体" w:cs="Times New Roman"/>
                      <w:color w:val="FF0000"/>
                      <w:sz w:val="21"/>
                      <w:szCs w:val="21"/>
                      <w:highlight w:val="none"/>
                      <w:lang w:val="en-US" w:eastAsia="zh-CN"/>
                    </w:rPr>
                    <w:t>/</w:t>
                  </w:r>
                </w:p>
              </w:tc>
              <w:tc>
                <w:tcPr>
                  <w:tcW w:w="918" w:type="dxa"/>
                  <w:tcBorders>
                    <w:tl2br w:val="nil"/>
                    <w:tr2bl w:val="nil"/>
                  </w:tcBorders>
                  <w:noWrap w:val="0"/>
                  <w:vAlign w:val="center"/>
                </w:tcPr>
                <w:p w14:paraId="6DB59CB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eastAsia="宋体" w:cs="Times New Roman"/>
                      <w:color w:val="FF0000"/>
                      <w:sz w:val="21"/>
                      <w:szCs w:val="21"/>
                      <w:lang w:val="en-US" w:eastAsia="zh-CN"/>
                    </w:rPr>
                  </w:pPr>
                  <w:r>
                    <w:rPr>
                      <w:rFonts w:hint="eastAsia" w:cs="Times New Roman"/>
                      <w:color w:val="FF0000"/>
                      <w:sz w:val="21"/>
                      <w:szCs w:val="21"/>
                      <w:lang w:val="en-US" w:eastAsia="zh-CN"/>
                    </w:rPr>
                    <w:t>2000（无量纲）</w:t>
                  </w:r>
                </w:p>
              </w:tc>
            </w:tr>
            <w:tr w14:paraId="2AE4B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80" w:type="dxa"/>
                  <w:vMerge w:val="continue"/>
                  <w:tcBorders>
                    <w:tl2br w:val="nil"/>
                    <w:tr2bl w:val="nil"/>
                  </w:tcBorders>
                  <w:noWrap w:val="0"/>
                  <w:vAlign w:val="center"/>
                </w:tcPr>
                <w:p w14:paraId="0A2E68F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718" w:type="dxa"/>
                  <w:vMerge w:val="continue"/>
                  <w:tcBorders>
                    <w:tl2br w:val="nil"/>
                    <w:tr2bl w:val="nil"/>
                  </w:tcBorders>
                  <w:noWrap w:val="0"/>
                  <w:vAlign w:val="center"/>
                </w:tcPr>
                <w:p w14:paraId="4B4D851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lang w:val="en-US" w:eastAsia="zh-CN"/>
                    </w:rPr>
                  </w:pPr>
                </w:p>
              </w:tc>
              <w:tc>
                <w:tcPr>
                  <w:tcW w:w="992" w:type="dxa"/>
                  <w:vMerge w:val="continue"/>
                  <w:tcBorders>
                    <w:tl2br w:val="nil"/>
                    <w:tr2bl w:val="nil"/>
                  </w:tcBorders>
                  <w:noWrap w:val="0"/>
                  <w:vAlign w:val="center"/>
                </w:tcPr>
                <w:p w14:paraId="6DAB58F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925" w:type="dxa"/>
                  <w:vMerge w:val="continue"/>
                  <w:tcBorders>
                    <w:tl2br w:val="nil"/>
                    <w:tr2bl w:val="nil"/>
                  </w:tcBorders>
                  <w:noWrap w:val="0"/>
                  <w:vAlign w:val="center"/>
                </w:tcPr>
                <w:p w14:paraId="0341E7B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83" w:type="dxa"/>
                  <w:vMerge w:val="continue"/>
                  <w:tcBorders>
                    <w:tl2br w:val="nil"/>
                    <w:tr2bl w:val="nil"/>
                  </w:tcBorders>
                  <w:noWrap w:val="0"/>
                  <w:vAlign w:val="center"/>
                </w:tcPr>
                <w:p w14:paraId="46A5012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674" w:type="dxa"/>
                  <w:vMerge w:val="continue"/>
                  <w:tcBorders>
                    <w:tl2br w:val="nil"/>
                    <w:tr2bl w:val="nil"/>
                  </w:tcBorders>
                  <w:noWrap w:val="0"/>
                  <w:vAlign w:val="center"/>
                </w:tcPr>
                <w:p w14:paraId="265A951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585" w:type="dxa"/>
                  <w:tcBorders>
                    <w:tl2br w:val="nil"/>
                    <w:tr2bl w:val="nil"/>
                  </w:tcBorders>
                  <w:shd w:val="clear" w:color="auto" w:fill="auto"/>
                  <w:noWrap w:val="0"/>
                  <w:vAlign w:val="center"/>
                </w:tcPr>
                <w:p w14:paraId="7F7C3BAF">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758" w:type="dxa"/>
                  <w:tcBorders>
                    <w:tl2br w:val="nil"/>
                    <w:tr2bl w:val="nil"/>
                  </w:tcBorders>
                  <w:shd w:val="clear" w:color="auto" w:fill="auto"/>
                  <w:noWrap w:val="0"/>
                  <w:vAlign w:val="center"/>
                </w:tcPr>
                <w:p w14:paraId="705130AB">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25" w:type="dxa"/>
                  <w:tcBorders>
                    <w:tl2br w:val="nil"/>
                    <w:tr2bl w:val="nil"/>
                  </w:tcBorders>
                  <w:shd w:val="clear" w:color="auto" w:fill="auto"/>
                  <w:noWrap w:val="0"/>
                  <w:vAlign w:val="center"/>
                </w:tcPr>
                <w:p w14:paraId="3C5F0F69">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18" w:type="dxa"/>
                  <w:tcBorders>
                    <w:tl2br w:val="nil"/>
                    <w:tr2bl w:val="nil"/>
                  </w:tcBorders>
                  <w:shd w:val="clear" w:color="auto" w:fill="auto"/>
                  <w:noWrap w:val="0"/>
                  <w:vAlign w:val="center"/>
                </w:tcPr>
                <w:p w14:paraId="0551BF43">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18" w:type="dxa"/>
                  <w:tcBorders>
                    <w:tl2br w:val="nil"/>
                    <w:tr2bl w:val="nil"/>
                  </w:tcBorders>
                  <w:shd w:val="clear" w:color="auto" w:fill="auto"/>
                  <w:noWrap w:val="0"/>
                  <w:vAlign w:val="center"/>
                </w:tcPr>
                <w:p w14:paraId="446D1985">
                  <w:pPr>
                    <w:pStyle w:val="1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p>
              </w:tc>
            </w:tr>
          </w:tbl>
          <w:p w14:paraId="33A71D38">
            <w:pPr>
              <w:widowControl/>
              <w:spacing w:line="360" w:lineRule="auto"/>
              <w:ind w:firstLine="480" w:firstLineChars="200"/>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综上所述，本项目</w:t>
            </w:r>
            <w:r>
              <w:rPr>
                <w:rFonts w:hint="eastAsia" w:cs="Times New Roman"/>
                <w:color w:val="auto"/>
                <w:kern w:val="0"/>
                <w:sz w:val="24"/>
                <w:szCs w:val="24"/>
                <w:lang w:val="en-US" w:eastAsia="zh-CN" w:bidi="ar-SA"/>
              </w:rPr>
              <w:t>吹塑</w:t>
            </w:r>
            <w:r>
              <w:rPr>
                <w:rFonts w:hint="default" w:ascii="Times New Roman" w:hAnsi="Times New Roman" w:eastAsia="宋体" w:cs="Times New Roman"/>
                <w:color w:val="auto"/>
                <w:kern w:val="0"/>
                <w:sz w:val="24"/>
                <w:szCs w:val="24"/>
                <w:lang w:val="en-US" w:eastAsia="zh-CN" w:bidi="ar-SA"/>
              </w:rPr>
              <w:t>工序</w:t>
            </w:r>
            <w:r>
              <w:rPr>
                <w:rFonts w:hint="eastAsia" w:ascii="Times New Roman" w:hAnsi="Times New Roman" w:eastAsia="宋体" w:cs="Times New Roman"/>
                <w:color w:val="auto"/>
                <w:sz w:val="24"/>
                <w:szCs w:val="24"/>
                <w:highlight w:val="none"/>
                <w:lang w:val="en-US" w:eastAsia="zh-CN"/>
              </w:rPr>
              <w:t>有组织</w:t>
            </w:r>
            <w:r>
              <w:rPr>
                <w:rFonts w:hint="default" w:ascii="Times New Roman" w:hAnsi="Times New Roman" w:eastAsia="宋体" w:cs="Times New Roman"/>
                <w:color w:val="auto"/>
                <w:sz w:val="24"/>
                <w:szCs w:val="24"/>
                <w:highlight w:val="none"/>
                <w:lang w:val="en-US" w:eastAsia="zh-CN"/>
              </w:rPr>
              <w:t>颗粒物</w:t>
            </w:r>
            <w:r>
              <w:rPr>
                <w:rFonts w:hint="eastAsia" w:ascii="Times New Roman" w:hAnsi="Times New Roman" w:eastAsia="宋体" w:cs="Times New Roman"/>
                <w:color w:val="auto"/>
                <w:sz w:val="24"/>
                <w:szCs w:val="24"/>
                <w:highlight w:val="none"/>
                <w:lang w:val="en-US" w:eastAsia="zh-CN"/>
              </w:rPr>
              <w:t>排放</w:t>
            </w:r>
            <w:r>
              <w:rPr>
                <w:rFonts w:hint="eastAsia" w:cs="Times New Roman"/>
                <w:color w:val="auto"/>
                <w:sz w:val="24"/>
                <w:szCs w:val="24"/>
                <w:highlight w:val="none"/>
                <w:lang w:val="en-US" w:eastAsia="zh-CN"/>
              </w:rPr>
              <w:t>能够满足</w:t>
            </w:r>
            <w:r>
              <w:rPr>
                <w:rFonts w:hint="default" w:ascii="Times New Roman" w:hAnsi="Times New Roman" w:eastAsia="宋体" w:cs="Times New Roman"/>
                <w:color w:val="auto"/>
                <w:sz w:val="24"/>
                <w:szCs w:val="24"/>
                <w:highlight w:val="none"/>
                <w:lang w:val="en-US" w:eastAsia="zh-CN"/>
              </w:rPr>
              <w:t>《区域性大气污染物综合排放标准》（DB37/2376-2</w:t>
            </w:r>
            <w:r>
              <w:rPr>
                <w:rFonts w:hint="eastAsia" w:cs="Times New Roman"/>
                <w:color w:val="auto"/>
                <w:sz w:val="24"/>
                <w:szCs w:val="24"/>
                <w:highlight w:val="none"/>
                <w:lang w:val="en-US" w:eastAsia="zh-CN"/>
              </w:rPr>
              <w:t>019）表1一般控制区</w:t>
            </w:r>
            <w:r>
              <w:rPr>
                <w:rFonts w:hint="default" w:ascii="Times New Roman" w:hAnsi="Times New Roman" w:eastAsia="宋体" w:cs="Times New Roman"/>
                <w:color w:val="auto"/>
                <w:sz w:val="24"/>
                <w:szCs w:val="24"/>
                <w:highlight w:val="none"/>
                <w:lang w:val="en-US" w:eastAsia="zh-CN"/>
              </w:rPr>
              <w:t>要求</w:t>
            </w:r>
            <w:r>
              <w:rPr>
                <w:rFonts w:hint="eastAsia" w:ascii="Times New Roman" w:hAnsi="Times New Roman" w:eastAsia="宋体" w:cs="Times New Roman"/>
                <w:color w:val="auto"/>
                <w:sz w:val="24"/>
                <w:szCs w:val="24"/>
                <w:highlight w:val="none"/>
                <w:lang w:val="en-US" w:eastAsia="zh-CN"/>
              </w:rPr>
              <w:t>；有组织</w:t>
            </w:r>
            <w:r>
              <w:rPr>
                <w:rFonts w:hint="default" w:ascii="Times New Roman" w:hAnsi="Times New Roman" w:eastAsia="宋体" w:cs="Times New Roman"/>
                <w:b w:val="0"/>
                <w:bCs w:val="0"/>
                <w:color w:val="auto"/>
                <w:sz w:val="24"/>
                <w:szCs w:val="24"/>
                <w:highlight w:val="none"/>
                <w:lang w:val="en-US" w:eastAsia="zh-CN"/>
              </w:rPr>
              <w:t>VOCs排放</w:t>
            </w:r>
            <w:r>
              <w:rPr>
                <w:rFonts w:hint="eastAsia" w:cs="Times New Roman"/>
                <w:color w:val="auto"/>
                <w:sz w:val="24"/>
                <w:szCs w:val="24"/>
                <w:highlight w:val="none"/>
                <w:lang w:val="en-US" w:eastAsia="zh-CN"/>
              </w:rPr>
              <w:t>能够满足</w:t>
            </w:r>
            <w:r>
              <w:rPr>
                <w:rFonts w:hint="default" w:ascii="Times New Roman" w:hAnsi="Times New Roman" w:eastAsia="宋体" w:cs="Times New Roman"/>
                <w:b w:val="0"/>
                <w:bCs w:val="0"/>
                <w:color w:val="auto"/>
                <w:sz w:val="24"/>
                <w:szCs w:val="24"/>
                <w:highlight w:val="none"/>
                <w:lang w:val="en-US" w:eastAsia="zh-CN"/>
              </w:rPr>
              <w:t>《挥发性有机物排放标准 第6部分</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有机化工行业》（DB37/ 2801.6-2018）表1II时段标准要求</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其他行业</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有组织</w:t>
            </w:r>
            <w:r>
              <w:rPr>
                <w:rFonts w:hint="default" w:ascii="Times New Roman" w:hAnsi="Times New Roman" w:eastAsia="宋体" w:cs="Times New Roman"/>
                <w:color w:val="auto"/>
                <w:sz w:val="24"/>
                <w:szCs w:val="24"/>
                <w:highlight w:val="none"/>
                <w:lang w:val="en-US" w:eastAsia="zh-CN"/>
              </w:rPr>
              <w:t>臭气浓度</w:t>
            </w:r>
            <w:r>
              <w:rPr>
                <w:rFonts w:hint="eastAsia" w:ascii="Times New Roman" w:hAnsi="Times New Roman" w:eastAsia="宋体" w:cs="Times New Roman"/>
                <w:color w:val="auto"/>
                <w:sz w:val="24"/>
                <w:szCs w:val="24"/>
                <w:highlight w:val="none"/>
                <w:lang w:val="en-US" w:eastAsia="zh-CN"/>
              </w:rPr>
              <w:t>排</w:t>
            </w:r>
            <w:r>
              <w:rPr>
                <w:rFonts w:hint="eastAsia" w:cs="Times New Roman"/>
                <w:color w:val="auto"/>
                <w:sz w:val="24"/>
                <w:szCs w:val="24"/>
                <w:highlight w:val="none"/>
                <w:lang w:val="en-US" w:eastAsia="zh-CN"/>
              </w:rPr>
              <w:t>能够满足</w:t>
            </w:r>
            <w:r>
              <w:rPr>
                <w:rFonts w:hint="default" w:ascii="Times New Roman" w:hAnsi="Times New Roman" w:eastAsia="宋体" w:cs="Times New Roman"/>
                <w:b w:val="0"/>
                <w:bCs w:val="0"/>
                <w:color w:val="auto"/>
                <w:sz w:val="24"/>
                <w:szCs w:val="24"/>
                <w:highlight w:val="none"/>
                <w:lang w:val="en-US" w:eastAsia="zh-CN"/>
              </w:rPr>
              <w:t>《恶臭污染物排放标准》</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GB 14554-93</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表</w:t>
            </w: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标准</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color w:val="auto"/>
                <w:kern w:val="0"/>
                <w:sz w:val="24"/>
                <w:szCs w:val="24"/>
                <w:lang w:val="en-US" w:eastAsia="zh-CN" w:bidi="ar-SA"/>
              </w:rPr>
              <w:t>对周边大气环境影响较小</w:t>
            </w:r>
            <w:r>
              <w:rPr>
                <w:rFonts w:hint="eastAsia" w:ascii="Times New Roman" w:hAnsi="Times New Roman" w:eastAsia="宋体" w:cs="Times New Roman"/>
                <w:color w:val="auto"/>
                <w:kern w:val="0"/>
                <w:sz w:val="24"/>
                <w:szCs w:val="24"/>
                <w:lang w:val="en-US" w:eastAsia="zh-CN" w:bidi="ar-SA"/>
              </w:rPr>
              <w:t>。</w:t>
            </w:r>
          </w:p>
          <w:p w14:paraId="6C9CA33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表4-</w:t>
            </w:r>
            <w:r>
              <w:rPr>
                <w:rFonts w:hint="eastAsia"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 xml:space="preserve"> 无组织排放情况一览表</w:t>
            </w:r>
          </w:p>
          <w:tbl>
            <w:tblPr>
              <w:tblStyle w:val="38"/>
              <w:tblW w:w="86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61"/>
              <w:gridCol w:w="1671"/>
              <w:gridCol w:w="2350"/>
              <w:gridCol w:w="1614"/>
              <w:gridCol w:w="1722"/>
            </w:tblGrid>
            <w:tr w14:paraId="0D98C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261" w:type="dxa"/>
                  <w:tcBorders>
                    <w:tl2br w:val="nil"/>
                    <w:tr2bl w:val="nil"/>
                  </w:tcBorders>
                  <w:noWrap w:val="0"/>
                  <w:vAlign w:val="center"/>
                </w:tcPr>
                <w:p w14:paraId="7AD732F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产污环节</w:t>
                  </w:r>
                </w:p>
              </w:tc>
              <w:tc>
                <w:tcPr>
                  <w:tcW w:w="1671" w:type="dxa"/>
                  <w:tcBorders>
                    <w:tl2br w:val="nil"/>
                    <w:tr2bl w:val="nil"/>
                  </w:tcBorders>
                  <w:noWrap w:val="0"/>
                  <w:vAlign w:val="center"/>
                </w:tcPr>
                <w:p w14:paraId="5D60607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污染物种类</w:t>
                  </w:r>
                </w:p>
              </w:tc>
              <w:tc>
                <w:tcPr>
                  <w:tcW w:w="2350" w:type="dxa"/>
                  <w:tcBorders>
                    <w:tl2br w:val="nil"/>
                    <w:tr2bl w:val="nil"/>
                  </w:tcBorders>
                  <w:noWrap w:val="0"/>
                  <w:vAlign w:val="center"/>
                </w:tcPr>
                <w:p w14:paraId="51E6E3D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治理措施</w:t>
                  </w:r>
                </w:p>
              </w:tc>
              <w:tc>
                <w:tcPr>
                  <w:tcW w:w="1614" w:type="dxa"/>
                  <w:tcBorders>
                    <w:tl2br w:val="nil"/>
                    <w:tr2bl w:val="nil"/>
                  </w:tcBorders>
                  <w:noWrap w:val="0"/>
                  <w:vAlign w:val="center"/>
                </w:tcPr>
                <w:p w14:paraId="108FCEE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排放量t/a</w:t>
                  </w:r>
                </w:p>
              </w:tc>
              <w:tc>
                <w:tcPr>
                  <w:tcW w:w="1722" w:type="dxa"/>
                  <w:tcBorders>
                    <w:tl2br w:val="nil"/>
                    <w:tr2bl w:val="nil"/>
                  </w:tcBorders>
                  <w:noWrap w:val="0"/>
                  <w:vAlign w:val="center"/>
                </w:tcPr>
                <w:p w14:paraId="24F9B8B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排放标准mg/m</w:t>
                  </w:r>
                  <w:r>
                    <w:rPr>
                      <w:rFonts w:hint="default" w:ascii="Times New Roman" w:hAnsi="Times New Roman" w:eastAsia="宋体" w:cs="Times New Roman"/>
                      <w:b/>
                      <w:bCs/>
                      <w:color w:val="auto"/>
                      <w:sz w:val="21"/>
                      <w:szCs w:val="21"/>
                      <w:vertAlign w:val="superscript"/>
                      <w:lang w:val="en-US" w:eastAsia="zh-CN"/>
                    </w:rPr>
                    <w:t>3</w:t>
                  </w:r>
                </w:p>
              </w:tc>
            </w:tr>
            <w:tr w14:paraId="1DB069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1261" w:type="dxa"/>
                  <w:vMerge w:val="restart"/>
                  <w:tcBorders>
                    <w:tl2br w:val="nil"/>
                    <w:tr2bl w:val="nil"/>
                  </w:tcBorders>
                  <w:noWrap w:val="0"/>
                  <w:vAlign w:val="center"/>
                </w:tcPr>
                <w:p w14:paraId="48DA312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default" w:ascii="宋体" w:hAnsi="Times New Roman" w:eastAsia="宋体" w:cs="宋体"/>
                      <w:color w:val="auto"/>
                      <w:kern w:val="0"/>
                      <w:sz w:val="21"/>
                      <w:szCs w:val="21"/>
                      <w:lang w:val="en-US" w:eastAsia="zh-CN" w:bidi="ar-SA"/>
                    </w:rPr>
                  </w:pPr>
                  <w:r>
                    <w:rPr>
                      <w:rFonts w:hint="eastAsia" w:cs="Times New Roman"/>
                      <w:color w:val="auto"/>
                      <w:sz w:val="21"/>
                      <w:szCs w:val="21"/>
                      <w:highlight w:val="none"/>
                      <w:lang w:val="en-US" w:eastAsia="zh-CN"/>
                    </w:rPr>
                    <w:t>吹塑</w:t>
                  </w:r>
                  <w:r>
                    <w:rPr>
                      <w:rFonts w:hint="eastAsia" w:ascii="Times New Roman" w:hAnsi="Times New Roman" w:eastAsia="宋体" w:cs="Times New Roman"/>
                      <w:color w:val="auto"/>
                      <w:sz w:val="21"/>
                      <w:szCs w:val="21"/>
                      <w:highlight w:val="none"/>
                      <w:lang w:val="en-US" w:eastAsia="zh-CN"/>
                    </w:rPr>
                    <w:t>工序</w:t>
                  </w:r>
                </w:p>
              </w:tc>
              <w:tc>
                <w:tcPr>
                  <w:tcW w:w="1671" w:type="dxa"/>
                  <w:tcBorders>
                    <w:tl2br w:val="nil"/>
                    <w:tr2bl w:val="nil"/>
                  </w:tcBorders>
                  <w:noWrap w:val="0"/>
                  <w:vAlign w:val="center"/>
                </w:tcPr>
                <w:p w14:paraId="7D3CDB7A">
                  <w:pPr>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VOCs</w:t>
                  </w:r>
                </w:p>
              </w:tc>
              <w:tc>
                <w:tcPr>
                  <w:tcW w:w="2350" w:type="dxa"/>
                  <w:tcBorders>
                    <w:tl2br w:val="nil"/>
                    <w:tr2bl w:val="nil"/>
                  </w:tcBorders>
                  <w:noWrap w:val="0"/>
                  <w:vAlign w:val="center"/>
                </w:tcPr>
                <w:p w14:paraId="4C19AF0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密闭设备操作、加强收集效率</w:t>
                  </w:r>
                </w:p>
              </w:tc>
              <w:tc>
                <w:tcPr>
                  <w:tcW w:w="1614" w:type="dxa"/>
                  <w:tcBorders>
                    <w:tl2br w:val="nil"/>
                    <w:tr2bl w:val="nil"/>
                  </w:tcBorders>
                  <w:noWrap w:val="0"/>
                  <w:vAlign w:val="center"/>
                </w:tcPr>
                <w:p w14:paraId="62FFC7E1">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45</w:t>
                  </w:r>
                </w:p>
              </w:tc>
              <w:tc>
                <w:tcPr>
                  <w:tcW w:w="1722" w:type="dxa"/>
                  <w:tcBorders>
                    <w:tl2br w:val="nil"/>
                    <w:tr2bl w:val="nil"/>
                  </w:tcBorders>
                  <w:noWrap w:val="0"/>
                  <w:vAlign w:val="center"/>
                </w:tcPr>
                <w:p w14:paraId="1C12BD4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r>
            <w:tr w14:paraId="6CC15F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261" w:type="dxa"/>
                  <w:vMerge w:val="continue"/>
                  <w:tcBorders>
                    <w:tl2br w:val="nil"/>
                    <w:tr2bl w:val="nil"/>
                  </w:tcBorders>
                  <w:noWrap w:val="0"/>
                  <w:vAlign w:val="center"/>
                </w:tcPr>
                <w:p w14:paraId="6B8B616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s="Times New Roman"/>
                      <w:b w:val="0"/>
                      <w:bCs w:val="0"/>
                      <w:color w:val="auto"/>
                      <w:sz w:val="21"/>
                      <w:szCs w:val="21"/>
                      <w:highlight w:val="none"/>
                      <w:lang w:val="en-US" w:eastAsia="zh-CN"/>
                    </w:rPr>
                  </w:pPr>
                </w:p>
              </w:tc>
              <w:tc>
                <w:tcPr>
                  <w:tcW w:w="1671" w:type="dxa"/>
                  <w:tcBorders>
                    <w:tl2br w:val="nil"/>
                    <w:tr2bl w:val="nil"/>
                  </w:tcBorders>
                  <w:noWrap w:val="0"/>
                  <w:vAlign w:val="center"/>
                </w:tcPr>
                <w:p w14:paraId="74469CC6">
                  <w:pPr>
                    <w:adjustRightInd/>
                    <w:snapToGrid/>
                    <w:spacing w:line="240" w:lineRule="auto"/>
                    <w:ind w:firstLine="0" w:firstLineChars="0"/>
                    <w:jc w:val="center"/>
                    <w:rPr>
                      <w:rFonts w:hint="eastAsia"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臭气浓度</w:t>
                  </w:r>
                </w:p>
              </w:tc>
              <w:tc>
                <w:tcPr>
                  <w:tcW w:w="2350" w:type="dxa"/>
                  <w:tcBorders>
                    <w:tl2br w:val="nil"/>
                    <w:tr2bl w:val="nil"/>
                  </w:tcBorders>
                  <w:noWrap w:val="0"/>
                  <w:vAlign w:val="center"/>
                </w:tcPr>
                <w:p w14:paraId="7C50835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密闭设备操作、加强收集效率</w:t>
                  </w:r>
                </w:p>
              </w:tc>
              <w:tc>
                <w:tcPr>
                  <w:tcW w:w="1614" w:type="dxa"/>
                  <w:tcBorders>
                    <w:tl2br w:val="nil"/>
                    <w:tr2bl w:val="nil"/>
                  </w:tcBorders>
                  <w:noWrap w:val="0"/>
                  <w:vAlign w:val="center"/>
                </w:tcPr>
                <w:p w14:paraId="46272F72">
                  <w:pPr>
                    <w:adjustRightInd/>
                    <w:snapToGrid/>
                    <w:spacing w:line="240" w:lineRule="auto"/>
                    <w:ind w:firstLine="0" w:firstLineChars="0"/>
                    <w:jc w:val="center"/>
                    <w:rPr>
                      <w:rFonts w:hint="default"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1722" w:type="dxa"/>
                  <w:tcBorders>
                    <w:tl2br w:val="nil"/>
                    <w:tr2bl w:val="nil"/>
                  </w:tcBorders>
                  <w:noWrap w:val="0"/>
                  <w:vAlign w:val="center"/>
                </w:tcPr>
                <w:p w14:paraId="0BFF39E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20（无量纲）</w:t>
                  </w:r>
                </w:p>
              </w:tc>
            </w:tr>
            <w:tr w14:paraId="345768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261" w:type="dxa"/>
                  <w:vMerge w:val="continue"/>
                  <w:tcBorders>
                    <w:tl2br w:val="nil"/>
                    <w:tr2bl w:val="nil"/>
                  </w:tcBorders>
                  <w:noWrap w:val="0"/>
                  <w:vAlign w:val="center"/>
                </w:tcPr>
                <w:p w14:paraId="4943ACD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both"/>
                    <w:textAlignment w:val="auto"/>
                    <w:rPr>
                      <w:rFonts w:hint="eastAsia" w:cs="Times New Roman"/>
                      <w:b w:val="0"/>
                      <w:bCs w:val="0"/>
                      <w:color w:val="auto"/>
                      <w:sz w:val="21"/>
                      <w:szCs w:val="21"/>
                      <w:highlight w:val="none"/>
                      <w:lang w:val="en-US" w:eastAsia="zh-CN"/>
                    </w:rPr>
                  </w:pPr>
                </w:p>
              </w:tc>
              <w:tc>
                <w:tcPr>
                  <w:tcW w:w="1671" w:type="dxa"/>
                  <w:tcBorders>
                    <w:tl2br w:val="nil"/>
                    <w:tr2bl w:val="nil"/>
                  </w:tcBorders>
                  <w:noWrap w:val="0"/>
                  <w:vAlign w:val="center"/>
                </w:tcPr>
                <w:p w14:paraId="3B1FA464">
                  <w:pPr>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2350" w:type="dxa"/>
                  <w:tcBorders>
                    <w:tl2br w:val="nil"/>
                    <w:tr2bl w:val="nil"/>
                  </w:tcBorders>
                  <w:noWrap w:val="0"/>
                  <w:vAlign w:val="center"/>
                </w:tcPr>
                <w:p w14:paraId="20D1305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密闭设备操作、加强收集效率</w:t>
                  </w:r>
                </w:p>
              </w:tc>
              <w:tc>
                <w:tcPr>
                  <w:tcW w:w="1614" w:type="dxa"/>
                  <w:tcBorders>
                    <w:tl2br w:val="nil"/>
                    <w:tr2bl w:val="nil"/>
                  </w:tcBorders>
                  <w:noWrap w:val="0"/>
                  <w:vAlign w:val="center"/>
                </w:tcPr>
                <w:p w14:paraId="3659C46E">
                  <w:pPr>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722" w:type="dxa"/>
                  <w:tcBorders>
                    <w:tl2br w:val="nil"/>
                    <w:tr2bl w:val="nil"/>
                  </w:tcBorders>
                  <w:noWrap w:val="0"/>
                  <w:vAlign w:val="center"/>
                </w:tcPr>
                <w:p w14:paraId="01A853C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1.0</w:t>
                  </w:r>
                </w:p>
              </w:tc>
            </w:tr>
            <w:tr w14:paraId="40A54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261" w:type="dxa"/>
                  <w:tcBorders>
                    <w:tl2br w:val="nil"/>
                    <w:tr2bl w:val="nil"/>
                  </w:tcBorders>
                  <w:noWrap w:val="0"/>
                  <w:vAlign w:val="center"/>
                </w:tcPr>
                <w:p w14:paraId="5302A86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s="Times New Roman"/>
                      <w:b w:val="0"/>
                      <w:bCs w:val="0"/>
                      <w:color w:val="auto"/>
                      <w:sz w:val="21"/>
                      <w:szCs w:val="21"/>
                      <w:highlight w:val="none"/>
                      <w:lang w:val="en-US" w:eastAsia="zh-CN"/>
                    </w:rPr>
                  </w:pPr>
                  <w:r>
                    <w:rPr>
                      <w:rFonts w:hint="eastAsia"/>
                      <w:color w:val="auto"/>
                      <w:lang w:val="en-US" w:eastAsia="zh-CN"/>
                    </w:rPr>
                    <w:t>下脚料破碎</w:t>
                  </w:r>
                </w:p>
              </w:tc>
              <w:tc>
                <w:tcPr>
                  <w:tcW w:w="1671" w:type="dxa"/>
                  <w:tcBorders>
                    <w:tl2br w:val="nil"/>
                    <w:tr2bl w:val="nil"/>
                  </w:tcBorders>
                  <w:noWrap w:val="0"/>
                  <w:vAlign w:val="center"/>
                </w:tcPr>
                <w:p w14:paraId="2267CCB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颗粒物</w:t>
                  </w:r>
                </w:p>
              </w:tc>
              <w:tc>
                <w:tcPr>
                  <w:tcW w:w="2350" w:type="dxa"/>
                  <w:tcBorders>
                    <w:tl2br w:val="nil"/>
                    <w:tr2bl w:val="nil"/>
                  </w:tcBorders>
                  <w:noWrap w:val="0"/>
                  <w:vAlign w:val="center"/>
                </w:tcPr>
                <w:p w14:paraId="642396A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密闭设备操作、加强收集效率</w:t>
                  </w:r>
                </w:p>
              </w:tc>
              <w:tc>
                <w:tcPr>
                  <w:tcW w:w="1614" w:type="dxa"/>
                  <w:tcBorders>
                    <w:tl2br w:val="nil"/>
                    <w:tr2bl w:val="nil"/>
                  </w:tcBorders>
                  <w:noWrap w:val="0"/>
                  <w:vAlign w:val="center"/>
                </w:tcPr>
                <w:p w14:paraId="17085F4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color w:val="auto"/>
                      <w:lang w:val="en-US" w:eastAsia="zh-CN"/>
                    </w:rPr>
                    <w:t>0.00005</w:t>
                  </w:r>
                </w:p>
              </w:tc>
              <w:tc>
                <w:tcPr>
                  <w:tcW w:w="1722" w:type="dxa"/>
                  <w:tcBorders>
                    <w:tl2br w:val="nil"/>
                    <w:tr2bl w:val="nil"/>
                  </w:tcBorders>
                  <w:noWrap w:val="0"/>
                  <w:vAlign w:val="center"/>
                </w:tcPr>
                <w:p w14:paraId="12689FB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1.0</w:t>
                  </w:r>
                </w:p>
              </w:tc>
            </w:tr>
            <w:tr w14:paraId="264064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261" w:type="dxa"/>
                  <w:tcBorders>
                    <w:tl2br w:val="nil"/>
                    <w:tr2bl w:val="nil"/>
                  </w:tcBorders>
                  <w:noWrap w:val="0"/>
                  <w:vAlign w:val="center"/>
                </w:tcPr>
                <w:p w14:paraId="76F0679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olor w:val="auto"/>
                      <w:lang w:val="en-US" w:eastAsia="zh-CN"/>
                    </w:rPr>
                  </w:pPr>
                  <w:r>
                    <w:rPr>
                      <w:rFonts w:hint="eastAsia"/>
                      <w:color w:val="auto"/>
                      <w:lang w:val="en-US" w:eastAsia="zh-CN"/>
                    </w:rPr>
                    <w:t>投料/混料工序</w:t>
                  </w:r>
                </w:p>
              </w:tc>
              <w:tc>
                <w:tcPr>
                  <w:tcW w:w="1671" w:type="dxa"/>
                  <w:tcBorders>
                    <w:tl2br w:val="nil"/>
                    <w:tr2bl w:val="nil"/>
                  </w:tcBorders>
                  <w:noWrap w:val="0"/>
                  <w:vAlign w:val="center"/>
                </w:tcPr>
                <w:p w14:paraId="0B598B3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颗粒物</w:t>
                  </w:r>
                </w:p>
              </w:tc>
              <w:tc>
                <w:tcPr>
                  <w:tcW w:w="2350" w:type="dxa"/>
                  <w:tcBorders>
                    <w:tl2br w:val="nil"/>
                    <w:tr2bl w:val="nil"/>
                  </w:tcBorders>
                  <w:noWrap w:val="0"/>
                  <w:vAlign w:val="center"/>
                </w:tcPr>
                <w:p w14:paraId="6188AFF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经设备自带的除尘器处理</w:t>
                  </w:r>
                </w:p>
              </w:tc>
              <w:tc>
                <w:tcPr>
                  <w:tcW w:w="1614" w:type="dxa"/>
                  <w:tcBorders>
                    <w:tl2br w:val="nil"/>
                    <w:tr2bl w:val="nil"/>
                  </w:tcBorders>
                  <w:noWrap w:val="0"/>
                  <w:vAlign w:val="center"/>
                </w:tcPr>
                <w:p w14:paraId="2524F2EE">
                  <w:pPr>
                    <w:adjustRightInd/>
                    <w:snapToGrid/>
                    <w:spacing w:line="240" w:lineRule="auto"/>
                    <w:ind w:firstLine="0" w:firstLineChars="0"/>
                    <w:jc w:val="center"/>
                    <w:rPr>
                      <w:rFonts w:hint="eastAsia"/>
                      <w:color w:val="auto"/>
                      <w:lang w:val="en-US" w:eastAsia="zh-CN"/>
                    </w:rPr>
                  </w:pPr>
                  <w:r>
                    <w:rPr>
                      <w:rFonts w:hint="eastAsia" w:ascii="Times New Roman" w:hAnsi="Times New Roman" w:eastAsia="宋体" w:cs="Times New Roman"/>
                      <w:color w:val="auto"/>
                      <w:sz w:val="21"/>
                      <w:szCs w:val="21"/>
                      <w:highlight w:val="none"/>
                      <w:lang w:val="en-US" w:eastAsia="zh-CN"/>
                    </w:rPr>
                    <w:t>/</w:t>
                  </w:r>
                </w:p>
              </w:tc>
              <w:tc>
                <w:tcPr>
                  <w:tcW w:w="1722" w:type="dxa"/>
                  <w:tcBorders>
                    <w:tl2br w:val="nil"/>
                    <w:tr2bl w:val="nil"/>
                  </w:tcBorders>
                  <w:noWrap w:val="0"/>
                  <w:vAlign w:val="center"/>
                </w:tcPr>
                <w:p w14:paraId="69597A4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1.0</w:t>
                  </w:r>
                </w:p>
              </w:tc>
            </w:tr>
          </w:tbl>
          <w:p w14:paraId="3B4D8118">
            <w:pPr>
              <w:widowControl/>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综上所述，</w:t>
            </w:r>
            <w:r>
              <w:rPr>
                <w:rFonts w:hint="eastAsia" w:cs="Times New Roman"/>
                <w:color w:val="auto"/>
                <w:sz w:val="24"/>
                <w:szCs w:val="24"/>
                <w:lang w:val="en-US" w:eastAsia="zh-CN"/>
              </w:rPr>
              <w:t>项目经过</w:t>
            </w:r>
            <w:r>
              <w:rPr>
                <w:rFonts w:hint="eastAsia" w:ascii="Times New Roman" w:hAnsi="Times New Roman" w:eastAsia="宋体" w:cs="Times New Roman"/>
                <w:color w:val="auto"/>
                <w:kern w:val="2"/>
                <w:sz w:val="24"/>
                <w:szCs w:val="24"/>
                <w:lang w:val="en-US" w:eastAsia="zh-CN" w:bidi="ar-SA"/>
              </w:rPr>
              <w:t>车间密闭，加强管理，少量未收集的废气无组织排放，经大气扩散，无组织颗粒物厂界浓度满足《大气污染物综合排放标准》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GB16297-1996</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表2厂界无组织排放监控浓度限值要求，无组织VOCs厂界浓度满足《挥发性有机物排放标准第6部分：有机化工行业》</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DB37/2801.6-2018</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表3的要求，无组织臭气浓度</w:t>
            </w:r>
            <w:r>
              <w:rPr>
                <w:rFonts w:hint="eastAsia" w:cs="Times New Roman"/>
                <w:color w:val="auto"/>
                <w:kern w:val="2"/>
                <w:sz w:val="24"/>
                <w:szCs w:val="24"/>
                <w:lang w:val="en-US" w:eastAsia="zh-CN" w:bidi="ar-SA"/>
              </w:rPr>
              <w:t>满足《恶臭污染物排放标准》（GB14554-93）表1标准</w:t>
            </w:r>
            <w:r>
              <w:rPr>
                <w:rFonts w:hint="eastAsia" w:ascii="Times New Roman" w:hAnsi="Times New Roman" w:eastAsia="宋体" w:cs="Times New Roman"/>
                <w:color w:val="auto"/>
                <w:kern w:val="2"/>
                <w:sz w:val="24"/>
                <w:szCs w:val="24"/>
                <w:lang w:val="en-US" w:eastAsia="zh-CN" w:bidi="ar-SA"/>
              </w:rPr>
              <w:t>要求。</w:t>
            </w:r>
          </w:p>
          <w:p w14:paraId="5D860AD6">
            <w:pPr>
              <w:widowControl/>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车间外厂区内VOCs浓度满足《挥发性有机物无组织排放控制标准》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GB37822-2019</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中表A.1中排放限值要求。</w:t>
            </w:r>
          </w:p>
          <w:p w14:paraId="678B9010">
            <w:pPr>
              <w:keepNext w:val="0"/>
              <w:keepLines w:val="0"/>
              <w:widowControl/>
              <w:numPr>
                <w:ilvl w:val="0"/>
                <w:numId w:val="0"/>
              </w:numPr>
              <w:suppressLineNumbers w:val="0"/>
              <w:spacing w:line="360" w:lineRule="auto"/>
              <w:ind w:firstLine="442" w:firstLineChars="200"/>
              <w:jc w:val="left"/>
              <w:rPr>
                <w:rFonts w:hint="eastAsia" w:ascii="Times New Roman" w:hAnsi="Times New Roman" w:eastAsia="宋体" w:cs="Times New Roman"/>
                <w:b/>
                <w:bCs w:val="0"/>
                <w:color w:val="auto"/>
                <w:spacing w:val="-10"/>
                <w:sz w:val="24"/>
                <w:szCs w:val="24"/>
                <w:lang w:val="en-US" w:eastAsia="zh-CN"/>
              </w:rPr>
            </w:pPr>
            <w:r>
              <w:rPr>
                <w:rFonts w:hint="eastAsia" w:eastAsia="宋体" w:cs="Times New Roman"/>
                <w:b/>
                <w:bCs w:val="0"/>
                <w:color w:val="auto"/>
                <w:spacing w:val="-10"/>
                <w:sz w:val="24"/>
                <w:szCs w:val="24"/>
                <w:lang w:val="en-US" w:eastAsia="zh-CN"/>
              </w:rPr>
              <w:t>2、</w:t>
            </w:r>
            <w:r>
              <w:rPr>
                <w:rFonts w:hint="eastAsia" w:ascii="Times New Roman" w:hAnsi="Times New Roman" w:eastAsia="宋体" w:cs="Times New Roman"/>
                <w:b/>
                <w:bCs w:val="0"/>
                <w:color w:val="auto"/>
                <w:spacing w:val="-10"/>
                <w:sz w:val="24"/>
                <w:szCs w:val="24"/>
                <w:lang w:val="en-US" w:eastAsia="zh-CN"/>
              </w:rPr>
              <w:t xml:space="preserve">非正常工况分析  </w:t>
            </w:r>
          </w:p>
          <w:p w14:paraId="3CFCB02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bCs/>
                <w:color w:val="auto"/>
                <w:spacing w:val="-10"/>
                <w:sz w:val="24"/>
                <w:szCs w:val="24"/>
                <w:lang w:val="en-US" w:eastAsia="zh-CN"/>
              </w:rPr>
            </w:pPr>
            <w:r>
              <w:rPr>
                <w:rFonts w:hint="eastAsia" w:ascii="Times New Roman" w:hAnsi="Times New Roman" w:eastAsia="宋体" w:cs="Times New Roman"/>
                <w:bCs/>
                <w:color w:val="auto"/>
                <w:spacing w:val="0"/>
                <w:sz w:val="24"/>
                <w:szCs w:val="24"/>
                <w:lang w:val="en-US" w:eastAsia="zh-CN"/>
              </w:rPr>
              <w:t>本项目采用二级活性炭吸附装置处理有机废气</w:t>
            </w:r>
            <w:r>
              <w:rPr>
                <w:rFonts w:hint="eastAsia" w:cs="Times New Roman"/>
                <w:bCs/>
                <w:color w:val="auto"/>
                <w:spacing w:val="0"/>
                <w:sz w:val="24"/>
                <w:szCs w:val="24"/>
                <w:lang w:val="en-US" w:eastAsia="zh-CN"/>
              </w:rPr>
              <w:t>及臭气浓度</w:t>
            </w:r>
            <w:r>
              <w:rPr>
                <w:rFonts w:hint="eastAsia" w:ascii="Times New Roman" w:hAnsi="Times New Roman" w:eastAsia="宋体" w:cs="Times New Roman"/>
                <w:bCs/>
                <w:color w:val="auto"/>
                <w:spacing w:val="0"/>
                <w:sz w:val="24"/>
                <w:szCs w:val="24"/>
                <w:lang w:val="en-US" w:eastAsia="zh-CN"/>
              </w:rPr>
              <w:t>，一旦二级活性炭吸附装置发生故障有机废气</w:t>
            </w:r>
            <w:r>
              <w:rPr>
                <w:rFonts w:hint="eastAsia" w:cs="Times New Roman"/>
                <w:bCs/>
                <w:color w:val="auto"/>
                <w:spacing w:val="0"/>
                <w:sz w:val="24"/>
                <w:szCs w:val="24"/>
                <w:lang w:val="en-US" w:eastAsia="zh-CN"/>
              </w:rPr>
              <w:t>及臭气浓度</w:t>
            </w:r>
            <w:r>
              <w:rPr>
                <w:rFonts w:hint="eastAsia" w:ascii="Times New Roman" w:hAnsi="Times New Roman" w:eastAsia="宋体" w:cs="Times New Roman"/>
                <w:bCs/>
                <w:color w:val="auto"/>
                <w:spacing w:val="0"/>
                <w:sz w:val="24"/>
                <w:szCs w:val="24"/>
                <w:lang w:val="en-US" w:eastAsia="zh-CN"/>
              </w:rPr>
              <w:t>去除效率</w:t>
            </w:r>
            <w:r>
              <w:rPr>
                <w:rFonts w:hint="eastAsia" w:cs="Times New Roman"/>
                <w:bCs/>
                <w:color w:val="auto"/>
                <w:spacing w:val="0"/>
                <w:sz w:val="24"/>
                <w:szCs w:val="24"/>
                <w:lang w:val="en-US" w:eastAsia="zh-CN"/>
              </w:rPr>
              <w:t>将会</w:t>
            </w:r>
            <w:r>
              <w:rPr>
                <w:rFonts w:hint="eastAsia" w:ascii="Times New Roman" w:hAnsi="Times New Roman" w:eastAsia="宋体" w:cs="Times New Roman"/>
                <w:bCs/>
                <w:color w:val="auto"/>
                <w:spacing w:val="0"/>
                <w:sz w:val="24"/>
                <w:szCs w:val="24"/>
                <w:lang w:val="en-US" w:eastAsia="zh-CN"/>
              </w:rPr>
              <w:t>下降，本项目按照效率为0，持续时间</w:t>
            </w:r>
            <w:r>
              <w:rPr>
                <w:rFonts w:hint="eastAsia" w:cs="Times New Roman"/>
                <w:bCs/>
                <w:color w:val="auto"/>
                <w:spacing w:val="0"/>
                <w:sz w:val="24"/>
                <w:szCs w:val="24"/>
                <w:lang w:val="en-US" w:eastAsia="zh-CN"/>
              </w:rPr>
              <w:t>1</w:t>
            </w:r>
            <w:r>
              <w:rPr>
                <w:rFonts w:hint="eastAsia" w:ascii="Times New Roman" w:hAnsi="Times New Roman" w:eastAsia="宋体" w:cs="Times New Roman"/>
                <w:bCs/>
                <w:color w:val="auto"/>
                <w:spacing w:val="0"/>
                <w:sz w:val="24"/>
                <w:szCs w:val="24"/>
                <w:lang w:val="en-US" w:eastAsia="zh-CN"/>
              </w:rPr>
              <w:t>小时，每年发生1次计算。</w:t>
            </w:r>
          </w:p>
          <w:p w14:paraId="1EA2C83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 xml:space="preserve">4 </w:t>
            </w:r>
            <w:r>
              <w:rPr>
                <w:rFonts w:hint="eastAsia"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val="0"/>
                <w:color w:val="auto"/>
                <w:spacing w:val="-10"/>
                <w:sz w:val="24"/>
                <w:szCs w:val="24"/>
                <w:lang w:val="en-US" w:eastAsia="zh-CN"/>
              </w:rPr>
              <w:t>非正常工况</w:t>
            </w:r>
            <w:r>
              <w:rPr>
                <w:rFonts w:hint="eastAsia" w:ascii="Times New Roman" w:hAnsi="Times New Roman" w:eastAsia="宋体" w:cs="Times New Roman"/>
                <w:b/>
                <w:bCs/>
                <w:color w:val="auto"/>
                <w:sz w:val="24"/>
                <w:szCs w:val="24"/>
                <w:highlight w:val="none"/>
                <w:lang w:val="en-US" w:eastAsia="zh-CN"/>
              </w:rPr>
              <w:t>有组织排放情况一览表</w:t>
            </w:r>
          </w:p>
          <w:tbl>
            <w:tblPr>
              <w:tblStyle w:val="38"/>
              <w:tblW w:w="87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1108"/>
              <w:gridCol w:w="1122"/>
              <w:gridCol w:w="1237"/>
              <w:gridCol w:w="1128"/>
              <w:gridCol w:w="1239"/>
              <w:gridCol w:w="1648"/>
            </w:tblGrid>
            <w:tr w14:paraId="13F39A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4" w:type="dxa"/>
                  <w:tcBorders>
                    <w:tl2br w:val="nil"/>
                    <w:tr2bl w:val="nil"/>
                  </w:tcBorders>
                  <w:noWrap w:val="0"/>
                  <w:vAlign w:val="center"/>
                </w:tcPr>
                <w:p w14:paraId="17AA4E4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排气筒编号</w:t>
                  </w:r>
                </w:p>
              </w:tc>
              <w:tc>
                <w:tcPr>
                  <w:tcW w:w="1108" w:type="dxa"/>
                  <w:tcBorders>
                    <w:tl2br w:val="nil"/>
                    <w:tr2bl w:val="nil"/>
                  </w:tcBorders>
                  <w:noWrap w:val="0"/>
                  <w:vAlign w:val="center"/>
                </w:tcPr>
                <w:p w14:paraId="7AA32A2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排放因子</w:t>
                  </w:r>
                </w:p>
              </w:tc>
              <w:tc>
                <w:tcPr>
                  <w:tcW w:w="1122" w:type="dxa"/>
                  <w:tcBorders>
                    <w:tl2br w:val="nil"/>
                    <w:tr2bl w:val="nil"/>
                  </w:tcBorders>
                  <w:noWrap w:val="0"/>
                  <w:vAlign w:val="center"/>
                </w:tcPr>
                <w:p w14:paraId="23439AB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产生频次</w:t>
                  </w:r>
                </w:p>
              </w:tc>
              <w:tc>
                <w:tcPr>
                  <w:tcW w:w="1237" w:type="dxa"/>
                  <w:tcBorders>
                    <w:tl2br w:val="nil"/>
                    <w:tr2bl w:val="nil"/>
                  </w:tcBorders>
                  <w:noWrap w:val="0"/>
                  <w:vAlign w:val="center"/>
                </w:tcPr>
                <w:p w14:paraId="048B080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排放浓度</w:t>
                  </w:r>
                </w:p>
              </w:tc>
              <w:tc>
                <w:tcPr>
                  <w:tcW w:w="1128" w:type="dxa"/>
                  <w:tcBorders>
                    <w:tl2br w:val="nil"/>
                    <w:tr2bl w:val="nil"/>
                  </w:tcBorders>
                  <w:noWrap w:val="0"/>
                  <w:vAlign w:val="center"/>
                </w:tcPr>
                <w:p w14:paraId="33FC01F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持续时间</w:t>
                  </w:r>
                </w:p>
              </w:tc>
              <w:tc>
                <w:tcPr>
                  <w:tcW w:w="1239" w:type="dxa"/>
                  <w:tcBorders>
                    <w:tl2br w:val="nil"/>
                    <w:tr2bl w:val="nil"/>
                  </w:tcBorders>
                  <w:noWrap w:val="0"/>
                  <w:vAlign w:val="center"/>
                </w:tcPr>
                <w:p w14:paraId="1EE78E1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排放量</w:t>
                  </w:r>
                </w:p>
              </w:tc>
              <w:tc>
                <w:tcPr>
                  <w:tcW w:w="1648" w:type="dxa"/>
                  <w:tcBorders>
                    <w:tl2br w:val="nil"/>
                    <w:tr2bl w:val="nil"/>
                  </w:tcBorders>
                  <w:noWrap w:val="0"/>
                  <w:vAlign w:val="center"/>
                </w:tcPr>
                <w:p w14:paraId="3A7FA48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措施</w:t>
                  </w:r>
                </w:p>
              </w:tc>
            </w:tr>
            <w:tr w14:paraId="2276D0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4" w:type="dxa"/>
                  <w:vMerge w:val="restart"/>
                  <w:tcBorders>
                    <w:tl2br w:val="nil"/>
                    <w:tr2bl w:val="nil"/>
                  </w:tcBorders>
                  <w:noWrap w:val="0"/>
                  <w:vAlign w:val="center"/>
                </w:tcPr>
                <w:p w14:paraId="0C8EE457">
                  <w:pPr>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1108" w:type="dxa"/>
                  <w:tcBorders>
                    <w:tl2br w:val="nil"/>
                    <w:tr2bl w:val="nil"/>
                  </w:tcBorders>
                  <w:shd w:val="clear" w:color="auto" w:fill="auto"/>
                  <w:noWrap w:val="0"/>
                  <w:vAlign w:val="center"/>
                </w:tcPr>
                <w:p w14:paraId="601B0CF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10"/>
                      <w:kern w:val="2"/>
                      <w:sz w:val="21"/>
                      <w:szCs w:val="21"/>
                      <w:highlight w:val="none"/>
                      <w:vertAlign w:val="baseline"/>
                      <w:lang w:val="en-US" w:eastAsia="zh-CN" w:bidi="ar-SA"/>
                    </w:rPr>
                  </w:pPr>
                  <w:r>
                    <w:rPr>
                      <w:rFonts w:hint="eastAsia" w:cs="Times New Roman"/>
                      <w:b w:val="0"/>
                      <w:bCs w:val="0"/>
                      <w:color w:val="auto"/>
                      <w:sz w:val="21"/>
                      <w:szCs w:val="21"/>
                      <w:lang w:val="en-US" w:eastAsia="zh-CN"/>
                    </w:rPr>
                    <w:t>VOCs</w:t>
                  </w:r>
                </w:p>
              </w:tc>
              <w:tc>
                <w:tcPr>
                  <w:tcW w:w="1122" w:type="dxa"/>
                  <w:tcBorders>
                    <w:tl2br w:val="nil"/>
                    <w:tr2bl w:val="nil"/>
                  </w:tcBorders>
                  <w:shd w:val="clear" w:color="auto" w:fill="auto"/>
                  <w:noWrap w:val="0"/>
                  <w:vAlign w:val="center"/>
                </w:tcPr>
                <w:p w14:paraId="4877D45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1次/年</w:t>
                  </w:r>
                </w:p>
              </w:tc>
              <w:tc>
                <w:tcPr>
                  <w:tcW w:w="1237" w:type="dxa"/>
                  <w:tcBorders>
                    <w:tl2br w:val="nil"/>
                    <w:tr2bl w:val="nil"/>
                  </w:tcBorders>
                  <w:shd w:val="clear" w:color="auto" w:fill="auto"/>
                  <w:noWrap w:val="0"/>
                  <w:vAlign w:val="center"/>
                </w:tcPr>
                <w:p w14:paraId="18280229">
                  <w:pPr>
                    <w:adjustRightInd/>
                    <w:snapToGrid/>
                    <w:spacing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color w:val="auto"/>
                      <w:sz w:val="21"/>
                      <w:szCs w:val="21"/>
                      <w:highlight w:val="none"/>
                      <w:lang w:val="en-US" w:eastAsia="zh-CN"/>
                    </w:rPr>
                    <w:t>26.026</w:t>
                  </w:r>
                  <w:r>
                    <w:rPr>
                      <w:rFonts w:hint="default" w:ascii="Times New Roman" w:hAnsi="Times New Roman" w:cs="Times New Roman" w:eastAsiaTheme="minorEastAsia"/>
                      <w:b w:val="0"/>
                      <w:bCs w:val="0"/>
                      <w:color w:val="auto"/>
                      <w:sz w:val="21"/>
                      <w:szCs w:val="21"/>
                      <w:lang w:val="en-US" w:eastAsia="zh-CN"/>
                    </w:rPr>
                    <w:t>mg/m</w:t>
                  </w:r>
                  <w:r>
                    <w:rPr>
                      <w:rFonts w:hint="default" w:ascii="Times New Roman" w:hAnsi="Times New Roman" w:cs="Times New Roman" w:eastAsiaTheme="minorEastAsia"/>
                      <w:b w:val="0"/>
                      <w:bCs w:val="0"/>
                      <w:color w:val="auto"/>
                      <w:sz w:val="21"/>
                      <w:szCs w:val="21"/>
                      <w:vertAlign w:val="superscript"/>
                      <w:lang w:val="en-US" w:eastAsia="zh-CN"/>
                    </w:rPr>
                    <w:t>3</w:t>
                  </w:r>
                </w:p>
              </w:tc>
              <w:tc>
                <w:tcPr>
                  <w:tcW w:w="1128" w:type="dxa"/>
                  <w:tcBorders>
                    <w:tl2br w:val="nil"/>
                    <w:tr2bl w:val="nil"/>
                  </w:tcBorders>
                  <w:shd w:val="clear" w:color="auto" w:fill="auto"/>
                  <w:noWrap w:val="0"/>
                  <w:vAlign w:val="center"/>
                </w:tcPr>
                <w:p w14:paraId="3296EF7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0min</w:t>
                  </w:r>
                </w:p>
              </w:tc>
              <w:tc>
                <w:tcPr>
                  <w:tcW w:w="1239" w:type="dxa"/>
                  <w:tcBorders>
                    <w:tl2br w:val="nil"/>
                    <w:tr2bl w:val="nil"/>
                  </w:tcBorders>
                  <w:shd w:val="clear" w:color="auto" w:fill="auto"/>
                  <w:noWrap w:val="0"/>
                  <w:vAlign w:val="center"/>
                </w:tcPr>
                <w:p w14:paraId="31E421C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169</w:t>
                  </w:r>
                  <w:r>
                    <w:rPr>
                      <w:rFonts w:hint="eastAsia" w:ascii="Times New Roman" w:hAnsi="Times New Roman" w:eastAsia="宋体" w:cs="Times New Roman"/>
                      <w:color w:val="auto"/>
                      <w:kern w:val="2"/>
                      <w:sz w:val="21"/>
                      <w:szCs w:val="21"/>
                      <w:highlight w:val="none"/>
                      <w:lang w:val="en-US" w:eastAsia="zh-CN" w:bidi="ar-SA"/>
                    </w:rPr>
                    <w:t>kg</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次</w:t>
                  </w:r>
                </w:p>
              </w:tc>
              <w:tc>
                <w:tcPr>
                  <w:tcW w:w="1648" w:type="dxa"/>
                  <w:tcBorders>
                    <w:tl2br w:val="nil"/>
                    <w:tr2bl w:val="nil"/>
                  </w:tcBorders>
                  <w:shd w:val="clear" w:color="auto" w:fill="auto"/>
                  <w:noWrap w:val="0"/>
                  <w:vAlign w:val="center"/>
                </w:tcPr>
                <w:p w14:paraId="40E4770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立即停止生产，进行维修</w:t>
                  </w:r>
                </w:p>
              </w:tc>
            </w:tr>
            <w:tr w14:paraId="576A0C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4" w:type="dxa"/>
                  <w:vMerge w:val="continue"/>
                  <w:tcBorders>
                    <w:tl2br w:val="nil"/>
                    <w:tr2bl w:val="nil"/>
                  </w:tcBorders>
                  <w:noWrap w:val="0"/>
                  <w:vAlign w:val="center"/>
                </w:tcPr>
                <w:p w14:paraId="3D6B36C3">
                  <w:pPr>
                    <w:spacing w:line="300" w:lineRule="exact"/>
                    <w:jc w:val="center"/>
                    <w:rPr>
                      <w:rFonts w:hint="default" w:ascii="Times New Roman" w:hAnsi="Times New Roman" w:eastAsia="宋体" w:cs="Times New Roman"/>
                      <w:color w:val="auto"/>
                      <w:sz w:val="21"/>
                      <w:szCs w:val="21"/>
                      <w:highlight w:val="none"/>
                      <w:lang w:val="en-US" w:eastAsia="zh-CN"/>
                    </w:rPr>
                  </w:pPr>
                </w:p>
              </w:tc>
              <w:tc>
                <w:tcPr>
                  <w:tcW w:w="1108" w:type="dxa"/>
                  <w:tcBorders>
                    <w:tl2br w:val="nil"/>
                    <w:tr2bl w:val="nil"/>
                  </w:tcBorders>
                  <w:shd w:val="clear" w:color="auto" w:fill="auto"/>
                  <w:noWrap w:val="0"/>
                  <w:vAlign w:val="center"/>
                </w:tcPr>
                <w:p w14:paraId="58BF410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spacing w:val="-10"/>
                      <w:kern w:val="2"/>
                      <w:sz w:val="21"/>
                      <w:szCs w:val="21"/>
                      <w:highlight w:val="none"/>
                      <w:vertAlign w:val="baseline"/>
                      <w:lang w:val="en-US" w:eastAsia="zh-CN" w:bidi="ar-SA"/>
                    </w:rPr>
                  </w:pPr>
                  <w:r>
                    <w:rPr>
                      <w:rFonts w:hint="eastAsia" w:cs="Times New Roman" w:eastAsiaTheme="minorEastAsia"/>
                      <w:color w:val="auto"/>
                      <w:sz w:val="21"/>
                      <w:szCs w:val="21"/>
                      <w:lang w:val="en-US" w:eastAsia="zh-CN"/>
                    </w:rPr>
                    <w:t>臭气浓度</w:t>
                  </w:r>
                </w:p>
              </w:tc>
              <w:tc>
                <w:tcPr>
                  <w:tcW w:w="1122" w:type="dxa"/>
                  <w:tcBorders>
                    <w:tl2br w:val="nil"/>
                    <w:tr2bl w:val="nil"/>
                  </w:tcBorders>
                  <w:shd w:val="clear" w:color="auto" w:fill="auto"/>
                  <w:noWrap w:val="0"/>
                  <w:vAlign w:val="center"/>
                </w:tcPr>
                <w:p w14:paraId="656546F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1次/年</w:t>
                  </w:r>
                </w:p>
              </w:tc>
              <w:tc>
                <w:tcPr>
                  <w:tcW w:w="1237" w:type="dxa"/>
                  <w:tcBorders>
                    <w:tl2br w:val="nil"/>
                    <w:tr2bl w:val="nil"/>
                  </w:tcBorders>
                  <w:shd w:val="clear" w:color="auto" w:fill="auto"/>
                  <w:noWrap w:val="0"/>
                  <w:vAlign w:val="center"/>
                </w:tcPr>
                <w:p w14:paraId="3B1CE601">
                  <w:pPr>
                    <w:adjustRightInd/>
                    <w:snapToGrid/>
                    <w:spacing w:line="240" w:lineRule="auto"/>
                    <w:ind w:firstLine="0" w:firstLineChars="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120（无量纲）</w:t>
                  </w:r>
                </w:p>
              </w:tc>
              <w:tc>
                <w:tcPr>
                  <w:tcW w:w="1128" w:type="dxa"/>
                  <w:tcBorders>
                    <w:tl2br w:val="nil"/>
                    <w:tr2bl w:val="nil"/>
                  </w:tcBorders>
                  <w:shd w:val="clear" w:color="auto" w:fill="auto"/>
                  <w:noWrap w:val="0"/>
                  <w:vAlign w:val="center"/>
                </w:tcPr>
                <w:p w14:paraId="52B3D59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0min</w:t>
                  </w:r>
                </w:p>
              </w:tc>
              <w:tc>
                <w:tcPr>
                  <w:tcW w:w="1239" w:type="dxa"/>
                  <w:tcBorders>
                    <w:tl2br w:val="nil"/>
                    <w:tr2bl w:val="nil"/>
                  </w:tcBorders>
                  <w:shd w:val="clear" w:color="auto" w:fill="auto"/>
                  <w:noWrap w:val="0"/>
                  <w:vAlign w:val="center"/>
                </w:tcPr>
                <w:p w14:paraId="1C3C7FA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w:t>
                  </w:r>
                </w:p>
              </w:tc>
              <w:tc>
                <w:tcPr>
                  <w:tcW w:w="1648" w:type="dxa"/>
                  <w:tcBorders>
                    <w:tl2br w:val="nil"/>
                    <w:tr2bl w:val="nil"/>
                  </w:tcBorders>
                  <w:shd w:val="clear" w:color="auto" w:fill="auto"/>
                  <w:noWrap w:val="0"/>
                  <w:vAlign w:val="center"/>
                </w:tcPr>
                <w:p w14:paraId="0DB1D9A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立即停止生产，进行维修</w:t>
                  </w:r>
                </w:p>
              </w:tc>
            </w:tr>
          </w:tbl>
          <w:p w14:paraId="16EAEDE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highlight w:val="none"/>
                <w:lang w:val="en-US" w:eastAsia="zh-CN"/>
              </w:rPr>
              <w:t>废气污染治理设施的可行性分析</w:t>
            </w:r>
          </w:p>
          <w:p w14:paraId="0A87AF5A">
            <w:pPr>
              <w:pStyle w:val="149"/>
              <w:numPr>
                <w:ilvl w:val="0"/>
                <w:numId w:val="0"/>
              </w:numPr>
              <w:spacing w:line="360" w:lineRule="auto"/>
              <w:ind w:firstLine="482" w:firstLineChars="200"/>
              <w:jc w:val="both"/>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（1）有组织废气控制措施</w:t>
            </w:r>
          </w:p>
          <w:p w14:paraId="14414038">
            <w:pPr>
              <w:pStyle w:val="149"/>
              <w:numPr>
                <w:ilvl w:val="0"/>
                <w:numId w:val="0"/>
              </w:num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w:t>
            </w:r>
            <w:r>
              <w:rPr>
                <w:rFonts w:hint="default" w:ascii="Times New Roman" w:hAnsi="Times New Roman" w:eastAsia="宋体" w:cs="Times New Roman"/>
                <w:color w:val="auto"/>
                <w:sz w:val="24"/>
                <w:szCs w:val="24"/>
                <w:highlight w:val="none"/>
                <w:lang w:val="en-US" w:eastAsia="zh-CN"/>
              </w:rPr>
              <w:t>据《排污许可证申请与核发技术规范 橡胶和塑料制品工业》（HJ1122-2020）附录A.1，</w:t>
            </w:r>
            <w:r>
              <w:rPr>
                <w:rFonts w:hint="eastAsia" w:ascii="Times New Roman" w:hAnsi="Times New Roman" w:eastAsia="宋体" w:cs="Times New Roman"/>
                <w:color w:val="auto"/>
                <w:sz w:val="24"/>
                <w:szCs w:val="24"/>
                <w:highlight w:val="none"/>
                <w:lang w:val="en-US" w:eastAsia="zh-CN"/>
              </w:rPr>
              <w:t>项目废气处理措施可行性分析</w:t>
            </w:r>
            <w:r>
              <w:rPr>
                <w:rFonts w:hint="default" w:ascii="Times New Roman" w:hAnsi="Times New Roman" w:eastAsia="宋体" w:cs="Times New Roman"/>
                <w:color w:val="auto"/>
                <w:sz w:val="24"/>
                <w:szCs w:val="24"/>
                <w:highlight w:val="none"/>
                <w:lang w:val="en-US" w:eastAsia="zh-CN"/>
              </w:rPr>
              <w:t>具体</w:t>
            </w:r>
            <w:r>
              <w:rPr>
                <w:rFonts w:hint="eastAsia" w:ascii="Times New Roman" w:hAnsi="Times New Roman" w:eastAsia="宋体" w:cs="Times New Roman"/>
                <w:color w:val="auto"/>
                <w:sz w:val="24"/>
                <w:szCs w:val="24"/>
                <w:highlight w:val="none"/>
                <w:lang w:val="en-US" w:eastAsia="zh-CN"/>
              </w:rPr>
              <w:t>见</w:t>
            </w:r>
            <w:r>
              <w:rPr>
                <w:rFonts w:hint="default" w:ascii="Times New Roman" w:hAnsi="Times New Roman" w:eastAsia="宋体" w:cs="Times New Roman"/>
                <w:color w:val="auto"/>
                <w:sz w:val="24"/>
                <w:szCs w:val="24"/>
                <w:highlight w:val="none"/>
                <w:lang w:val="en-US" w:eastAsia="zh-CN"/>
              </w:rPr>
              <w:t>下表：</w:t>
            </w:r>
          </w:p>
          <w:p w14:paraId="05018EC8">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 xml:space="preserve">  废气污染防治可行技术</w:t>
            </w:r>
            <w:r>
              <w:rPr>
                <w:rFonts w:hint="eastAsia" w:ascii="Times New Roman" w:hAnsi="Times New Roman" w:eastAsia="宋体" w:cs="Times New Roman"/>
                <w:b/>
                <w:bCs/>
                <w:color w:val="auto"/>
                <w:sz w:val="24"/>
                <w:szCs w:val="24"/>
                <w:highlight w:val="none"/>
                <w:lang w:val="en-US" w:eastAsia="zh-CN"/>
              </w:rPr>
              <w:t>分析</w:t>
            </w:r>
            <w:r>
              <w:rPr>
                <w:rFonts w:hint="default" w:ascii="Times New Roman" w:hAnsi="Times New Roman" w:eastAsia="宋体" w:cs="Times New Roman"/>
                <w:b/>
                <w:bCs/>
                <w:color w:val="auto"/>
                <w:sz w:val="24"/>
                <w:szCs w:val="24"/>
                <w:highlight w:val="none"/>
                <w:lang w:val="en-US" w:eastAsia="zh-CN"/>
              </w:rPr>
              <w:t>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45"/>
              <w:gridCol w:w="1354"/>
              <w:gridCol w:w="1925"/>
              <w:gridCol w:w="2164"/>
              <w:gridCol w:w="1079"/>
            </w:tblGrid>
            <w:tr w14:paraId="78673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145" w:type="dxa"/>
                  <w:tcBorders>
                    <w:tl2br w:val="nil"/>
                    <w:tr2bl w:val="nil"/>
                  </w:tcBorders>
                  <w:noWrap w:val="0"/>
                  <w:vAlign w:val="center"/>
                </w:tcPr>
                <w:p w14:paraId="6FAC35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产排污环节</w:t>
                  </w:r>
                </w:p>
              </w:tc>
              <w:tc>
                <w:tcPr>
                  <w:tcW w:w="1354" w:type="dxa"/>
                  <w:tcBorders>
                    <w:tl2br w:val="nil"/>
                    <w:tr2bl w:val="nil"/>
                  </w:tcBorders>
                  <w:noWrap w:val="0"/>
                  <w:vAlign w:val="center"/>
                </w:tcPr>
                <w:p w14:paraId="2F0888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污染物种类</w:t>
                  </w:r>
                </w:p>
              </w:tc>
              <w:tc>
                <w:tcPr>
                  <w:tcW w:w="1925" w:type="dxa"/>
                  <w:tcBorders>
                    <w:tl2br w:val="nil"/>
                    <w:tr2bl w:val="nil"/>
                  </w:tcBorders>
                  <w:noWrap w:val="0"/>
                  <w:vAlign w:val="center"/>
                </w:tcPr>
                <w:p w14:paraId="17771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可行技术</w:t>
                  </w:r>
                </w:p>
              </w:tc>
              <w:tc>
                <w:tcPr>
                  <w:tcW w:w="2164" w:type="dxa"/>
                  <w:tcBorders>
                    <w:tl2br w:val="nil"/>
                    <w:tr2bl w:val="nil"/>
                  </w:tcBorders>
                  <w:noWrap w:val="0"/>
                  <w:vAlign w:val="center"/>
                </w:tcPr>
                <w:p w14:paraId="4E4809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本项目采用处理技术</w:t>
                  </w:r>
                </w:p>
              </w:tc>
              <w:tc>
                <w:tcPr>
                  <w:tcW w:w="1079" w:type="dxa"/>
                  <w:tcBorders>
                    <w:tl2br w:val="nil"/>
                    <w:tr2bl w:val="nil"/>
                  </w:tcBorders>
                  <w:noWrap w:val="0"/>
                  <w:vAlign w:val="center"/>
                </w:tcPr>
                <w:p w14:paraId="3BECA7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是否可行</w:t>
                  </w:r>
                </w:p>
              </w:tc>
            </w:tr>
            <w:tr w14:paraId="6092D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145" w:type="dxa"/>
                  <w:vMerge w:val="restart"/>
                  <w:tcBorders>
                    <w:tl2br w:val="nil"/>
                    <w:tr2bl w:val="nil"/>
                  </w:tcBorders>
                  <w:noWrap w:val="0"/>
                  <w:vAlign w:val="center"/>
                </w:tcPr>
                <w:p w14:paraId="58677C1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塑料薄膜制造，塑料</w:t>
                  </w:r>
                </w:p>
                <w:p w14:paraId="4AAD533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板、管、型材制造，塑料丝、绳及编制品</w:t>
                  </w:r>
                </w:p>
                <w:p w14:paraId="733041B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制造，泡沫塑料制造，</w:t>
                  </w:r>
                </w:p>
                <w:p w14:paraId="3452F03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塑料包装箱及容器制</w:t>
                  </w:r>
                </w:p>
                <w:p w14:paraId="63D62ED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造，日用塑料制品制</w:t>
                  </w:r>
                </w:p>
                <w:p w14:paraId="17B5E1B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造，人造草坪制造，</w:t>
                  </w:r>
                </w:p>
                <w:p w14:paraId="317194F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塑料零件及其他塑料</w:t>
                  </w:r>
                </w:p>
                <w:p w14:paraId="060B48F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制品制造废气</w:t>
                  </w:r>
                </w:p>
              </w:tc>
              <w:tc>
                <w:tcPr>
                  <w:tcW w:w="1354" w:type="dxa"/>
                  <w:tcBorders>
                    <w:tl2br w:val="nil"/>
                    <w:tr2bl w:val="nil"/>
                  </w:tcBorders>
                  <w:noWrap w:val="0"/>
                  <w:vAlign w:val="center"/>
                </w:tcPr>
                <w:p w14:paraId="62EBF0B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w:t>
                  </w:r>
                </w:p>
                <w:p w14:paraId="75BC09C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烃</w:t>
                  </w:r>
                </w:p>
              </w:tc>
              <w:tc>
                <w:tcPr>
                  <w:tcW w:w="1925" w:type="dxa"/>
                  <w:tcBorders>
                    <w:tl2br w:val="nil"/>
                    <w:tr2bl w:val="nil"/>
                  </w:tcBorders>
                  <w:noWrap w:val="0"/>
                  <w:vAlign w:val="center"/>
                </w:tcPr>
                <w:p w14:paraId="7B67A6C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喷淋；吸附；吸附</w:t>
                  </w:r>
                </w:p>
                <w:p w14:paraId="6ACB045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浓缩+热力燃烧/催</w:t>
                  </w:r>
                </w:p>
                <w:p w14:paraId="06ED5F7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化燃烧</w:t>
                  </w:r>
                </w:p>
              </w:tc>
              <w:tc>
                <w:tcPr>
                  <w:tcW w:w="2164" w:type="dxa"/>
                  <w:tcBorders>
                    <w:tl2br w:val="nil"/>
                    <w:tr2bl w:val="nil"/>
                  </w:tcBorders>
                  <w:noWrap w:val="0"/>
                  <w:vAlign w:val="center"/>
                </w:tcPr>
                <w:p w14:paraId="5088435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过滤棉+二级活性炭吸附</w:t>
                  </w:r>
                </w:p>
              </w:tc>
              <w:tc>
                <w:tcPr>
                  <w:tcW w:w="1079" w:type="dxa"/>
                  <w:tcBorders>
                    <w:tl2br w:val="nil"/>
                    <w:tr2bl w:val="nil"/>
                  </w:tcBorders>
                  <w:noWrap w:val="0"/>
                  <w:vAlign w:val="center"/>
                </w:tcPr>
                <w:p w14:paraId="638E962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14:paraId="5AEE638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是</w:t>
                  </w:r>
                </w:p>
              </w:tc>
            </w:tr>
            <w:tr w14:paraId="6A728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2145" w:type="dxa"/>
                  <w:vMerge w:val="continue"/>
                  <w:tcBorders>
                    <w:tl2br w:val="nil"/>
                    <w:tr2bl w:val="nil"/>
                  </w:tcBorders>
                  <w:noWrap w:val="0"/>
                  <w:vAlign w:val="center"/>
                </w:tcPr>
                <w:p w14:paraId="6449F9E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54" w:type="dxa"/>
                  <w:tcBorders>
                    <w:tl2br w:val="nil"/>
                    <w:tr2bl w:val="nil"/>
                  </w:tcBorders>
                  <w:noWrap w:val="0"/>
                  <w:vAlign w:val="center"/>
                </w:tcPr>
                <w:p w14:paraId="5BE532D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臭气浓度</w:t>
                  </w:r>
                </w:p>
              </w:tc>
              <w:tc>
                <w:tcPr>
                  <w:tcW w:w="1925" w:type="dxa"/>
                  <w:tcBorders>
                    <w:tl2br w:val="nil"/>
                    <w:tr2bl w:val="nil"/>
                  </w:tcBorders>
                  <w:noWrap w:val="0"/>
                  <w:vAlign w:val="center"/>
                </w:tcPr>
                <w:p w14:paraId="68899A8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喷淋、吸附、低温</w:t>
                  </w:r>
                </w:p>
                <w:p w14:paraId="54DBDDB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等离子体、UV光</w:t>
                  </w:r>
                </w:p>
                <w:p w14:paraId="3DEBD4D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氧化光催化、生物</w:t>
                  </w:r>
                </w:p>
                <w:p w14:paraId="1392B83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法两种及以上组</w:t>
                  </w:r>
                </w:p>
                <w:p w14:paraId="6E76854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合技术</w:t>
                  </w:r>
                </w:p>
              </w:tc>
              <w:tc>
                <w:tcPr>
                  <w:tcW w:w="2164" w:type="dxa"/>
                  <w:tcBorders>
                    <w:tl2br w:val="nil"/>
                    <w:tr2bl w:val="nil"/>
                  </w:tcBorders>
                  <w:noWrap w:val="0"/>
                  <w:vAlign w:val="center"/>
                </w:tcPr>
                <w:p w14:paraId="1F48D31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14:paraId="5546A55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过滤棉+二级活性炭吸附</w:t>
                  </w:r>
                </w:p>
              </w:tc>
              <w:tc>
                <w:tcPr>
                  <w:tcW w:w="1079" w:type="dxa"/>
                  <w:tcBorders>
                    <w:tl2br w:val="nil"/>
                    <w:tr2bl w:val="nil"/>
                  </w:tcBorders>
                  <w:noWrap w:val="0"/>
                  <w:vAlign w:val="center"/>
                </w:tcPr>
                <w:p w14:paraId="7F9FC21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14:paraId="48FBF98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p w14:paraId="52672F4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是</w:t>
                  </w:r>
                </w:p>
              </w:tc>
            </w:tr>
          </w:tbl>
          <w:p w14:paraId="59DE0603">
            <w:pPr>
              <w:pStyle w:val="156"/>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b w:val="0"/>
                <w:bCs/>
                <w:color w:val="FF0000"/>
                <w:sz w:val="24"/>
                <w:szCs w:val="24"/>
                <w:highlight w:val="none"/>
                <w:lang w:val="en-US" w:eastAsia="zh-CN"/>
              </w:rPr>
            </w:pPr>
            <w:r>
              <w:rPr>
                <w:rFonts w:hint="eastAsia" w:cs="Times New Roman"/>
                <w:b w:val="0"/>
                <w:bCs/>
                <w:color w:val="FF0000"/>
                <w:sz w:val="24"/>
                <w:szCs w:val="24"/>
                <w:highlight w:val="none"/>
                <w:lang w:val="en-US" w:eastAsia="zh-CN"/>
              </w:rPr>
              <w:t>本项目设置</w:t>
            </w:r>
            <w:r>
              <w:rPr>
                <w:rFonts w:hint="default" w:ascii="Times New Roman" w:hAnsi="Times New Roman" w:eastAsia="宋体" w:cs="Times New Roman"/>
                <w:b w:val="0"/>
                <w:bCs/>
                <w:color w:val="FF0000"/>
                <w:sz w:val="24"/>
                <w:szCs w:val="24"/>
                <w:highlight w:val="none"/>
                <w:lang w:val="en-US" w:eastAsia="zh-CN"/>
              </w:rPr>
              <w:t>二级活性炭吸附装置</w:t>
            </w:r>
            <w:r>
              <w:rPr>
                <w:rFonts w:hint="eastAsia" w:cs="Times New Roman"/>
                <w:b w:val="0"/>
                <w:bCs/>
                <w:color w:val="FF0000"/>
                <w:sz w:val="24"/>
                <w:szCs w:val="24"/>
                <w:highlight w:val="none"/>
                <w:lang w:val="en-US" w:eastAsia="zh-CN"/>
              </w:rPr>
              <w:t>。</w:t>
            </w:r>
            <w:r>
              <w:rPr>
                <w:rFonts w:hint="default" w:ascii="Times New Roman" w:hAnsi="Times New Roman" w:eastAsia="宋体" w:cs="Times New Roman"/>
                <w:b w:val="0"/>
                <w:bCs/>
                <w:color w:val="FF0000"/>
                <w:sz w:val="24"/>
                <w:szCs w:val="24"/>
                <w:highlight w:val="none"/>
                <w:lang w:val="en-US" w:eastAsia="zh-CN"/>
              </w:rPr>
              <w:t>根据《简明通风设计手册》活性炭的有效吸附量：qe=0.4kg/kg活性炭，则活性炭最低使用量为0.913t/a，活性炭应定期更换，以确保吸附效率。项目一套活性炭吸附装置一次装填量为0.5t，共1套活性炭吸附装置，每半年更换一次，出口废气浓度≥排放限值70%时更换。根据《排污许可证申请与核发技术规范 橡胶和塑料制品工业》（HJ1122-2020）中推荐治理技术，本项目采用技术为可行技术。</w:t>
            </w:r>
          </w:p>
          <w:p w14:paraId="16A93345">
            <w:pPr>
              <w:pStyle w:val="156"/>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0" w:firstLine="482" w:firstLineChars="200"/>
              <w:jc w:val="both"/>
              <w:textAlignment w:val="auto"/>
              <w:rPr>
                <w:rFonts w:hint="default" w:ascii="Times New Roman" w:hAnsi="Times New Roman" w:eastAsia="宋体" w:cs="Times New Roman"/>
                <w:b/>
                <w:bCs w:val="0"/>
                <w:color w:val="auto"/>
                <w:sz w:val="24"/>
                <w:szCs w:val="24"/>
                <w:highlight w:val="none"/>
                <w:lang w:val="en-US" w:eastAsia="zh-CN"/>
              </w:rPr>
            </w:pPr>
            <w:r>
              <w:rPr>
                <w:rFonts w:hint="eastAsia" w:ascii="Times New Roman" w:hAnsi="Times New Roman" w:eastAsia="宋体" w:cs="Times New Roman"/>
                <w:b/>
                <w:bCs w:val="0"/>
                <w:color w:val="auto"/>
                <w:sz w:val="24"/>
                <w:szCs w:val="24"/>
                <w:highlight w:val="none"/>
                <w:lang w:val="en-US" w:eastAsia="zh-CN"/>
              </w:rPr>
              <w:t>（2）</w:t>
            </w:r>
            <w:r>
              <w:rPr>
                <w:rFonts w:hint="default" w:ascii="Times New Roman" w:hAnsi="Times New Roman" w:eastAsia="宋体" w:cs="Times New Roman"/>
                <w:b/>
                <w:bCs w:val="0"/>
                <w:color w:val="auto"/>
                <w:sz w:val="24"/>
                <w:szCs w:val="24"/>
                <w:highlight w:val="none"/>
                <w:lang w:val="en-US" w:eastAsia="zh-CN"/>
              </w:rPr>
              <w:t>无组织废气控制措施</w:t>
            </w:r>
          </w:p>
          <w:p w14:paraId="58633F7A">
            <w:pPr>
              <w:pStyle w:val="156"/>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根据《排污许可证申请与核发技术规范 橡胶和塑料制品工业》（HJ1122-2020）无组织控制技术</w:t>
            </w:r>
            <w:r>
              <w:rPr>
                <w:rFonts w:hint="default" w:ascii="Times New Roman" w:hAnsi="Times New Roman" w:eastAsia="宋体" w:cs="Times New Roman"/>
                <w:b w:val="0"/>
                <w:bCs/>
                <w:color w:val="auto"/>
                <w:sz w:val="24"/>
                <w:szCs w:val="24"/>
                <w:highlight w:val="none"/>
              </w:rPr>
              <w:t>要求</w:t>
            </w:r>
            <w:r>
              <w:rPr>
                <w:rFonts w:hint="default" w:ascii="Times New Roman" w:hAnsi="Times New Roman" w:eastAsia="宋体" w:cs="Times New Roman"/>
                <w:b w:val="0"/>
                <w:bCs/>
                <w:color w:val="auto"/>
                <w:sz w:val="24"/>
                <w:szCs w:val="24"/>
                <w:highlight w:val="none"/>
                <w:lang w:val="en-US" w:eastAsia="zh-CN"/>
              </w:rPr>
              <w:t>，本项目采用控制技术见下</w:t>
            </w:r>
            <w:r>
              <w:rPr>
                <w:rFonts w:hint="eastAsia" w:cs="Times New Roman"/>
                <w:b w:val="0"/>
                <w:bCs/>
                <w:color w:val="auto"/>
                <w:sz w:val="24"/>
                <w:szCs w:val="24"/>
                <w:highlight w:val="none"/>
                <w:lang w:val="en-US" w:eastAsia="zh-CN"/>
              </w:rPr>
              <w:t>。</w:t>
            </w:r>
          </w:p>
          <w:p w14:paraId="288A2572">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无组织废气控制措施可行性论证一览表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238"/>
              <w:gridCol w:w="3429"/>
            </w:tblGrid>
            <w:tr w14:paraId="18CCD2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tcBorders>
                    <w:tl2br w:val="nil"/>
                    <w:tr2bl w:val="nil"/>
                  </w:tcBorders>
                  <w:noWrap w:val="0"/>
                  <w:vAlign w:val="center"/>
                </w:tcPr>
                <w:p w14:paraId="7324F044">
                  <w:pPr>
                    <w:autoSpaceDE w:val="0"/>
                    <w:autoSpaceDN w:val="0"/>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《排污许可证申请与核发技术规范 橡胶和塑料制品工业》（HJ1122-2020）废气控制措施技术</w:t>
                  </w:r>
                  <w:r>
                    <w:rPr>
                      <w:rFonts w:hint="default" w:ascii="Times New Roman" w:hAnsi="Times New Roman" w:eastAsia="宋体" w:cs="Times New Roman"/>
                      <w:b/>
                      <w:bCs/>
                      <w:color w:val="auto"/>
                      <w:sz w:val="21"/>
                      <w:szCs w:val="21"/>
                      <w:highlight w:val="none"/>
                    </w:rPr>
                    <w:t>要求</w:t>
                  </w:r>
                </w:p>
              </w:tc>
              <w:tc>
                <w:tcPr>
                  <w:tcW w:w="1977" w:type="pct"/>
                  <w:tcBorders>
                    <w:tl2br w:val="nil"/>
                    <w:tr2bl w:val="nil"/>
                  </w:tcBorders>
                  <w:noWrap w:val="0"/>
                  <w:vAlign w:val="center"/>
                </w:tcPr>
                <w:p w14:paraId="01BFF981">
                  <w:pPr>
                    <w:autoSpaceDE w:val="0"/>
                    <w:autoSpaceDN w:val="0"/>
                    <w:adjustRightInd w:val="0"/>
                    <w:snapToGrid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w:t>
                  </w:r>
                  <w:r>
                    <w:rPr>
                      <w:rFonts w:hint="default" w:ascii="Times New Roman" w:hAnsi="Times New Roman" w:eastAsia="宋体" w:cs="Times New Roman"/>
                      <w:b/>
                      <w:bCs/>
                      <w:color w:val="auto"/>
                      <w:sz w:val="21"/>
                      <w:szCs w:val="21"/>
                      <w:highlight w:val="none"/>
                    </w:rPr>
                    <w:t>治理措施</w:t>
                  </w:r>
                </w:p>
              </w:tc>
            </w:tr>
            <w:tr w14:paraId="04AE9F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restart"/>
                  <w:tcBorders>
                    <w:tl2br w:val="nil"/>
                    <w:tr2bl w:val="nil"/>
                  </w:tcBorders>
                  <w:noWrap w:val="0"/>
                  <w:vAlign w:val="center"/>
                </w:tcPr>
                <w:p w14:paraId="15D29C0F">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pacing w:val="0"/>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挥发性有机物物料应储存于密闭的容器、包装袋、储库、料仓中：盛装挥发性有机物物料的容器或包装袋应存放于室内，或存放于设置有雨棚、遮阳和防渗设施的专用场地。盛装挥发性有机物物料的容器或包装袋在非取用状态时应加盖、封口，保持密闭。</w:t>
                  </w:r>
                </w:p>
                <w:p w14:paraId="79F32D85">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2）挥发性有机物物料使用过程无法密闭的，应采取局部气体收集措施，废气应排放至挥发性有机物废气收集处理系统。</w:t>
                  </w:r>
                </w:p>
                <w:p w14:paraId="4B7D09B2">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液态挥发性有机物物料应采用密闭管道输送。采用非管道输送方式转移液态挥发性有机物物料时，应采用密闭容器。粉状、粒状挥发性有机物物料应采用气力输送设备、管状带式输送机、螺旋输送机等密闭输送方式，或者采用密闭的包装袋、容器进行物料转移。</w:t>
                  </w:r>
                </w:p>
                <w:p w14:paraId="338D62FC">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rPr>
                    <w:t>）挥发性有机物质量占比大于等于 10%的含挥发性有机物原辅材料使用过程无法密闭的，应采取局部气体收集措施，废气应排放至挥发性有机物废气收集处理系统。</w:t>
                  </w:r>
                </w:p>
                <w:p w14:paraId="1F5C7295">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工艺过程无组织排放控制，在炼胶、挤出、压延、硫化及胶浆制备、浸浆和胶浆喷涂和涂胶等作业中应采用密闭设备或在密闭空间内操作，废气应排至废气收集处理系统，无法密闭的，应采取局部气体收集措施，废气应排至废气收集处理系统。通过采取设备与场所密闭、工艺改进、废气有效收集等措施，削减无组织排放。对敞开式恶臭排放源（废水治理设施的调节池、酸化池、好氧池、污泥浓缩池等），应采取覆盖方式进行密闭收集。收集系统在设计时，对高浓度挥发性有机物区域应考虑防爆和安全要求。根据恶臭控制要求，按照不同构筑物种类和池型设置密闭系统抽风口和补风口，并配备风阀进行控制。</w:t>
                  </w:r>
                </w:p>
                <w:p w14:paraId="13782132">
                  <w:pPr>
                    <w:autoSpaceDE w:val="0"/>
                    <w:autoSpaceDN w:val="0"/>
                    <w:adjustRightInd w:val="0"/>
                    <w:snapToGrid w:val="0"/>
                    <w:jc w:val="both"/>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6</w:t>
                  </w:r>
                  <w:r>
                    <w:rPr>
                      <w:rFonts w:hint="default" w:ascii="Times New Roman" w:hAnsi="Times New Roman" w:eastAsia="宋体" w:cs="Times New Roman"/>
                      <w:b w:val="0"/>
                      <w:bCs w:val="0"/>
                      <w:color w:val="auto"/>
                      <w:sz w:val="21"/>
                      <w:szCs w:val="21"/>
                      <w:highlight w:val="none"/>
                    </w:rPr>
                    <w:t>）所有废气收集系统应采用技术经济合理的密闭方式，具有耐腐、气密性好的特性，同时考虑具备阻燃和抗静电等性能，并结合其他专业设备的运行、维护需要，设置观察口、呼吸阀等设施。</w:t>
                  </w:r>
                </w:p>
              </w:tc>
              <w:tc>
                <w:tcPr>
                  <w:tcW w:w="1977" w:type="pct"/>
                  <w:vMerge w:val="restart"/>
                  <w:tcBorders>
                    <w:tl2br w:val="nil"/>
                    <w:tr2bl w:val="nil"/>
                  </w:tcBorders>
                  <w:noWrap w:val="0"/>
                  <w:vAlign w:val="center"/>
                </w:tcPr>
                <w:p w14:paraId="38BEBEA1">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1）加强集气罩的收集效率，减少有机废气无组织排放；</w:t>
                  </w:r>
                </w:p>
                <w:p w14:paraId="425E4859">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2）各工序配套的集气罩设置均符合GB/T 16758的规定；废气收集系统的输送管道密闭。废气收集处理系统均与生产工艺设备同步运行。废气收集处理系统发生故障或检修时，对应的生产工艺设备应停止运行，待排除故障或检修完毕后同步投入使用。</w:t>
                  </w:r>
                </w:p>
                <w:p w14:paraId="1136042E">
                  <w:pPr>
                    <w:autoSpaceDE w:val="0"/>
                    <w:autoSpaceDN w:val="0"/>
                    <w:adjustRightInd w:val="0"/>
                    <w:snapToGrid w:val="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3）加强投料、混料、</w:t>
                  </w:r>
                  <w:r>
                    <w:rPr>
                      <w:rFonts w:hint="eastAsia" w:cs="Times New Roman"/>
                      <w:b w:val="0"/>
                      <w:bCs w:val="0"/>
                      <w:color w:val="auto"/>
                      <w:sz w:val="21"/>
                      <w:szCs w:val="21"/>
                      <w:highlight w:val="none"/>
                      <w:lang w:val="en-US" w:eastAsia="zh-CN"/>
                    </w:rPr>
                    <w:t>破碎</w:t>
                  </w:r>
                  <w:r>
                    <w:rPr>
                      <w:rFonts w:hint="default" w:ascii="Times New Roman" w:hAnsi="Times New Roman" w:eastAsia="宋体" w:cs="Times New Roman"/>
                      <w:b w:val="0"/>
                      <w:bCs w:val="0"/>
                      <w:color w:val="auto"/>
                      <w:sz w:val="21"/>
                      <w:szCs w:val="21"/>
                      <w:highlight w:val="none"/>
                      <w:lang w:val="en-US" w:eastAsia="zh-CN"/>
                    </w:rPr>
                    <w:t>工序的管理，及时清扫车间卫生，清理沉降在设备附近的原材料，控制撕碎过程粒径，减少无组织粉尘的产生和排放。</w:t>
                  </w:r>
                </w:p>
              </w:tc>
            </w:tr>
            <w:tr w14:paraId="4D87CB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194B5F3">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0EEA082B">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eastAsia="zh-CN"/>
                    </w:rPr>
                  </w:pPr>
                </w:p>
              </w:tc>
            </w:tr>
            <w:tr w14:paraId="5FADC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4C9BF252">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6B3718A1">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eastAsia="zh-CN"/>
                    </w:rPr>
                  </w:pPr>
                </w:p>
              </w:tc>
            </w:tr>
            <w:tr w14:paraId="723A0B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706B63B">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438A2E53">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eastAsia="zh-CN"/>
                    </w:rPr>
                  </w:pPr>
                </w:p>
              </w:tc>
            </w:tr>
            <w:tr w14:paraId="648A7F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61A0C1D">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20FCFF84">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eastAsia="zh-CN"/>
                    </w:rPr>
                  </w:pPr>
                </w:p>
              </w:tc>
            </w:tr>
            <w:tr w14:paraId="646B7E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430D9AEA">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5D67CFB5">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p>
              </w:tc>
            </w:tr>
            <w:tr w14:paraId="348EBD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2AFC34E3">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66EFD5FF">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07D12F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31F1D5C">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5BFD3F9C">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p>
              </w:tc>
            </w:tr>
            <w:tr w14:paraId="7B99AF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13790A8E">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16DFF599">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3FCFAD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14B2764B">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0BC94529">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6DD5E1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7E20ADFA">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474136A1">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142572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6601842">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7634126B">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p>
              </w:tc>
            </w:tr>
            <w:tr w14:paraId="229100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5085C73">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1200F686">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p>
              </w:tc>
            </w:tr>
            <w:tr w14:paraId="558628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60921700">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49B53129">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769B9B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2A5E2A38">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79604B2B">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r w14:paraId="068E56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022" w:type="pct"/>
                  <w:vMerge w:val="continue"/>
                  <w:tcBorders>
                    <w:tl2br w:val="nil"/>
                    <w:tr2bl w:val="nil"/>
                  </w:tcBorders>
                  <w:noWrap w:val="0"/>
                  <w:vAlign w:val="center"/>
                </w:tcPr>
                <w:p w14:paraId="1C19919E">
                  <w:pPr>
                    <w:pStyle w:val="51"/>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977" w:type="pct"/>
                  <w:vMerge w:val="continue"/>
                  <w:tcBorders>
                    <w:tl2br w:val="nil"/>
                    <w:tr2bl w:val="nil"/>
                  </w:tcBorders>
                  <w:noWrap w:val="0"/>
                  <w:vAlign w:val="center"/>
                </w:tcPr>
                <w:p w14:paraId="3A54D9B7">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rPr>
                  </w:pPr>
                </w:p>
              </w:tc>
            </w:tr>
          </w:tbl>
          <w:p w14:paraId="6A657AE9">
            <w:pPr>
              <w:widowControl/>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b w:val="0"/>
                <w:bCs/>
                <w:color w:val="auto"/>
                <w:kern w:val="0"/>
                <w:sz w:val="24"/>
                <w:szCs w:val="24"/>
                <w:highlight w:val="none"/>
                <w:lang w:val="en-US" w:eastAsia="zh-CN"/>
              </w:rPr>
              <w:t>综上，项目</w:t>
            </w:r>
            <w:r>
              <w:rPr>
                <w:rFonts w:hint="eastAsia" w:ascii="Times New Roman" w:hAnsi="Times New Roman" w:eastAsia="宋体" w:cs="Times New Roman"/>
                <w:b w:val="0"/>
                <w:bCs/>
                <w:color w:val="auto"/>
                <w:kern w:val="0"/>
                <w:sz w:val="24"/>
                <w:szCs w:val="24"/>
                <w:highlight w:val="none"/>
                <w:lang w:val="en-US" w:eastAsia="zh-CN"/>
              </w:rPr>
              <w:t>采取有效的</w:t>
            </w:r>
            <w:r>
              <w:rPr>
                <w:rFonts w:hint="default" w:ascii="Times New Roman" w:hAnsi="Times New Roman" w:eastAsia="宋体" w:cs="Times New Roman"/>
                <w:b w:val="0"/>
                <w:bCs/>
                <w:color w:val="auto"/>
                <w:sz w:val="24"/>
                <w:szCs w:val="24"/>
                <w:highlight w:val="none"/>
                <w:lang w:val="en-US" w:eastAsia="zh-CN"/>
              </w:rPr>
              <w:t>无组织废气控制措施</w:t>
            </w:r>
            <w:r>
              <w:rPr>
                <w:rFonts w:hint="eastAsia" w:ascii="Times New Roman" w:hAnsi="Times New Roman" w:eastAsia="宋体" w:cs="Times New Roman"/>
                <w:b w:val="0"/>
                <w:bCs/>
                <w:color w:val="auto"/>
                <w:sz w:val="24"/>
                <w:szCs w:val="24"/>
                <w:highlight w:val="none"/>
                <w:lang w:val="en-US" w:eastAsia="zh-CN"/>
              </w:rPr>
              <w:t>后，</w:t>
            </w:r>
            <w:r>
              <w:rPr>
                <w:rFonts w:hint="eastAsia" w:ascii="Times New Roman" w:hAnsi="Times New Roman" w:eastAsia="宋体" w:cs="Times New Roman"/>
                <w:color w:val="auto"/>
                <w:kern w:val="2"/>
                <w:sz w:val="24"/>
                <w:szCs w:val="24"/>
                <w:lang w:val="en-US" w:eastAsia="zh-CN" w:bidi="ar-SA"/>
              </w:rPr>
              <w:t>无组织颗粒物厂界浓度满足《大气污染物综合排放标准》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GB16297-1996</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表2厂界无组织排放监控浓度限值要求，无组织VOCs厂界浓度满足《挥发性有机物排放标准第6部分：有机化工行业》</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DB37/2801.6-2018</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表3的要求，无组织臭气浓度</w:t>
            </w:r>
            <w:r>
              <w:rPr>
                <w:rFonts w:hint="eastAsia" w:cs="Times New Roman"/>
                <w:color w:val="auto"/>
                <w:kern w:val="2"/>
                <w:sz w:val="24"/>
                <w:szCs w:val="24"/>
                <w:lang w:val="en-US" w:eastAsia="zh-CN" w:bidi="ar-SA"/>
              </w:rPr>
              <w:t>满足《恶臭污染物排放标准》（GB14554-93）表1标准</w:t>
            </w:r>
            <w:r>
              <w:rPr>
                <w:rFonts w:hint="eastAsia" w:ascii="Times New Roman" w:hAnsi="Times New Roman" w:eastAsia="宋体" w:cs="Times New Roman"/>
                <w:color w:val="auto"/>
                <w:kern w:val="2"/>
                <w:sz w:val="24"/>
                <w:szCs w:val="24"/>
                <w:lang w:val="en-US" w:eastAsia="zh-CN" w:bidi="ar-SA"/>
              </w:rPr>
              <w:t>要求。</w:t>
            </w:r>
          </w:p>
          <w:p w14:paraId="4EB86825">
            <w:pPr>
              <w:widowControl/>
              <w:spacing w:line="360" w:lineRule="auto"/>
              <w:ind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车间外厂区内VOCs浓度满足《挥发性有机物无组织排放控制标准》</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GB37822-2019</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中表A.1中排放限值要求。</w:t>
            </w:r>
          </w:p>
          <w:p w14:paraId="63BDF52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eastAsia"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监测计划</w:t>
            </w:r>
          </w:p>
          <w:p w14:paraId="69B7157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lang w:val="en-US" w:eastAsia="zh-CN"/>
              </w:rPr>
              <w:t>根据《排污许可证申请与核发技术规范 总则》（HJ942-2018）</w:t>
            </w:r>
            <w:r>
              <w:rPr>
                <w:rFonts w:hint="eastAsia" w:cs="Times New Roman"/>
                <w:color w:val="auto"/>
                <w:sz w:val="24"/>
                <w:szCs w:val="24"/>
                <w:lang w:val="en-US" w:eastAsia="zh-CN"/>
              </w:rPr>
              <w:t>、《</w:t>
            </w:r>
            <w:r>
              <w:rPr>
                <w:rFonts w:hint="eastAsia" w:cs="Times New Roman"/>
                <w:color w:val="auto"/>
                <w:sz w:val="24"/>
                <w:szCs w:val="24"/>
                <w:lang w:val="en-US" w:eastAsia="zh-CN"/>
              </w:rPr>
              <w:fldChar w:fldCharType="begin"/>
            </w:r>
            <w:r>
              <w:rPr>
                <w:rFonts w:hint="eastAsia" w:cs="Times New Roman"/>
                <w:color w:val="auto"/>
                <w:sz w:val="24"/>
                <w:szCs w:val="24"/>
                <w:lang w:val="en-US" w:eastAsia="zh-CN"/>
              </w:rPr>
              <w:instrText xml:space="preserve"> HYPERLINK "http://www.mee.gov.cn/ywgz/fgbz/bz/bzwb/shjbh/xgbzh/201705/W020170511332490849000.pdf" </w:instrText>
            </w:r>
            <w:r>
              <w:rPr>
                <w:rFonts w:hint="eastAsia" w:cs="Times New Roman"/>
                <w:color w:val="auto"/>
                <w:sz w:val="24"/>
                <w:szCs w:val="24"/>
                <w:lang w:val="en-US" w:eastAsia="zh-CN"/>
              </w:rPr>
              <w:fldChar w:fldCharType="separate"/>
            </w:r>
            <w:r>
              <w:rPr>
                <w:rFonts w:hint="eastAsia" w:cs="Times New Roman"/>
                <w:color w:val="auto"/>
                <w:sz w:val="24"/>
                <w:szCs w:val="24"/>
                <w:lang w:val="en-US" w:eastAsia="zh-CN"/>
              </w:rPr>
              <w:t>排污单位自行监测技术指南 总则》 （HJ 819-2017）</w:t>
            </w:r>
            <w:r>
              <w:rPr>
                <w:rFonts w:hint="eastAsia"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和</w:t>
            </w:r>
            <w:r>
              <w:rPr>
                <w:rFonts w:hint="default" w:ascii="Times New Roman" w:hAnsi="Times New Roman" w:eastAsia="宋体" w:cs="Times New Roman"/>
                <w:color w:val="auto"/>
                <w:sz w:val="24"/>
                <w:szCs w:val="24"/>
                <w:highlight w:val="none"/>
                <w:lang w:val="en-US" w:eastAsia="zh-CN"/>
              </w:rPr>
              <w:t>《排污许可证申请与核发技术规范 橡胶和塑料制品工业》（HJ1122-2020）</w:t>
            </w:r>
            <w:r>
              <w:rPr>
                <w:rFonts w:hint="eastAsia" w:cs="Times New Roman"/>
                <w:color w:val="auto"/>
                <w:sz w:val="24"/>
                <w:szCs w:val="24"/>
                <w:lang w:val="en-US" w:eastAsia="zh-CN"/>
              </w:rPr>
              <w:t>、《</w:t>
            </w:r>
            <w:r>
              <w:rPr>
                <w:rFonts w:hint="eastAsia" w:cs="Times New Roman"/>
                <w:color w:val="auto"/>
                <w:sz w:val="24"/>
                <w:szCs w:val="24"/>
                <w:lang w:val="en-US" w:eastAsia="zh-CN"/>
              </w:rPr>
              <w:fldChar w:fldCharType="begin"/>
            </w:r>
            <w:r>
              <w:rPr>
                <w:rFonts w:hint="eastAsia" w:cs="Times New Roman"/>
                <w:color w:val="auto"/>
                <w:sz w:val="24"/>
                <w:szCs w:val="24"/>
                <w:lang w:val="en-US" w:eastAsia="zh-CN"/>
              </w:rPr>
              <w:instrText xml:space="preserve"> HYPERLINK "https://www.mee.gov.cn/ywgz/fgbz/bz/bzwb/shjbh/xgbzh/201705/W020170511331854489935.pdf" </w:instrText>
            </w:r>
            <w:r>
              <w:rPr>
                <w:rFonts w:hint="eastAsia" w:cs="Times New Roman"/>
                <w:color w:val="auto"/>
                <w:sz w:val="24"/>
                <w:szCs w:val="24"/>
                <w:lang w:val="en-US" w:eastAsia="zh-CN"/>
              </w:rPr>
              <w:fldChar w:fldCharType="separate"/>
            </w:r>
            <w:r>
              <w:rPr>
                <w:rFonts w:hint="eastAsia" w:cs="Times New Roman"/>
                <w:color w:val="auto"/>
                <w:sz w:val="24"/>
                <w:szCs w:val="24"/>
                <w:lang w:val="en-US" w:eastAsia="zh-CN"/>
              </w:rPr>
              <w:t xml:space="preserve">排污单位自行监测技术指南 </w:t>
            </w:r>
            <w:r>
              <w:rPr>
                <w:rFonts w:hint="default" w:ascii="Times New Roman" w:hAnsi="Times New Roman" w:eastAsia="宋体" w:cs="Times New Roman"/>
                <w:color w:val="auto"/>
                <w:sz w:val="24"/>
                <w:szCs w:val="24"/>
                <w:highlight w:val="none"/>
                <w:lang w:val="en-US" w:eastAsia="zh-CN"/>
              </w:rPr>
              <w:t>橡胶和塑料制品</w:t>
            </w:r>
            <w:r>
              <w:rPr>
                <w:rFonts w:hint="eastAsia" w:cs="Times New Roman"/>
                <w:color w:val="auto"/>
                <w:sz w:val="24"/>
                <w:szCs w:val="24"/>
                <w:lang w:val="en-US" w:eastAsia="zh-CN"/>
              </w:rPr>
              <w:t>》（HJ 1207-2021）</w:t>
            </w:r>
            <w:r>
              <w:rPr>
                <w:rFonts w:hint="eastAsia"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，本项目大气污染源监测计划见下表。</w:t>
            </w:r>
          </w:p>
          <w:p w14:paraId="2E91DA8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表4-</w:t>
            </w:r>
            <w:r>
              <w:rPr>
                <w:rFonts w:hint="eastAsia"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大气污染源监测计划一览表</w:t>
            </w:r>
          </w:p>
          <w:tbl>
            <w:tblPr>
              <w:tblStyle w:val="37"/>
              <w:tblW w:w="84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663"/>
              <w:gridCol w:w="3587"/>
              <w:gridCol w:w="1162"/>
              <w:gridCol w:w="1246"/>
            </w:tblGrid>
            <w:tr w14:paraId="754815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dxa"/>
                  <w:tcBorders>
                    <w:tl2br w:val="nil"/>
                    <w:tr2bl w:val="nil"/>
                  </w:tcBorders>
                  <w:noWrap w:val="0"/>
                  <w:vAlign w:val="center"/>
                </w:tcPr>
                <w:p w14:paraId="742669C2">
                  <w:pPr>
                    <w:spacing w:line="30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663" w:type="dxa"/>
                  <w:tcBorders>
                    <w:tl2br w:val="nil"/>
                    <w:tr2bl w:val="nil"/>
                  </w:tcBorders>
                  <w:noWrap w:val="0"/>
                  <w:vAlign w:val="center"/>
                </w:tcPr>
                <w:p w14:paraId="2C9C46B0">
                  <w:pPr>
                    <w:spacing w:line="30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监测对象</w:t>
                  </w:r>
                </w:p>
              </w:tc>
              <w:tc>
                <w:tcPr>
                  <w:tcW w:w="3587" w:type="dxa"/>
                  <w:tcBorders>
                    <w:tl2br w:val="nil"/>
                    <w:tr2bl w:val="nil"/>
                  </w:tcBorders>
                  <w:noWrap w:val="0"/>
                  <w:vAlign w:val="center"/>
                </w:tcPr>
                <w:p w14:paraId="0DEEA950">
                  <w:pPr>
                    <w:spacing w:line="30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主要技术要求</w:t>
                  </w:r>
                </w:p>
              </w:tc>
              <w:tc>
                <w:tcPr>
                  <w:tcW w:w="1162" w:type="dxa"/>
                  <w:tcBorders>
                    <w:tl2br w:val="nil"/>
                    <w:tr2bl w:val="nil"/>
                  </w:tcBorders>
                  <w:noWrap w:val="0"/>
                  <w:vAlign w:val="center"/>
                </w:tcPr>
                <w:p w14:paraId="67870F65">
                  <w:pPr>
                    <w:spacing w:line="30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报告制度</w:t>
                  </w:r>
                </w:p>
              </w:tc>
              <w:tc>
                <w:tcPr>
                  <w:tcW w:w="1246" w:type="dxa"/>
                  <w:tcBorders>
                    <w:tl2br w:val="nil"/>
                    <w:tr2bl w:val="nil"/>
                  </w:tcBorders>
                  <w:noWrap w:val="0"/>
                  <w:vAlign w:val="center"/>
                </w:tcPr>
                <w:p w14:paraId="6E88D6EB">
                  <w:pPr>
                    <w:spacing w:line="300" w:lineRule="exact"/>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监督机构</w:t>
                  </w:r>
                </w:p>
              </w:tc>
            </w:tr>
            <w:tr w14:paraId="0A4400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dxa"/>
                  <w:tcBorders>
                    <w:tl2br w:val="nil"/>
                    <w:tr2bl w:val="nil"/>
                  </w:tcBorders>
                  <w:noWrap w:val="0"/>
                  <w:vAlign w:val="center"/>
                </w:tcPr>
                <w:p w14:paraId="32D6D5CB">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63" w:type="dxa"/>
                  <w:tcBorders>
                    <w:tl2br w:val="nil"/>
                    <w:tr2bl w:val="nil"/>
                  </w:tcBorders>
                  <w:noWrap w:val="0"/>
                  <w:vAlign w:val="center"/>
                </w:tcPr>
                <w:p w14:paraId="2F374C94">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有组织排放废气</w:t>
                  </w:r>
                </w:p>
              </w:tc>
              <w:tc>
                <w:tcPr>
                  <w:tcW w:w="3587" w:type="dxa"/>
                  <w:tcBorders>
                    <w:tl2br w:val="nil"/>
                    <w:tr2bl w:val="nil"/>
                  </w:tcBorders>
                  <w:noWrap w:val="0"/>
                  <w:vAlign w:val="center"/>
                </w:tcPr>
                <w:p w14:paraId="517A69F3">
                  <w:pPr>
                    <w:numPr>
                      <w:ilvl w:val="0"/>
                      <w:numId w:val="0"/>
                    </w:numPr>
                    <w:spacing w:line="300" w:lineRule="exact"/>
                    <w:ind w:leftChars="0"/>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1.监测因子：</w:t>
                  </w:r>
                  <w:r>
                    <w:rPr>
                      <w:rFonts w:hint="eastAsia" w:eastAsia="宋体" w:cs="Times New Roman"/>
                      <w:color w:val="FF0000"/>
                      <w:sz w:val="21"/>
                      <w:szCs w:val="21"/>
                      <w:lang w:val="en-US" w:eastAsia="zh-CN"/>
                    </w:rPr>
                    <w:t>VOCs</w:t>
                  </w:r>
                  <w:r>
                    <w:rPr>
                      <w:rFonts w:hint="eastAsia" w:cs="Times New Roman"/>
                      <w:color w:val="FF0000"/>
                      <w:sz w:val="21"/>
                      <w:szCs w:val="21"/>
                      <w:lang w:val="en-US" w:eastAsia="zh-CN"/>
                    </w:rPr>
                    <w:t>、</w:t>
                  </w:r>
                  <w:r>
                    <w:rPr>
                      <w:rFonts w:hint="eastAsia" w:eastAsia="宋体" w:cs="Times New Roman"/>
                      <w:color w:val="FF0000"/>
                      <w:sz w:val="21"/>
                      <w:szCs w:val="21"/>
                      <w:lang w:val="en-US" w:eastAsia="zh-CN"/>
                    </w:rPr>
                    <w:t>颗粒物、臭气浓度；</w:t>
                  </w:r>
                </w:p>
                <w:p w14:paraId="4CD44AEB">
                  <w:pPr>
                    <w:numPr>
                      <w:ilvl w:val="0"/>
                      <w:numId w:val="0"/>
                    </w:numPr>
                    <w:spacing w:line="300" w:lineRule="exact"/>
                    <w:ind w:leftChars="0"/>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2.监测频率：颗粒物、臭气浓度每年1次</w:t>
                  </w:r>
                  <w:r>
                    <w:rPr>
                      <w:rFonts w:hint="eastAsia" w:cs="Times New Roman"/>
                      <w:color w:val="FF0000"/>
                      <w:sz w:val="21"/>
                      <w:szCs w:val="21"/>
                      <w:lang w:val="en-US" w:eastAsia="zh-CN"/>
                    </w:rPr>
                    <w:t>，</w:t>
                  </w:r>
                  <w:r>
                    <w:rPr>
                      <w:rFonts w:hint="eastAsia" w:eastAsia="宋体" w:cs="Times New Roman"/>
                      <w:color w:val="FF0000"/>
                      <w:sz w:val="21"/>
                      <w:szCs w:val="21"/>
                      <w:lang w:val="en-US" w:eastAsia="zh-CN"/>
                    </w:rPr>
                    <w:t>VOCs</w:t>
                  </w:r>
                  <w:r>
                    <w:rPr>
                      <w:rFonts w:hint="eastAsia" w:cs="Times New Roman"/>
                      <w:color w:val="FF0000"/>
                      <w:sz w:val="21"/>
                      <w:szCs w:val="21"/>
                      <w:lang w:val="en-US" w:eastAsia="zh-CN"/>
                    </w:rPr>
                    <w:t>每半年1次</w:t>
                  </w:r>
                  <w:r>
                    <w:rPr>
                      <w:rFonts w:hint="default" w:ascii="Times New Roman" w:hAnsi="Times New Roman" w:eastAsia="宋体" w:cs="Times New Roman"/>
                      <w:color w:val="FF0000"/>
                      <w:sz w:val="21"/>
                      <w:szCs w:val="21"/>
                      <w:lang w:val="en-US" w:eastAsia="zh-CN"/>
                    </w:rPr>
                    <w:t>；</w:t>
                  </w:r>
                </w:p>
                <w:p w14:paraId="4C5B7EF7">
                  <w:pPr>
                    <w:numPr>
                      <w:ilvl w:val="0"/>
                      <w:numId w:val="0"/>
                    </w:numPr>
                    <w:spacing w:line="300" w:lineRule="exact"/>
                    <w:ind w:leftChars="0"/>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3.监测点位：</w:t>
                  </w:r>
                  <w:r>
                    <w:rPr>
                      <w:rFonts w:hint="eastAsia" w:cs="Times New Roman"/>
                      <w:color w:val="FF0000"/>
                      <w:sz w:val="21"/>
                      <w:szCs w:val="21"/>
                      <w:lang w:val="en-US" w:eastAsia="zh-CN"/>
                    </w:rPr>
                    <w:t>DA001</w:t>
                  </w:r>
                  <w:r>
                    <w:rPr>
                      <w:rFonts w:hint="default" w:ascii="Times New Roman" w:hAnsi="Times New Roman" w:eastAsia="宋体" w:cs="Times New Roman"/>
                      <w:color w:val="FF0000"/>
                      <w:sz w:val="21"/>
                      <w:szCs w:val="21"/>
                      <w:lang w:val="en-US" w:eastAsia="zh-CN"/>
                    </w:rPr>
                    <w:t>排气筒</w:t>
                  </w:r>
                </w:p>
              </w:tc>
              <w:tc>
                <w:tcPr>
                  <w:tcW w:w="1162" w:type="dxa"/>
                  <w:vMerge w:val="restart"/>
                  <w:tcBorders>
                    <w:tl2br w:val="nil"/>
                    <w:tr2bl w:val="nil"/>
                  </w:tcBorders>
                  <w:noWrap w:val="0"/>
                  <w:vAlign w:val="center"/>
                </w:tcPr>
                <w:p w14:paraId="4C13A7F9">
                  <w:pPr>
                    <w:spacing w:line="300" w:lineRule="exact"/>
                    <w:jc w:val="center"/>
                    <w:rPr>
                      <w:rFonts w:hint="eastAsia" w:eastAsia="宋体" w:cs="Times New Roman"/>
                      <w:color w:val="auto"/>
                      <w:sz w:val="21"/>
                      <w:szCs w:val="21"/>
                      <w:lang w:eastAsia="zh-CN"/>
                    </w:rPr>
                  </w:pPr>
                  <w:r>
                    <w:rPr>
                      <w:rFonts w:hint="eastAsia" w:eastAsia="宋体" w:cs="Times New Roman"/>
                      <w:color w:val="auto"/>
                      <w:sz w:val="21"/>
                      <w:szCs w:val="21"/>
                      <w:lang w:val="en-US" w:eastAsia="zh-CN"/>
                    </w:rPr>
                    <w:t>生态环境</w:t>
                  </w:r>
                  <w:r>
                    <w:rPr>
                      <w:rFonts w:hint="eastAsia" w:eastAsia="宋体" w:cs="Times New Roman"/>
                      <w:color w:val="auto"/>
                      <w:sz w:val="21"/>
                      <w:szCs w:val="21"/>
                      <w:lang w:eastAsia="zh-CN"/>
                    </w:rPr>
                    <w:t>部门</w:t>
                  </w:r>
                </w:p>
                <w:p w14:paraId="0AD56B6D">
                  <w:pPr>
                    <w:spacing w:line="300" w:lineRule="exact"/>
                    <w:jc w:val="center"/>
                    <w:rPr>
                      <w:rFonts w:hint="default" w:ascii="Times New Roman" w:hAnsi="Times New Roman" w:eastAsia="宋体" w:cs="Times New Roman"/>
                      <w:color w:val="auto"/>
                      <w:sz w:val="21"/>
                      <w:szCs w:val="21"/>
                    </w:rPr>
                  </w:pPr>
                </w:p>
              </w:tc>
              <w:tc>
                <w:tcPr>
                  <w:tcW w:w="1246" w:type="dxa"/>
                  <w:vMerge w:val="restart"/>
                  <w:tcBorders>
                    <w:tl2br w:val="nil"/>
                    <w:tr2bl w:val="nil"/>
                  </w:tcBorders>
                  <w:noWrap w:val="0"/>
                  <w:vAlign w:val="center"/>
                </w:tcPr>
                <w:p w14:paraId="75A2063B">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当地</w:t>
                  </w:r>
                  <w:r>
                    <w:rPr>
                      <w:rFonts w:hint="default" w:ascii="Times New Roman" w:hAnsi="Times New Roman" w:eastAsia="宋体" w:cs="Times New Roman"/>
                      <w:color w:val="auto"/>
                      <w:sz w:val="21"/>
                      <w:szCs w:val="21"/>
                      <w:lang w:val="en-US" w:eastAsia="zh-CN"/>
                    </w:rPr>
                    <w:t>生态环境</w:t>
                  </w:r>
                  <w:r>
                    <w:rPr>
                      <w:rFonts w:hint="default" w:ascii="Times New Roman" w:hAnsi="Times New Roman" w:eastAsia="宋体" w:cs="Times New Roman"/>
                      <w:color w:val="auto"/>
                      <w:sz w:val="21"/>
                      <w:szCs w:val="21"/>
                    </w:rPr>
                    <w:t>部门</w:t>
                  </w:r>
                </w:p>
                <w:p w14:paraId="575C1AC5">
                  <w:pPr>
                    <w:spacing w:line="300" w:lineRule="exact"/>
                    <w:jc w:val="center"/>
                    <w:rPr>
                      <w:rFonts w:hint="default" w:ascii="Times New Roman" w:hAnsi="Times New Roman" w:eastAsia="宋体" w:cs="Times New Roman"/>
                      <w:color w:val="auto"/>
                      <w:sz w:val="21"/>
                      <w:szCs w:val="21"/>
                    </w:rPr>
                  </w:pPr>
                </w:p>
                <w:p w14:paraId="0610B77A">
                  <w:pPr>
                    <w:spacing w:line="300" w:lineRule="exact"/>
                    <w:jc w:val="center"/>
                    <w:rPr>
                      <w:rFonts w:hint="default" w:ascii="Times New Roman" w:hAnsi="Times New Roman" w:eastAsia="宋体" w:cs="Times New Roman"/>
                      <w:color w:val="auto"/>
                      <w:sz w:val="21"/>
                      <w:szCs w:val="21"/>
                    </w:rPr>
                  </w:pPr>
                </w:p>
              </w:tc>
            </w:tr>
            <w:tr w14:paraId="5BE34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dxa"/>
                  <w:vMerge w:val="restart"/>
                  <w:tcBorders>
                    <w:tl2br w:val="nil"/>
                    <w:tr2bl w:val="nil"/>
                  </w:tcBorders>
                  <w:noWrap w:val="0"/>
                  <w:vAlign w:val="center"/>
                </w:tcPr>
                <w:p w14:paraId="13F870C7">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63" w:type="dxa"/>
                  <w:vMerge w:val="restart"/>
                  <w:tcBorders>
                    <w:tl2br w:val="nil"/>
                    <w:tr2bl w:val="nil"/>
                  </w:tcBorders>
                  <w:noWrap w:val="0"/>
                  <w:vAlign w:val="center"/>
                </w:tcPr>
                <w:p w14:paraId="29BC572C">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无组织排放废气</w:t>
                  </w:r>
                </w:p>
              </w:tc>
              <w:tc>
                <w:tcPr>
                  <w:tcW w:w="3587" w:type="dxa"/>
                  <w:tcBorders>
                    <w:tl2br w:val="nil"/>
                    <w:tr2bl w:val="nil"/>
                  </w:tcBorders>
                  <w:noWrap w:val="0"/>
                  <w:vAlign w:val="center"/>
                </w:tcPr>
                <w:p w14:paraId="79B8FFEE">
                  <w:pPr>
                    <w:numPr>
                      <w:ilvl w:val="0"/>
                      <w:numId w:val="0"/>
                    </w:numPr>
                    <w:spacing w:line="300" w:lineRule="exact"/>
                    <w:rPr>
                      <w:rFonts w:hint="default" w:ascii="Times New Roman" w:hAnsi="Times New Roman" w:eastAsia="宋体" w:cs="Times New Roman"/>
                      <w:color w:val="FF0000"/>
                      <w:sz w:val="21"/>
                      <w:szCs w:val="21"/>
                    </w:rPr>
                  </w:pPr>
                  <w:r>
                    <w:rPr>
                      <w:rFonts w:hint="eastAsia" w:eastAsia="宋体" w:cs="Times New Roman"/>
                      <w:color w:val="FF0000"/>
                      <w:sz w:val="21"/>
                      <w:szCs w:val="21"/>
                      <w:lang w:val="en-US" w:eastAsia="zh-CN"/>
                    </w:rPr>
                    <w:t>1</w:t>
                  </w:r>
                  <w:r>
                    <w:rPr>
                      <w:rFonts w:hint="default" w:ascii="Times New Roman" w:hAnsi="Times New Roman" w:eastAsia="宋体" w:cs="Times New Roman"/>
                      <w:color w:val="FF0000"/>
                      <w:sz w:val="21"/>
                      <w:szCs w:val="21"/>
                    </w:rPr>
                    <w:t>监测</w:t>
                  </w:r>
                  <w:r>
                    <w:rPr>
                      <w:rFonts w:hint="default" w:ascii="Times New Roman" w:hAnsi="Times New Roman" w:eastAsia="宋体" w:cs="Times New Roman"/>
                      <w:color w:val="FF0000"/>
                      <w:sz w:val="21"/>
                      <w:szCs w:val="21"/>
                      <w:lang w:val="en-US" w:eastAsia="zh-CN"/>
                    </w:rPr>
                    <w:t>因子</w:t>
                  </w:r>
                  <w:r>
                    <w:rPr>
                      <w:rFonts w:hint="default" w:ascii="Times New Roman" w:hAnsi="Times New Roman" w:eastAsia="宋体" w:cs="Times New Roman"/>
                      <w:color w:val="FF0000"/>
                      <w:sz w:val="21"/>
                      <w:szCs w:val="21"/>
                    </w:rPr>
                    <w:t>：</w:t>
                  </w:r>
                  <w:r>
                    <w:rPr>
                      <w:rFonts w:hint="eastAsia" w:eastAsia="宋体" w:cs="Times New Roman"/>
                      <w:color w:val="FF0000"/>
                      <w:sz w:val="21"/>
                      <w:szCs w:val="21"/>
                      <w:lang w:val="en-US" w:eastAsia="zh-CN"/>
                    </w:rPr>
                    <w:t>VOCs</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rPr>
                    <w:t>颗粒物</w:t>
                  </w:r>
                  <w:r>
                    <w:rPr>
                      <w:rFonts w:hint="eastAsia" w:cs="Times New Roman"/>
                      <w:color w:val="FF0000"/>
                      <w:sz w:val="21"/>
                      <w:szCs w:val="21"/>
                      <w:lang w:val="en-US" w:eastAsia="zh-CN"/>
                    </w:rPr>
                    <w:t>、臭气浓度</w:t>
                  </w:r>
                  <w:r>
                    <w:rPr>
                      <w:rFonts w:hint="default" w:ascii="Times New Roman" w:hAnsi="Times New Roman" w:eastAsia="宋体" w:cs="Times New Roman"/>
                      <w:color w:val="FF0000"/>
                      <w:sz w:val="21"/>
                      <w:szCs w:val="21"/>
                    </w:rPr>
                    <w:t>；</w:t>
                  </w:r>
                </w:p>
                <w:p w14:paraId="7332773D">
                  <w:pPr>
                    <w:numPr>
                      <w:ilvl w:val="0"/>
                      <w:numId w:val="0"/>
                    </w:numPr>
                    <w:spacing w:line="300" w:lineRule="exact"/>
                    <w:rPr>
                      <w:rFonts w:hint="default" w:ascii="Times New Roman" w:hAnsi="Times New Roman" w:eastAsia="宋体" w:cs="Times New Roman"/>
                      <w:color w:val="FF0000"/>
                      <w:sz w:val="21"/>
                      <w:szCs w:val="21"/>
                    </w:rPr>
                  </w:pPr>
                  <w:r>
                    <w:rPr>
                      <w:rFonts w:hint="eastAsia" w:eastAsia="宋体" w:cs="Times New Roman"/>
                      <w:color w:val="FF0000"/>
                      <w:sz w:val="21"/>
                      <w:szCs w:val="21"/>
                      <w:lang w:val="en-US" w:eastAsia="zh-CN"/>
                    </w:rPr>
                    <w:t>2.</w:t>
                  </w:r>
                  <w:r>
                    <w:rPr>
                      <w:rFonts w:hint="default" w:ascii="Times New Roman" w:hAnsi="Times New Roman" w:eastAsia="宋体" w:cs="Times New Roman"/>
                      <w:color w:val="FF0000"/>
                      <w:sz w:val="21"/>
                      <w:szCs w:val="21"/>
                    </w:rPr>
                    <w:t>监测频率：</w:t>
                  </w:r>
                  <w:r>
                    <w:rPr>
                      <w:rFonts w:hint="eastAsia" w:cs="Times New Roman"/>
                      <w:color w:val="FF0000"/>
                      <w:sz w:val="21"/>
                      <w:szCs w:val="21"/>
                      <w:lang w:val="en-US" w:eastAsia="zh-CN"/>
                    </w:rPr>
                    <w:t>臭气浓度</w:t>
                  </w:r>
                  <w:r>
                    <w:rPr>
                      <w:rFonts w:hint="default" w:ascii="Times New Roman" w:hAnsi="Times New Roman" w:eastAsia="宋体" w:cs="Times New Roman"/>
                      <w:color w:val="FF0000"/>
                      <w:sz w:val="21"/>
                      <w:szCs w:val="21"/>
                    </w:rPr>
                    <w:t>每年1次</w:t>
                  </w:r>
                  <w:r>
                    <w:rPr>
                      <w:rFonts w:hint="eastAsia" w:cs="Times New Roman"/>
                      <w:color w:val="FF0000"/>
                      <w:sz w:val="21"/>
                      <w:szCs w:val="21"/>
                      <w:lang w:eastAsia="zh-CN"/>
                    </w:rPr>
                    <w:t>，</w:t>
                  </w:r>
                  <w:r>
                    <w:rPr>
                      <w:rFonts w:hint="eastAsia" w:eastAsia="宋体" w:cs="Times New Roman"/>
                      <w:color w:val="FF0000"/>
                      <w:sz w:val="21"/>
                      <w:szCs w:val="21"/>
                      <w:lang w:val="en-US" w:eastAsia="zh-CN"/>
                    </w:rPr>
                    <w:t>VOCs</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rPr>
                    <w:t>颗粒物</w:t>
                  </w:r>
                  <w:r>
                    <w:rPr>
                      <w:rFonts w:hint="eastAsia" w:cs="Times New Roman"/>
                      <w:color w:val="FF0000"/>
                      <w:sz w:val="21"/>
                      <w:szCs w:val="21"/>
                      <w:lang w:val="en-US" w:eastAsia="zh-CN"/>
                    </w:rPr>
                    <w:t>每年1次</w:t>
                  </w:r>
                  <w:r>
                    <w:rPr>
                      <w:rFonts w:hint="default" w:ascii="Times New Roman" w:hAnsi="Times New Roman" w:eastAsia="宋体" w:cs="Times New Roman"/>
                      <w:color w:val="FF0000"/>
                      <w:sz w:val="21"/>
                      <w:szCs w:val="21"/>
                    </w:rPr>
                    <w:t>；</w:t>
                  </w:r>
                </w:p>
                <w:p w14:paraId="1BB83B4F">
                  <w:pPr>
                    <w:numPr>
                      <w:ilvl w:val="0"/>
                      <w:numId w:val="0"/>
                    </w:numPr>
                    <w:spacing w:line="300" w:lineRule="exact"/>
                    <w:rPr>
                      <w:rFonts w:hint="default" w:ascii="Times New Roman" w:hAnsi="Times New Roman" w:eastAsia="宋体" w:cs="Times New Roman"/>
                      <w:color w:val="FF0000"/>
                      <w:sz w:val="21"/>
                      <w:szCs w:val="21"/>
                    </w:rPr>
                  </w:pPr>
                  <w:r>
                    <w:rPr>
                      <w:rFonts w:hint="eastAsia" w:eastAsia="宋体" w:cs="Times New Roman"/>
                      <w:color w:val="FF0000"/>
                      <w:sz w:val="21"/>
                      <w:szCs w:val="21"/>
                      <w:lang w:val="en-US" w:eastAsia="zh-CN"/>
                    </w:rPr>
                    <w:t>3.</w:t>
                  </w:r>
                  <w:r>
                    <w:rPr>
                      <w:rFonts w:hint="default" w:ascii="Times New Roman" w:hAnsi="Times New Roman" w:eastAsia="宋体" w:cs="Times New Roman"/>
                      <w:color w:val="FF0000"/>
                      <w:sz w:val="21"/>
                      <w:szCs w:val="21"/>
                    </w:rPr>
                    <w:t>监测点</w:t>
                  </w:r>
                  <w:r>
                    <w:rPr>
                      <w:rFonts w:hint="default" w:ascii="Times New Roman" w:hAnsi="Times New Roman" w:eastAsia="宋体" w:cs="Times New Roman"/>
                      <w:color w:val="FF0000"/>
                      <w:sz w:val="21"/>
                      <w:szCs w:val="21"/>
                      <w:lang w:val="en-US" w:eastAsia="zh-CN"/>
                    </w:rPr>
                    <w:t>位</w:t>
                  </w:r>
                  <w:r>
                    <w:rPr>
                      <w:rFonts w:hint="default" w:ascii="Times New Roman" w:hAnsi="Times New Roman" w:eastAsia="宋体" w:cs="Times New Roman"/>
                      <w:color w:val="FF0000"/>
                      <w:sz w:val="21"/>
                      <w:szCs w:val="21"/>
                    </w:rPr>
                    <w:t>：厂界</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sz w:val="21"/>
                      <w:szCs w:val="21"/>
                      <w:lang w:val="en-US" w:eastAsia="zh-CN"/>
                    </w:rPr>
                    <w:t>上风向1个点，下风向3个点</w:t>
                  </w:r>
                  <w:r>
                    <w:rPr>
                      <w:rFonts w:hint="default" w:ascii="Times New Roman" w:hAnsi="Times New Roman" w:eastAsia="宋体" w:cs="Times New Roman"/>
                      <w:color w:val="FF0000"/>
                      <w:sz w:val="21"/>
                      <w:szCs w:val="21"/>
                      <w:lang w:eastAsia="zh-CN"/>
                    </w:rPr>
                    <w:t>）</w:t>
                  </w:r>
                </w:p>
              </w:tc>
              <w:tc>
                <w:tcPr>
                  <w:tcW w:w="1162" w:type="dxa"/>
                  <w:vMerge w:val="continue"/>
                  <w:tcBorders>
                    <w:tl2br w:val="nil"/>
                    <w:tr2bl w:val="nil"/>
                  </w:tcBorders>
                  <w:noWrap w:val="0"/>
                  <w:vAlign w:val="center"/>
                </w:tcPr>
                <w:p w14:paraId="6F6433E0">
                  <w:pPr>
                    <w:spacing w:line="300" w:lineRule="exact"/>
                    <w:jc w:val="center"/>
                    <w:rPr>
                      <w:rFonts w:hint="default" w:ascii="Times New Roman" w:hAnsi="Times New Roman" w:eastAsia="宋体" w:cs="Times New Roman"/>
                      <w:color w:val="auto"/>
                      <w:sz w:val="21"/>
                      <w:szCs w:val="21"/>
                    </w:rPr>
                  </w:pPr>
                </w:p>
              </w:tc>
              <w:tc>
                <w:tcPr>
                  <w:tcW w:w="1246" w:type="dxa"/>
                  <w:vMerge w:val="continue"/>
                  <w:tcBorders>
                    <w:tl2br w:val="nil"/>
                    <w:tr2bl w:val="nil"/>
                  </w:tcBorders>
                  <w:noWrap w:val="0"/>
                  <w:vAlign w:val="center"/>
                </w:tcPr>
                <w:p w14:paraId="6F8CF463">
                  <w:pPr>
                    <w:spacing w:line="300" w:lineRule="exact"/>
                    <w:jc w:val="center"/>
                    <w:rPr>
                      <w:rFonts w:hint="default" w:ascii="Times New Roman" w:hAnsi="Times New Roman" w:eastAsia="宋体" w:cs="Times New Roman"/>
                      <w:color w:val="auto"/>
                      <w:sz w:val="21"/>
                      <w:szCs w:val="21"/>
                    </w:rPr>
                  </w:pPr>
                </w:p>
              </w:tc>
            </w:tr>
            <w:tr w14:paraId="387E0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dxa"/>
                  <w:vMerge w:val="continue"/>
                  <w:tcBorders>
                    <w:tl2br w:val="nil"/>
                    <w:tr2bl w:val="nil"/>
                  </w:tcBorders>
                  <w:noWrap w:val="0"/>
                  <w:vAlign w:val="center"/>
                </w:tcPr>
                <w:p w14:paraId="0D8C74EC">
                  <w:pPr>
                    <w:spacing w:line="300" w:lineRule="exact"/>
                    <w:jc w:val="center"/>
                    <w:rPr>
                      <w:rFonts w:hint="default" w:ascii="Times New Roman" w:hAnsi="Times New Roman" w:eastAsia="宋体" w:cs="Times New Roman"/>
                      <w:color w:val="auto"/>
                      <w:sz w:val="21"/>
                      <w:szCs w:val="21"/>
                    </w:rPr>
                  </w:pPr>
                </w:p>
              </w:tc>
              <w:tc>
                <w:tcPr>
                  <w:tcW w:w="1663" w:type="dxa"/>
                  <w:vMerge w:val="continue"/>
                  <w:tcBorders>
                    <w:tl2br w:val="nil"/>
                    <w:tr2bl w:val="nil"/>
                  </w:tcBorders>
                  <w:noWrap w:val="0"/>
                  <w:vAlign w:val="center"/>
                </w:tcPr>
                <w:p w14:paraId="76181568">
                  <w:pPr>
                    <w:spacing w:line="300" w:lineRule="exact"/>
                    <w:jc w:val="center"/>
                    <w:rPr>
                      <w:rFonts w:hint="default" w:ascii="Times New Roman" w:hAnsi="Times New Roman" w:eastAsia="宋体" w:cs="Times New Roman"/>
                      <w:color w:val="auto"/>
                      <w:sz w:val="21"/>
                      <w:szCs w:val="21"/>
                    </w:rPr>
                  </w:pPr>
                </w:p>
              </w:tc>
              <w:tc>
                <w:tcPr>
                  <w:tcW w:w="3587" w:type="dxa"/>
                  <w:tcBorders>
                    <w:tl2br w:val="nil"/>
                    <w:tr2bl w:val="nil"/>
                  </w:tcBorders>
                  <w:noWrap w:val="0"/>
                  <w:vAlign w:val="center"/>
                </w:tcPr>
                <w:p w14:paraId="3BEEA817">
                  <w:pPr>
                    <w:numPr>
                      <w:ilvl w:val="0"/>
                      <w:numId w:val="4"/>
                    </w:numPr>
                    <w:spacing w:line="300" w:lineRule="exact"/>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监测</w:t>
                  </w:r>
                  <w:r>
                    <w:rPr>
                      <w:rFonts w:hint="default" w:ascii="Times New Roman" w:hAnsi="Times New Roman" w:eastAsia="宋体" w:cs="Times New Roman"/>
                      <w:color w:val="FF0000"/>
                      <w:sz w:val="21"/>
                      <w:szCs w:val="21"/>
                      <w:lang w:val="en-US" w:eastAsia="zh-CN"/>
                    </w:rPr>
                    <w:t>因子</w:t>
                  </w:r>
                  <w:r>
                    <w:rPr>
                      <w:rFonts w:hint="default" w:ascii="Times New Roman" w:hAnsi="Times New Roman" w:eastAsia="宋体" w:cs="Times New Roman"/>
                      <w:color w:val="FF0000"/>
                      <w:sz w:val="21"/>
                      <w:szCs w:val="21"/>
                    </w:rPr>
                    <w:t>：</w:t>
                  </w:r>
                  <w:r>
                    <w:rPr>
                      <w:rFonts w:hint="default" w:ascii="Times New Roman" w:hAnsi="Times New Roman" w:eastAsia="宋体" w:cs="Times New Roman"/>
                      <w:color w:val="FF0000"/>
                      <w:sz w:val="21"/>
                      <w:szCs w:val="21"/>
                      <w:lang w:val="en-US" w:eastAsia="zh-CN"/>
                    </w:rPr>
                    <w:t>非甲烷总烃</w:t>
                  </w:r>
                  <w:r>
                    <w:rPr>
                      <w:rFonts w:hint="default" w:ascii="Times New Roman" w:hAnsi="Times New Roman" w:eastAsia="宋体" w:cs="Times New Roman"/>
                      <w:color w:val="FF0000"/>
                      <w:sz w:val="21"/>
                      <w:szCs w:val="21"/>
                    </w:rPr>
                    <w:t>；</w:t>
                  </w:r>
                </w:p>
                <w:p w14:paraId="5F3FF3B5">
                  <w:pPr>
                    <w:numPr>
                      <w:ilvl w:val="0"/>
                      <w:numId w:val="4"/>
                    </w:numPr>
                    <w:spacing w:line="300" w:lineRule="exact"/>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监测频率：每</w:t>
                  </w:r>
                  <w:r>
                    <w:rPr>
                      <w:rFonts w:hint="eastAsia" w:eastAsia="宋体" w:cs="Times New Roman"/>
                      <w:color w:val="FF0000"/>
                      <w:sz w:val="21"/>
                      <w:szCs w:val="21"/>
                      <w:lang w:eastAsia="zh-CN"/>
                    </w:rPr>
                    <w:t>年</w:t>
                  </w:r>
                  <w:r>
                    <w:rPr>
                      <w:rFonts w:hint="default" w:ascii="Times New Roman" w:hAnsi="Times New Roman" w:eastAsia="宋体" w:cs="Times New Roman"/>
                      <w:color w:val="FF0000"/>
                      <w:sz w:val="21"/>
                      <w:szCs w:val="21"/>
                    </w:rPr>
                    <w:t>1次；</w:t>
                  </w:r>
                </w:p>
                <w:p w14:paraId="55CFD658">
                  <w:pPr>
                    <w:numPr>
                      <w:ilvl w:val="0"/>
                      <w:numId w:val="4"/>
                    </w:numPr>
                    <w:spacing w:line="300" w:lineRule="exact"/>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监测点</w:t>
                  </w:r>
                  <w:r>
                    <w:rPr>
                      <w:rFonts w:hint="default" w:ascii="Times New Roman" w:hAnsi="Times New Roman" w:eastAsia="宋体" w:cs="Times New Roman"/>
                      <w:color w:val="FF0000"/>
                      <w:sz w:val="21"/>
                      <w:szCs w:val="21"/>
                      <w:lang w:val="en-US" w:eastAsia="zh-CN"/>
                    </w:rPr>
                    <w:t>位</w:t>
                  </w:r>
                  <w:r>
                    <w:rPr>
                      <w:rFonts w:hint="default" w:ascii="Times New Roman" w:hAnsi="Times New Roman" w:eastAsia="宋体" w:cs="Times New Roman"/>
                      <w:color w:val="FF0000"/>
                      <w:sz w:val="21"/>
                      <w:szCs w:val="21"/>
                    </w:rPr>
                    <w:t>：</w:t>
                  </w:r>
                  <w:r>
                    <w:rPr>
                      <w:rFonts w:hint="eastAsia" w:eastAsia="宋体" w:cs="Times New Roman"/>
                      <w:color w:val="FF0000"/>
                      <w:sz w:val="21"/>
                      <w:szCs w:val="21"/>
                      <w:lang w:eastAsia="zh-CN"/>
                    </w:rPr>
                    <w:t>在厂房门窗或通风口、其他开口（孔）等排放口外1m，距离地面1.5m以上位置处进行监测</w:t>
                  </w:r>
                </w:p>
              </w:tc>
              <w:tc>
                <w:tcPr>
                  <w:tcW w:w="1162" w:type="dxa"/>
                  <w:vMerge w:val="continue"/>
                  <w:tcBorders>
                    <w:tl2br w:val="nil"/>
                    <w:tr2bl w:val="nil"/>
                  </w:tcBorders>
                  <w:noWrap w:val="0"/>
                  <w:vAlign w:val="center"/>
                </w:tcPr>
                <w:p w14:paraId="30B522BC">
                  <w:pPr>
                    <w:spacing w:line="300" w:lineRule="exact"/>
                    <w:jc w:val="center"/>
                    <w:rPr>
                      <w:rFonts w:hint="default" w:ascii="Times New Roman" w:hAnsi="Times New Roman" w:eastAsia="宋体" w:cs="Times New Roman"/>
                      <w:color w:val="auto"/>
                      <w:sz w:val="21"/>
                      <w:szCs w:val="21"/>
                    </w:rPr>
                  </w:pPr>
                </w:p>
              </w:tc>
              <w:tc>
                <w:tcPr>
                  <w:tcW w:w="1246" w:type="dxa"/>
                  <w:vMerge w:val="continue"/>
                  <w:tcBorders>
                    <w:tl2br w:val="nil"/>
                    <w:tr2bl w:val="nil"/>
                  </w:tcBorders>
                  <w:noWrap w:val="0"/>
                  <w:vAlign w:val="center"/>
                </w:tcPr>
                <w:p w14:paraId="0AF63515">
                  <w:pPr>
                    <w:spacing w:line="300" w:lineRule="exact"/>
                    <w:jc w:val="center"/>
                    <w:rPr>
                      <w:rFonts w:hint="default" w:ascii="Times New Roman" w:hAnsi="Times New Roman" w:eastAsia="宋体" w:cs="Times New Roman"/>
                      <w:color w:val="auto"/>
                      <w:sz w:val="21"/>
                      <w:szCs w:val="21"/>
                    </w:rPr>
                  </w:pPr>
                </w:p>
              </w:tc>
            </w:tr>
          </w:tbl>
          <w:p w14:paraId="21AFECDB">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firstLine="482" w:firstLineChars="200"/>
              <w:jc w:val="both"/>
              <w:textAlignment w:val="auto"/>
              <w:rPr>
                <w:rFonts w:hint="eastAsia" w:ascii="Times New Roman" w:hAnsi="Times New Roman" w:eastAsia="宋体" w:cs="Times New Roman"/>
                <w:b/>
                <w:bCs w:val="0"/>
                <w:color w:val="auto"/>
                <w:spacing w:val="0"/>
                <w:w w:val="100"/>
                <w:kern w:val="2"/>
                <w:sz w:val="24"/>
                <w:szCs w:val="24"/>
                <w:highlight w:val="none"/>
                <w:lang w:val="en-US" w:eastAsia="zh-CN" w:bidi="ar-SA"/>
              </w:rPr>
            </w:pPr>
            <w:r>
              <w:rPr>
                <w:rFonts w:hint="eastAsia" w:ascii="Times New Roman" w:hAnsi="Times New Roman" w:eastAsia="宋体" w:cs="Times New Roman"/>
                <w:b/>
                <w:bCs w:val="0"/>
                <w:color w:val="auto"/>
                <w:spacing w:val="0"/>
                <w:w w:val="100"/>
                <w:kern w:val="2"/>
                <w:sz w:val="24"/>
                <w:szCs w:val="24"/>
                <w:highlight w:val="none"/>
                <w:lang w:val="en-US" w:eastAsia="zh-CN" w:bidi="ar-SA"/>
              </w:rPr>
              <w:t>5、大气环境影响分析</w:t>
            </w:r>
          </w:p>
          <w:p w14:paraId="752E2D91">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firstLine="480" w:firstLineChars="200"/>
              <w:jc w:val="both"/>
              <w:textAlignment w:val="auto"/>
              <w:rPr>
                <w:rFonts w:hint="default" w:ascii="Times New Roman" w:hAnsi="Times New Roman" w:eastAsia="宋体" w:cs="Times New Roman"/>
                <w:b w:val="0"/>
                <w:bCs/>
                <w:color w:val="auto"/>
                <w:spacing w:val="0"/>
                <w:w w:val="100"/>
                <w:kern w:val="2"/>
                <w:sz w:val="24"/>
                <w:szCs w:val="24"/>
                <w:highlight w:val="none"/>
                <w:lang w:val="en-US" w:eastAsia="zh-CN" w:bidi="ar-SA"/>
              </w:rPr>
            </w:pPr>
            <w:r>
              <w:rPr>
                <w:rFonts w:hint="default" w:ascii="Times New Roman" w:hAnsi="Times New Roman" w:eastAsia="宋体" w:cs="Times New Roman"/>
                <w:b w:val="0"/>
                <w:bCs/>
                <w:color w:val="auto"/>
                <w:spacing w:val="0"/>
                <w:w w:val="100"/>
                <w:kern w:val="2"/>
                <w:sz w:val="24"/>
                <w:szCs w:val="24"/>
                <w:highlight w:val="none"/>
                <w:lang w:val="en-US" w:eastAsia="zh-CN" w:bidi="ar-SA"/>
              </w:rPr>
              <w:t>本项目所在区域属于环境空气不达标区，通过《山东省深入打好蓝天保卫战行动计划》</w:t>
            </w:r>
            <w:r>
              <w:rPr>
                <w:rFonts w:hint="eastAsia" w:cs="Times New Roman"/>
                <w:b w:val="0"/>
                <w:bCs/>
                <w:color w:val="auto"/>
                <w:spacing w:val="0"/>
                <w:w w:val="100"/>
                <w:kern w:val="2"/>
                <w:sz w:val="24"/>
                <w:szCs w:val="24"/>
                <w:highlight w:val="none"/>
                <w:lang w:val="en-US" w:eastAsia="zh-CN" w:bidi="ar-SA"/>
              </w:rPr>
              <w:t>（</w:t>
            </w:r>
            <w:r>
              <w:rPr>
                <w:rFonts w:hint="default" w:ascii="Times New Roman" w:hAnsi="Times New Roman" w:eastAsia="宋体" w:cs="Times New Roman"/>
                <w:b w:val="0"/>
                <w:bCs/>
                <w:color w:val="auto"/>
                <w:spacing w:val="0"/>
                <w:w w:val="100"/>
                <w:kern w:val="2"/>
                <w:sz w:val="24"/>
                <w:szCs w:val="24"/>
                <w:highlight w:val="none"/>
                <w:lang w:val="en-US" w:eastAsia="zh-CN" w:bidi="ar-SA"/>
              </w:rPr>
              <w:t>2021-2025年</w:t>
            </w:r>
            <w:r>
              <w:rPr>
                <w:rFonts w:hint="eastAsia" w:cs="Times New Roman"/>
                <w:b w:val="0"/>
                <w:bCs/>
                <w:color w:val="auto"/>
                <w:spacing w:val="0"/>
                <w:w w:val="100"/>
                <w:kern w:val="2"/>
                <w:sz w:val="24"/>
                <w:szCs w:val="24"/>
                <w:highlight w:val="none"/>
                <w:lang w:val="en-US" w:eastAsia="zh-CN" w:bidi="ar-SA"/>
              </w:rPr>
              <w:t>）</w:t>
            </w:r>
            <w:r>
              <w:rPr>
                <w:rFonts w:hint="default" w:ascii="Times New Roman" w:hAnsi="Times New Roman" w:eastAsia="宋体" w:cs="Times New Roman"/>
                <w:b w:val="0"/>
                <w:bCs/>
                <w:color w:val="auto"/>
                <w:spacing w:val="0"/>
                <w:w w:val="100"/>
                <w:kern w:val="2"/>
                <w:sz w:val="24"/>
                <w:szCs w:val="24"/>
                <w:highlight w:val="none"/>
                <w:lang w:val="en-US" w:eastAsia="zh-CN" w:bidi="ar-SA"/>
              </w:rPr>
              <w:t>等大气污染防治方案的实施，区域环境空气质量将逐步改善。各工序产生的</w:t>
            </w:r>
            <w:r>
              <w:rPr>
                <w:rFonts w:hint="eastAsia" w:ascii="Times New Roman" w:hAnsi="Times New Roman" w:eastAsia="宋体" w:cs="Times New Roman"/>
                <w:b w:val="0"/>
                <w:bCs/>
                <w:color w:val="auto"/>
                <w:spacing w:val="0"/>
                <w:w w:val="100"/>
                <w:kern w:val="2"/>
                <w:sz w:val="24"/>
                <w:szCs w:val="24"/>
                <w:highlight w:val="none"/>
                <w:lang w:val="en-US" w:eastAsia="zh-CN" w:bidi="ar-SA"/>
              </w:rPr>
              <w:t>废气</w:t>
            </w:r>
            <w:r>
              <w:rPr>
                <w:rFonts w:hint="default" w:ascii="Times New Roman" w:hAnsi="Times New Roman" w:eastAsia="宋体" w:cs="Times New Roman"/>
                <w:b w:val="0"/>
                <w:bCs/>
                <w:color w:val="auto"/>
                <w:spacing w:val="0"/>
                <w:w w:val="100"/>
                <w:kern w:val="2"/>
                <w:sz w:val="24"/>
                <w:szCs w:val="24"/>
                <w:highlight w:val="none"/>
                <w:lang w:val="en-US" w:eastAsia="zh-CN" w:bidi="ar-SA"/>
              </w:rPr>
              <w:t>经</w:t>
            </w:r>
            <w:r>
              <w:rPr>
                <w:rFonts w:hint="eastAsia" w:ascii="Times New Roman" w:hAnsi="Times New Roman" w:eastAsia="宋体" w:cs="Times New Roman"/>
                <w:b w:val="0"/>
                <w:bCs/>
                <w:color w:val="auto"/>
                <w:spacing w:val="0"/>
                <w:w w:val="100"/>
                <w:kern w:val="2"/>
                <w:sz w:val="24"/>
                <w:szCs w:val="24"/>
                <w:highlight w:val="none"/>
                <w:lang w:val="en-US" w:eastAsia="zh-CN" w:bidi="ar-SA"/>
              </w:rPr>
              <w:t>治理措施</w:t>
            </w:r>
            <w:r>
              <w:rPr>
                <w:rFonts w:hint="default" w:ascii="Times New Roman" w:hAnsi="Times New Roman" w:eastAsia="宋体" w:cs="Times New Roman"/>
                <w:b w:val="0"/>
                <w:bCs/>
                <w:color w:val="auto"/>
                <w:spacing w:val="0"/>
                <w:w w:val="100"/>
                <w:kern w:val="2"/>
                <w:sz w:val="24"/>
                <w:szCs w:val="24"/>
                <w:highlight w:val="none"/>
                <w:lang w:val="en-US" w:eastAsia="zh-CN" w:bidi="ar-SA"/>
              </w:rPr>
              <w:t>处理后高空排放，通过采取</w:t>
            </w:r>
            <w:r>
              <w:rPr>
                <w:rFonts w:hint="eastAsia" w:ascii="Times New Roman" w:hAnsi="Times New Roman" w:eastAsia="宋体" w:cs="Times New Roman"/>
                <w:b w:val="0"/>
                <w:bCs/>
                <w:color w:val="auto"/>
                <w:spacing w:val="0"/>
                <w:w w:val="100"/>
                <w:kern w:val="2"/>
                <w:sz w:val="24"/>
                <w:szCs w:val="24"/>
                <w:highlight w:val="none"/>
                <w:lang w:val="en-US" w:eastAsia="zh-CN" w:bidi="ar-SA"/>
              </w:rPr>
              <w:t>车间</w:t>
            </w:r>
            <w:r>
              <w:rPr>
                <w:rFonts w:hint="default" w:ascii="Times New Roman" w:hAnsi="Times New Roman" w:eastAsia="宋体" w:cs="Times New Roman"/>
                <w:b w:val="0"/>
                <w:bCs/>
                <w:color w:val="auto"/>
                <w:spacing w:val="0"/>
                <w:w w:val="100"/>
                <w:kern w:val="2"/>
                <w:sz w:val="24"/>
                <w:szCs w:val="24"/>
                <w:highlight w:val="none"/>
                <w:lang w:val="en-US" w:eastAsia="zh-CN" w:bidi="ar-SA"/>
              </w:rPr>
              <w:t>密闭等有效措施，有效提高废气收集率。废气均达标排放，对区域大气环境质量影响较小。</w:t>
            </w:r>
          </w:p>
          <w:p w14:paraId="0887514E">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firstLine="480" w:firstLineChars="200"/>
              <w:jc w:val="both"/>
              <w:textAlignment w:val="auto"/>
              <w:rPr>
                <w:rFonts w:hint="default" w:ascii="Times New Roman" w:hAnsi="Times New Roman" w:eastAsia="宋体" w:cs="Times New Roman"/>
                <w:b w:val="0"/>
                <w:bCs/>
                <w:color w:val="auto"/>
                <w:spacing w:val="0"/>
                <w:w w:val="100"/>
                <w:kern w:val="2"/>
                <w:sz w:val="24"/>
                <w:szCs w:val="24"/>
                <w:highlight w:val="none"/>
                <w:lang w:val="en-US" w:eastAsia="zh-CN" w:bidi="ar-SA"/>
              </w:rPr>
            </w:pPr>
            <w:r>
              <w:rPr>
                <w:rFonts w:hint="default" w:ascii="Times New Roman" w:hAnsi="Times New Roman" w:eastAsia="宋体" w:cs="Times New Roman"/>
                <w:b w:val="0"/>
                <w:bCs/>
                <w:color w:val="auto"/>
                <w:spacing w:val="0"/>
                <w:w w:val="100"/>
                <w:kern w:val="2"/>
                <w:sz w:val="24"/>
                <w:szCs w:val="24"/>
                <w:highlight w:val="none"/>
                <w:lang w:val="en-US" w:eastAsia="zh-CN" w:bidi="ar-SA"/>
              </w:rPr>
              <w:t>采用《环境影响评价技术导则 大气环境》（HJ2.2-2018），“8.7.5.1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本项目无超标点，无需设置大气环境防护距离。</w:t>
            </w:r>
            <w:r>
              <w:rPr>
                <w:rFonts w:hint="eastAsia" w:ascii="Times New Roman" w:hAnsi="Times New Roman" w:eastAsia="宋体" w:cs="Times New Roman"/>
                <w:b w:val="0"/>
                <w:bCs/>
                <w:color w:val="auto"/>
                <w:spacing w:val="0"/>
                <w:w w:val="100"/>
                <w:kern w:val="2"/>
                <w:sz w:val="24"/>
                <w:szCs w:val="24"/>
                <w:highlight w:val="none"/>
                <w:lang w:val="en-US" w:eastAsia="zh-CN" w:bidi="ar-SA"/>
              </w:rPr>
              <w:t>天源机床附件厂家属院位于厂区东侧12m，山东机械附件厂家属院位于厂区西侧28m，经过加强集气罩的收集效率，减少有机废气无组织排放；各工序配套的集气罩设置均符合GB/T 16758的规定；废气收集系统的输送管道密闭。废气收集处理系统均与生产工艺设备同步运行。废气收集处理系统发生故障或检修时，对应的生产工艺设备应停止运行，待排除故障或检修完毕后同步投入使用；加强投料、混料、破碎工序的管理，及时清扫车间卫生，清理沉降在设备附近的原材料，控制撕碎过程粒径，减少无组织粉尘的产生和排放等措施后，项目对敏感目标的影响较小。</w:t>
            </w:r>
          </w:p>
          <w:p w14:paraId="34F70355">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firstLine="480" w:firstLineChars="200"/>
              <w:jc w:val="both"/>
              <w:textAlignment w:val="auto"/>
              <w:rPr>
                <w:rFonts w:hint="default" w:ascii="Times New Roman" w:hAnsi="Times New Roman" w:eastAsia="宋体" w:cs="Times New Roman"/>
                <w:b w:val="0"/>
                <w:bCs/>
                <w:color w:val="auto"/>
                <w:spacing w:val="0"/>
                <w:w w:val="100"/>
                <w:kern w:val="2"/>
                <w:sz w:val="24"/>
                <w:szCs w:val="24"/>
                <w:highlight w:val="none"/>
                <w:lang w:val="en-US" w:eastAsia="zh-CN" w:bidi="ar-SA"/>
              </w:rPr>
            </w:pPr>
            <w:r>
              <w:rPr>
                <w:rFonts w:hint="default" w:ascii="Times New Roman" w:hAnsi="Times New Roman" w:eastAsia="宋体" w:cs="Times New Roman"/>
                <w:b w:val="0"/>
                <w:bCs/>
                <w:color w:val="auto"/>
                <w:spacing w:val="0"/>
                <w:w w:val="100"/>
                <w:kern w:val="2"/>
                <w:sz w:val="24"/>
                <w:szCs w:val="24"/>
                <w:highlight w:val="none"/>
                <w:lang w:val="en-US" w:eastAsia="zh-CN" w:bidi="ar-SA"/>
              </w:rPr>
              <w:t>综上所述，经采取相关措施后，运营期废气排放对周围环境影响较小，</w:t>
            </w:r>
            <w:r>
              <w:rPr>
                <w:rFonts w:hint="eastAsia" w:ascii="Times New Roman" w:hAnsi="Times New Roman" w:eastAsia="宋体" w:cs="Times New Roman"/>
                <w:b w:val="0"/>
                <w:bCs/>
                <w:color w:val="auto"/>
                <w:spacing w:val="0"/>
                <w:w w:val="100"/>
                <w:kern w:val="2"/>
                <w:sz w:val="24"/>
                <w:szCs w:val="24"/>
                <w:highlight w:val="none"/>
                <w:lang w:val="en-US" w:eastAsia="zh-CN" w:bidi="ar-SA"/>
              </w:rPr>
              <w:t>大气</w:t>
            </w:r>
            <w:r>
              <w:rPr>
                <w:rFonts w:hint="default" w:ascii="Times New Roman" w:hAnsi="Times New Roman" w:eastAsia="宋体" w:cs="Times New Roman"/>
                <w:b w:val="0"/>
                <w:bCs/>
                <w:color w:val="auto"/>
                <w:spacing w:val="0"/>
                <w:w w:val="100"/>
                <w:kern w:val="2"/>
                <w:sz w:val="24"/>
                <w:szCs w:val="24"/>
                <w:highlight w:val="none"/>
                <w:lang w:val="en-US" w:eastAsia="zh-CN" w:bidi="ar-SA"/>
              </w:rPr>
              <w:t>环境影响是可以接受的。</w:t>
            </w:r>
          </w:p>
          <w:p w14:paraId="34A1A5E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二、废水</w:t>
            </w:r>
          </w:p>
          <w:p w14:paraId="10E61ADD">
            <w:pPr>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本项目</w:t>
            </w:r>
            <w:r>
              <w:rPr>
                <w:rFonts w:hint="eastAsia" w:ascii="Times New Roman" w:hAnsi="Times New Roman" w:eastAsia="宋体" w:cs="Times New Roman"/>
                <w:b w:val="0"/>
                <w:bCs/>
                <w:color w:val="auto"/>
                <w:sz w:val="24"/>
                <w:szCs w:val="24"/>
                <w:highlight w:val="none"/>
                <w:lang w:val="en-US" w:eastAsia="zh-CN"/>
              </w:rPr>
              <w:t>运营期废水主要为生活污水</w:t>
            </w:r>
            <w:r>
              <w:rPr>
                <w:rFonts w:hint="default" w:ascii="Times New Roman" w:hAnsi="Times New Roman" w:eastAsia="宋体" w:cs="Times New Roman"/>
                <w:color w:val="auto"/>
                <w:sz w:val="24"/>
                <w:szCs w:val="24"/>
                <w:highlight w:val="none"/>
                <w:lang w:val="en-US" w:eastAsia="zh-CN"/>
              </w:rPr>
              <w:t>。</w:t>
            </w:r>
          </w:p>
          <w:p w14:paraId="623D811C">
            <w:pPr>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冷却水循环使用不外排。职工生活污水按用水量的80%计，则职工生活污水产生量为</w:t>
            </w:r>
            <w:r>
              <w:rPr>
                <w:rFonts w:hint="eastAsia" w:ascii="Times New Roman" w:hAnsi="Times New Roman" w:eastAsia="宋体" w:cs="Times New Roman"/>
                <w:color w:val="auto"/>
                <w:sz w:val="24"/>
                <w:szCs w:val="24"/>
                <w:highlight w:val="none"/>
                <w:lang w:val="en-US" w:eastAsia="zh-CN"/>
              </w:rPr>
              <w:t>120</w:t>
            </w:r>
            <w:r>
              <w:rPr>
                <w:rFonts w:hint="default" w:ascii="Times New Roman" w:hAnsi="Times New Roman" w:eastAsia="宋体" w:cs="Times New Roman"/>
                <w:color w:val="auto"/>
                <w:sz w:val="24"/>
                <w:szCs w:val="24"/>
                <w:highlight w:val="none"/>
                <w:lang w:val="en-US" w:eastAsia="zh-CN"/>
              </w:rPr>
              <w:t>m³/a</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b w:val="0"/>
                <w:bCs/>
                <w:color w:val="auto"/>
                <w:sz w:val="24"/>
                <w:szCs w:val="24"/>
                <w:highlight w:val="none"/>
                <w:lang w:val="en-US" w:eastAsia="zh-CN"/>
              </w:rPr>
              <w:t>水质成分简单，主要污染物为COD、BOD、SS、氨氮等。</w:t>
            </w:r>
            <w:r>
              <w:rPr>
                <w:rFonts w:hint="eastAsia" w:ascii="Times New Roman" w:hAnsi="Times New Roman" w:eastAsia="宋体" w:cs="Times New Roman"/>
                <w:color w:val="auto"/>
                <w:sz w:val="24"/>
                <w:szCs w:val="24"/>
                <w:highlight w:val="none"/>
                <w:lang w:val="en-US" w:eastAsia="zh-CN"/>
              </w:rPr>
              <w:t>经化粪池处理后委托环卫部门定期清运，不外排。</w:t>
            </w:r>
          </w:p>
          <w:p w14:paraId="5D846E09">
            <w:pPr>
              <w:pStyle w:val="36"/>
              <w:ind w:left="0" w:leftChars="0" w:firstLine="0" w:firstLineChars="0"/>
              <w:rPr>
                <w:rFonts w:hint="default"/>
                <w:color w:val="auto"/>
                <w:sz w:val="24"/>
                <w:szCs w:val="24"/>
                <w:lang w:val="en-US" w:eastAsia="zh-CN"/>
              </w:rPr>
            </w:pPr>
            <w:r>
              <w:rPr>
                <w:rFonts w:hint="eastAsia"/>
                <w:color w:val="auto"/>
                <w:sz w:val="24"/>
                <w:szCs w:val="24"/>
                <w:lang w:val="en-US" w:eastAsia="zh-CN"/>
              </w:rPr>
              <w:t xml:space="preserve">    </w:t>
            </w:r>
            <w:r>
              <w:rPr>
                <w:rFonts w:hint="default" w:ascii="Times New Roman" w:hAnsi="Times New Roman" w:eastAsia="宋体" w:cs="Times New Roman"/>
                <w:b w:val="0"/>
                <w:bCs/>
                <w:color w:val="auto"/>
                <w:sz w:val="24"/>
                <w:szCs w:val="24"/>
                <w:highlight w:val="none"/>
                <w:lang w:val="en-US" w:eastAsia="zh-CN"/>
              </w:rPr>
              <w:t>项目</w:t>
            </w:r>
            <w:r>
              <w:rPr>
                <w:rFonts w:hint="eastAsia" w:ascii="Times New Roman" w:hAnsi="Times New Roman" w:eastAsia="宋体" w:cs="Times New Roman"/>
                <w:b w:val="0"/>
                <w:bCs/>
                <w:color w:val="auto"/>
                <w:sz w:val="24"/>
                <w:szCs w:val="24"/>
                <w:highlight w:val="none"/>
                <w:lang w:val="en-US" w:eastAsia="zh-CN"/>
              </w:rPr>
              <w:t>无废水外排，不开展废水监测</w:t>
            </w:r>
            <w:r>
              <w:rPr>
                <w:rFonts w:hint="default" w:ascii="Times New Roman" w:hAnsi="Times New Roman" w:eastAsia="宋体" w:cs="Times New Roman"/>
                <w:color w:val="auto"/>
                <w:sz w:val="24"/>
                <w:szCs w:val="24"/>
                <w:highlight w:val="none"/>
                <w:lang w:val="en-US" w:eastAsia="zh-CN"/>
              </w:rPr>
              <w:t>。</w:t>
            </w:r>
          </w:p>
          <w:p w14:paraId="134D4781">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噪声</w:t>
            </w:r>
          </w:p>
          <w:p w14:paraId="33067787">
            <w:pPr>
              <w:widowControl/>
              <w:adjustRightInd w:val="0"/>
              <w:snapToGrid w:val="0"/>
              <w:spacing w:line="360" w:lineRule="auto"/>
              <w:ind w:firstLine="442"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b/>
                <w:color w:val="auto"/>
                <w:spacing w:val="-10"/>
                <w:sz w:val="24"/>
                <w:szCs w:val="24"/>
                <w:highlight w:val="none"/>
                <w:lang w:val="en-US" w:eastAsia="zh-CN"/>
              </w:rPr>
              <w:t>1</w:t>
            </w:r>
            <w:r>
              <w:rPr>
                <w:rFonts w:hint="eastAsia" w:ascii="Times New Roman" w:hAnsi="Times New Roman" w:eastAsia="宋体" w:cs="Times New Roman"/>
                <w:b/>
                <w:color w:val="auto"/>
                <w:spacing w:val="-10"/>
                <w:sz w:val="24"/>
                <w:szCs w:val="24"/>
                <w:highlight w:val="none"/>
                <w:lang w:eastAsia="zh-CN"/>
              </w:rPr>
              <w:t>、</w:t>
            </w:r>
            <w:r>
              <w:rPr>
                <w:rFonts w:hint="default" w:ascii="Times New Roman" w:hAnsi="Times New Roman" w:eastAsia="宋体" w:cs="Times New Roman"/>
                <w:b/>
                <w:color w:val="auto"/>
                <w:spacing w:val="-10"/>
                <w:sz w:val="24"/>
                <w:szCs w:val="24"/>
                <w:highlight w:val="none"/>
              </w:rPr>
              <w:t>噪声源</w:t>
            </w:r>
          </w:p>
          <w:p w14:paraId="2BE869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项目噪声源主要有</w:t>
            </w:r>
            <w:r>
              <w:rPr>
                <w:rFonts w:hint="default" w:ascii="Times New Roman" w:hAnsi="Times New Roman" w:eastAsia="宋体" w:cs="Times New Roman"/>
                <w:bCs/>
                <w:color w:val="auto"/>
                <w:sz w:val="24"/>
                <w:szCs w:val="24"/>
                <w:highlight w:val="none"/>
                <w:lang w:val="en-US" w:eastAsia="zh-CN"/>
              </w:rPr>
              <w:t>风机、</w:t>
            </w:r>
            <w:r>
              <w:rPr>
                <w:rFonts w:hint="eastAsia" w:ascii="Times New Roman" w:hAnsi="Times New Roman" w:eastAsia="宋体" w:cs="Times New Roman"/>
                <w:bCs/>
                <w:color w:val="auto"/>
                <w:sz w:val="24"/>
                <w:szCs w:val="24"/>
                <w:highlight w:val="none"/>
                <w:lang w:val="en-US" w:eastAsia="zh-CN"/>
              </w:rPr>
              <w:t>生产设备</w:t>
            </w:r>
            <w:r>
              <w:rPr>
                <w:rFonts w:hint="default" w:ascii="Times New Roman" w:hAnsi="Times New Roman" w:eastAsia="宋体" w:cs="Times New Roman"/>
                <w:color w:val="auto"/>
                <w:spacing w:val="6"/>
                <w:sz w:val="24"/>
                <w:szCs w:val="24"/>
                <w:highlight w:val="none"/>
              </w:rPr>
              <w:t>等</w:t>
            </w:r>
            <w:r>
              <w:rPr>
                <w:rFonts w:hint="default" w:ascii="Times New Roman" w:hAnsi="Times New Roman" w:eastAsia="宋体" w:cs="Times New Roman"/>
                <w:b w:val="0"/>
                <w:bCs/>
                <w:color w:val="auto"/>
                <w:kern w:val="0"/>
                <w:sz w:val="24"/>
                <w:szCs w:val="24"/>
                <w:highlight w:val="none"/>
                <w:lang w:val="en-US" w:eastAsia="zh-CN" w:bidi="ar-SA"/>
              </w:rPr>
              <w:t>，</w:t>
            </w:r>
            <w:r>
              <w:rPr>
                <w:rFonts w:hint="default" w:ascii="Times New Roman" w:hAnsi="Times New Roman" w:eastAsia="宋体" w:cs="Times New Roman"/>
                <w:bCs/>
                <w:color w:val="auto"/>
                <w:sz w:val="24"/>
                <w:szCs w:val="24"/>
                <w:highlight w:val="none"/>
              </w:rPr>
              <w:t>设备噪声源强为</w:t>
            </w:r>
            <w:r>
              <w:rPr>
                <w:rFonts w:hint="default" w:ascii="Times New Roman" w:hAnsi="Times New Roman" w:eastAsia="宋体" w:cs="Times New Roman"/>
                <w:bCs/>
                <w:color w:val="auto"/>
                <w:sz w:val="24"/>
                <w:szCs w:val="24"/>
                <w:highlight w:val="none"/>
                <w:lang w:val="en-US" w:eastAsia="zh-CN"/>
              </w:rPr>
              <w:t>75</w:t>
            </w:r>
            <w:r>
              <w:rPr>
                <w:rFonts w:hint="default" w:ascii="Times New Roman" w:hAnsi="Times New Roman" w:eastAsia="宋体" w:cs="Times New Roman"/>
                <w:bCs/>
                <w:color w:val="auto"/>
                <w:sz w:val="24"/>
                <w:szCs w:val="24"/>
                <w:highlight w:val="none"/>
                <w:lang w:eastAsia="zh-CN"/>
              </w:rPr>
              <w:t>-</w:t>
            </w:r>
            <w:r>
              <w:rPr>
                <w:rFonts w:hint="eastAsia" w:ascii="Times New Roman" w:hAnsi="Times New Roman" w:eastAsia="宋体"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lang w:eastAsia="zh-CN"/>
              </w:rPr>
              <w:t>dB</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A</w:t>
            </w:r>
            <w:r>
              <w:rPr>
                <w:rFonts w:hint="eastAsia" w:cs="Times New Roman"/>
                <w:bCs/>
                <w:color w:val="auto"/>
                <w:sz w:val="24"/>
                <w:szCs w:val="24"/>
                <w:highlight w:val="none"/>
                <w:lang w:eastAsia="zh-CN"/>
              </w:rPr>
              <w:t>）</w:t>
            </w:r>
            <w:r>
              <w:rPr>
                <w:rFonts w:hint="default" w:ascii="Times New Roman" w:hAnsi="Times New Roman" w:eastAsia="宋体" w:cs="Times New Roman"/>
                <w:color w:val="auto"/>
                <w:spacing w:val="0"/>
                <w:w w:val="100"/>
                <w:sz w:val="24"/>
                <w:szCs w:val="24"/>
                <w:highlight w:val="none"/>
              </w:rPr>
              <w:t>，</w:t>
            </w:r>
            <w:r>
              <w:rPr>
                <w:rFonts w:hint="default" w:ascii="Times New Roman" w:hAnsi="Times New Roman" w:eastAsia="宋体" w:cs="Times New Roman"/>
                <w:color w:val="auto"/>
                <w:spacing w:val="0"/>
                <w:w w:val="100"/>
                <w:sz w:val="24"/>
                <w:szCs w:val="24"/>
                <w:highlight w:val="none"/>
                <w:lang w:val="en-US" w:eastAsia="zh-CN"/>
              </w:rPr>
              <w:t>生产</w:t>
            </w:r>
            <w:r>
              <w:rPr>
                <w:rFonts w:hint="default" w:ascii="Times New Roman" w:hAnsi="Times New Roman" w:eastAsia="宋体" w:cs="Times New Roman"/>
                <w:color w:val="auto"/>
                <w:spacing w:val="0"/>
                <w:w w:val="100"/>
                <w:sz w:val="24"/>
                <w:szCs w:val="24"/>
                <w:highlight w:val="none"/>
              </w:rPr>
              <w:t>设备均安装在</w:t>
            </w:r>
            <w:r>
              <w:rPr>
                <w:rFonts w:hint="default" w:ascii="Times New Roman" w:hAnsi="Times New Roman" w:eastAsia="宋体" w:cs="Times New Roman"/>
                <w:bCs/>
                <w:color w:val="auto"/>
                <w:spacing w:val="0"/>
                <w:w w:val="100"/>
                <w:sz w:val="24"/>
                <w:szCs w:val="24"/>
                <w:highlight w:val="none"/>
              </w:rPr>
              <w:t>密闭车间内，</w:t>
            </w:r>
            <w:r>
              <w:rPr>
                <w:rFonts w:hint="default" w:ascii="Times New Roman" w:hAnsi="Times New Roman" w:eastAsia="宋体" w:cs="Times New Roman"/>
                <w:bCs/>
                <w:color w:val="auto"/>
                <w:spacing w:val="0"/>
                <w:w w:val="100"/>
                <w:sz w:val="24"/>
                <w:szCs w:val="24"/>
                <w:highlight w:val="none"/>
                <w:lang w:val="en-US" w:eastAsia="zh-CN"/>
              </w:rPr>
              <w:t>对</w:t>
            </w:r>
            <w:r>
              <w:rPr>
                <w:rFonts w:hint="default" w:ascii="Times New Roman" w:hAnsi="Times New Roman" w:eastAsia="宋体" w:cs="Times New Roman"/>
                <w:bCs/>
                <w:color w:val="auto"/>
                <w:spacing w:val="0"/>
                <w:w w:val="100"/>
                <w:sz w:val="24"/>
                <w:szCs w:val="24"/>
                <w:highlight w:val="none"/>
              </w:rPr>
              <w:t>产生噪音的设备采用减震垫、弹性连接等</w:t>
            </w:r>
            <w:r>
              <w:rPr>
                <w:rFonts w:hint="default" w:ascii="Times New Roman" w:hAnsi="Times New Roman" w:eastAsia="宋体" w:cs="Times New Roman"/>
                <w:bCs/>
                <w:color w:val="auto"/>
                <w:spacing w:val="0"/>
                <w:w w:val="100"/>
                <w:sz w:val="24"/>
                <w:szCs w:val="24"/>
                <w:highlight w:val="none"/>
                <w:lang w:val="en-US" w:eastAsia="zh-CN"/>
              </w:rPr>
              <w:t>降噪</w:t>
            </w:r>
            <w:r>
              <w:rPr>
                <w:rFonts w:hint="default" w:ascii="Times New Roman" w:hAnsi="Times New Roman" w:eastAsia="宋体" w:cs="Times New Roman"/>
                <w:bCs/>
                <w:color w:val="auto"/>
                <w:spacing w:val="0"/>
                <w:w w:val="100"/>
                <w:sz w:val="24"/>
                <w:szCs w:val="24"/>
                <w:highlight w:val="none"/>
              </w:rPr>
              <w:t>措施</w:t>
            </w:r>
            <w:r>
              <w:rPr>
                <w:rFonts w:hint="default" w:ascii="Times New Roman" w:hAnsi="Times New Roman" w:eastAsia="宋体" w:cs="Times New Roman"/>
                <w:bCs/>
                <w:color w:val="auto"/>
                <w:spacing w:val="0"/>
                <w:w w:val="100"/>
                <w:sz w:val="24"/>
                <w:szCs w:val="24"/>
                <w:highlight w:val="none"/>
                <w:lang w:eastAsia="zh-CN"/>
              </w:rPr>
              <w:t>，</w:t>
            </w:r>
            <w:r>
              <w:rPr>
                <w:rFonts w:hint="default" w:ascii="Times New Roman" w:hAnsi="Times New Roman" w:eastAsia="宋体" w:cs="Times New Roman"/>
                <w:bCs/>
                <w:color w:val="auto"/>
                <w:spacing w:val="0"/>
                <w:w w:val="100"/>
                <w:sz w:val="24"/>
                <w:szCs w:val="24"/>
                <w:highlight w:val="none"/>
                <w:lang w:val="en-US" w:eastAsia="zh-CN"/>
              </w:rPr>
              <w:t>降噪效果约20-25dB（A）</w:t>
            </w:r>
            <w:r>
              <w:rPr>
                <w:rFonts w:hint="default" w:ascii="Times New Roman" w:hAnsi="Times New Roman" w:eastAsia="宋体" w:cs="Times New Roman"/>
                <w:bCs/>
                <w:color w:val="auto"/>
                <w:spacing w:val="0"/>
                <w:w w:val="100"/>
                <w:sz w:val="24"/>
                <w:szCs w:val="24"/>
                <w:highlight w:val="none"/>
                <w:lang w:eastAsia="zh-CN"/>
              </w:rPr>
              <w:t>；</w:t>
            </w:r>
            <w:r>
              <w:rPr>
                <w:rFonts w:hint="default" w:ascii="Times New Roman" w:hAnsi="Times New Roman" w:eastAsia="宋体" w:cs="Times New Roman"/>
                <w:bCs/>
                <w:color w:val="auto"/>
                <w:spacing w:val="0"/>
                <w:w w:val="100"/>
                <w:sz w:val="24"/>
                <w:szCs w:val="24"/>
                <w:highlight w:val="none"/>
                <w:lang w:val="en-US" w:eastAsia="zh-CN"/>
              </w:rPr>
              <w:t>风机安装在室外，采用进风口消声器、隔声罩等降噪措施</w:t>
            </w:r>
            <w:r>
              <w:rPr>
                <w:rFonts w:hint="default" w:ascii="Times New Roman" w:hAnsi="Times New Roman" w:eastAsia="宋体" w:cs="Times New Roman"/>
                <w:bCs/>
                <w:color w:val="auto"/>
                <w:spacing w:val="0"/>
                <w:w w:val="100"/>
                <w:sz w:val="24"/>
                <w:szCs w:val="24"/>
                <w:highlight w:val="none"/>
                <w:lang w:eastAsia="zh-CN"/>
              </w:rPr>
              <w:t>，</w:t>
            </w:r>
            <w:r>
              <w:rPr>
                <w:rFonts w:hint="default" w:ascii="Times New Roman" w:hAnsi="Times New Roman" w:eastAsia="宋体" w:cs="Times New Roman"/>
                <w:bCs/>
                <w:color w:val="auto"/>
                <w:spacing w:val="0"/>
                <w:w w:val="100"/>
                <w:sz w:val="24"/>
                <w:szCs w:val="24"/>
                <w:highlight w:val="none"/>
                <w:lang w:val="en-US" w:eastAsia="zh-CN"/>
              </w:rPr>
              <w:t>降噪效果约22-45dB（A）</w:t>
            </w:r>
            <w:r>
              <w:rPr>
                <w:rFonts w:hint="default" w:ascii="Times New Roman" w:hAnsi="Times New Roman" w:eastAsia="宋体" w:cs="Times New Roman"/>
                <w:bCs/>
                <w:color w:val="auto"/>
                <w:spacing w:val="0"/>
                <w:w w:val="100"/>
                <w:sz w:val="24"/>
                <w:szCs w:val="24"/>
                <w:highlight w:val="none"/>
              </w:rPr>
              <w:t>。</w:t>
            </w:r>
            <w:r>
              <w:rPr>
                <w:rFonts w:hint="default" w:ascii="Times New Roman" w:hAnsi="Times New Roman" w:eastAsia="宋体" w:cs="Times New Roman"/>
                <w:b/>
                <w:bCs/>
                <w:color w:val="auto"/>
                <w:sz w:val="24"/>
                <w:szCs w:val="24"/>
                <w:highlight w:val="none"/>
                <w:lang w:val="en-US" w:eastAsia="zh-CN"/>
              </w:rPr>
              <w:t xml:space="preserve">        </w:t>
            </w:r>
          </w:p>
          <w:p w14:paraId="154DBEBA">
            <w:pPr>
              <w:keepNext w:val="0"/>
              <w:keepLines w:val="0"/>
              <w:pageBreakBefore w:val="0"/>
              <w:widowControl/>
              <w:kinsoku/>
              <w:wordWrap/>
              <w:overflowPunct/>
              <w:topLinePunct w:val="0"/>
              <w:autoSpaceDE/>
              <w:autoSpaceDN/>
              <w:bidi w:val="0"/>
              <w:adjustRightInd w:val="0"/>
              <w:snapToGrid w:val="0"/>
              <w:spacing w:before="157" w:beforeLines="50" w:line="360" w:lineRule="auto"/>
              <w:ind w:left="0"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val="en-US" w:eastAsia="zh-CN"/>
              </w:rPr>
              <w:t>2、噪声防治</w:t>
            </w:r>
            <w:r>
              <w:rPr>
                <w:rFonts w:hint="default" w:ascii="Times New Roman" w:hAnsi="Times New Roman" w:eastAsia="宋体" w:cs="Times New Roman"/>
                <w:b/>
                <w:bCs/>
                <w:color w:val="auto"/>
                <w:sz w:val="24"/>
                <w:szCs w:val="24"/>
                <w:highlight w:val="none"/>
                <w:lang w:eastAsia="zh-CN"/>
              </w:rPr>
              <w:t>措施</w:t>
            </w:r>
          </w:p>
          <w:p w14:paraId="399FC1A8">
            <w:pPr>
              <w:pStyle w:val="15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1）总平面布置：将高噪声设备设置于距离厂界较远的位置，同时在工厂总体布置上利用建筑物、构筑物来阻隔声波的传播。</w:t>
            </w:r>
          </w:p>
          <w:p w14:paraId="72292231">
            <w:pPr>
              <w:pStyle w:val="15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2）加强治理：设备选型时选择噪声低的设备，对设备采取减振、隔音、建筑屏蔽等措施，采取降噪措施后，噪声水平可降低约25dB </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118601A6">
            <w:pPr>
              <w:pageBreakBefore w:val="0"/>
              <w:widowControl/>
              <w:kinsoku/>
              <w:wordWrap/>
              <w:overflowPunct/>
              <w:bidi w:val="0"/>
              <w:adjustRightInd w:val="0"/>
              <w:snapToGrid w:val="0"/>
              <w:spacing w:line="360" w:lineRule="auto"/>
              <w:ind w:left="0"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cs="Times New Roman"/>
                <w:color w:val="auto"/>
                <w:sz w:val="24"/>
                <w:szCs w:val="24"/>
                <w:highlight w:val="none"/>
              </w:rPr>
              <w:t>3）加强管理：建立设备定期维护，保养的管理制度，以防止设备故障形成的非正常生产噪声；加强职工环保意识教育，提倡文明生产，减少人为噪声。</w:t>
            </w:r>
          </w:p>
          <w:p w14:paraId="195B50DA">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left"/>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噪声影响预测分析</w:t>
            </w:r>
          </w:p>
          <w:p w14:paraId="02F1A2AA">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环境影响评价技术导则—声环境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（HJ2.4-20</w:t>
            </w:r>
            <w:r>
              <w:rPr>
                <w:rFonts w:hint="default"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）中推荐模式对厂界噪声进行预测。</w:t>
            </w:r>
          </w:p>
          <w:p w14:paraId="57A15C1A">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（1）室内声源等效为室外声源的计算</w:t>
            </w:r>
          </w:p>
          <w:p w14:paraId="1C6126D9">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①首先计算出某个室内靠近围护结构处的倍频带声压级</w:t>
            </w:r>
          </w:p>
          <w:p w14:paraId="286D6FA4">
            <w:pPr>
              <w:pStyle w:val="19"/>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704975" cy="428625"/>
                  <wp:effectExtent l="0" t="0" r="9525" b="889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12"/>
                          <a:stretch>
                            <a:fillRect/>
                          </a:stretch>
                        </pic:blipFill>
                        <pic:spPr>
                          <a:xfrm>
                            <a:off x="0" y="0"/>
                            <a:ext cx="1704975" cy="428625"/>
                          </a:xfrm>
                          <a:prstGeom prst="rect">
                            <a:avLst/>
                          </a:prstGeom>
                          <a:noFill/>
                          <a:ln>
                            <a:noFill/>
                          </a:ln>
                        </pic:spPr>
                      </pic:pic>
                    </a:graphicData>
                  </a:graphic>
                </wp:inline>
              </w:drawing>
            </w:r>
          </w:p>
          <w:p w14:paraId="191F399E">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P1</w:t>
            </w:r>
            <w:r>
              <w:rPr>
                <w:rFonts w:hint="default" w:ascii="Times New Roman" w:hAnsi="Times New Roman" w:eastAsia="宋体" w:cs="Times New Roman"/>
                <w:color w:val="auto"/>
                <w:sz w:val="24"/>
                <w:szCs w:val="24"/>
                <w:highlight w:val="none"/>
              </w:rPr>
              <w:t>—某个室内声源在靠近围护结构处产生的倍频带声压级；</w:t>
            </w:r>
          </w:p>
          <w:p w14:paraId="6EAD4D7A">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Lw—某个声源的倍频带声功率级，dB（A）；</w:t>
            </w:r>
          </w:p>
          <w:p w14:paraId="39383AB9">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r—某个声源与靠近围护结构处的距离，m；</w:t>
            </w:r>
          </w:p>
          <w:p w14:paraId="79067A70">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R—房间常数，R=Sα/（1-α），S为房间内表面面积，m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；α为平均吸声系数；</w:t>
            </w:r>
          </w:p>
          <w:p w14:paraId="41E3FB10">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Q—指向性因子，通常对无指向性声源，当声源</w:t>
            </w:r>
            <w:r>
              <w:rPr>
                <w:rFonts w:hint="eastAsia" w:ascii="Times New Roman" w:hAnsi="Times New Roman" w:cs="Times New Roman"/>
                <w:color w:val="auto"/>
                <w:sz w:val="24"/>
                <w:szCs w:val="24"/>
                <w:highlight w:val="none"/>
                <w:lang w:eastAsia="zh-CN"/>
              </w:rPr>
              <w:t>放在</w:t>
            </w:r>
            <w:r>
              <w:rPr>
                <w:rFonts w:hint="default" w:ascii="Times New Roman" w:hAnsi="Times New Roman" w:eastAsia="宋体" w:cs="Times New Roman"/>
                <w:color w:val="auto"/>
                <w:sz w:val="24"/>
                <w:szCs w:val="24"/>
                <w:highlight w:val="none"/>
              </w:rPr>
              <w:t>房间中心时，Q=1；当放在一面墙的中心时，Q=2；当放在两面墙夹角处时，Q=4；当放在三面墙夹角处时，Q=8；</w:t>
            </w:r>
          </w:p>
          <w:p w14:paraId="0EF50EA2">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②计算出所有室内声源在围护结构处产生的i倍频带叠加声压级</w:t>
            </w:r>
          </w:p>
          <w:p w14:paraId="3B40BB6B">
            <w:pPr>
              <w:pStyle w:val="19"/>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1638300" cy="485775"/>
                  <wp:effectExtent l="0" t="0" r="0" b="889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13"/>
                          <a:stretch>
                            <a:fillRect/>
                          </a:stretch>
                        </pic:blipFill>
                        <pic:spPr>
                          <a:xfrm>
                            <a:off x="0" y="0"/>
                            <a:ext cx="1638300" cy="485775"/>
                          </a:xfrm>
                          <a:prstGeom prst="rect">
                            <a:avLst/>
                          </a:prstGeom>
                          <a:noFill/>
                          <a:ln>
                            <a:noFill/>
                          </a:ln>
                        </pic:spPr>
                      </pic:pic>
                    </a:graphicData>
                  </a:graphic>
                </wp:inline>
              </w:drawing>
            </w:r>
          </w:p>
          <w:p w14:paraId="4393D034">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P1i</w:t>
            </w:r>
            <w:r>
              <w:rPr>
                <w:rFonts w:hint="default" w:ascii="Times New Roman" w:hAnsi="Times New Roman" w:eastAsia="宋体" w:cs="Times New Roman"/>
                <w:color w:val="auto"/>
                <w:sz w:val="24"/>
                <w:szCs w:val="24"/>
                <w:highlight w:val="none"/>
              </w:rPr>
              <w:t>（T）—靠近围护结构处N个室内声源产生的i倍频带的叠加声压级，dB（A）；</w:t>
            </w:r>
          </w:p>
          <w:p w14:paraId="1BA8D04A">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P1ij</w:t>
            </w:r>
            <w:r>
              <w:rPr>
                <w:rFonts w:hint="default" w:ascii="Times New Roman" w:hAnsi="Times New Roman" w:eastAsia="宋体" w:cs="Times New Roman"/>
                <w:color w:val="auto"/>
                <w:sz w:val="24"/>
                <w:szCs w:val="24"/>
                <w:highlight w:val="none"/>
              </w:rPr>
              <w:t>—室内j声源i倍频带的声压级，dB（A）；</w:t>
            </w:r>
          </w:p>
          <w:p w14:paraId="2E99AB69">
            <w:pPr>
              <w:pStyle w:val="19"/>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N—室内声源总数；</w:t>
            </w:r>
          </w:p>
          <w:p w14:paraId="123849B5">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③计算出室外靠近围护结构处的声压级</w:t>
            </w:r>
          </w:p>
          <w:p w14:paraId="4730D320">
            <w:pPr>
              <w:pStyle w:val="19"/>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685925" cy="228600"/>
                  <wp:effectExtent l="0" t="0" r="9525"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pic:cNvPicPr>
                            <a:picLocks noChangeAspect="1"/>
                          </pic:cNvPicPr>
                        </pic:nvPicPr>
                        <pic:blipFill>
                          <a:blip r:embed="rId14"/>
                          <a:stretch>
                            <a:fillRect/>
                          </a:stretch>
                        </pic:blipFill>
                        <pic:spPr>
                          <a:xfrm>
                            <a:off x="0" y="0"/>
                            <a:ext cx="1685925" cy="228600"/>
                          </a:xfrm>
                          <a:prstGeom prst="rect">
                            <a:avLst/>
                          </a:prstGeom>
                          <a:noFill/>
                          <a:ln>
                            <a:noFill/>
                          </a:ln>
                        </pic:spPr>
                      </pic:pic>
                    </a:graphicData>
                  </a:graphic>
                </wp:inline>
              </w:drawing>
            </w:r>
          </w:p>
          <w:p w14:paraId="6828BF63">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lang w:val="en-US" w:eastAsia="zh-CN"/>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P2i</w:t>
            </w:r>
            <w:r>
              <w:rPr>
                <w:rFonts w:hint="default" w:ascii="Times New Roman" w:hAnsi="Times New Roman" w:eastAsia="宋体" w:cs="Times New Roman"/>
                <w:color w:val="auto"/>
                <w:sz w:val="24"/>
                <w:szCs w:val="24"/>
                <w:highlight w:val="none"/>
              </w:rPr>
              <w:t>（T）—靠近围护结构处N个室外声源产生的i倍频带的叠加声压级，</w:t>
            </w:r>
          </w:p>
        </w:tc>
      </w:tr>
    </w:tbl>
    <w:p w14:paraId="002C895C">
      <w:pPr>
        <w:spacing w:after="240" w:afterLines="100"/>
        <w:outlineLvl w:val="0"/>
        <w:rPr>
          <w:rFonts w:hint="default" w:ascii="Times New Roman" w:hAnsi="Times New Roman" w:cs="Times New Roman"/>
          <w:b/>
          <w:color w:val="auto"/>
          <w:sz w:val="30"/>
          <w:szCs w:val="30"/>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tbl>
      <w:tblPr>
        <w:tblStyle w:val="37"/>
        <w:tblW w:w="1478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4277"/>
      </w:tblGrid>
      <w:tr w14:paraId="40A070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2" w:hRule="atLeast"/>
          <w:jc w:val="center"/>
        </w:trPr>
        <w:tc>
          <w:tcPr>
            <w:tcW w:w="508" w:type="dxa"/>
            <w:tcMar>
              <w:left w:w="28" w:type="dxa"/>
              <w:right w:w="28" w:type="dxa"/>
            </w:tcMar>
            <w:vAlign w:val="center"/>
          </w:tcPr>
          <w:p w14:paraId="5F1A95D7">
            <w:pPr>
              <w:pStyle w:val="34"/>
              <w:adjustRightInd w:val="0"/>
              <w:snapToGrid w:val="0"/>
              <w:spacing w:before="0" w:beforeAutospacing="0" w:after="0" w:afterAutospacing="0"/>
              <w:jc w:val="center"/>
              <w:rPr>
                <w:rFonts w:ascii="Times New Roman" w:hAnsi="Times New Roman"/>
                <w:bCs/>
                <w:color w:val="auto"/>
                <w:kern w:val="2"/>
                <w:sz w:val="21"/>
                <w:szCs w:val="21"/>
              </w:rPr>
            </w:pPr>
          </w:p>
        </w:tc>
        <w:tc>
          <w:tcPr>
            <w:tcW w:w="14277" w:type="dxa"/>
            <w:vAlign w:val="center"/>
          </w:tcPr>
          <w:p w14:paraId="31A2647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8</w:t>
            </w:r>
            <w:r>
              <w:rPr>
                <w:rFonts w:hint="eastAsia"/>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eastAsia="zh-CN"/>
              </w:rPr>
              <w:t>工业企业噪声源强调查清单（室</w:t>
            </w:r>
            <w:r>
              <w:rPr>
                <w:rFonts w:hint="eastAsia" w:cs="Times New Roman"/>
                <w:b/>
                <w:bCs/>
                <w:color w:val="auto"/>
                <w:sz w:val="21"/>
                <w:szCs w:val="21"/>
                <w:highlight w:val="none"/>
                <w:lang w:eastAsia="zh-CN"/>
              </w:rPr>
              <w:t>内</w:t>
            </w:r>
            <w:r>
              <w:rPr>
                <w:rFonts w:hint="default" w:ascii="Times New Roman" w:hAnsi="Times New Roman" w:eastAsia="宋体" w:cs="Times New Roman"/>
                <w:b/>
                <w:bCs/>
                <w:color w:val="auto"/>
                <w:sz w:val="21"/>
                <w:szCs w:val="21"/>
                <w:highlight w:val="none"/>
                <w:lang w:eastAsia="zh-CN"/>
              </w:rPr>
              <w:t>声源）</w:t>
            </w:r>
          </w:p>
          <w:tbl>
            <w:tblPr>
              <w:tblStyle w:val="37"/>
              <w:tblW w:w="137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7"/>
              <w:gridCol w:w="553"/>
              <w:gridCol w:w="524"/>
              <w:gridCol w:w="387"/>
              <w:gridCol w:w="633"/>
              <w:gridCol w:w="537"/>
              <w:gridCol w:w="594"/>
              <w:gridCol w:w="594"/>
              <w:gridCol w:w="604"/>
              <w:gridCol w:w="493"/>
              <w:gridCol w:w="493"/>
              <w:gridCol w:w="493"/>
              <w:gridCol w:w="503"/>
              <w:gridCol w:w="486"/>
              <w:gridCol w:w="486"/>
              <w:gridCol w:w="486"/>
              <w:gridCol w:w="498"/>
              <w:gridCol w:w="551"/>
              <w:gridCol w:w="340"/>
              <w:gridCol w:w="469"/>
              <w:gridCol w:w="469"/>
              <w:gridCol w:w="480"/>
              <w:gridCol w:w="500"/>
              <w:gridCol w:w="500"/>
              <w:gridCol w:w="500"/>
              <w:gridCol w:w="500"/>
              <w:gridCol w:w="713"/>
            </w:tblGrid>
            <w:tr w14:paraId="5ED3E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387" w:type="dxa"/>
                  <w:vMerge w:val="restart"/>
                  <w:tcBorders>
                    <w:tl2br w:val="nil"/>
                    <w:tr2bl w:val="nil"/>
                  </w:tcBorders>
                  <w:vAlign w:val="center"/>
                </w:tcPr>
                <w:p w14:paraId="18A258CC">
                  <w:pPr>
                    <w:jc w:val="center"/>
                    <w:rPr>
                      <w:rFonts w:hint="default" w:ascii="Times New Roman" w:hAnsi="Times New Roman" w:cs="Times New Roman" w:eastAsiaTheme="minorEastAsia"/>
                      <w:color w:val="auto"/>
                      <w:sz w:val="21"/>
                      <w:szCs w:val="21"/>
                    </w:rPr>
                  </w:pPr>
                  <w:bookmarkStart w:id="0" w:name="PT_6"/>
                  <w:r>
                    <w:rPr>
                      <w:rFonts w:hint="default" w:ascii="Times New Roman" w:hAnsi="Times New Roman" w:cs="Times New Roman" w:eastAsiaTheme="minorEastAsia"/>
                      <w:b/>
                      <w:color w:val="auto"/>
                      <w:sz w:val="21"/>
                      <w:szCs w:val="21"/>
                    </w:rPr>
                    <w:t>序号</w:t>
                  </w:r>
                </w:p>
              </w:tc>
              <w:tc>
                <w:tcPr>
                  <w:tcW w:w="553" w:type="dxa"/>
                  <w:vMerge w:val="restart"/>
                  <w:tcBorders>
                    <w:tl2br w:val="nil"/>
                    <w:tr2bl w:val="nil"/>
                  </w:tcBorders>
                  <w:vAlign w:val="center"/>
                </w:tcPr>
                <w:p w14:paraId="48642FC4">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建筑物名称</w:t>
                  </w:r>
                </w:p>
              </w:tc>
              <w:tc>
                <w:tcPr>
                  <w:tcW w:w="524" w:type="dxa"/>
                  <w:vMerge w:val="restart"/>
                  <w:tcBorders>
                    <w:tl2br w:val="nil"/>
                    <w:tr2bl w:val="nil"/>
                  </w:tcBorders>
                  <w:vAlign w:val="center"/>
                </w:tcPr>
                <w:p w14:paraId="61E35E25">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声源名称</w:t>
                  </w:r>
                </w:p>
              </w:tc>
              <w:tc>
                <w:tcPr>
                  <w:tcW w:w="387" w:type="dxa"/>
                  <w:vMerge w:val="restart"/>
                  <w:tcBorders>
                    <w:tl2br w:val="nil"/>
                    <w:tr2bl w:val="nil"/>
                  </w:tcBorders>
                  <w:vAlign w:val="center"/>
                </w:tcPr>
                <w:p w14:paraId="21F70E52">
                  <w:pPr>
                    <w:jc w:val="center"/>
                    <w:rPr>
                      <w:rFonts w:hint="eastAsia" w:ascii="Times New Roman" w:hAnsi="Times New Roman" w:cs="Times New Roman" w:eastAsiaTheme="minorEastAsia"/>
                      <w:color w:val="auto"/>
                      <w:sz w:val="21"/>
                      <w:szCs w:val="21"/>
                      <w:lang w:eastAsia="zh-CN"/>
                    </w:rPr>
                  </w:pPr>
                  <w:r>
                    <w:rPr>
                      <w:rFonts w:hint="eastAsia" w:cs="Times New Roman" w:eastAsiaTheme="minorEastAsia"/>
                      <w:b/>
                      <w:color w:val="auto"/>
                      <w:sz w:val="21"/>
                      <w:szCs w:val="21"/>
                      <w:lang w:val="en-US" w:eastAsia="zh-CN"/>
                    </w:rPr>
                    <w:t>数量</w:t>
                  </w:r>
                </w:p>
              </w:tc>
              <w:tc>
                <w:tcPr>
                  <w:tcW w:w="633" w:type="dxa"/>
                  <w:tcBorders>
                    <w:tl2br w:val="nil"/>
                    <w:tr2bl w:val="nil"/>
                  </w:tcBorders>
                  <w:vAlign w:val="center"/>
                </w:tcPr>
                <w:p w14:paraId="2DB28C2F">
                  <w:pPr>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b/>
                      <w:color w:val="auto"/>
                      <w:sz w:val="21"/>
                      <w:szCs w:val="21"/>
                      <w:lang w:eastAsia="zh-CN"/>
                    </w:rPr>
                    <w:t>声</w:t>
                  </w:r>
                  <w:r>
                    <w:rPr>
                      <w:rFonts w:hint="eastAsia" w:cs="Times New Roman" w:eastAsiaTheme="minorEastAsia"/>
                      <w:b/>
                      <w:color w:val="auto"/>
                      <w:sz w:val="21"/>
                      <w:szCs w:val="21"/>
                      <w:lang w:eastAsia="zh-CN"/>
                    </w:rPr>
                    <w:t>源</w:t>
                  </w:r>
                  <w:r>
                    <w:rPr>
                      <w:rFonts w:hint="default" w:ascii="Times New Roman" w:hAnsi="Times New Roman" w:cs="Times New Roman" w:eastAsiaTheme="minorEastAsia"/>
                      <w:b/>
                      <w:color w:val="auto"/>
                      <w:sz w:val="21"/>
                      <w:szCs w:val="21"/>
                      <w:lang w:eastAsia="zh-CN"/>
                    </w:rPr>
                    <w:t>强</w:t>
                  </w:r>
                </w:p>
              </w:tc>
              <w:tc>
                <w:tcPr>
                  <w:tcW w:w="537" w:type="dxa"/>
                  <w:vMerge w:val="restart"/>
                  <w:tcBorders>
                    <w:tl2br w:val="nil"/>
                    <w:tr2bl w:val="nil"/>
                  </w:tcBorders>
                  <w:vAlign w:val="center"/>
                </w:tcPr>
                <w:p w14:paraId="15C22430">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声源控制措施</w:t>
                  </w:r>
                </w:p>
              </w:tc>
              <w:tc>
                <w:tcPr>
                  <w:tcW w:w="1792" w:type="dxa"/>
                  <w:gridSpan w:val="3"/>
                  <w:tcBorders>
                    <w:tl2br w:val="nil"/>
                    <w:tr2bl w:val="nil"/>
                  </w:tcBorders>
                  <w:vAlign w:val="center"/>
                </w:tcPr>
                <w:p w14:paraId="68443451">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空间相对位置/m</w:t>
                  </w:r>
                </w:p>
              </w:tc>
              <w:tc>
                <w:tcPr>
                  <w:tcW w:w="1982" w:type="dxa"/>
                  <w:gridSpan w:val="4"/>
                  <w:tcBorders>
                    <w:tl2br w:val="nil"/>
                    <w:tr2bl w:val="nil"/>
                  </w:tcBorders>
                  <w:vAlign w:val="center"/>
                </w:tcPr>
                <w:p w14:paraId="56EC3EAB">
                  <w:pPr>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距室内边界距离/m</w:t>
                  </w:r>
                </w:p>
              </w:tc>
              <w:tc>
                <w:tcPr>
                  <w:tcW w:w="1956" w:type="dxa"/>
                  <w:gridSpan w:val="4"/>
                  <w:tcBorders>
                    <w:tl2br w:val="nil"/>
                    <w:tr2bl w:val="nil"/>
                  </w:tcBorders>
                  <w:vAlign w:val="center"/>
                </w:tcPr>
                <w:p w14:paraId="1309E09F">
                  <w:pPr>
                    <w:jc w:val="center"/>
                    <w:rPr>
                      <w:rFonts w:hint="eastAsia" w:ascii="Times New Roman" w:hAnsi="Times New Roman" w:cs="Times New Roman" w:eastAsiaTheme="minorEastAsia"/>
                      <w:b/>
                      <w:color w:val="auto"/>
                      <w:sz w:val="21"/>
                      <w:szCs w:val="21"/>
                      <w:lang w:eastAsia="zh-CN"/>
                    </w:rPr>
                  </w:pPr>
                  <w:r>
                    <w:rPr>
                      <w:rFonts w:hint="default" w:ascii="Times New Roman" w:hAnsi="Times New Roman" w:cs="Times New Roman" w:eastAsiaTheme="minorEastAsia"/>
                      <w:b/>
                      <w:color w:val="auto"/>
                      <w:sz w:val="21"/>
                      <w:szCs w:val="21"/>
                    </w:rPr>
                    <w:t>室内边界声级/dB</w:t>
                  </w:r>
                  <w:r>
                    <w:rPr>
                      <w:rFonts w:hint="eastAsia" w:cs="Times New Roman" w:eastAsiaTheme="minorEastAsia"/>
                      <w:b/>
                      <w:color w:val="auto"/>
                      <w:sz w:val="21"/>
                      <w:szCs w:val="21"/>
                      <w:lang w:eastAsia="zh-CN"/>
                    </w:rPr>
                    <w:t>（</w:t>
                  </w:r>
                  <w:r>
                    <w:rPr>
                      <w:rFonts w:hint="default" w:ascii="Times New Roman" w:hAnsi="Times New Roman" w:cs="Times New Roman" w:eastAsiaTheme="minorEastAsia"/>
                      <w:b/>
                      <w:color w:val="auto"/>
                      <w:sz w:val="21"/>
                      <w:szCs w:val="21"/>
                    </w:rPr>
                    <w:t>A</w:t>
                  </w:r>
                  <w:r>
                    <w:rPr>
                      <w:rFonts w:hint="eastAsia" w:cs="Times New Roman" w:eastAsiaTheme="minorEastAsia"/>
                      <w:b/>
                      <w:color w:val="auto"/>
                      <w:sz w:val="21"/>
                      <w:szCs w:val="21"/>
                      <w:lang w:eastAsia="zh-CN"/>
                    </w:rPr>
                    <w:t>）</w:t>
                  </w:r>
                </w:p>
              </w:tc>
              <w:tc>
                <w:tcPr>
                  <w:tcW w:w="551" w:type="dxa"/>
                  <w:vMerge w:val="restart"/>
                  <w:tcBorders>
                    <w:tl2br w:val="nil"/>
                    <w:tr2bl w:val="nil"/>
                  </w:tcBorders>
                  <w:vAlign w:val="center"/>
                </w:tcPr>
                <w:p w14:paraId="210097B6">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b/>
                      <w:color w:val="auto"/>
                      <w:sz w:val="21"/>
                      <w:szCs w:val="21"/>
                    </w:rPr>
                    <w:t>运行时段</w:t>
                  </w:r>
                </w:p>
              </w:tc>
              <w:tc>
                <w:tcPr>
                  <w:tcW w:w="1758" w:type="dxa"/>
                  <w:gridSpan w:val="4"/>
                  <w:tcBorders>
                    <w:tl2br w:val="nil"/>
                    <w:tr2bl w:val="nil"/>
                  </w:tcBorders>
                  <w:vAlign w:val="center"/>
                </w:tcPr>
                <w:p w14:paraId="4BA1AF88">
                  <w:pPr>
                    <w:jc w:val="center"/>
                    <w:rPr>
                      <w:rFonts w:hint="eastAsia" w:ascii="Times New Roman" w:hAnsi="Times New Roman" w:cs="Times New Roman" w:eastAsiaTheme="minorEastAsia"/>
                      <w:b/>
                      <w:color w:val="auto"/>
                      <w:sz w:val="21"/>
                      <w:szCs w:val="21"/>
                      <w:lang w:eastAsia="zh-CN"/>
                    </w:rPr>
                  </w:pPr>
                  <w:r>
                    <w:rPr>
                      <w:rFonts w:hint="default" w:ascii="Times New Roman" w:hAnsi="Times New Roman" w:cs="Times New Roman" w:eastAsiaTheme="minorEastAsia"/>
                      <w:b/>
                      <w:color w:val="auto"/>
                      <w:sz w:val="21"/>
                      <w:szCs w:val="21"/>
                    </w:rPr>
                    <w:t>建筑物插入损失 / dB</w:t>
                  </w:r>
                  <w:r>
                    <w:rPr>
                      <w:rFonts w:hint="eastAsia" w:cs="Times New Roman" w:eastAsiaTheme="minorEastAsia"/>
                      <w:b/>
                      <w:color w:val="auto"/>
                      <w:sz w:val="21"/>
                      <w:szCs w:val="21"/>
                      <w:lang w:eastAsia="zh-CN"/>
                    </w:rPr>
                    <w:t>（</w:t>
                  </w:r>
                  <w:r>
                    <w:rPr>
                      <w:rFonts w:hint="default" w:ascii="Times New Roman" w:hAnsi="Times New Roman" w:cs="Times New Roman" w:eastAsiaTheme="minorEastAsia"/>
                      <w:b/>
                      <w:color w:val="auto"/>
                      <w:sz w:val="21"/>
                      <w:szCs w:val="21"/>
                    </w:rPr>
                    <w:t>A</w:t>
                  </w:r>
                  <w:bookmarkStart w:id="1" w:name="PT_10"/>
                  <w:bookmarkEnd w:id="1"/>
                  <w:r>
                    <w:rPr>
                      <w:rFonts w:hint="eastAsia" w:cs="Times New Roman" w:eastAsiaTheme="minorEastAsia"/>
                      <w:b/>
                      <w:color w:val="auto"/>
                      <w:sz w:val="21"/>
                      <w:szCs w:val="21"/>
                      <w:lang w:eastAsia="zh-CN"/>
                    </w:rPr>
                    <w:t>）</w:t>
                  </w:r>
                </w:p>
              </w:tc>
              <w:tc>
                <w:tcPr>
                  <w:tcW w:w="2713" w:type="dxa"/>
                  <w:gridSpan w:val="5"/>
                  <w:tcBorders>
                    <w:tl2br w:val="nil"/>
                    <w:tr2bl w:val="nil"/>
                  </w:tcBorders>
                  <w:vAlign w:val="center"/>
                </w:tcPr>
                <w:p w14:paraId="17C4FB82">
                  <w:pPr>
                    <w:jc w:val="center"/>
                    <w:rPr>
                      <w:rFonts w:hint="eastAsia" w:ascii="Times New Roman" w:hAnsi="Times New Roman" w:cs="Times New Roman" w:eastAsiaTheme="minorEastAsia"/>
                      <w:b/>
                      <w:bCs w:val="0"/>
                      <w:color w:val="auto"/>
                      <w:sz w:val="21"/>
                      <w:szCs w:val="21"/>
                      <w:lang w:eastAsia="zh-CN"/>
                    </w:rPr>
                  </w:pPr>
                  <w:r>
                    <w:rPr>
                      <w:rFonts w:hint="default" w:ascii="Times New Roman" w:hAnsi="Times New Roman" w:cs="Times New Roman" w:eastAsiaTheme="minorEastAsia"/>
                      <w:b/>
                      <w:bCs w:val="0"/>
                      <w:color w:val="auto"/>
                      <w:sz w:val="21"/>
                      <w:szCs w:val="21"/>
                    </w:rPr>
                    <w:t>建筑物外噪声声压级/dB</w:t>
                  </w:r>
                  <w:r>
                    <w:rPr>
                      <w:rFonts w:hint="eastAsia" w:cs="Times New Roman" w:eastAsiaTheme="minorEastAsia"/>
                      <w:b/>
                      <w:bCs w:val="0"/>
                      <w:color w:val="auto"/>
                      <w:sz w:val="21"/>
                      <w:szCs w:val="21"/>
                      <w:lang w:eastAsia="zh-CN"/>
                    </w:rPr>
                    <w:t>（</w:t>
                  </w:r>
                  <w:r>
                    <w:rPr>
                      <w:rFonts w:hint="default" w:ascii="Times New Roman" w:hAnsi="Times New Roman" w:cs="Times New Roman" w:eastAsiaTheme="minorEastAsia"/>
                      <w:b/>
                      <w:bCs w:val="0"/>
                      <w:color w:val="auto"/>
                      <w:sz w:val="21"/>
                      <w:szCs w:val="21"/>
                    </w:rPr>
                    <w:t>A</w:t>
                  </w:r>
                  <w:r>
                    <w:rPr>
                      <w:rFonts w:hint="eastAsia" w:cs="Times New Roman" w:eastAsiaTheme="minorEastAsia"/>
                      <w:b/>
                      <w:bCs w:val="0"/>
                      <w:color w:val="auto"/>
                      <w:sz w:val="21"/>
                      <w:szCs w:val="21"/>
                      <w:lang w:eastAsia="zh-CN"/>
                    </w:rPr>
                    <w:t>）</w:t>
                  </w:r>
                </w:p>
              </w:tc>
            </w:tr>
            <w:tr w14:paraId="3E770E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015" w:hRule="atLeast"/>
                <w:jc w:val="center"/>
              </w:trPr>
              <w:tc>
                <w:tcPr>
                  <w:tcW w:w="387" w:type="dxa"/>
                  <w:vMerge w:val="continue"/>
                  <w:tcBorders>
                    <w:tl2br w:val="nil"/>
                    <w:tr2bl w:val="nil"/>
                  </w:tcBorders>
                  <w:shd w:val="clear" w:color="auto" w:fill="FFFFFF"/>
                  <w:tcMar>
                    <w:top w:w="0" w:type="dxa"/>
                    <w:left w:w="0" w:type="dxa"/>
                    <w:bottom w:w="0" w:type="dxa"/>
                    <w:right w:w="0" w:type="dxa"/>
                  </w:tcMar>
                  <w:vAlign w:val="center"/>
                </w:tcPr>
                <w:p w14:paraId="4EE8D6E9">
                  <w:pPr>
                    <w:jc w:val="center"/>
                    <w:rPr>
                      <w:rFonts w:hint="default" w:ascii="Times New Roman" w:hAnsi="Times New Roman" w:cs="Times New Roman" w:eastAsiaTheme="minorEastAsia"/>
                      <w:color w:val="auto"/>
                      <w:sz w:val="21"/>
                      <w:szCs w:val="21"/>
                      <w:lang w:val="en-US" w:eastAsia="zh-CN"/>
                    </w:rPr>
                  </w:pPr>
                </w:p>
              </w:tc>
              <w:tc>
                <w:tcPr>
                  <w:tcW w:w="553" w:type="dxa"/>
                  <w:vMerge w:val="continue"/>
                  <w:tcBorders>
                    <w:tl2br w:val="nil"/>
                    <w:tr2bl w:val="nil"/>
                  </w:tcBorders>
                  <w:shd w:val="clear" w:color="auto" w:fill="FFFFFF"/>
                  <w:tcMar>
                    <w:top w:w="0" w:type="dxa"/>
                    <w:left w:w="0" w:type="dxa"/>
                    <w:bottom w:w="0" w:type="dxa"/>
                    <w:right w:w="0" w:type="dxa"/>
                  </w:tcMar>
                  <w:vAlign w:val="center"/>
                </w:tcPr>
                <w:p w14:paraId="76501FA0">
                  <w:pPr>
                    <w:jc w:val="center"/>
                    <w:rPr>
                      <w:rFonts w:hint="default" w:ascii="Times New Roman" w:hAnsi="Times New Roman" w:cs="Times New Roman" w:eastAsiaTheme="minorEastAsia"/>
                      <w:color w:val="auto"/>
                      <w:sz w:val="21"/>
                      <w:szCs w:val="21"/>
                    </w:rPr>
                  </w:pPr>
                </w:p>
              </w:tc>
              <w:tc>
                <w:tcPr>
                  <w:tcW w:w="524" w:type="dxa"/>
                  <w:vMerge w:val="continue"/>
                  <w:tcBorders>
                    <w:tl2br w:val="nil"/>
                    <w:tr2bl w:val="nil"/>
                  </w:tcBorders>
                  <w:shd w:val="clear" w:color="auto" w:fill="FFFFFF"/>
                  <w:tcMar>
                    <w:top w:w="0" w:type="dxa"/>
                    <w:left w:w="0" w:type="dxa"/>
                    <w:bottom w:w="0" w:type="dxa"/>
                    <w:right w:w="0" w:type="dxa"/>
                  </w:tcMar>
                  <w:vAlign w:val="center"/>
                </w:tcPr>
                <w:p w14:paraId="5EC358FE">
                  <w:pPr>
                    <w:jc w:val="center"/>
                    <w:rPr>
                      <w:rFonts w:hint="default" w:ascii="Times New Roman" w:hAnsi="Times New Roman" w:cs="Times New Roman" w:eastAsiaTheme="minorEastAsia"/>
                      <w:color w:val="auto"/>
                      <w:sz w:val="21"/>
                      <w:szCs w:val="21"/>
                    </w:rPr>
                  </w:pPr>
                </w:p>
              </w:tc>
              <w:tc>
                <w:tcPr>
                  <w:tcW w:w="387" w:type="dxa"/>
                  <w:vMerge w:val="continue"/>
                  <w:tcBorders>
                    <w:tl2br w:val="nil"/>
                    <w:tr2bl w:val="nil"/>
                  </w:tcBorders>
                  <w:shd w:val="clear" w:color="auto" w:fill="FFFFFF"/>
                  <w:tcMar>
                    <w:top w:w="0" w:type="dxa"/>
                    <w:left w:w="0" w:type="dxa"/>
                    <w:bottom w:w="0" w:type="dxa"/>
                    <w:right w:w="0" w:type="dxa"/>
                  </w:tcMar>
                  <w:vAlign w:val="center"/>
                </w:tcPr>
                <w:p w14:paraId="0A8C8B39">
                  <w:pPr>
                    <w:jc w:val="center"/>
                    <w:rPr>
                      <w:rFonts w:hint="default" w:ascii="Times New Roman" w:hAnsi="Times New Roman" w:cs="Times New Roman" w:eastAsiaTheme="minorEastAsia"/>
                      <w:color w:val="auto"/>
                      <w:sz w:val="21"/>
                      <w:szCs w:val="21"/>
                    </w:rPr>
                  </w:pPr>
                </w:p>
              </w:tc>
              <w:tc>
                <w:tcPr>
                  <w:tcW w:w="633" w:type="dxa"/>
                  <w:tcBorders>
                    <w:tl2br w:val="nil"/>
                    <w:tr2bl w:val="nil"/>
                  </w:tcBorders>
                  <w:shd w:val="clear" w:color="auto" w:fill="FFFFFF"/>
                  <w:tcMar>
                    <w:top w:w="0" w:type="dxa"/>
                    <w:left w:w="0" w:type="dxa"/>
                    <w:bottom w:w="0" w:type="dxa"/>
                    <w:right w:w="0" w:type="dxa"/>
                  </w:tcMar>
                  <w:vAlign w:val="center"/>
                </w:tcPr>
                <w:p w14:paraId="6BB891B4">
                  <w:pPr>
                    <w:jc w:val="center"/>
                    <w:rPr>
                      <w:rFonts w:hint="eastAsia" w:ascii="Times New Roman" w:hAnsi="Times New Roman" w:cs="Times New Roman" w:eastAsiaTheme="minorEastAsia"/>
                      <w:color w:val="auto"/>
                      <w:sz w:val="21"/>
                      <w:szCs w:val="21"/>
                      <w:lang w:eastAsia="zh-CN"/>
                    </w:rPr>
                  </w:pPr>
                  <w:r>
                    <w:rPr>
                      <w:rFonts w:hint="eastAsia" w:cs="Times New Roman" w:eastAsiaTheme="minorEastAsia"/>
                      <w:color w:val="auto"/>
                      <w:sz w:val="21"/>
                      <w:szCs w:val="21"/>
                      <w:lang w:val="en-US" w:eastAsia="zh-CN"/>
                    </w:rPr>
                    <w:t>等效后</w:t>
                  </w:r>
                  <w:r>
                    <w:rPr>
                      <w:rFonts w:hint="default" w:ascii="Times New Roman" w:hAnsi="Times New Roman" w:cs="Times New Roman" w:eastAsiaTheme="minorEastAsia"/>
                      <w:color w:val="auto"/>
                      <w:sz w:val="21"/>
                      <w:szCs w:val="21"/>
                    </w:rPr>
                    <w:t>声功率级/dB</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A</w:t>
                  </w:r>
                  <w:r>
                    <w:rPr>
                      <w:rFonts w:hint="eastAsia" w:cs="Times New Roman" w:eastAsiaTheme="minorEastAsia"/>
                      <w:color w:val="auto"/>
                      <w:sz w:val="21"/>
                      <w:szCs w:val="21"/>
                      <w:lang w:eastAsia="zh-CN"/>
                    </w:rPr>
                    <w:t>）</w:t>
                  </w:r>
                </w:p>
              </w:tc>
              <w:tc>
                <w:tcPr>
                  <w:tcW w:w="537" w:type="dxa"/>
                  <w:vMerge w:val="continue"/>
                  <w:tcBorders>
                    <w:tl2br w:val="nil"/>
                    <w:tr2bl w:val="nil"/>
                  </w:tcBorders>
                  <w:shd w:val="clear" w:color="auto" w:fill="FFFFFF"/>
                  <w:tcMar>
                    <w:top w:w="0" w:type="dxa"/>
                    <w:left w:w="0" w:type="dxa"/>
                    <w:bottom w:w="0" w:type="dxa"/>
                    <w:right w:w="0" w:type="dxa"/>
                  </w:tcMar>
                  <w:vAlign w:val="center"/>
                </w:tcPr>
                <w:p w14:paraId="1F9E2419">
                  <w:pPr>
                    <w:jc w:val="center"/>
                    <w:rPr>
                      <w:rFonts w:hint="default" w:ascii="Times New Roman" w:hAnsi="Times New Roman" w:cs="Times New Roman" w:eastAsiaTheme="minorEastAsia"/>
                      <w:color w:val="auto"/>
                      <w:sz w:val="21"/>
                      <w:szCs w:val="21"/>
                    </w:rPr>
                  </w:pPr>
                </w:p>
              </w:tc>
              <w:tc>
                <w:tcPr>
                  <w:tcW w:w="594" w:type="dxa"/>
                  <w:tcBorders>
                    <w:tl2br w:val="nil"/>
                    <w:tr2bl w:val="nil"/>
                  </w:tcBorders>
                  <w:shd w:val="clear" w:color="auto" w:fill="FFFFFF"/>
                  <w:tcMar>
                    <w:top w:w="0" w:type="dxa"/>
                    <w:left w:w="0" w:type="dxa"/>
                    <w:bottom w:w="0" w:type="dxa"/>
                    <w:right w:w="0" w:type="dxa"/>
                  </w:tcMar>
                  <w:vAlign w:val="center"/>
                </w:tcPr>
                <w:p w14:paraId="3AF45D05">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X</w:t>
                  </w:r>
                </w:p>
              </w:tc>
              <w:tc>
                <w:tcPr>
                  <w:tcW w:w="594" w:type="dxa"/>
                  <w:tcBorders>
                    <w:tl2br w:val="nil"/>
                    <w:tr2bl w:val="nil"/>
                  </w:tcBorders>
                  <w:shd w:val="clear" w:color="auto" w:fill="FFFFFF"/>
                  <w:tcMar>
                    <w:top w:w="0" w:type="dxa"/>
                    <w:left w:w="0" w:type="dxa"/>
                    <w:bottom w:w="0" w:type="dxa"/>
                    <w:right w:w="0" w:type="dxa"/>
                  </w:tcMar>
                  <w:vAlign w:val="center"/>
                </w:tcPr>
                <w:p w14:paraId="0FB226EF">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Y</w:t>
                  </w:r>
                </w:p>
              </w:tc>
              <w:tc>
                <w:tcPr>
                  <w:tcW w:w="604" w:type="dxa"/>
                  <w:tcBorders>
                    <w:tl2br w:val="nil"/>
                    <w:tr2bl w:val="nil"/>
                  </w:tcBorders>
                  <w:shd w:val="clear" w:color="auto" w:fill="FFFFFF"/>
                  <w:tcMar>
                    <w:top w:w="0" w:type="dxa"/>
                    <w:left w:w="0" w:type="dxa"/>
                    <w:bottom w:w="0" w:type="dxa"/>
                    <w:right w:w="0" w:type="dxa"/>
                  </w:tcMar>
                  <w:vAlign w:val="center"/>
                </w:tcPr>
                <w:p w14:paraId="5CD5445D">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Z</w:t>
                  </w:r>
                </w:p>
              </w:tc>
              <w:tc>
                <w:tcPr>
                  <w:tcW w:w="493" w:type="dxa"/>
                  <w:tcBorders>
                    <w:tl2br w:val="nil"/>
                    <w:tr2bl w:val="nil"/>
                  </w:tcBorders>
                  <w:shd w:val="clear" w:color="auto" w:fill="FFFFFF"/>
                  <w:tcMar>
                    <w:top w:w="0" w:type="dxa"/>
                    <w:left w:w="0" w:type="dxa"/>
                    <w:bottom w:w="0" w:type="dxa"/>
                    <w:right w:w="0" w:type="dxa"/>
                  </w:tcMar>
                  <w:vAlign w:val="center"/>
                </w:tcPr>
                <w:p w14:paraId="146A93A9">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东</w:t>
                  </w:r>
                </w:p>
              </w:tc>
              <w:tc>
                <w:tcPr>
                  <w:tcW w:w="493" w:type="dxa"/>
                  <w:tcBorders>
                    <w:tl2br w:val="nil"/>
                    <w:tr2bl w:val="nil"/>
                  </w:tcBorders>
                  <w:shd w:val="clear" w:color="auto" w:fill="FFFFFF"/>
                  <w:tcMar>
                    <w:top w:w="0" w:type="dxa"/>
                    <w:left w:w="0" w:type="dxa"/>
                    <w:bottom w:w="0" w:type="dxa"/>
                    <w:right w:w="0" w:type="dxa"/>
                  </w:tcMar>
                  <w:vAlign w:val="center"/>
                </w:tcPr>
                <w:p w14:paraId="753337EC">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南</w:t>
                  </w:r>
                </w:p>
              </w:tc>
              <w:tc>
                <w:tcPr>
                  <w:tcW w:w="493" w:type="dxa"/>
                  <w:tcBorders>
                    <w:tl2br w:val="nil"/>
                    <w:tr2bl w:val="nil"/>
                  </w:tcBorders>
                  <w:shd w:val="clear" w:color="auto" w:fill="FFFFFF"/>
                  <w:tcMar>
                    <w:top w:w="0" w:type="dxa"/>
                    <w:left w:w="0" w:type="dxa"/>
                    <w:bottom w:w="0" w:type="dxa"/>
                    <w:right w:w="0" w:type="dxa"/>
                  </w:tcMar>
                  <w:vAlign w:val="center"/>
                </w:tcPr>
                <w:p w14:paraId="30F3BB25">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西</w:t>
                  </w:r>
                </w:p>
              </w:tc>
              <w:tc>
                <w:tcPr>
                  <w:tcW w:w="503" w:type="dxa"/>
                  <w:tcBorders>
                    <w:tl2br w:val="nil"/>
                    <w:tr2bl w:val="nil"/>
                  </w:tcBorders>
                  <w:shd w:val="clear" w:color="auto" w:fill="FFFFFF"/>
                  <w:tcMar>
                    <w:top w:w="0" w:type="dxa"/>
                    <w:left w:w="0" w:type="dxa"/>
                    <w:bottom w:w="0" w:type="dxa"/>
                    <w:right w:w="0" w:type="dxa"/>
                  </w:tcMar>
                  <w:vAlign w:val="center"/>
                </w:tcPr>
                <w:p w14:paraId="39C2850D">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北</w:t>
                  </w:r>
                </w:p>
              </w:tc>
              <w:tc>
                <w:tcPr>
                  <w:tcW w:w="486" w:type="dxa"/>
                  <w:tcBorders>
                    <w:tl2br w:val="nil"/>
                    <w:tr2bl w:val="nil"/>
                  </w:tcBorders>
                  <w:shd w:val="clear" w:color="auto" w:fill="FFFFFF"/>
                  <w:tcMar>
                    <w:top w:w="0" w:type="dxa"/>
                    <w:left w:w="0" w:type="dxa"/>
                    <w:bottom w:w="0" w:type="dxa"/>
                    <w:right w:w="0" w:type="dxa"/>
                  </w:tcMar>
                  <w:vAlign w:val="center"/>
                </w:tcPr>
                <w:p w14:paraId="155435FA">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东</w:t>
                  </w:r>
                </w:p>
              </w:tc>
              <w:tc>
                <w:tcPr>
                  <w:tcW w:w="486" w:type="dxa"/>
                  <w:tcBorders>
                    <w:tl2br w:val="nil"/>
                    <w:tr2bl w:val="nil"/>
                  </w:tcBorders>
                  <w:shd w:val="clear" w:color="auto" w:fill="FFFFFF"/>
                  <w:tcMar>
                    <w:top w:w="0" w:type="dxa"/>
                    <w:left w:w="0" w:type="dxa"/>
                    <w:bottom w:w="0" w:type="dxa"/>
                    <w:right w:w="0" w:type="dxa"/>
                  </w:tcMar>
                  <w:vAlign w:val="center"/>
                </w:tcPr>
                <w:p w14:paraId="63D83E5C">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南</w:t>
                  </w:r>
                </w:p>
              </w:tc>
              <w:tc>
                <w:tcPr>
                  <w:tcW w:w="486" w:type="dxa"/>
                  <w:tcBorders>
                    <w:tl2br w:val="nil"/>
                    <w:tr2bl w:val="nil"/>
                  </w:tcBorders>
                  <w:shd w:val="clear" w:color="auto" w:fill="FFFFFF"/>
                  <w:tcMar>
                    <w:top w:w="0" w:type="dxa"/>
                    <w:left w:w="0" w:type="dxa"/>
                    <w:bottom w:w="0" w:type="dxa"/>
                    <w:right w:w="0" w:type="dxa"/>
                  </w:tcMar>
                  <w:vAlign w:val="center"/>
                </w:tcPr>
                <w:p w14:paraId="5B4F5DC7">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西</w:t>
                  </w:r>
                </w:p>
              </w:tc>
              <w:tc>
                <w:tcPr>
                  <w:tcW w:w="498" w:type="dxa"/>
                  <w:tcBorders>
                    <w:tl2br w:val="nil"/>
                    <w:tr2bl w:val="nil"/>
                  </w:tcBorders>
                  <w:shd w:val="clear" w:color="auto" w:fill="FFFFFF"/>
                  <w:tcMar>
                    <w:top w:w="0" w:type="dxa"/>
                    <w:left w:w="0" w:type="dxa"/>
                    <w:bottom w:w="0" w:type="dxa"/>
                    <w:right w:w="0" w:type="dxa"/>
                  </w:tcMar>
                  <w:vAlign w:val="center"/>
                </w:tcPr>
                <w:p w14:paraId="66EFE8E4">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北</w:t>
                  </w:r>
                </w:p>
              </w:tc>
              <w:tc>
                <w:tcPr>
                  <w:tcW w:w="551" w:type="dxa"/>
                  <w:vMerge w:val="continue"/>
                  <w:tcBorders>
                    <w:tl2br w:val="nil"/>
                    <w:tr2bl w:val="nil"/>
                  </w:tcBorders>
                  <w:shd w:val="clear" w:color="auto" w:fill="FFFFFF"/>
                  <w:tcMar>
                    <w:top w:w="0" w:type="dxa"/>
                    <w:left w:w="0" w:type="dxa"/>
                    <w:bottom w:w="0" w:type="dxa"/>
                    <w:right w:w="0" w:type="dxa"/>
                  </w:tcMar>
                  <w:vAlign w:val="center"/>
                </w:tcPr>
                <w:p w14:paraId="1B35A46F">
                  <w:pPr>
                    <w:jc w:val="center"/>
                    <w:rPr>
                      <w:rFonts w:hint="default" w:ascii="Times New Roman" w:hAnsi="Times New Roman" w:cs="Times New Roman" w:eastAsiaTheme="minorEastAsia"/>
                      <w:color w:val="auto"/>
                      <w:sz w:val="21"/>
                      <w:szCs w:val="21"/>
                    </w:rPr>
                  </w:pPr>
                </w:p>
              </w:tc>
              <w:tc>
                <w:tcPr>
                  <w:tcW w:w="340" w:type="dxa"/>
                  <w:tcBorders>
                    <w:tl2br w:val="nil"/>
                    <w:tr2bl w:val="nil"/>
                  </w:tcBorders>
                  <w:shd w:val="clear" w:color="auto" w:fill="FFFFFF"/>
                  <w:tcMar>
                    <w:top w:w="0" w:type="dxa"/>
                    <w:left w:w="0" w:type="dxa"/>
                    <w:bottom w:w="0" w:type="dxa"/>
                    <w:right w:w="0" w:type="dxa"/>
                  </w:tcMar>
                  <w:vAlign w:val="center"/>
                </w:tcPr>
                <w:p w14:paraId="37A8D95A">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东</w:t>
                  </w:r>
                </w:p>
              </w:tc>
              <w:tc>
                <w:tcPr>
                  <w:tcW w:w="469" w:type="dxa"/>
                  <w:tcBorders>
                    <w:tl2br w:val="nil"/>
                    <w:tr2bl w:val="nil"/>
                  </w:tcBorders>
                  <w:shd w:val="clear" w:color="auto" w:fill="FFFFFF"/>
                  <w:tcMar>
                    <w:top w:w="0" w:type="dxa"/>
                    <w:left w:w="0" w:type="dxa"/>
                    <w:bottom w:w="0" w:type="dxa"/>
                    <w:right w:w="0" w:type="dxa"/>
                  </w:tcMar>
                  <w:vAlign w:val="center"/>
                </w:tcPr>
                <w:p w14:paraId="1F86CA73">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南</w:t>
                  </w:r>
                </w:p>
              </w:tc>
              <w:tc>
                <w:tcPr>
                  <w:tcW w:w="469" w:type="dxa"/>
                  <w:tcBorders>
                    <w:tl2br w:val="nil"/>
                    <w:tr2bl w:val="nil"/>
                  </w:tcBorders>
                  <w:shd w:val="clear" w:color="auto" w:fill="FFFFFF"/>
                  <w:tcMar>
                    <w:top w:w="0" w:type="dxa"/>
                    <w:left w:w="0" w:type="dxa"/>
                    <w:bottom w:w="0" w:type="dxa"/>
                    <w:right w:w="0" w:type="dxa"/>
                  </w:tcMar>
                  <w:vAlign w:val="center"/>
                </w:tcPr>
                <w:p w14:paraId="522FAC90">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西</w:t>
                  </w:r>
                </w:p>
              </w:tc>
              <w:tc>
                <w:tcPr>
                  <w:tcW w:w="480" w:type="dxa"/>
                  <w:tcBorders>
                    <w:tl2br w:val="nil"/>
                    <w:tr2bl w:val="nil"/>
                  </w:tcBorders>
                  <w:shd w:val="clear" w:color="auto" w:fill="FFFFFF"/>
                  <w:tcMar>
                    <w:top w:w="0" w:type="dxa"/>
                    <w:left w:w="0" w:type="dxa"/>
                    <w:bottom w:w="0" w:type="dxa"/>
                    <w:right w:w="0" w:type="dxa"/>
                  </w:tcMar>
                  <w:vAlign w:val="center"/>
                </w:tcPr>
                <w:p w14:paraId="7A672944">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北</w:t>
                  </w:r>
                </w:p>
              </w:tc>
              <w:tc>
                <w:tcPr>
                  <w:tcW w:w="500" w:type="dxa"/>
                  <w:tcBorders>
                    <w:tl2br w:val="nil"/>
                    <w:tr2bl w:val="nil"/>
                  </w:tcBorders>
                  <w:shd w:val="clear" w:color="auto" w:fill="FFFFFF"/>
                  <w:tcMar>
                    <w:top w:w="0" w:type="dxa"/>
                    <w:left w:w="0" w:type="dxa"/>
                    <w:bottom w:w="0" w:type="dxa"/>
                    <w:right w:w="0" w:type="dxa"/>
                  </w:tcMar>
                  <w:vAlign w:val="center"/>
                </w:tcPr>
                <w:p w14:paraId="3973C8D2">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东</w:t>
                  </w:r>
                </w:p>
              </w:tc>
              <w:tc>
                <w:tcPr>
                  <w:tcW w:w="500" w:type="dxa"/>
                  <w:tcBorders>
                    <w:tl2br w:val="nil"/>
                    <w:tr2bl w:val="nil"/>
                  </w:tcBorders>
                  <w:shd w:val="clear" w:color="auto" w:fill="FFFFFF"/>
                  <w:tcMar>
                    <w:top w:w="0" w:type="dxa"/>
                    <w:left w:w="0" w:type="dxa"/>
                    <w:bottom w:w="0" w:type="dxa"/>
                    <w:right w:w="0" w:type="dxa"/>
                  </w:tcMar>
                  <w:vAlign w:val="center"/>
                </w:tcPr>
                <w:p w14:paraId="08DAF313">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南</w:t>
                  </w:r>
                </w:p>
              </w:tc>
              <w:tc>
                <w:tcPr>
                  <w:tcW w:w="500" w:type="dxa"/>
                  <w:tcBorders>
                    <w:tl2br w:val="nil"/>
                    <w:tr2bl w:val="nil"/>
                  </w:tcBorders>
                  <w:shd w:val="clear" w:color="auto" w:fill="FFFFFF"/>
                  <w:tcMar>
                    <w:top w:w="0" w:type="dxa"/>
                    <w:left w:w="0" w:type="dxa"/>
                    <w:bottom w:w="0" w:type="dxa"/>
                    <w:right w:w="0" w:type="dxa"/>
                  </w:tcMar>
                  <w:vAlign w:val="center"/>
                </w:tcPr>
                <w:p w14:paraId="4F6CCF6E">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西</w:t>
                  </w:r>
                </w:p>
              </w:tc>
              <w:tc>
                <w:tcPr>
                  <w:tcW w:w="500" w:type="dxa"/>
                  <w:tcBorders>
                    <w:tl2br w:val="nil"/>
                    <w:tr2bl w:val="nil"/>
                  </w:tcBorders>
                  <w:shd w:val="clear" w:color="auto" w:fill="FFFFFF"/>
                  <w:tcMar>
                    <w:top w:w="0" w:type="dxa"/>
                    <w:left w:w="0" w:type="dxa"/>
                    <w:bottom w:w="0" w:type="dxa"/>
                    <w:right w:w="0" w:type="dxa"/>
                  </w:tcMar>
                  <w:vAlign w:val="center"/>
                </w:tcPr>
                <w:p w14:paraId="4B2A8B68">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北</w:t>
                  </w:r>
                </w:p>
              </w:tc>
              <w:tc>
                <w:tcPr>
                  <w:tcW w:w="713" w:type="dxa"/>
                  <w:tcBorders>
                    <w:tl2br w:val="nil"/>
                    <w:tr2bl w:val="nil"/>
                  </w:tcBorders>
                  <w:shd w:val="clear" w:color="auto" w:fill="FFFFFF"/>
                  <w:tcMar>
                    <w:top w:w="0" w:type="dxa"/>
                    <w:left w:w="0" w:type="dxa"/>
                    <w:bottom w:w="0" w:type="dxa"/>
                    <w:right w:w="0" w:type="dxa"/>
                  </w:tcMar>
                  <w:vAlign w:val="center"/>
                </w:tcPr>
                <w:p w14:paraId="0AA50669">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建筑物外距离</w:t>
                  </w:r>
                </w:p>
              </w:tc>
            </w:tr>
            <w:tr w14:paraId="797738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24" w:hRule="atLeast"/>
                <w:jc w:val="center"/>
              </w:trPr>
              <w:tc>
                <w:tcPr>
                  <w:tcW w:w="387" w:type="dxa"/>
                  <w:tcBorders>
                    <w:tl2br w:val="nil"/>
                    <w:tr2bl w:val="nil"/>
                  </w:tcBorders>
                  <w:shd w:val="clear" w:color="auto" w:fill="FFFFFF"/>
                  <w:tcMar>
                    <w:top w:w="0" w:type="dxa"/>
                    <w:left w:w="0" w:type="dxa"/>
                    <w:bottom w:w="0" w:type="dxa"/>
                    <w:right w:w="0" w:type="dxa"/>
                  </w:tcMar>
                  <w:vAlign w:val="center"/>
                </w:tcPr>
                <w:p w14:paraId="0051FAC8">
                  <w:pPr>
                    <w:rPr>
                      <w:rFonts w:hint="default" w:ascii="Times New Roman" w:hAnsi="Times New Roman" w:eastAsia="宋体" w:cs="Times New Roman"/>
                      <w:color w:val="auto"/>
                      <w:kern w:val="2"/>
                      <w:sz w:val="21"/>
                      <w:lang w:val="en-US" w:eastAsia="zh-CN" w:bidi="ar-SA"/>
                    </w:rPr>
                  </w:pPr>
                  <w:r>
                    <w:rPr>
                      <w:rFonts w:hint="default" w:ascii="Times New Roman" w:hAnsi="Times New Roman" w:eastAsia="Arial" w:cs="Times New Roman"/>
                      <w:color w:val="auto"/>
                      <w:sz w:val="20"/>
                    </w:rPr>
                    <w:t>1</w:t>
                  </w:r>
                </w:p>
              </w:tc>
              <w:tc>
                <w:tcPr>
                  <w:tcW w:w="553" w:type="dxa"/>
                  <w:tcBorders>
                    <w:tl2br w:val="nil"/>
                    <w:tr2bl w:val="nil"/>
                  </w:tcBorders>
                  <w:shd w:val="clear" w:color="auto" w:fill="FFFFFF"/>
                  <w:tcMar>
                    <w:top w:w="0" w:type="dxa"/>
                    <w:left w:w="0" w:type="dxa"/>
                    <w:bottom w:w="0" w:type="dxa"/>
                    <w:right w:w="0" w:type="dxa"/>
                  </w:tcMar>
                  <w:vAlign w:val="center"/>
                </w:tcPr>
                <w:p w14:paraId="2556308E">
                  <w:pPr>
                    <w:rPr>
                      <w:rFonts w:hint="eastAsia" w:ascii="Times New Roman" w:hAnsi="Times New Roman" w:eastAsia="宋体" w:cs="Times New Roman"/>
                      <w:color w:val="auto"/>
                      <w:lang w:eastAsia="zh-CN"/>
                    </w:rPr>
                  </w:pPr>
                  <w:r>
                    <w:rPr>
                      <w:rFonts w:hint="eastAsia" w:cs="Times New Roman"/>
                      <w:color w:val="auto"/>
                      <w:sz w:val="20"/>
                      <w:lang w:eastAsia="zh-CN"/>
                    </w:rPr>
                    <w:t>凯漩-声屏障</w:t>
                  </w:r>
                </w:p>
              </w:tc>
              <w:tc>
                <w:tcPr>
                  <w:tcW w:w="524" w:type="dxa"/>
                  <w:tcBorders>
                    <w:tl2br w:val="nil"/>
                    <w:tr2bl w:val="nil"/>
                  </w:tcBorders>
                  <w:shd w:val="clear" w:color="auto" w:fill="FFFFFF"/>
                  <w:tcMar>
                    <w:top w:w="0" w:type="dxa"/>
                    <w:left w:w="0" w:type="dxa"/>
                    <w:bottom w:w="0" w:type="dxa"/>
                    <w:right w:w="0" w:type="dxa"/>
                  </w:tcMar>
                  <w:vAlign w:val="center"/>
                </w:tcPr>
                <w:p w14:paraId="6D1FE0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eastAsia" w:cs="Times New Roman"/>
                      <w:color w:val="auto"/>
                      <w:sz w:val="21"/>
                      <w:szCs w:val="21"/>
                      <w:highlight w:val="none"/>
                      <w:lang w:val="en-US" w:eastAsia="zh-CN"/>
                    </w:rPr>
                    <w:t>吹塑机</w:t>
                  </w:r>
                </w:p>
              </w:tc>
              <w:tc>
                <w:tcPr>
                  <w:tcW w:w="387" w:type="dxa"/>
                  <w:tcBorders>
                    <w:tl2br w:val="nil"/>
                    <w:tr2bl w:val="nil"/>
                  </w:tcBorders>
                  <w:shd w:val="clear" w:color="auto" w:fill="FFFFFF"/>
                  <w:tcMar>
                    <w:top w:w="0" w:type="dxa"/>
                    <w:left w:w="0" w:type="dxa"/>
                    <w:bottom w:w="0" w:type="dxa"/>
                    <w:right w:w="0" w:type="dxa"/>
                  </w:tcMar>
                  <w:vAlign w:val="center"/>
                </w:tcPr>
                <w:p w14:paraId="6B798480">
                  <w:pPr>
                    <w:rPr>
                      <w:rFonts w:hint="default" w:ascii="Times New Roman" w:hAnsi="Times New Roman" w:eastAsia="宋体" w:cs="Times New Roman"/>
                      <w:color w:val="auto"/>
                      <w:lang w:val="en-US" w:eastAsia="zh-CN"/>
                    </w:rPr>
                  </w:pPr>
                  <w:r>
                    <w:rPr>
                      <w:rFonts w:hint="eastAsia" w:cs="Times New Roman"/>
                      <w:color w:val="auto"/>
                      <w:lang w:val="en-US" w:eastAsia="zh-CN"/>
                    </w:rPr>
                    <w:t>12</w:t>
                  </w:r>
                </w:p>
              </w:tc>
              <w:tc>
                <w:tcPr>
                  <w:tcW w:w="633" w:type="dxa"/>
                  <w:tcBorders>
                    <w:tl2br w:val="nil"/>
                    <w:tr2bl w:val="nil"/>
                  </w:tcBorders>
                  <w:shd w:val="clear" w:color="auto" w:fill="FFFFFF"/>
                  <w:tcMar>
                    <w:top w:w="0" w:type="dxa"/>
                    <w:left w:w="0" w:type="dxa"/>
                    <w:bottom w:w="0" w:type="dxa"/>
                    <w:right w:w="0" w:type="dxa"/>
                  </w:tcMar>
                  <w:vAlign w:val="center"/>
                </w:tcPr>
                <w:p w14:paraId="2A00D7C2">
                  <w:pPr>
                    <w:jc w:val="center"/>
                    <w:rPr>
                      <w:rFonts w:hint="default" w:ascii="Times New Roman" w:hAnsi="Times New Roman" w:cs="Times New Roman"/>
                      <w:color w:val="auto"/>
                    </w:rPr>
                  </w:pPr>
                  <w:r>
                    <w:rPr>
                      <w:rFonts w:hint="default" w:ascii="Times New Roman" w:hAnsi="Times New Roman" w:eastAsia="Arial" w:cs="Times New Roman"/>
                      <w:color w:val="auto"/>
                      <w:sz w:val="20"/>
                    </w:rPr>
                    <w:t>85</w:t>
                  </w:r>
                </w:p>
              </w:tc>
              <w:tc>
                <w:tcPr>
                  <w:tcW w:w="537" w:type="dxa"/>
                  <w:tcBorders>
                    <w:tl2br w:val="nil"/>
                    <w:tr2bl w:val="nil"/>
                  </w:tcBorders>
                  <w:shd w:val="clear" w:color="auto" w:fill="FFFFFF"/>
                  <w:tcMar>
                    <w:top w:w="0" w:type="dxa"/>
                    <w:left w:w="0" w:type="dxa"/>
                    <w:bottom w:w="0" w:type="dxa"/>
                    <w:right w:w="0" w:type="dxa"/>
                  </w:tcMar>
                  <w:vAlign w:val="center"/>
                </w:tcPr>
                <w:p w14:paraId="3F1B5B38">
                  <w:pPr>
                    <w:jc w:val="center"/>
                    <w:rPr>
                      <w:rFonts w:hint="default" w:ascii="Times New Roman" w:hAnsi="Times New Roman" w:eastAsia="宋体" w:cs="Times New Roman"/>
                      <w:color w:val="auto"/>
                      <w:lang w:val="en-US" w:eastAsia="zh-CN"/>
                    </w:rPr>
                  </w:pPr>
                  <w:r>
                    <w:rPr>
                      <w:rFonts w:hint="eastAsia"/>
                      <w:color w:val="auto"/>
                      <w:lang w:val="en-US" w:eastAsia="zh-CN"/>
                    </w:rPr>
                    <w:t>厂房隔声</w:t>
                  </w:r>
                </w:p>
              </w:tc>
              <w:tc>
                <w:tcPr>
                  <w:tcW w:w="594" w:type="dxa"/>
                  <w:tcBorders>
                    <w:tl2br w:val="nil"/>
                    <w:tr2bl w:val="nil"/>
                  </w:tcBorders>
                  <w:shd w:val="clear" w:color="auto" w:fill="FFFFFF"/>
                  <w:tcMar>
                    <w:top w:w="0" w:type="dxa"/>
                    <w:left w:w="0" w:type="dxa"/>
                    <w:bottom w:w="0" w:type="dxa"/>
                    <w:right w:w="0" w:type="dxa"/>
                  </w:tcMar>
                  <w:vAlign w:val="center"/>
                </w:tcPr>
                <w:p w14:paraId="155C3D1D">
                  <w:pPr>
                    <w:jc w:val="center"/>
                    <w:rPr>
                      <w:rFonts w:hint="default" w:ascii="Times New Roman" w:hAnsi="Times New Roman" w:cs="Times New Roman"/>
                      <w:color w:val="auto"/>
                    </w:rPr>
                  </w:pPr>
                  <w:r>
                    <w:rPr>
                      <w:rFonts w:hint="default" w:ascii="Times New Roman" w:hAnsi="Times New Roman" w:eastAsia="Arial" w:cs="Times New Roman"/>
                      <w:color w:val="auto"/>
                      <w:sz w:val="20"/>
                    </w:rPr>
                    <w:t>-0.2</w:t>
                  </w:r>
                </w:p>
              </w:tc>
              <w:tc>
                <w:tcPr>
                  <w:tcW w:w="594" w:type="dxa"/>
                  <w:tcBorders>
                    <w:tl2br w:val="nil"/>
                    <w:tr2bl w:val="nil"/>
                  </w:tcBorders>
                  <w:shd w:val="clear" w:color="auto" w:fill="FFFFFF"/>
                  <w:tcMar>
                    <w:top w:w="0" w:type="dxa"/>
                    <w:left w:w="0" w:type="dxa"/>
                    <w:bottom w:w="0" w:type="dxa"/>
                    <w:right w:w="0" w:type="dxa"/>
                  </w:tcMar>
                  <w:vAlign w:val="center"/>
                </w:tcPr>
                <w:p w14:paraId="29C1AAA6">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2.2</w:t>
                  </w:r>
                </w:p>
              </w:tc>
              <w:tc>
                <w:tcPr>
                  <w:tcW w:w="604" w:type="dxa"/>
                  <w:tcBorders>
                    <w:tl2br w:val="nil"/>
                    <w:tr2bl w:val="nil"/>
                  </w:tcBorders>
                  <w:shd w:val="clear" w:color="auto" w:fill="FFFFFF"/>
                  <w:tcMar>
                    <w:top w:w="0" w:type="dxa"/>
                    <w:left w:w="0" w:type="dxa"/>
                    <w:bottom w:w="0" w:type="dxa"/>
                    <w:right w:w="0" w:type="dxa"/>
                  </w:tcMar>
                  <w:vAlign w:val="center"/>
                </w:tcPr>
                <w:p w14:paraId="5E698E8C">
                  <w:pPr>
                    <w:jc w:val="center"/>
                    <w:rPr>
                      <w:rFonts w:hint="default" w:ascii="Times New Roman" w:hAnsi="Times New Roman" w:cs="Times New Roman"/>
                      <w:color w:val="auto"/>
                    </w:rPr>
                  </w:pPr>
                  <w:r>
                    <w:rPr>
                      <w:rFonts w:hint="default" w:ascii="Times New Roman" w:hAnsi="Times New Roman" w:eastAsia="Arial" w:cs="Times New Roman"/>
                      <w:color w:val="auto"/>
                      <w:sz w:val="20"/>
                    </w:rPr>
                    <w:t>1.2</w:t>
                  </w:r>
                </w:p>
              </w:tc>
              <w:tc>
                <w:tcPr>
                  <w:tcW w:w="493" w:type="dxa"/>
                  <w:tcBorders>
                    <w:tl2br w:val="nil"/>
                    <w:tr2bl w:val="nil"/>
                  </w:tcBorders>
                  <w:shd w:val="clear" w:color="auto" w:fill="FFFFFF"/>
                  <w:tcMar>
                    <w:top w:w="0" w:type="dxa"/>
                    <w:left w:w="0" w:type="dxa"/>
                    <w:bottom w:w="0" w:type="dxa"/>
                    <w:right w:w="0" w:type="dxa"/>
                  </w:tcMar>
                  <w:vAlign w:val="center"/>
                </w:tcPr>
                <w:p w14:paraId="0ACF71FC">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10</w:t>
                  </w:r>
                </w:p>
              </w:tc>
              <w:tc>
                <w:tcPr>
                  <w:tcW w:w="493" w:type="dxa"/>
                  <w:tcBorders>
                    <w:tl2br w:val="nil"/>
                    <w:tr2bl w:val="nil"/>
                  </w:tcBorders>
                  <w:shd w:val="clear" w:color="auto" w:fill="FFFFFF"/>
                  <w:tcMar>
                    <w:top w:w="0" w:type="dxa"/>
                    <w:left w:w="0" w:type="dxa"/>
                    <w:bottom w:w="0" w:type="dxa"/>
                    <w:right w:w="0" w:type="dxa"/>
                  </w:tcMar>
                  <w:vAlign w:val="center"/>
                </w:tcPr>
                <w:p w14:paraId="389931EC">
                  <w:pPr>
                    <w:jc w:val="center"/>
                    <w:rPr>
                      <w:rFonts w:hint="default" w:ascii="Times New Roman" w:hAnsi="Times New Roman" w:cs="Times New Roman"/>
                      <w:color w:val="auto"/>
                      <w:lang w:val="en-US"/>
                    </w:rPr>
                  </w:pPr>
                  <w:r>
                    <w:rPr>
                      <w:rFonts w:hint="eastAsia" w:cs="Times New Roman"/>
                      <w:color w:val="auto"/>
                      <w:sz w:val="20"/>
                      <w:lang w:val="en-US" w:eastAsia="zh-CN"/>
                    </w:rPr>
                    <w:t>10</w:t>
                  </w:r>
                </w:p>
              </w:tc>
              <w:tc>
                <w:tcPr>
                  <w:tcW w:w="493" w:type="dxa"/>
                  <w:tcBorders>
                    <w:tl2br w:val="nil"/>
                    <w:tr2bl w:val="nil"/>
                  </w:tcBorders>
                  <w:shd w:val="clear" w:color="auto" w:fill="FFFFFF"/>
                  <w:tcMar>
                    <w:top w:w="0" w:type="dxa"/>
                    <w:left w:w="0" w:type="dxa"/>
                    <w:bottom w:w="0" w:type="dxa"/>
                    <w:right w:w="0" w:type="dxa"/>
                  </w:tcMar>
                  <w:vAlign w:val="center"/>
                </w:tcPr>
                <w:p w14:paraId="638FC708">
                  <w:pPr>
                    <w:jc w:val="center"/>
                    <w:rPr>
                      <w:rFonts w:hint="default" w:ascii="Times New Roman" w:hAnsi="Times New Roman" w:cs="Times New Roman"/>
                      <w:color w:val="auto"/>
                      <w:lang w:val="en-US"/>
                    </w:rPr>
                  </w:pPr>
                  <w:r>
                    <w:rPr>
                      <w:rFonts w:hint="eastAsia" w:cs="Times New Roman"/>
                      <w:color w:val="auto"/>
                      <w:sz w:val="20"/>
                      <w:lang w:val="en-US" w:eastAsia="zh-CN"/>
                    </w:rPr>
                    <w:t>20</w:t>
                  </w:r>
                </w:p>
              </w:tc>
              <w:tc>
                <w:tcPr>
                  <w:tcW w:w="503" w:type="dxa"/>
                  <w:tcBorders>
                    <w:tl2br w:val="nil"/>
                    <w:tr2bl w:val="nil"/>
                  </w:tcBorders>
                  <w:shd w:val="clear" w:color="auto" w:fill="FFFFFF"/>
                  <w:tcMar>
                    <w:top w:w="0" w:type="dxa"/>
                    <w:left w:w="0" w:type="dxa"/>
                    <w:bottom w:w="0" w:type="dxa"/>
                    <w:right w:w="0" w:type="dxa"/>
                  </w:tcMar>
                  <w:vAlign w:val="center"/>
                </w:tcPr>
                <w:p w14:paraId="636461B0">
                  <w:pPr>
                    <w:jc w:val="center"/>
                    <w:rPr>
                      <w:rFonts w:hint="default" w:ascii="Times New Roman" w:hAnsi="Times New Roman" w:cs="Times New Roman"/>
                      <w:color w:val="auto"/>
                      <w:lang w:val="en-US"/>
                    </w:rPr>
                  </w:pPr>
                  <w:r>
                    <w:rPr>
                      <w:rFonts w:hint="eastAsia" w:cs="Times New Roman"/>
                      <w:color w:val="auto"/>
                      <w:sz w:val="20"/>
                      <w:lang w:val="en-US" w:eastAsia="zh-CN"/>
                    </w:rPr>
                    <w:t>20</w:t>
                  </w:r>
                </w:p>
              </w:tc>
              <w:tc>
                <w:tcPr>
                  <w:tcW w:w="486" w:type="dxa"/>
                  <w:tcBorders>
                    <w:tl2br w:val="nil"/>
                    <w:tr2bl w:val="nil"/>
                  </w:tcBorders>
                  <w:shd w:val="clear" w:color="auto" w:fill="FFFFFF"/>
                  <w:tcMar>
                    <w:top w:w="0" w:type="dxa"/>
                    <w:left w:w="0" w:type="dxa"/>
                    <w:bottom w:w="0" w:type="dxa"/>
                    <w:right w:w="0" w:type="dxa"/>
                  </w:tcMar>
                  <w:vAlign w:val="center"/>
                </w:tcPr>
                <w:p w14:paraId="0A9DF353">
                  <w:pPr>
                    <w:jc w:val="center"/>
                    <w:rPr>
                      <w:rFonts w:hint="default" w:ascii="Times New Roman" w:hAnsi="Times New Roman" w:cs="Times New Roman"/>
                      <w:color w:val="auto"/>
                    </w:rPr>
                  </w:pPr>
                  <w:r>
                    <w:rPr>
                      <w:rFonts w:hint="default" w:ascii="Times New Roman" w:hAnsi="Times New Roman" w:eastAsia="Arial" w:cs="Times New Roman"/>
                      <w:color w:val="auto"/>
                      <w:sz w:val="20"/>
                    </w:rPr>
                    <w:t>67.8</w:t>
                  </w:r>
                </w:p>
              </w:tc>
              <w:tc>
                <w:tcPr>
                  <w:tcW w:w="486" w:type="dxa"/>
                  <w:tcBorders>
                    <w:tl2br w:val="nil"/>
                    <w:tr2bl w:val="nil"/>
                  </w:tcBorders>
                  <w:shd w:val="clear" w:color="auto" w:fill="FFFFFF"/>
                  <w:tcMar>
                    <w:top w:w="0" w:type="dxa"/>
                    <w:left w:w="0" w:type="dxa"/>
                    <w:bottom w:w="0" w:type="dxa"/>
                    <w:right w:w="0" w:type="dxa"/>
                  </w:tcMar>
                  <w:vAlign w:val="center"/>
                </w:tcPr>
                <w:p w14:paraId="52F46D7D">
                  <w:pPr>
                    <w:jc w:val="center"/>
                    <w:rPr>
                      <w:rFonts w:hint="default" w:ascii="Times New Roman" w:hAnsi="Times New Roman" w:cs="Times New Roman"/>
                      <w:color w:val="auto"/>
                    </w:rPr>
                  </w:pPr>
                  <w:r>
                    <w:rPr>
                      <w:rFonts w:hint="default" w:ascii="Times New Roman" w:hAnsi="Times New Roman" w:eastAsia="Arial" w:cs="Times New Roman"/>
                      <w:color w:val="auto"/>
                      <w:sz w:val="20"/>
                    </w:rPr>
                    <w:t>67.8</w:t>
                  </w:r>
                </w:p>
              </w:tc>
              <w:tc>
                <w:tcPr>
                  <w:tcW w:w="486" w:type="dxa"/>
                  <w:tcBorders>
                    <w:tl2br w:val="nil"/>
                    <w:tr2bl w:val="nil"/>
                  </w:tcBorders>
                  <w:shd w:val="clear" w:color="auto" w:fill="FFFFFF"/>
                  <w:tcMar>
                    <w:top w:w="0" w:type="dxa"/>
                    <w:left w:w="0" w:type="dxa"/>
                    <w:bottom w:w="0" w:type="dxa"/>
                    <w:right w:w="0" w:type="dxa"/>
                  </w:tcMar>
                  <w:vAlign w:val="center"/>
                </w:tcPr>
                <w:p w14:paraId="6119F909">
                  <w:pPr>
                    <w:jc w:val="center"/>
                    <w:rPr>
                      <w:rFonts w:hint="default" w:ascii="Times New Roman" w:hAnsi="Times New Roman" w:cs="Times New Roman"/>
                      <w:color w:val="auto"/>
                    </w:rPr>
                  </w:pPr>
                  <w:r>
                    <w:rPr>
                      <w:rFonts w:hint="default" w:ascii="Times New Roman" w:hAnsi="Times New Roman" w:eastAsia="Arial" w:cs="Times New Roman"/>
                      <w:color w:val="auto"/>
                      <w:sz w:val="20"/>
                    </w:rPr>
                    <w:t>67.8</w:t>
                  </w:r>
                </w:p>
              </w:tc>
              <w:tc>
                <w:tcPr>
                  <w:tcW w:w="498" w:type="dxa"/>
                  <w:tcBorders>
                    <w:tl2br w:val="nil"/>
                    <w:tr2bl w:val="nil"/>
                  </w:tcBorders>
                  <w:shd w:val="clear" w:color="auto" w:fill="FFFFFF"/>
                  <w:tcMar>
                    <w:top w:w="0" w:type="dxa"/>
                    <w:left w:w="0" w:type="dxa"/>
                    <w:bottom w:w="0" w:type="dxa"/>
                    <w:right w:w="0" w:type="dxa"/>
                  </w:tcMar>
                  <w:vAlign w:val="center"/>
                </w:tcPr>
                <w:p w14:paraId="3870211B">
                  <w:pPr>
                    <w:jc w:val="center"/>
                    <w:rPr>
                      <w:rFonts w:hint="default" w:ascii="Times New Roman" w:hAnsi="Times New Roman" w:cs="Times New Roman"/>
                      <w:color w:val="auto"/>
                    </w:rPr>
                  </w:pPr>
                  <w:r>
                    <w:rPr>
                      <w:rFonts w:hint="default" w:ascii="Times New Roman" w:hAnsi="Times New Roman" w:eastAsia="Arial" w:cs="Times New Roman"/>
                      <w:color w:val="auto"/>
                      <w:sz w:val="20"/>
                    </w:rPr>
                    <w:t>67.8</w:t>
                  </w:r>
                </w:p>
              </w:tc>
              <w:tc>
                <w:tcPr>
                  <w:tcW w:w="551" w:type="dxa"/>
                  <w:tcBorders>
                    <w:tl2br w:val="nil"/>
                    <w:tr2bl w:val="nil"/>
                  </w:tcBorders>
                  <w:shd w:val="clear" w:color="auto" w:fill="FFFFFF"/>
                  <w:tcMar>
                    <w:top w:w="0" w:type="dxa"/>
                    <w:left w:w="0" w:type="dxa"/>
                    <w:bottom w:w="0" w:type="dxa"/>
                    <w:right w:w="0" w:type="dxa"/>
                  </w:tcMar>
                  <w:vAlign w:val="center"/>
                </w:tcPr>
                <w:p w14:paraId="4EE59EAF">
                  <w:pPr>
                    <w:jc w:val="center"/>
                    <w:rPr>
                      <w:rFonts w:hint="eastAsia" w:ascii="Times New Roman" w:hAnsi="Times New Roman" w:eastAsia="宋体" w:cs="Times New Roman"/>
                      <w:color w:val="auto"/>
                      <w:lang w:eastAsia="zh-CN"/>
                    </w:rPr>
                  </w:pPr>
                  <w:r>
                    <w:rPr>
                      <w:rFonts w:hint="eastAsia" w:eastAsia="宋体" w:cs="Times New Roman"/>
                      <w:color w:val="auto"/>
                      <w:sz w:val="20"/>
                      <w:lang w:val="en-US" w:eastAsia="zh-CN"/>
                    </w:rPr>
                    <w:t>昼间</w:t>
                  </w:r>
                </w:p>
              </w:tc>
              <w:tc>
                <w:tcPr>
                  <w:tcW w:w="340" w:type="dxa"/>
                  <w:tcBorders>
                    <w:tl2br w:val="nil"/>
                    <w:tr2bl w:val="nil"/>
                  </w:tcBorders>
                  <w:shd w:val="clear" w:color="auto" w:fill="FFFFFF"/>
                  <w:tcMar>
                    <w:top w:w="0" w:type="dxa"/>
                    <w:left w:w="0" w:type="dxa"/>
                    <w:bottom w:w="0" w:type="dxa"/>
                    <w:right w:w="0" w:type="dxa"/>
                  </w:tcMar>
                  <w:vAlign w:val="center"/>
                </w:tcPr>
                <w:p w14:paraId="51F45C11">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39A88816">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4A61BF4B">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80" w:type="dxa"/>
                  <w:tcBorders>
                    <w:tl2br w:val="nil"/>
                    <w:tr2bl w:val="nil"/>
                  </w:tcBorders>
                  <w:shd w:val="clear" w:color="auto" w:fill="FFFFFF"/>
                  <w:tcMar>
                    <w:top w:w="0" w:type="dxa"/>
                    <w:left w:w="0" w:type="dxa"/>
                    <w:bottom w:w="0" w:type="dxa"/>
                    <w:right w:w="0" w:type="dxa"/>
                  </w:tcMar>
                  <w:vAlign w:val="center"/>
                </w:tcPr>
                <w:p w14:paraId="71655BDF">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500" w:type="dxa"/>
                  <w:tcBorders>
                    <w:tl2br w:val="nil"/>
                    <w:tr2bl w:val="nil"/>
                  </w:tcBorders>
                  <w:shd w:val="clear" w:color="auto" w:fill="FFFFFF"/>
                  <w:tcMar>
                    <w:top w:w="0" w:type="dxa"/>
                    <w:left w:w="0" w:type="dxa"/>
                    <w:bottom w:w="0" w:type="dxa"/>
                    <w:right w:w="0" w:type="dxa"/>
                  </w:tcMar>
                  <w:vAlign w:val="center"/>
                </w:tcPr>
                <w:p w14:paraId="6879527E">
                  <w:pPr>
                    <w:jc w:val="center"/>
                    <w:rPr>
                      <w:rFonts w:hint="default" w:ascii="Times New Roman" w:hAnsi="Times New Roman" w:cs="Times New Roman"/>
                      <w:color w:val="auto"/>
                    </w:rPr>
                  </w:pPr>
                  <w:r>
                    <w:rPr>
                      <w:rFonts w:hint="eastAsia" w:eastAsia="宋体" w:cs="Times New Roman"/>
                      <w:color w:val="auto"/>
                      <w:sz w:val="20"/>
                      <w:lang w:val="en-US" w:eastAsia="zh-CN"/>
                    </w:rPr>
                    <w:t>4</w:t>
                  </w:r>
                  <w:r>
                    <w:rPr>
                      <w:rFonts w:hint="default" w:ascii="Times New Roman" w:hAnsi="Times New Roman" w:eastAsia="Arial" w:cs="Times New Roman"/>
                      <w:color w:val="auto"/>
                      <w:sz w:val="20"/>
                    </w:rPr>
                    <w:t>6.8</w:t>
                  </w:r>
                </w:p>
              </w:tc>
              <w:tc>
                <w:tcPr>
                  <w:tcW w:w="500" w:type="dxa"/>
                  <w:tcBorders>
                    <w:tl2br w:val="nil"/>
                    <w:tr2bl w:val="nil"/>
                  </w:tcBorders>
                  <w:shd w:val="clear" w:color="auto" w:fill="FFFFFF"/>
                  <w:tcMar>
                    <w:top w:w="0" w:type="dxa"/>
                    <w:left w:w="0" w:type="dxa"/>
                    <w:bottom w:w="0" w:type="dxa"/>
                    <w:right w:w="0" w:type="dxa"/>
                  </w:tcMar>
                  <w:vAlign w:val="center"/>
                </w:tcPr>
                <w:p w14:paraId="38D0B1AD">
                  <w:pPr>
                    <w:jc w:val="center"/>
                    <w:rPr>
                      <w:rFonts w:hint="default" w:ascii="Times New Roman" w:hAnsi="Times New Roman" w:cs="Times New Roman"/>
                      <w:color w:val="auto"/>
                    </w:rPr>
                  </w:pPr>
                  <w:r>
                    <w:rPr>
                      <w:rFonts w:hint="eastAsia" w:eastAsia="宋体" w:cs="Times New Roman"/>
                      <w:color w:val="auto"/>
                      <w:sz w:val="20"/>
                      <w:lang w:val="en-US" w:eastAsia="zh-CN"/>
                    </w:rPr>
                    <w:t>42</w:t>
                  </w:r>
                  <w:r>
                    <w:rPr>
                      <w:rFonts w:hint="default" w:ascii="Times New Roman" w:hAnsi="Times New Roman" w:eastAsia="Arial" w:cs="Times New Roman"/>
                      <w:color w:val="auto"/>
                      <w:sz w:val="20"/>
                    </w:rPr>
                    <w:t>.8</w:t>
                  </w:r>
                </w:p>
              </w:tc>
              <w:tc>
                <w:tcPr>
                  <w:tcW w:w="500" w:type="dxa"/>
                  <w:tcBorders>
                    <w:tl2br w:val="nil"/>
                    <w:tr2bl w:val="nil"/>
                  </w:tcBorders>
                  <w:shd w:val="clear" w:color="auto" w:fill="FFFFFF"/>
                  <w:tcMar>
                    <w:top w:w="0" w:type="dxa"/>
                    <w:left w:w="0" w:type="dxa"/>
                    <w:bottom w:w="0" w:type="dxa"/>
                    <w:right w:w="0" w:type="dxa"/>
                  </w:tcMar>
                  <w:vAlign w:val="center"/>
                </w:tcPr>
                <w:p w14:paraId="1E0405A9">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43.4</w:t>
                  </w:r>
                </w:p>
              </w:tc>
              <w:tc>
                <w:tcPr>
                  <w:tcW w:w="500" w:type="dxa"/>
                  <w:tcBorders>
                    <w:tl2br w:val="nil"/>
                    <w:tr2bl w:val="nil"/>
                  </w:tcBorders>
                  <w:shd w:val="clear" w:color="auto" w:fill="FFFFFF"/>
                  <w:tcMar>
                    <w:top w:w="0" w:type="dxa"/>
                    <w:left w:w="0" w:type="dxa"/>
                    <w:bottom w:w="0" w:type="dxa"/>
                    <w:right w:w="0" w:type="dxa"/>
                  </w:tcMar>
                  <w:vAlign w:val="center"/>
                </w:tcPr>
                <w:p w14:paraId="243DB275">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44.8</w:t>
                  </w:r>
                </w:p>
              </w:tc>
              <w:tc>
                <w:tcPr>
                  <w:tcW w:w="713" w:type="dxa"/>
                  <w:tcBorders>
                    <w:tl2br w:val="nil"/>
                    <w:tr2bl w:val="nil"/>
                  </w:tcBorders>
                  <w:shd w:val="clear" w:color="auto" w:fill="FFFFFF"/>
                  <w:tcMar>
                    <w:top w:w="0" w:type="dxa"/>
                    <w:left w:w="0" w:type="dxa"/>
                    <w:bottom w:w="0" w:type="dxa"/>
                    <w:right w:w="0" w:type="dxa"/>
                  </w:tcMar>
                  <w:vAlign w:val="center"/>
                </w:tcPr>
                <w:p w14:paraId="0B99DE2B">
                  <w:pPr>
                    <w:jc w:val="center"/>
                    <w:rPr>
                      <w:rFonts w:hint="default" w:ascii="Times New Roman" w:hAnsi="Times New Roman" w:cs="Times New Roman"/>
                      <w:color w:val="auto"/>
                    </w:rPr>
                  </w:pPr>
                  <w:r>
                    <w:rPr>
                      <w:rFonts w:hint="default" w:ascii="Times New Roman" w:hAnsi="Times New Roman" w:eastAsia="Arial" w:cs="Times New Roman"/>
                      <w:color w:val="auto"/>
                      <w:sz w:val="20"/>
                    </w:rPr>
                    <w:t>1</w:t>
                  </w:r>
                </w:p>
              </w:tc>
            </w:tr>
            <w:tr w14:paraId="481CC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24" w:hRule="atLeast"/>
                <w:jc w:val="center"/>
              </w:trPr>
              <w:tc>
                <w:tcPr>
                  <w:tcW w:w="387" w:type="dxa"/>
                  <w:tcBorders>
                    <w:tl2br w:val="nil"/>
                    <w:tr2bl w:val="nil"/>
                  </w:tcBorders>
                  <w:shd w:val="clear" w:color="auto" w:fill="FFFFFF"/>
                  <w:tcMar>
                    <w:top w:w="0" w:type="dxa"/>
                    <w:left w:w="0" w:type="dxa"/>
                    <w:bottom w:w="0" w:type="dxa"/>
                    <w:right w:w="0" w:type="dxa"/>
                  </w:tcMar>
                  <w:vAlign w:val="center"/>
                </w:tcPr>
                <w:p w14:paraId="02EF2A5F">
                  <w:pPr>
                    <w:rPr>
                      <w:rFonts w:hint="eastAsia" w:ascii="Times New Roman" w:hAnsi="Times New Roman" w:eastAsia="宋体" w:cs="Times New Roman"/>
                      <w:color w:val="auto"/>
                      <w:kern w:val="2"/>
                      <w:sz w:val="21"/>
                      <w:lang w:val="en-US" w:eastAsia="zh-CN" w:bidi="ar-SA"/>
                    </w:rPr>
                  </w:pPr>
                  <w:r>
                    <w:rPr>
                      <w:rFonts w:hint="eastAsia" w:eastAsia="宋体" w:cs="Times New Roman"/>
                      <w:color w:val="auto"/>
                      <w:sz w:val="20"/>
                      <w:lang w:val="en-US" w:eastAsia="zh-CN"/>
                    </w:rPr>
                    <w:t>2</w:t>
                  </w:r>
                </w:p>
              </w:tc>
              <w:tc>
                <w:tcPr>
                  <w:tcW w:w="553" w:type="dxa"/>
                  <w:tcBorders>
                    <w:tl2br w:val="nil"/>
                    <w:tr2bl w:val="nil"/>
                  </w:tcBorders>
                  <w:shd w:val="clear" w:color="auto" w:fill="FFFFFF"/>
                  <w:tcMar>
                    <w:top w:w="0" w:type="dxa"/>
                    <w:left w:w="0" w:type="dxa"/>
                    <w:bottom w:w="0" w:type="dxa"/>
                    <w:right w:w="0" w:type="dxa"/>
                  </w:tcMar>
                  <w:vAlign w:val="center"/>
                </w:tcPr>
                <w:p w14:paraId="124BF208">
                  <w:pPr>
                    <w:rPr>
                      <w:rFonts w:hint="eastAsia" w:ascii="Times New Roman" w:hAnsi="Times New Roman" w:eastAsia="宋体" w:cs="Times New Roman"/>
                      <w:color w:val="auto"/>
                      <w:lang w:eastAsia="zh-CN"/>
                    </w:rPr>
                  </w:pPr>
                  <w:r>
                    <w:rPr>
                      <w:rFonts w:hint="eastAsia" w:cs="Times New Roman"/>
                      <w:color w:val="auto"/>
                      <w:sz w:val="20"/>
                      <w:lang w:eastAsia="zh-CN"/>
                    </w:rPr>
                    <w:t>凯漩-声屏障</w:t>
                  </w:r>
                </w:p>
              </w:tc>
              <w:tc>
                <w:tcPr>
                  <w:tcW w:w="524" w:type="dxa"/>
                  <w:tcBorders>
                    <w:tl2br w:val="nil"/>
                    <w:tr2bl w:val="nil"/>
                  </w:tcBorders>
                  <w:shd w:val="clear" w:color="auto" w:fill="FFFFFF"/>
                  <w:tcMar>
                    <w:top w:w="0" w:type="dxa"/>
                    <w:left w:w="0" w:type="dxa"/>
                    <w:bottom w:w="0" w:type="dxa"/>
                    <w:right w:w="0" w:type="dxa"/>
                  </w:tcMar>
                  <w:vAlign w:val="center"/>
                </w:tcPr>
                <w:p w14:paraId="3AEE7A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r>
                    <w:rPr>
                      <w:rFonts w:hint="eastAsia" w:cs="Times New Roman"/>
                      <w:color w:val="auto"/>
                      <w:sz w:val="21"/>
                      <w:szCs w:val="21"/>
                      <w:highlight w:val="none"/>
                      <w:lang w:val="en-US" w:eastAsia="zh-CN"/>
                    </w:rPr>
                    <w:t>破碎机</w:t>
                  </w:r>
                </w:p>
              </w:tc>
              <w:tc>
                <w:tcPr>
                  <w:tcW w:w="387" w:type="dxa"/>
                  <w:tcBorders>
                    <w:tl2br w:val="nil"/>
                    <w:tr2bl w:val="nil"/>
                  </w:tcBorders>
                  <w:shd w:val="clear" w:color="auto" w:fill="FFFFFF"/>
                  <w:tcMar>
                    <w:top w:w="0" w:type="dxa"/>
                    <w:left w:w="0" w:type="dxa"/>
                    <w:bottom w:w="0" w:type="dxa"/>
                    <w:right w:w="0" w:type="dxa"/>
                  </w:tcMar>
                  <w:vAlign w:val="center"/>
                </w:tcPr>
                <w:p w14:paraId="42B2C897">
                  <w:pPr>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633" w:type="dxa"/>
                  <w:tcBorders>
                    <w:tl2br w:val="nil"/>
                    <w:tr2bl w:val="nil"/>
                  </w:tcBorders>
                  <w:shd w:val="clear" w:color="auto" w:fill="FFFFFF"/>
                  <w:tcMar>
                    <w:top w:w="0" w:type="dxa"/>
                    <w:left w:w="0" w:type="dxa"/>
                    <w:bottom w:w="0" w:type="dxa"/>
                    <w:right w:w="0" w:type="dxa"/>
                  </w:tcMar>
                  <w:vAlign w:val="center"/>
                </w:tcPr>
                <w:p w14:paraId="760BA1CB">
                  <w:pPr>
                    <w:jc w:val="center"/>
                    <w:rPr>
                      <w:rFonts w:hint="default" w:ascii="Times New Roman" w:hAnsi="Times New Roman" w:cs="Times New Roman"/>
                      <w:color w:val="auto"/>
                    </w:rPr>
                  </w:pPr>
                  <w:r>
                    <w:rPr>
                      <w:rFonts w:hint="default" w:ascii="Times New Roman" w:hAnsi="Times New Roman" w:eastAsia="Arial" w:cs="Times New Roman"/>
                      <w:color w:val="auto"/>
                      <w:sz w:val="20"/>
                    </w:rPr>
                    <w:t>90</w:t>
                  </w:r>
                </w:p>
              </w:tc>
              <w:tc>
                <w:tcPr>
                  <w:tcW w:w="537" w:type="dxa"/>
                  <w:tcBorders>
                    <w:tl2br w:val="nil"/>
                    <w:tr2bl w:val="nil"/>
                  </w:tcBorders>
                  <w:shd w:val="clear" w:color="auto" w:fill="FFFFFF"/>
                  <w:tcMar>
                    <w:top w:w="0" w:type="dxa"/>
                    <w:left w:w="0" w:type="dxa"/>
                    <w:bottom w:w="0" w:type="dxa"/>
                    <w:right w:w="0" w:type="dxa"/>
                  </w:tcMar>
                  <w:vAlign w:val="center"/>
                </w:tcPr>
                <w:p w14:paraId="5D973F80">
                  <w:pPr>
                    <w:jc w:val="center"/>
                    <w:rPr>
                      <w:rFonts w:hint="default" w:ascii="Times New Roman" w:hAnsi="Times New Roman" w:cs="Times New Roman"/>
                      <w:color w:val="auto"/>
                    </w:rPr>
                  </w:pPr>
                  <w:r>
                    <w:rPr>
                      <w:rFonts w:hint="eastAsia"/>
                      <w:color w:val="auto"/>
                      <w:lang w:val="en-US" w:eastAsia="zh-CN"/>
                    </w:rPr>
                    <w:t>厂房隔声</w:t>
                  </w:r>
                </w:p>
              </w:tc>
              <w:tc>
                <w:tcPr>
                  <w:tcW w:w="594" w:type="dxa"/>
                  <w:tcBorders>
                    <w:tl2br w:val="nil"/>
                    <w:tr2bl w:val="nil"/>
                  </w:tcBorders>
                  <w:shd w:val="clear" w:color="auto" w:fill="FFFFFF"/>
                  <w:tcMar>
                    <w:top w:w="0" w:type="dxa"/>
                    <w:left w:w="0" w:type="dxa"/>
                    <w:bottom w:w="0" w:type="dxa"/>
                    <w:right w:w="0" w:type="dxa"/>
                  </w:tcMar>
                  <w:vAlign w:val="center"/>
                </w:tcPr>
                <w:p w14:paraId="179EB354">
                  <w:pPr>
                    <w:jc w:val="center"/>
                    <w:rPr>
                      <w:rFonts w:hint="default" w:ascii="Times New Roman" w:hAnsi="Times New Roman" w:cs="Times New Roman"/>
                      <w:color w:val="auto"/>
                    </w:rPr>
                  </w:pPr>
                  <w:r>
                    <w:rPr>
                      <w:rFonts w:hint="default" w:ascii="Times New Roman" w:hAnsi="Times New Roman" w:eastAsia="Arial" w:cs="Times New Roman"/>
                      <w:color w:val="auto"/>
                      <w:sz w:val="20"/>
                    </w:rPr>
                    <w:t>8.8</w:t>
                  </w:r>
                </w:p>
              </w:tc>
              <w:tc>
                <w:tcPr>
                  <w:tcW w:w="594" w:type="dxa"/>
                  <w:tcBorders>
                    <w:tl2br w:val="nil"/>
                    <w:tr2bl w:val="nil"/>
                  </w:tcBorders>
                  <w:shd w:val="clear" w:color="auto" w:fill="FFFFFF"/>
                  <w:tcMar>
                    <w:top w:w="0" w:type="dxa"/>
                    <w:left w:w="0" w:type="dxa"/>
                    <w:bottom w:w="0" w:type="dxa"/>
                    <w:right w:w="0" w:type="dxa"/>
                  </w:tcMar>
                  <w:vAlign w:val="center"/>
                </w:tcPr>
                <w:p w14:paraId="74AA20F4">
                  <w:pPr>
                    <w:jc w:val="center"/>
                    <w:rPr>
                      <w:rFonts w:hint="default" w:ascii="Times New Roman" w:hAnsi="Times New Roman" w:cs="Times New Roman"/>
                      <w:color w:val="auto"/>
                    </w:rPr>
                  </w:pPr>
                  <w:r>
                    <w:rPr>
                      <w:rFonts w:hint="default" w:ascii="Times New Roman" w:hAnsi="Times New Roman" w:eastAsia="Arial" w:cs="Times New Roman"/>
                      <w:color w:val="auto"/>
                      <w:sz w:val="20"/>
                    </w:rPr>
                    <w:t>17.8</w:t>
                  </w:r>
                </w:p>
              </w:tc>
              <w:tc>
                <w:tcPr>
                  <w:tcW w:w="604" w:type="dxa"/>
                  <w:tcBorders>
                    <w:tl2br w:val="nil"/>
                    <w:tr2bl w:val="nil"/>
                  </w:tcBorders>
                  <w:shd w:val="clear" w:color="auto" w:fill="FFFFFF"/>
                  <w:tcMar>
                    <w:top w:w="0" w:type="dxa"/>
                    <w:left w:w="0" w:type="dxa"/>
                    <w:bottom w:w="0" w:type="dxa"/>
                    <w:right w:w="0" w:type="dxa"/>
                  </w:tcMar>
                  <w:vAlign w:val="center"/>
                </w:tcPr>
                <w:p w14:paraId="3201F34C">
                  <w:pPr>
                    <w:jc w:val="center"/>
                    <w:rPr>
                      <w:rFonts w:hint="default" w:ascii="Times New Roman" w:hAnsi="Times New Roman" w:cs="Times New Roman"/>
                      <w:color w:val="auto"/>
                    </w:rPr>
                  </w:pPr>
                  <w:r>
                    <w:rPr>
                      <w:rFonts w:hint="default" w:ascii="Times New Roman" w:hAnsi="Times New Roman" w:eastAsia="Arial" w:cs="Times New Roman"/>
                      <w:color w:val="auto"/>
                      <w:sz w:val="20"/>
                    </w:rPr>
                    <w:t>1.2</w:t>
                  </w:r>
                </w:p>
              </w:tc>
              <w:tc>
                <w:tcPr>
                  <w:tcW w:w="493" w:type="dxa"/>
                  <w:tcBorders>
                    <w:tl2br w:val="nil"/>
                    <w:tr2bl w:val="nil"/>
                  </w:tcBorders>
                  <w:shd w:val="clear" w:color="auto" w:fill="FFFFFF"/>
                  <w:tcMar>
                    <w:top w:w="0" w:type="dxa"/>
                    <w:left w:w="0" w:type="dxa"/>
                    <w:bottom w:w="0" w:type="dxa"/>
                    <w:right w:w="0" w:type="dxa"/>
                  </w:tcMar>
                  <w:vAlign w:val="center"/>
                </w:tcPr>
                <w:p w14:paraId="04E4E3A2">
                  <w:pPr>
                    <w:jc w:val="center"/>
                    <w:rPr>
                      <w:rFonts w:hint="default" w:ascii="Times New Roman" w:hAnsi="Times New Roman" w:cs="Times New Roman"/>
                      <w:color w:val="auto"/>
                    </w:rPr>
                  </w:pPr>
                  <w:r>
                    <w:rPr>
                      <w:rFonts w:hint="eastAsia" w:eastAsia="宋体" w:cs="Times New Roman"/>
                      <w:color w:val="auto"/>
                      <w:sz w:val="20"/>
                      <w:lang w:val="en-US" w:eastAsia="zh-CN"/>
                    </w:rPr>
                    <w:t>1</w:t>
                  </w:r>
                  <w:r>
                    <w:rPr>
                      <w:rFonts w:hint="default" w:ascii="Times New Roman" w:hAnsi="Times New Roman" w:eastAsia="Arial" w:cs="Times New Roman"/>
                      <w:color w:val="auto"/>
                      <w:sz w:val="20"/>
                    </w:rPr>
                    <w:t>4.4</w:t>
                  </w:r>
                </w:p>
              </w:tc>
              <w:tc>
                <w:tcPr>
                  <w:tcW w:w="493" w:type="dxa"/>
                  <w:tcBorders>
                    <w:tl2br w:val="nil"/>
                    <w:tr2bl w:val="nil"/>
                  </w:tcBorders>
                  <w:shd w:val="clear" w:color="auto" w:fill="FFFFFF"/>
                  <w:tcMar>
                    <w:top w:w="0" w:type="dxa"/>
                    <w:left w:w="0" w:type="dxa"/>
                    <w:bottom w:w="0" w:type="dxa"/>
                    <w:right w:w="0" w:type="dxa"/>
                  </w:tcMar>
                  <w:vAlign w:val="center"/>
                </w:tcPr>
                <w:p w14:paraId="0552B010">
                  <w:pPr>
                    <w:jc w:val="center"/>
                    <w:rPr>
                      <w:rFonts w:hint="default" w:ascii="Times New Roman" w:hAnsi="Times New Roman" w:cs="Times New Roman"/>
                      <w:color w:val="auto"/>
                    </w:rPr>
                  </w:pPr>
                  <w:r>
                    <w:rPr>
                      <w:rFonts w:hint="eastAsia" w:cs="Times New Roman"/>
                      <w:color w:val="auto"/>
                      <w:sz w:val="20"/>
                      <w:lang w:val="en-US" w:eastAsia="zh-CN"/>
                    </w:rPr>
                    <w:t>10</w:t>
                  </w:r>
                  <w:r>
                    <w:rPr>
                      <w:rFonts w:hint="default" w:ascii="Times New Roman" w:hAnsi="Times New Roman" w:eastAsia="Arial" w:cs="Times New Roman"/>
                      <w:color w:val="auto"/>
                      <w:sz w:val="20"/>
                    </w:rPr>
                    <w:t>.1</w:t>
                  </w:r>
                </w:p>
              </w:tc>
              <w:tc>
                <w:tcPr>
                  <w:tcW w:w="493" w:type="dxa"/>
                  <w:tcBorders>
                    <w:tl2br w:val="nil"/>
                    <w:tr2bl w:val="nil"/>
                  </w:tcBorders>
                  <w:shd w:val="clear" w:color="auto" w:fill="FFFFFF"/>
                  <w:tcMar>
                    <w:top w:w="0" w:type="dxa"/>
                    <w:left w:w="0" w:type="dxa"/>
                    <w:bottom w:w="0" w:type="dxa"/>
                    <w:right w:w="0" w:type="dxa"/>
                  </w:tcMar>
                  <w:vAlign w:val="center"/>
                </w:tcPr>
                <w:p w14:paraId="3FFC9205">
                  <w:pPr>
                    <w:jc w:val="center"/>
                    <w:rPr>
                      <w:rFonts w:hint="default" w:ascii="Times New Roman" w:hAnsi="Times New Roman" w:cs="Times New Roman"/>
                      <w:color w:val="auto"/>
                    </w:rPr>
                  </w:pPr>
                  <w:r>
                    <w:rPr>
                      <w:rFonts w:hint="eastAsia" w:cs="Times New Roman"/>
                      <w:color w:val="auto"/>
                      <w:sz w:val="20"/>
                      <w:lang w:val="en-US" w:eastAsia="zh-CN"/>
                    </w:rPr>
                    <w:t>3</w:t>
                  </w:r>
                  <w:r>
                    <w:rPr>
                      <w:rFonts w:hint="default" w:ascii="Times New Roman" w:hAnsi="Times New Roman" w:eastAsia="Arial" w:cs="Times New Roman"/>
                      <w:color w:val="auto"/>
                      <w:sz w:val="20"/>
                    </w:rPr>
                    <w:t>2.5</w:t>
                  </w:r>
                </w:p>
              </w:tc>
              <w:tc>
                <w:tcPr>
                  <w:tcW w:w="503" w:type="dxa"/>
                  <w:tcBorders>
                    <w:tl2br w:val="nil"/>
                    <w:tr2bl w:val="nil"/>
                  </w:tcBorders>
                  <w:shd w:val="clear" w:color="auto" w:fill="FFFFFF"/>
                  <w:tcMar>
                    <w:top w:w="0" w:type="dxa"/>
                    <w:left w:w="0" w:type="dxa"/>
                    <w:bottom w:w="0" w:type="dxa"/>
                    <w:right w:w="0" w:type="dxa"/>
                  </w:tcMar>
                  <w:vAlign w:val="center"/>
                </w:tcPr>
                <w:p w14:paraId="71BD0063">
                  <w:pPr>
                    <w:jc w:val="center"/>
                    <w:rPr>
                      <w:rFonts w:hint="default" w:ascii="Times New Roman" w:hAnsi="Times New Roman" w:cs="Times New Roman"/>
                      <w:color w:val="auto"/>
                    </w:rPr>
                  </w:pPr>
                  <w:r>
                    <w:rPr>
                      <w:rFonts w:hint="eastAsia" w:cs="Times New Roman"/>
                      <w:color w:val="auto"/>
                      <w:sz w:val="20"/>
                      <w:lang w:val="en-US" w:eastAsia="zh-CN"/>
                    </w:rPr>
                    <w:t>2</w:t>
                  </w:r>
                  <w:r>
                    <w:rPr>
                      <w:rFonts w:hint="default" w:ascii="Times New Roman" w:hAnsi="Times New Roman" w:eastAsia="Arial" w:cs="Times New Roman"/>
                      <w:color w:val="auto"/>
                      <w:sz w:val="20"/>
                    </w:rPr>
                    <w:t>5.6</w:t>
                  </w:r>
                </w:p>
              </w:tc>
              <w:tc>
                <w:tcPr>
                  <w:tcW w:w="486" w:type="dxa"/>
                  <w:tcBorders>
                    <w:tl2br w:val="nil"/>
                    <w:tr2bl w:val="nil"/>
                  </w:tcBorders>
                  <w:shd w:val="clear" w:color="auto" w:fill="FFFFFF"/>
                  <w:tcMar>
                    <w:top w:w="0" w:type="dxa"/>
                    <w:left w:w="0" w:type="dxa"/>
                    <w:bottom w:w="0" w:type="dxa"/>
                    <w:right w:w="0" w:type="dxa"/>
                  </w:tcMar>
                  <w:vAlign w:val="center"/>
                </w:tcPr>
                <w:p w14:paraId="45014071">
                  <w:pPr>
                    <w:jc w:val="center"/>
                    <w:rPr>
                      <w:rFonts w:hint="default" w:ascii="Times New Roman" w:hAnsi="Times New Roman" w:cs="Times New Roman"/>
                      <w:color w:val="auto"/>
                    </w:rPr>
                  </w:pPr>
                  <w:r>
                    <w:rPr>
                      <w:rFonts w:hint="default" w:ascii="Times New Roman" w:hAnsi="Times New Roman" w:eastAsia="Arial" w:cs="Times New Roman"/>
                      <w:color w:val="auto"/>
                      <w:sz w:val="20"/>
                    </w:rPr>
                    <w:t>72.8</w:t>
                  </w:r>
                </w:p>
              </w:tc>
              <w:tc>
                <w:tcPr>
                  <w:tcW w:w="486" w:type="dxa"/>
                  <w:tcBorders>
                    <w:tl2br w:val="nil"/>
                    <w:tr2bl w:val="nil"/>
                  </w:tcBorders>
                  <w:shd w:val="clear" w:color="auto" w:fill="FFFFFF"/>
                  <w:tcMar>
                    <w:top w:w="0" w:type="dxa"/>
                    <w:left w:w="0" w:type="dxa"/>
                    <w:bottom w:w="0" w:type="dxa"/>
                    <w:right w:w="0" w:type="dxa"/>
                  </w:tcMar>
                  <w:vAlign w:val="center"/>
                </w:tcPr>
                <w:p w14:paraId="66303D70">
                  <w:pPr>
                    <w:jc w:val="center"/>
                    <w:rPr>
                      <w:rFonts w:hint="default" w:ascii="Times New Roman" w:hAnsi="Times New Roman" w:cs="Times New Roman"/>
                      <w:color w:val="auto"/>
                    </w:rPr>
                  </w:pPr>
                  <w:r>
                    <w:rPr>
                      <w:rFonts w:hint="default" w:ascii="Times New Roman" w:hAnsi="Times New Roman" w:eastAsia="Arial" w:cs="Times New Roman"/>
                      <w:color w:val="auto"/>
                      <w:sz w:val="20"/>
                    </w:rPr>
                    <w:t>72.8</w:t>
                  </w:r>
                </w:p>
              </w:tc>
              <w:tc>
                <w:tcPr>
                  <w:tcW w:w="486" w:type="dxa"/>
                  <w:tcBorders>
                    <w:tl2br w:val="nil"/>
                    <w:tr2bl w:val="nil"/>
                  </w:tcBorders>
                  <w:shd w:val="clear" w:color="auto" w:fill="FFFFFF"/>
                  <w:tcMar>
                    <w:top w:w="0" w:type="dxa"/>
                    <w:left w:w="0" w:type="dxa"/>
                    <w:bottom w:w="0" w:type="dxa"/>
                    <w:right w:w="0" w:type="dxa"/>
                  </w:tcMar>
                  <w:vAlign w:val="center"/>
                </w:tcPr>
                <w:p w14:paraId="190B0AC7">
                  <w:pPr>
                    <w:jc w:val="center"/>
                    <w:rPr>
                      <w:rFonts w:hint="default" w:ascii="Times New Roman" w:hAnsi="Times New Roman" w:cs="Times New Roman"/>
                      <w:color w:val="auto"/>
                    </w:rPr>
                  </w:pPr>
                  <w:r>
                    <w:rPr>
                      <w:rFonts w:hint="default" w:ascii="Times New Roman" w:hAnsi="Times New Roman" w:eastAsia="Arial" w:cs="Times New Roman"/>
                      <w:color w:val="auto"/>
                      <w:sz w:val="20"/>
                    </w:rPr>
                    <w:t>72.8</w:t>
                  </w:r>
                </w:p>
              </w:tc>
              <w:tc>
                <w:tcPr>
                  <w:tcW w:w="498" w:type="dxa"/>
                  <w:tcBorders>
                    <w:tl2br w:val="nil"/>
                    <w:tr2bl w:val="nil"/>
                  </w:tcBorders>
                  <w:shd w:val="clear" w:color="auto" w:fill="FFFFFF"/>
                  <w:tcMar>
                    <w:top w:w="0" w:type="dxa"/>
                    <w:left w:w="0" w:type="dxa"/>
                    <w:bottom w:w="0" w:type="dxa"/>
                    <w:right w:w="0" w:type="dxa"/>
                  </w:tcMar>
                  <w:vAlign w:val="center"/>
                </w:tcPr>
                <w:p w14:paraId="28384A36">
                  <w:pPr>
                    <w:jc w:val="center"/>
                    <w:rPr>
                      <w:rFonts w:hint="default" w:ascii="Times New Roman" w:hAnsi="Times New Roman" w:cs="Times New Roman"/>
                      <w:color w:val="auto"/>
                    </w:rPr>
                  </w:pPr>
                  <w:r>
                    <w:rPr>
                      <w:rFonts w:hint="default" w:ascii="Times New Roman" w:hAnsi="Times New Roman" w:eastAsia="Arial" w:cs="Times New Roman"/>
                      <w:color w:val="auto"/>
                      <w:sz w:val="20"/>
                    </w:rPr>
                    <w:t>72.8</w:t>
                  </w:r>
                </w:p>
              </w:tc>
              <w:tc>
                <w:tcPr>
                  <w:tcW w:w="551" w:type="dxa"/>
                  <w:tcBorders>
                    <w:tl2br w:val="nil"/>
                    <w:tr2bl w:val="nil"/>
                  </w:tcBorders>
                  <w:shd w:val="clear" w:color="auto" w:fill="FFFFFF"/>
                  <w:tcMar>
                    <w:top w:w="0" w:type="dxa"/>
                    <w:left w:w="0" w:type="dxa"/>
                    <w:bottom w:w="0" w:type="dxa"/>
                    <w:right w:w="0" w:type="dxa"/>
                  </w:tcMar>
                  <w:vAlign w:val="center"/>
                </w:tcPr>
                <w:p w14:paraId="5C3FF536">
                  <w:pPr>
                    <w:jc w:val="center"/>
                    <w:rPr>
                      <w:rFonts w:hint="default" w:ascii="Times New Roman" w:hAnsi="Times New Roman" w:cs="Times New Roman"/>
                      <w:color w:val="auto"/>
                    </w:rPr>
                  </w:pPr>
                  <w:r>
                    <w:rPr>
                      <w:rFonts w:hint="eastAsia" w:eastAsia="宋体" w:cs="Times New Roman"/>
                      <w:color w:val="auto"/>
                      <w:sz w:val="20"/>
                      <w:lang w:val="en-US" w:eastAsia="zh-CN"/>
                    </w:rPr>
                    <w:t>昼间</w:t>
                  </w:r>
                </w:p>
              </w:tc>
              <w:tc>
                <w:tcPr>
                  <w:tcW w:w="340" w:type="dxa"/>
                  <w:tcBorders>
                    <w:tl2br w:val="nil"/>
                    <w:tr2bl w:val="nil"/>
                  </w:tcBorders>
                  <w:shd w:val="clear" w:color="auto" w:fill="FFFFFF"/>
                  <w:tcMar>
                    <w:top w:w="0" w:type="dxa"/>
                    <w:left w:w="0" w:type="dxa"/>
                    <w:bottom w:w="0" w:type="dxa"/>
                    <w:right w:w="0" w:type="dxa"/>
                  </w:tcMar>
                  <w:vAlign w:val="center"/>
                </w:tcPr>
                <w:p w14:paraId="79FC6F45">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0E636056">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1583F384">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80" w:type="dxa"/>
                  <w:tcBorders>
                    <w:tl2br w:val="nil"/>
                    <w:tr2bl w:val="nil"/>
                  </w:tcBorders>
                  <w:shd w:val="clear" w:color="auto" w:fill="FFFFFF"/>
                  <w:tcMar>
                    <w:top w:w="0" w:type="dxa"/>
                    <w:left w:w="0" w:type="dxa"/>
                    <w:bottom w:w="0" w:type="dxa"/>
                    <w:right w:w="0" w:type="dxa"/>
                  </w:tcMar>
                  <w:vAlign w:val="center"/>
                </w:tcPr>
                <w:p w14:paraId="3EFF9EDA">
                  <w:pPr>
                    <w:jc w:val="center"/>
                    <w:rPr>
                      <w:rFonts w:hint="default" w:ascii="Times New Roman" w:hAnsi="Times New Roman" w:cs="Times New Roman"/>
                      <w:color w:val="auto"/>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500" w:type="dxa"/>
                  <w:tcBorders>
                    <w:tl2br w:val="nil"/>
                    <w:tr2bl w:val="nil"/>
                  </w:tcBorders>
                  <w:shd w:val="clear" w:color="auto" w:fill="FFFFFF"/>
                  <w:tcMar>
                    <w:top w:w="0" w:type="dxa"/>
                    <w:left w:w="0" w:type="dxa"/>
                    <w:bottom w:w="0" w:type="dxa"/>
                    <w:right w:w="0" w:type="dxa"/>
                  </w:tcMar>
                  <w:vAlign w:val="center"/>
                </w:tcPr>
                <w:p w14:paraId="04848DB8">
                  <w:pPr>
                    <w:jc w:val="center"/>
                    <w:rPr>
                      <w:rFonts w:hint="default" w:ascii="Times New Roman" w:hAnsi="Times New Roman" w:cs="Times New Roman"/>
                      <w:color w:val="auto"/>
                    </w:rPr>
                  </w:pPr>
                  <w:r>
                    <w:rPr>
                      <w:rFonts w:hint="eastAsia" w:eastAsia="宋体" w:cs="Times New Roman"/>
                      <w:color w:val="auto"/>
                      <w:sz w:val="20"/>
                      <w:lang w:val="en-US" w:eastAsia="zh-CN"/>
                    </w:rPr>
                    <w:t>4</w:t>
                  </w:r>
                  <w:r>
                    <w:rPr>
                      <w:rFonts w:hint="default" w:ascii="Times New Roman" w:hAnsi="Times New Roman" w:eastAsia="Arial" w:cs="Times New Roman"/>
                      <w:color w:val="auto"/>
                      <w:sz w:val="20"/>
                    </w:rPr>
                    <w:t>1.8</w:t>
                  </w:r>
                </w:p>
              </w:tc>
              <w:tc>
                <w:tcPr>
                  <w:tcW w:w="500" w:type="dxa"/>
                  <w:tcBorders>
                    <w:tl2br w:val="nil"/>
                    <w:tr2bl w:val="nil"/>
                  </w:tcBorders>
                  <w:shd w:val="clear" w:color="auto" w:fill="FFFFFF"/>
                  <w:tcMar>
                    <w:top w:w="0" w:type="dxa"/>
                    <w:left w:w="0" w:type="dxa"/>
                    <w:bottom w:w="0" w:type="dxa"/>
                    <w:right w:w="0" w:type="dxa"/>
                  </w:tcMar>
                  <w:vAlign w:val="center"/>
                </w:tcPr>
                <w:p w14:paraId="416C2016">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44.2</w:t>
                  </w:r>
                </w:p>
              </w:tc>
              <w:tc>
                <w:tcPr>
                  <w:tcW w:w="500" w:type="dxa"/>
                  <w:tcBorders>
                    <w:tl2br w:val="nil"/>
                    <w:tr2bl w:val="nil"/>
                  </w:tcBorders>
                  <w:shd w:val="clear" w:color="auto" w:fill="FFFFFF"/>
                  <w:tcMar>
                    <w:top w:w="0" w:type="dxa"/>
                    <w:left w:w="0" w:type="dxa"/>
                    <w:bottom w:w="0" w:type="dxa"/>
                    <w:right w:w="0" w:type="dxa"/>
                  </w:tcMar>
                  <w:vAlign w:val="center"/>
                </w:tcPr>
                <w:p w14:paraId="6FE6C3D0">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43.5</w:t>
                  </w:r>
                </w:p>
              </w:tc>
              <w:tc>
                <w:tcPr>
                  <w:tcW w:w="500" w:type="dxa"/>
                  <w:tcBorders>
                    <w:tl2br w:val="nil"/>
                    <w:tr2bl w:val="nil"/>
                  </w:tcBorders>
                  <w:shd w:val="clear" w:color="auto" w:fill="FFFFFF"/>
                  <w:tcMar>
                    <w:top w:w="0" w:type="dxa"/>
                    <w:left w:w="0" w:type="dxa"/>
                    <w:bottom w:w="0" w:type="dxa"/>
                    <w:right w:w="0" w:type="dxa"/>
                  </w:tcMar>
                  <w:vAlign w:val="center"/>
                </w:tcPr>
                <w:p w14:paraId="77F74942">
                  <w:pPr>
                    <w:jc w:val="center"/>
                    <w:rPr>
                      <w:rFonts w:hint="default" w:ascii="Times New Roman" w:hAnsi="Times New Roman" w:eastAsia="宋体" w:cs="Times New Roman"/>
                      <w:color w:val="auto"/>
                      <w:lang w:val="en-US" w:eastAsia="zh-CN"/>
                    </w:rPr>
                  </w:pPr>
                  <w:r>
                    <w:rPr>
                      <w:rFonts w:hint="eastAsia" w:eastAsia="宋体" w:cs="Times New Roman"/>
                      <w:color w:val="auto"/>
                      <w:sz w:val="20"/>
                      <w:lang w:val="en-US" w:eastAsia="zh-CN"/>
                    </w:rPr>
                    <w:t>48.9</w:t>
                  </w:r>
                </w:p>
              </w:tc>
              <w:tc>
                <w:tcPr>
                  <w:tcW w:w="713" w:type="dxa"/>
                  <w:tcBorders>
                    <w:tl2br w:val="nil"/>
                    <w:tr2bl w:val="nil"/>
                  </w:tcBorders>
                  <w:shd w:val="clear" w:color="auto" w:fill="FFFFFF"/>
                  <w:tcMar>
                    <w:top w:w="0" w:type="dxa"/>
                    <w:left w:w="0" w:type="dxa"/>
                    <w:bottom w:w="0" w:type="dxa"/>
                    <w:right w:w="0" w:type="dxa"/>
                  </w:tcMar>
                  <w:vAlign w:val="center"/>
                </w:tcPr>
                <w:p w14:paraId="37141BD7">
                  <w:pPr>
                    <w:jc w:val="center"/>
                    <w:rPr>
                      <w:rFonts w:hint="default" w:ascii="Times New Roman" w:hAnsi="Times New Roman" w:cs="Times New Roman"/>
                      <w:color w:val="auto"/>
                    </w:rPr>
                  </w:pPr>
                  <w:r>
                    <w:rPr>
                      <w:rFonts w:hint="default" w:ascii="Times New Roman" w:hAnsi="Times New Roman" w:eastAsia="Arial" w:cs="Times New Roman"/>
                      <w:color w:val="auto"/>
                      <w:sz w:val="20"/>
                    </w:rPr>
                    <w:t>1</w:t>
                  </w:r>
                </w:p>
              </w:tc>
            </w:tr>
            <w:tr w14:paraId="6DD98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24" w:hRule="atLeast"/>
                <w:jc w:val="center"/>
              </w:trPr>
              <w:tc>
                <w:tcPr>
                  <w:tcW w:w="387" w:type="dxa"/>
                  <w:tcBorders>
                    <w:tl2br w:val="nil"/>
                    <w:tr2bl w:val="nil"/>
                  </w:tcBorders>
                  <w:shd w:val="clear" w:color="auto" w:fill="FFFFFF"/>
                  <w:tcMar>
                    <w:top w:w="0" w:type="dxa"/>
                    <w:left w:w="0" w:type="dxa"/>
                    <w:bottom w:w="0" w:type="dxa"/>
                    <w:right w:w="0" w:type="dxa"/>
                  </w:tcMar>
                  <w:vAlign w:val="center"/>
                </w:tcPr>
                <w:p w14:paraId="5D175EAB">
                  <w:pPr>
                    <w:rPr>
                      <w:rFonts w:hint="eastAsia" w:ascii="Times New Roman" w:hAnsi="Times New Roman" w:eastAsia="宋体" w:cs="Times New Roman"/>
                      <w:color w:val="auto"/>
                      <w:sz w:val="20"/>
                      <w:lang w:val="en-US" w:eastAsia="zh-CN"/>
                    </w:rPr>
                  </w:pPr>
                  <w:r>
                    <w:rPr>
                      <w:rFonts w:hint="eastAsia" w:eastAsia="宋体" w:cs="Times New Roman"/>
                      <w:color w:val="auto"/>
                      <w:sz w:val="20"/>
                      <w:lang w:val="en-US" w:eastAsia="zh-CN"/>
                    </w:rPr>
                    <w:t>3</w:t>
                  </w:r>
                </w:p>
              </w:tc>
              <w:tc>
                <w:tcPr>
                  <w:tcW w:w="553" w:type="dxa"/>
                  <w:tcBorders>
                    <w:tl2br w:val="nil"/>
                    <w:tr2bl w:val="nil"/>
                  </w:tcBorders>
                  <w:shd w:val="clear" w:color="auto" w:fill="FFFFFF"/>
                  <w:tcMar>
                    <w:top w:w="0" w:type="dxa"/>
                    <w:left w:w="0" w:type="dxa"/>
                    <w:bottom w:w="0" w:type="dxa"/>
                    <w:right w:w="0" w:type="dxa"/>
                  </w:tcMar>
                  <w:vAlign w:val="center"/>
                </w:tcPr>
                <w:p w14:paraId="2EAD7D2C">
                  <w:pPr>
                    <w:rPr>
                      <w:rFonts w:hint="eastAsia" w:cs="Times New Roman"/>
                      <w:color w:val="auto"/>
                      <w:sz w:val="20"/>
                      <w:lang w:eastAsia="zh-CN"/>
                    </w:rPr>
                  </w:pPr>
                  <w:r>
                    <w:rPr>
                      <w:rFonts w:hint="eastAsia" w:cs="Times New Roman"/>
                      <w:color w:val="auto"/>
                      <w:sz w:val="20"/>
                      <w:lang w:eastAsia="zh-CN"/>
                    </w:rPr>
                    <w:t>凯漩-声屏障</w:t>
                  </w:r>
                </w:p>
              </w:tc>
              <w:tc>
                <w:tcPr>
                  <w:tcW w:w="524" w:type="dxa"/>
                  <w:tcBorders>
                    <w:tl2br w:val="nil"/>
                    <w:tr2bl w:val="nil"/>
                  </w:tcBorders>
                  <w:shd w:val="clear" w:color="auto" w:fill="FFFFFF"/>
                  <w:tcMar>
                    <w:top w:w="0" w:type="dxa"/>
                    <w:left w:w="0" w:type="dxa"/>
                    <w:bottom w:w="0" w:type="dxa"/>
                    <w:right w:w="0" w:type="dxa"/>
                  </w:tcMar>
                  <w:vAlign w:val="center"/>
                </w:tcPr>
                <w:p w14:paraId="166F5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拌料机</w:t>
                  </w:r>
                </w:p>
              </w:tc>
              <w:tc>
                <w:tcPr>
                  <w:tcW w:w="387" w:type="dxa"/>
                  <w:tcBorders>
                    <w:tl2br w:val="nil"/>
                    <w:tr2bl w:val="nil"/>
                  </w:tcBorders>
                  <w:shd w:val="clear" w:color="auto" w:fill="FFFFFF"/>
                  <w:tcMar>
                    <w:top w:w="0" w:type="dxa"/>
                    <w:left w:w="0" w:type="dxa"/>
                    <w:bottom w:w="0" w:type="dxa"/>
                    <w:right w:w="0" w:type="dxa"/>
                  </w:tcMar>
                  <w:vAlign w:val="center"/>
                </w:tcPr>
                <w:p w14:paraId="401845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12</w:t>
                  </w:r>
                </w:p>
              </w:tc>
              <w:tc>
                <w:tcPr>
                  <w:tcW w:w="633" w:type="dxa"/>
                  <w:tcBorders>
                    <w:tl2br w:val="nil"/>
                    <w:tr2bl w:val="nil"/>
                  </w:tcBorders>
                  <w:shd w:val="clear" w:color="auto" w:fill="FFFFFF"/>
                  <w:tcMar>
                    <w:top w:w="0" w:type="dxa"/>
                    <w:left w:w="0" w:type="dxa"/>
                    <w:bottom w:w="0" w:type="dxa"/>
                    <w:right w:w="0" w:type="dxa"/>
                  </w:tcMar>
                  <w:vAlign w:val="center"/>
                </w:tcPr>
                <w:p w14:paraId="2AD465D6">
                  <w:pPr>
                    <w:jc w:val="center"/>
                    <w:rPr>
                      <w:rFonts w:hint="default" w:ascii="Times New Roman" w:hAnsi="Times New Roman" w:eastAsia="宋体" w:cs="Times New Roman"/>
                      <w:color w:val="auto"/>
                      <w:sz w:val="20"/>
                      <w:lang w:val="en-US" w:eastAsia="zh-CN"/>
                    </w:rPr>
                  </w:pPr>
                  <w:r>
                    <w:rPr>
                      <w:rFonts w:hint="eastAsia" w:eastAsia="宋体" w:cs="Times New Roman"/>
                      <w:color w:val="auto"/>
                      <w:sz w:val="20"/>
                      <w:lang w:val="en-US" w:eastAsia="zh-CN"/>
                    </w:rPr>
                    <w:t>80</w:t>
                  </w:r>
                </w:p>
              </w:tc>
              <w:tc>
                <w:tcPr>
                  <w:tcW w:w="537" w:type="dxa"/>
                  <w:tcBorders>
                    <w:tl2br w:val="nil"/>
                    <w:tr2bl w:val="nil"/>
                  </w:tcBorders>
                  <w:shd w:val="clear" w:color="auto" w:fill="FFFFFF"/>
                  <w:tcMar>
                    <w:top w:w="0" w:type="dxa"/>
                    <w:left w:w="0" w:type="dxa"/>
                    <w:bottom w:w="0" w:type="dxa"/>
                    <w:right w:w="0" w:type="dxa"/>
                  </w:tcMar>
                  <w:vAlign w:val="center"/>
                </w:tcPr>
                <w:p w14:paraId="687E3B9D">
                  <w:pPr>
                    <w:jc w:val="center"/>
                    <w:rPr>
                      <w:rFonts w:hint="eastAsia"/>
                      <w:color w:val="auto"/>
                      <w:lang w:val="en-US" w:eastAsia="zh-CN"/>
                    </w:rPr>
                  </w:pPr>
                  <w:r>
                    <w:rPr>
                      <w:rFonts w:hint="eastAsia"/>
                      <w:color w:val="auto"/>
                      <w:lang w:val="en-US" w:eastAsia="zh-CN"/>
                    </w:rPr>
                    <w:t>厂房隔声</w:t>
                  </w:r>
                </w:p>
              </w:tc>
              <w:tc>
                <w:tcPr>
                  <w:tcW w:w="594" w:type="dxa"/>
                  <w:tcBorders>
                    <w:tl2br w:val="nil"/>
                    <w:tr2bl w:val="nil"/>
                  </w:tcBorders>
                  <w:shd w:val="clear" w:color="auto" w:fill="FFFFFF"/>
                  <w:tcMar>
                    <w:top w:w="0" w:type="dxa"/>
                    <w:left w:w="0" w:type="dxa"/>
                    <w:bottom w:w="0" w:type="dxa"/>
                    <w:right w:w="0" w:type="dxa"/>
                  </w:tcMar>
                  <w:vAlign w:val="center"/>
                </w:tcPr>
                <w:p w14:paraId="34B29057">
                  <w:pPr>
                    <w:jc w:val="center"/>
                    <w:rPr>
                      <w:rFonts w:hint="default" w:ascii="Times New Roman" w:hAnsi="Times New Roman" w:eastAsia="宋体" w:cs="Times New Roman"/>
                      <w:color w:val="auto"/>
                      <w:sz w:val="20"/>
                      <w:lang w:val="en-US" w:eastAsia="zh-CN"/>
                    </w:rPr>
                  </w:pPr>
                  <w:r>
                    <w:rPr>
                      <w:rFonts w:hint="eastAsia" w:eastAsia="宋体" w:cs="Times New Roman"/>
                      <w:color w:val="auto"/>
                      <w:sz w:val="20"/>
                      <w:lang w:val="en-US" w:eastAsia="zh-CN"/>
                    </w:rPr>
                    <w:t>-10</w:t>
                  </w:r>
                </w:p>
              </w:tc>
              <w:tc>
                <w:tcPr>
                  <w:tcW w:w="594" w:type="dxa"/>
                  <w:tcBorders>
                    <w:tl2br w:val="nil"/>
                    <w:tr2bl w:val="nil"/>
                  </w:tcBorders>
                  <w:shd w:val="clear" w:color="auto" w:fill="FFFFFF"/>
                  <w:tcMar>
                    <w:top w:w="0" w:type="dxa"/>
                    <w:left w:w="0" w:type="dxa"/>
                    <w:bottom w:w="0" w:type="dxa"/>
                    <w:right w:w="0" w:type="dxa"/>
                  </w:tcMar>
                  <w:vAlign w:val="center"/>
                </w:tcPr>
                <w:p w14:paraId="4BFA208A">
                  <w:pPr>
                    <w:jc w:val="center"/>
                    <w:rPr>
                      <w:rFonts w:hint="default" w:ascii="Times New Roman" w:hAnsi="Times New Roman" w:eastAsia="宋体" w:cs="Times New Roman"/>
                      <w:color w:val="auto"/>
                      <w:sz w:val="20"/>
                      <w:lang w:val="en-US" w:eastAsia="zh-CN"/>
                    </w:rPr>
                  </w:pPr>
                  <w:r>
                    <w:rPr>
                      <w:rFonts w:hint="eastAsia" w:eastAsia="宋体" w:cs="Times New Roman"/>
                      <w:color w:val="auto"/>
                      <w:sz w:val="20"/>
                      <w:lang w:val="en-US" w:eastAsia="zh-CN"/>
                    </w:rPr>
                    <w:t>1.5</w:t>
                  </w:r>
                </w:p>
              </w:tc>
              <w:tc>
                <w:tcPr>
                  <w:tcW w:w="604" w:type="dxa"/>
                  <w:tcBorders>
                    <w:tl2br w:val="nil"/>
                    <w:tr2bl w:val="nil"/>
                  </w:tcBorders>
                  <w:shd w:val="clear" w:color="auto" w:fill="FFFFFF"/>
                  <w:tcMar>
                    <w:top w:w="0" w:type="dxa"/>
                    <w:left w:w="0" w:type="dxa"/>
                    <w:bottom w:w="0" w:type="dxa"/>
                    <w:right w:w="0" w:type="dxa"/>
                  </w:tcMar>
                  <w:vAlign w:val="center"/>
                </w:tcPr>
                <w:p w14:paraId="35C36E8E">
                  <w:pPr>
                    <w:jc w:val="center"/>
                    <w:rPr>
                      <w:rFonts w:hint="default" w:ascii="Times New Roman" w:hAnsi="Times New Roman" w:eastAsia="宋体" w:cs="Times New Roman"/>
                      <w:color w:val="auto"/>
                      <w:sz w:val="20"/>
                      <w:lang w:val="en-US" w:eastAsia="zh-CN"/>
                    </w:rPr>
                  </w:pPr>
                  <w:r>
                    <w:rPr>
                      <w:rFonts w:hint="eastAsia" w:eastAsia="宋体" w:cs="Times New Roman"/>
                      <w:color w:val="auto"/>
                      <w:sz w:val="20"/>
                      <w:lang w:val="en-US" w:eastAsia="zh-CN"/>
                    </w:rPr>
                    <w:t>1.2</w:t>
                  </w:r>
                </w:p>
              </w:tc>
              <w:tc>
                <w:tcPr>
                  <w:tcW w:w="493" w:type="dxa"/>
                  <w:tcBorders>
                    <w:tl2br w:val="nil"/>
                    <w:tr2bl w:val="nil"/>
                  </w:tcBorders>
                  <w:shd w:val="clear" w:color="auto" w:fill="FFFFFF"/>
                  <w:tcMar>
                    <w:top w:w="0" w:type="dxa"/>
                    <w:left w:w="0" w:type="dxa"/>
                    <w:bottom w:w="0" w:type="dxa"/>
                    <w:right w:w="0" w:type="dxa"/>
                  </w:tcMar>
                  <w:vAlign w:val="center"/>
                </w:tcPr>
                <w:p w14:paraId="0B0831F8">
                  <w:pPr>
                    <w:jc w:val="center"/>
                    <w:rPr>
                      <w:rFonts w:hint="default" w:eastAsia="宋体" w:cs="Times New Roman"/>
                      <w:color w:val="auto"/>
                      <w:sz w:val="20"/>
                      <w:lang w:val="en-US" w:eastAsia="zh-CN"/>
                    </w:rPr>
                  </w:pPr>
                  <w:r>
                    <w:rPr>
                      <w:rFonts w:hint="eastAsia" w:cs="Times New Roman"/>
                      <w:color w:val="auto"/>
                      <w:sz w:val="20"/>
                      <w:lang w:val="en-US" w:eastAsia="zh-CN"/>
                    </w:rPr>
                    <w:t>20</w:t>
                  </w:r>
                </w:p>
              </w:tc>
              <w:tc>
                <w:tcPr>
                  <w:tcW w:w="493" w:type="dxa"/>
                  <w:tcBorders>
                    <w:tl2br w:val="nil"/>
                    <w:tr2bl w:val="nil"/>
                  </w:tcBorders>
                  <w:shd w:val="clear" w:color="auto" w:fill="FFFFFF"/>
                  <w:tcMar>
                    <w:top w:w="0" w:type="dxa"/>
                    <w:left w:w="0" w:type="dxa"/>
                    <w:bottom w:w="0" w:type="dxa"/>
                    <w:right w:w="0" w:type="dxa"/>
                  </w:tcMar>
                  <w:vAlign w:val="center"/>
                </w:tcPr>
                <w:p w14:paraId="73A5F3AC">
                  <w:pPr>
                    <w:jc w:val="center"/>
                    <w:rPr>
                      <w:rFonts w:hint="default" w:cs="Times New Roman"/>
                      <w:color w:val="auto"/>
                      <w:sz w:val="20"/>
                      <w:lang w:val="en-US" w:eastAsia="zh-CN"/>
                    </w:rPr>
                  </w:pPr>
                  <w:r>
                    <w:rPr>
                      <w:rFonts w:hint="eastAsia" w:cs="Times New Roman"/>
                      <w:color w:val="auto"/>
                      <w:sz w:val="20"/>
                      <w:lang w:val="en-US" w:eastAsia="zh-CN"/>
                    </w:rPr>
                    <w:t>10</w:t>
                  </w:r>
                </w:p>
              </w:tc>
              <w:tc>
                <w:tcPr>
                  <w:tcW w:w="493" w:type="dxa"/>
                  <w:tcBorders>
                    <w:tl2br w:val="nil"/>
                    <w:tr2bl w:val="nil"/>
                  </w:tcBorders>
                  <w:shd w:val="clear" w:color="auto" w:fill="FFFFFF"/>
                  <w:tcMar>
                    <w:top w:w="0" w:type="dxa"/>
                    <w:left w:w="0" w:type="dxa"/>
                    <w:bottom w:w="0" w:type="dxa"/>
                    <w:right w:w="0" w:type="dxa"/>
                  </w:tcMar>
                  <w:vAlign w:val="center"/>
                </w:tcPr>
                <w:p w14:paraId="5C4463E2">
                  <w:pPr>
                    <w:jc w:val="center"/>
                    <w:rPr>
                      <w:rFonts w:hint="default" w:cs="Times New Roman"/>
                      <w:color w:val="auto"/>
                      <w:sz w:val="20"/>
                      <w:lang w:val="en-US" w:eastAsia="zh-CN"/>
                    </w:rPr>
                  </w:pPr>
                  <w:r>
                    <w:rPr>
                      <w:rFonts w:hint="eastAsia" w:cs="Times New Roman"/>
                      <w:color w:val="auto"/>
                      <w:sz w:val="20"/>
                      <w:lang w:val="en-US" w:eastAsia="zh-CN"/>
                    </w:rPr>
                    <w:t>10</w:t>
                  </w:r>
                </w:p>
              </w:tc>
              <w:tc>
                <w:tcPr>
                  <w:tcW w:w="503" w:type="dxa"/>
                  <w:tcBorders>
                    <w:tl2br w:val="nil"/>
                    <w:tr2bl w:val="nil"/>
                  </w:tcBorders>
                  <w:shd w:val="clear" w:color="auto" w:fill="FFFFFF"/>
                  <w:tcMar>
                    <w:top w:w="0" w:type="dxa"/>
                    <w:left w:w="0" w:type="dxa"/>
                    <w:bottom w:w="0" w:type="dxa"/>
                    <w:right w:w="0" w:type="dxa"/>
                  </w:tcMar>
                  <w:vAlign w:val="center"/>
                </w:tcPr>
                <w:p w14:paraId="763D4F7A">
                  <w:pPr>
                    <w:jc w:val="center"/>
                    <w:rPr>
                      <w:rFonts w:hint="default" w:cs="Times New Roman"/>
                      <w:color w:val="auto"/>
                      <w:sz w:val="20"/>
                      <w:lang w:val="en-US" w:eastAsia="zh-CN"/>
                    </w:rPr>
                  </w:pPr>
                  <w:r>
                    <w:rPr>
                      <w:rFonts w:hint="eastAsia" w:cs="Times New Roman"/>
                      <w:color w:val="auto"/>
                      <w:sz w:val="20"/>
                      <w:lang w:val="en-US" w:eastAsia="zh-CN"/>
                    </w:rPr>
                    <w:t>30</w:t>
                  </w:r>
                </w:p>
              </w:tc>
              <w:tc>
                <w:tcPr>
                  <w:tcW w:w="486" w:type="dxa"/>
                  <w:tcBorders>
                    <w:tl2br w:val="nil"/>
                    <w:tr2bl w:val="nil"/>
                  </w:tcBorders>
                  <w:shd w:val="clear" w:color="auto" w:fill="FFFFFF"/>
                  <w:tcMar>
                    <w:top w:w="0" w:type="dxa"/>
                    <w:left w:w="0" w:type="dxa"/>
                    <w:bottom w:w="0" w:type="dxa"/>
                    <w:right w:w="0" w:type="dxa"/>
                  </w:tcMar>
                  <w:vAlign w:val="center"/>
                </w:tcPr>
                <w:p w14:paraId="286CBE6F">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w:t>
                  </w:r>
                  <w:r>
                    <w:rPr>
                      <w:rFonts w:hint="default" w:ascii="Times New Roman" w:hAnsi="Times New Roman" w:eastAsia="Arial" w:cs="Times New Roman"/>
                      <w:color w:val="auto"/>
                      <w:sz w:val="20"/>
                    </w:rPr>
                    <w:t>2.8</w:t>
                  </w:r>
                </w:p>
              </w:tc>
              <w:tc>
                <w:tcPr>
                  <w:tcW w:w="486" w:type="dxa"/>
                  <w:tcBorders>
                    <w:tl2br w:val="nil"/>
                    <w:tr2bl w:val="nil"/>
                  </w:tcBorders>
                  <w:shd w:val="clear" w:color="auto" w:fill="FFFFFF"/>
                  <w:tcMar>
                    <w:top w:w="0" w:type="dxa"/>
                    <w:left w:w="0" w:type="dxa"/>
                    <w:bottom w:w="0" w:type="dxa"/>
                    <w:right w:w="0" w:type="dxa"/>
                  </w:tcMar>
                  <w:vAlign w:val="center"/>
                </w:tcPr>
                <w:p w14:paraId="7218A290">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w:t>
                  </w:r>
                  <w:r>
                    <w:rPr>
                      <w:rFonts w:hint="default" w:ascii="Times New Roman" w:hAnsi="Times New Roman" w:eastAsia="Arial" w:cs="Times New Roman"/>
                      <w:color w:val="auto"/>
                      <w:sz w:val="20"/>
                    </w:rPr>
                    <w:t>2.8</w:t>
                  </w:r>
                </w:p>
              </w:tc>
              <w:tc>
                <w:tcPr>
                  <w:tcW w:w="486" w:type="dxa"/>
                  <w:tcBorders>
                    <w:tl2br w:val="nil"/>
                    <w:tr2bl w:val="nil"/>
                  </w:tcBorders>
                  <w:shd w:val="clear" w:color="auto" w:fill="FFFFFF"/>
                  <w:tcMar>
                    <w:top w:w="0" w:type="dxa"/>
                    <w:left w:w="0" w:type="dxa"/>
                    <w:bottom w:w="0" w:type="dxa"/>
                    <w:right w:w="0" w:type="dxa"/>
                  </w:tcMar>
                  <w:vAlign w:val="center"/>
                </w:tcPr>
                <w:p w14:paraId="6A9C0410">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w:t>
                  </w:r>
                  <w:r>
                    <w:rPr>
                      <w:rFonts w:hint="default" w:ascii="Times New Roman" w:hAnsi="Times New Roman" w:eastAsia="Arial" w:cs="Times New Roman"/>
                      <w:color w:val="auto"/>
                      <w:sz w:val="20"/>
                    </w:rPr>
                    <w:t>2.8</w:t>
                  </w:r>
                </w:p>
              </w:tc>
              <w:tc>
                <w:tcPr>
                  <w:tcW w:w="498" w:type="dxa"/>
                  <w:tcBorders>
                    <w:tl2br w:val="nil"/>
                    <w:tr2bl w:val="nil"/>
                  </w:tcBorders>
                  <w:shd w:val="clear" w:color="auto" w:fill="FFFFFF"/>
                  <w:tcMar>
                    <w:top w:w="0" w:type="dxa"/>
                    <w:left w:w="0" w:type="dxa"/>
                    <w:bottom w:w="0" w:type="dxa"/>
                    <w:right w:w="0" w:type="dxa"/>
                  </w:tcMar>
                  <w:vAlign w:val="center"/>
                </w:tcPr>
                <w:p w14:paraId="41547013">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72.8</w:t>
                  </w:r>
                </w:p>
              </w:tc>
              <w:tc>
                <w:tcPr>
                  <w:tcW w:w="551" w:type="dxa"/>
                  <w:tcBorders>
                    <w:tl2br w:val="nil"/>
                    <w:tr2bl w:val="nil"/>
                  </w:tcBorders>
                  <w:shd w:val="clear" w:color="auto" w:fill="FFFFFF"/>
                  <w:tcMar>
                    <w:top w:w="0" w:type="dxa"/>
                    <w:left w:w="0" w:type="dxa"/>
                    <w:bottom w:w="0" w:type="dxa"/>
                    <w:right w:w="0" w:type="dxa"/>
                  </w:tcMar>
                  <w:vAlign w:val="center"/>
                </w:tcPr>
                <w:p w14:paraId="1C477851">
                  <w:pPr>
                    <w:jc w:val="center"/>
                    <w:rPr>
                      <w:rFonts w:hint="default" w:ascii="Times New Roman" w:hAnsi="Times New Roman" w:eastAsia="Arial" w:cs="Times New Roman"/>
                      <w:color w:val="auto"/>
                      <w:sz w:val="20"/>
                    </w:rPr>
                  </w:pPr>
                  <w:r>
                    <w:rPr>
                      <w:rFonts w:hint="eastAsia" w:eastAsia="宋体" w:cs="Times New Roman"/>
                      <w:color w:val="auto"/>
                      <w:sz w:val="20"/>
                      <w:lang w:val="en-US" w:eastAsia="zh-CN"/>
                    </w:rPr>
                    <w:t>昼间</w:t>
                  </w:r>
                </w:p>
              </w:tc>
              <w:tc>
                <w:tcPr>
                  <w:tcW w:w="340" w:type="dxa"/>
                  <w:tcBorders>
                    <w:tl2br w:val="nil"/>
                    <w:tr2bl w:val="nil"/>
                  </w:tcBorders>
                  <w:shd w:val="clear" w:color="auto" w:fill="FFFFFF"/>
                  <w:tcMar>
                    <w:top w:w="0" w:type="dxa"/>
                    <w:left w:w="0" w:type="dxa"/>
                    <w:bottom w:w="0" w:type="dxa"/>
                    <w:right w:w="0" w:type="dxa"/>
                  </w:tcMar>
                  <w:vAlign w:val="center"/>
                </w:tcPr>
                <w:p w14:paraId="06E72E88">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42AB38BD">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54C2E6E9">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80" w:type="dxa"/>
                  <w:tcBorders>
                    <w:tl2br w:val="nil"/>
                    <w:tr2bl w:val="nil"/>
                  </w:tcBorders>
                  <w:shd w:val="clear" w:color="auto" w:fill="FFFFFF"/>
                  <w:tcMar>
                    <w:top w:w="0" w:type="dxa"/>
                    <w:left w:w="0" w:type="dxa"/>
                    <w:bottom w:w="0" w:type="dxa"/>
                    <w:right w:w="0" w:type="dxa"/>
                  </w:tcMar>
                  <w:vAlign w:val="center"/>
                </w:tcPr>
                <w:p w14:paraId="45FEF91E">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500" w:type="dxa"/>
                  <w:tcBorders>
                    <w:tl2br w:val="nil"/>
                    <w:tr2bl w:val="nil"/>
                  </w:tcBorders>
                  <w:shd w:val="clear" w:color="auto" w:fill="FFFFFF"/>
                  <w:tcMar>
                    <w:top w:w="0" w:type="dxa"/>
                    <w:left w:w="0" w:type="dxa"/>
                    <w:bottom w:w="0" w:type="dxa"/>
                    <w:right w:w="0" w:type="dxa"/>
                  </w:tcMar>
                  <w:vAlign w:val="center"/>
                </w:tcPr>
                <w:p w14:paraId="6D4A6997">
                  <w:pPr>
                    <w:jc w:val="center"/>
                    <w:rPr>
                      <w:rFonts w:hint="default" w:eastAsia="宋体" w:cs="Times New Roman"/>
                      <w:color w:val="auto"/>
                      <w:sz w:val="20"/>
                      <w:lang w:val="en-US" w:eastAsia="zh-CN"/>
                    </w:rPr>
                  </w:pPr>
                  <w:r>
                    <w:rPr>
                      <w:rFonts w:hint="eastAsia" w:cs="Times New Roman"/>
                      <w:color w:val="auto"/>
                      <w:sz w:val="20"/>
                      <w:lang w:val="en-US" w:eastAsia="zh-CN"/>
                    </w:rPr>
                    <w:t>40.2</w:t>
                  </w:r>
                </w:p>
              </w:tc>
              <w:tc>
                <w:tcPr>
                  <w:tcW w:w="500" w:type="dxa"/>
                  <w:tcBorders>
                    <w:tl2br w:val="nil"/>
                    <w:tr2bl w:val="nil"/>
                  </w:tcBorders>
                  <w:shd w:val="clear" w:color="auto" w:fill="FFFFFF"/>
                  <w:tcMar>
                    <w:top w:w="0" w:type="dxa"/>
                    <w:left w:w="0" w:type="dxa"/>
                    <w:bottom w:w="0" w:type="dxa"/>
                    <w:right w:w="0" w:type="dxa"/>
                  </w:tcMar>
                  <w:vAlign w:val="center"/>
                </w:tcPr>
                <w:p w14:paraId="2BF7DCEC">
                  <w:pPr>
                    <w:jc w:val="center"/>
                    <w:rPr>
                      <w:rFonts w:hint="default" w:eastAsia="宋体" w:cs="Times New Roman"/>
                      <w:color w:val="auto"/>
                      <w:sz w:val="20"/>
                      <w:lang w:val="en-US" w:eastAsia="zh-CN"/>
                    </w:rPr>
                  </w:pPr>
                  <w:r>
                    <w:rPr>
                      <w:rFonts w:hint="eastAsia" w:cs="Times New Roman"/>
                      <w:color w:val="auto"/>
                      <w:sz w:val="20"/>
                      <w:lang w:val="en-US" w:eastAsia="zh-CN"/>
                    </w:rPr>
                    <w:t>44.3</w:t>
                  </w:r>
                </w:p>
              </w:tc>
              <w:tc>
                <w:tcPr>
                  <w:tcW w:w="500" w:type="dxa"/>
                  <w:tcBorders>
                    <w:tl2br w:val="nil"/>
                    <w:tr2bl w:val="nil"/>
                  </w:tcBorders>
                  <w:shd w:val="clear" w:color="auto" w:fill="FFFFFF"/>
                  <w:tcMar>
                    <w:top w:w="0" w:type="dxa"/>
                    <w:left w:w="0" w:type="dxa"/>
                    <w:bottom w:w="0" w:type="dxa"/>
                    <w:right w:w="0" w:type="dxa"/>
                  </w:tcMar>
                  <w:vAlign w:val="center"/>
                </w:tcPr>
                <w:p w14:paraId="7420CE79">
                  <w:pPr>
                    <w:jc w:val="center"/>
                    <w:rPr>
                      <w:rFonts w:hint="default" w:eastAsia="宋体" w:cs="Times New Roman"/>
                      <w:color w:val="auto"/>
                      <w:sz w:val="20"/>
                      <w:lang w:val="en-US" w:eastAsia="zh-CN"/>
                    </w:rPr>
                  </w:pPr>
                  <w:r>
                    <w:rPr>
                      <w:rFonts w:hint="eastAsia" w:cs="Times New Roman"/>
                      <w:color w:val="auto"/>
                      <w:sz w:val="20"/>
                      <w:lang w:val="en-US" w:eastAsia="zh-CN"/>
                    </w:rPr>
                    <w:t>44.4</w:t>
                  </w:r>
                </w:p>
              </w:tc>
              <w:tc>
                <w:tcPr>
                  <w:tcW w:w="500" w:type="dxa"/>
                  <w:tcBorders>
                    <w:tl2br w:val="nil"/>
                    <w:tr2bl w:val="nil"/>
                  </w:tcBorders>
                  <w:shd w:val="clear" w:color="auto" w:fill="FFFFFF"/>
                  <w:tcMar>
                    <w:top w:w="0" w:type="dxa"/>
                    <w:left w:w="0" w:type="dxa"/>
                    <w:bottom w:w="0" w:type="dxa"/>
                    <w:right w:w="0" w:type="dxa"/>
                  </w:tcMar>
                  <w:vAlign w:val="center"/>
                </w:tcPr>
                <w:p w14:paraId="306223AA">
                  <w:pPr>
                    <w:jc w:val="center"/>
                    <w:rPr>
                      <w:rFonts w:hint="default" w:eastAsia="宋体" w:cs="Times New Roman"/>
                      <w:color w:val="auto"/>
                      <w:sz w:val="20"/>
                      <w:lang w:val="en-US" w:eastAsia="zh-CN"/>
                    </w:rPr>
                  </w:pPr>
                  <w:r>
                    <w:rPr>
                      <w:rFonts w:hint="eastAsia" w:cs="Times New Roman"/>
                      <w:color w:val="auto"/>
                      <w:sz w:val="20"/>
                      <w:lang w:val="en-US" w:eastAsia="zh-CN"/>
                    </w:rPr>
                    <w:t>45.9</w:t>
                  </w:r>
                </w:p>
              </w:tc>
              <w:tc>
                <w:tcPr>
                  <w:tcW w:w="713" w:type="dxa"/>
                  <w:tcBorders>
                    <w:tl2br w:val="nil"/>
                    <w:tr2bl w:val="nil"/>
                  </w:tcBorders>
                  <w:shd w:val="clear" w:color="auto" w:fill="FFFFFF"/>
                  <w:tcMar>
                    <w:top w:w="0" w:type="dxa"/>
                    <w:left w:w="0" w:type="dxa"/>
                    <w:bottom w:w="0" w:type="dxa"/>
                    <w:right w:w="0" w:type="dxa"/>
                  </w:tcMar>
                  <w:vAlign w:val="center"/>
                </w:tcPr>
                <w:p w14:paraId="74F37B5D">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1</w:t>
                  </w:r>
                </w:p>
              </w:tc>
            </w:tr>
            <w:tr w14:paraId="4C5D6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24" w:hRule="atLeast"/>
                <w:jc w:val="center"/>
              </w:trPr>
              <w:tc>
                <w:tcPr>
                  <w:tcW w:w="387" w:type="dxa"/>
                  <w:tcBorders>
                    <w:tl2br w:val="nil"/>
                    <w:tr2bl w:val="nil"/>
                  </w:tcBorders>
                  <w:shd w:val="clear" w:color="auto" w:fill="FFFFFF"/>
                  <w:tcMar>
                    <w:top w:w="0" w:type="dxa"/>
                    <w:left w:w="0" w:type="dxa"/>
                    <w:bottom w:w="0" w:type="dxa"/>
                    <w:right w:w="0" w:type="dxa"/>
                  </w:tcMar>
                  <w:vAlign w:val="center"/>
                </w:tcPr>
                <w:p w14:paraId="429E8BE8">
                  <w:pPr>
                    <w:rPr>
                      <w:rFonts w:hint="eastAsia" w:ascii="Times New Roman" w:hAnsi="Times New Roman" w:eastAsia="宋体" w:cs="Times New Roman"/>
                      <w:color w:val="auto"/>
                      <w:sz w:val="20"/>
                      <w:lang w:val="en-US" w:eastAsia="zh-CN"/>
                    </w:rPr>
                  </w:pPr>
                  <w:r>
                    <w:rPr>
                      <w:rFonts w:hint="eastAsia" w:eastAsia="宋体" w:cs="Times New Roman"/>
                      <w:color w:val="auto"/>
                      <w:sz w:val="20"/>
                      <w:lang w:val="en-US" w:eastAsia="zh-CN"/>
                    </w:rPr>
                    <w:t>4</w:t>
                  </w:r>
                </w:p>
              </w:tc>
              <w:tc>
                <w:tcPr>
                  <w:tcW w:w="553" w:type="dxa"/>
                  <w:tcBorders>
                    <w:tl2br w:val="nil"/>
                    <w:tr2bl w:val="nil"/>
                  </w:tcBorders>
                  <w:shd w:val="clear" w:color="auto" w:fill="FFFFFF"/>
                  <w:tcMar>
                    <w:top w:w="0" w:type="dxa"/>
                    <w:left w:w="0" w:type="dxa"/>
                    <w:bottom w:w="0" w:type="dxa"/>
                    <w:right w:w="0" w:type="dxa"/>
                  </w:tcMar>
                  <w:vAlign w:val="center"/>
                </w:tcPr>
                <w:p w14:paraId="138D764C">
                  <w:pPr>
                    <w:rPr>
                      <w:rFonts w:hint="eastAsia" w:cs="Times New Roman"/>
                      <w:color w:val="auto"/>
                      <w:sz w:val="20"/>
                      <w:lang w:eastAsia="zh-CN"/>
                    </w:rPr>
                  </w:pPr>
                  <w:r>
                    <w:rPr>
                      <w:rFonts w:hint="eastAsia" w:cs="Times New Roman"/>
                      <w:color w:val="auto"/>
                      <w:sz w:val="20"/>
                      <w:lang w:eastAsia="zh-CN"/>
                    </w:rPr>
                    <w:t>凯漩-声屏障</w:t>
                  </w:r>
                </w:p>
              </w:tc>
              <w:tc>
                <w:tcPr>
                  <w:tcW w:w="524" w:type="dxa"/>
                  <w:tcBorders>
                    <w:tl2br w:val="nil"/>
                    <w:tr2bl w:val="nil"/>
                  </w:tcBorders>
                  <w:shd w:val="clear" w:color="auto" w:fill="FFFFFF"/>
                  <w:tcMar>
                    <w:top w:w="0" w:type="dxa"/>
                    <w:left w:w="0" w:type="dxa"/>
                    <w:bottom w:w="0" w:type="dxa"/>
                    <w:right w:w="0" w:type="dxa"/>
                  </w:tcMar>
                  <w:vAlign w:val="center"/>
                </w:tcPr>
                <w:p w14:paraId="0F4F6A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上料机</w:t>
                  </w:r>
                </w:p>
              </w:tc>
              <w:tc>
                <w:tcPr>
                  <w:tcW w:w="387" w:type="dxa"/>
                  <w:tcBorders>
                    <w:tl2br w:val="nil"/>
                    <w:tr2bl w:val="nil"/>
                  </w:tcBorders>
                  <w:shd w:val="clear" w:color="auto" w:fill="FFFFFF"/>
                  <w:tcMar>
                    <w:top w:w="0" w:type="dxa"/>
                    <w:left w:w="0" w:type="dxa"/>
                    <w:bottom w:w="0" w:type="dxa"/>
                    <w:right w:w="0" w:type="dxa"/>
                  </w:tcMar>
                  <w:vAlign w:val="center"/>
                </w:tcPr>
                <w:p w14:paraId="2D549C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12</w:t>
                  </w:r>
                </w:p>
              </w:tc>
              <w:tc>
                <w:tcPr>
                  <w:tcW w:w="633" w:type="dxa"/>
                  <w:tcBorders>
                    <w:tl2br w:val="nil"/>
                    <w:tr2bl w:val="nil"/>
                  </w:tcBorders>
                  <w:shd w:val="clear" w:color="auto" w:fill="FFFFFF"/>
                  <w:tcMar>
                    <w:top w:w="0" w:type="dxa"/>
                    <w:left w:w="0" w:type="dxa"/>
                    <w:bottom w:w="0" w:type="dxa"/>
                    <w:right w:w="0" w:type="dxa"/>
                  </w:tcMar>
                  <w:vAlign w:val="center"/>
                </w:tcPr>
                <w:p w14:paraId="39228279">
                  <w:pPr>
                    <w:jc w:val="center"/>
                    <w:rPr>
                      <w:rFonts w:hint="default" w:ascii="Times New Roman" w:hAnsi="Times New Roman" w:eastAsia="Arial" w:cs="Times New Roman"/>
                      <w:color w:val="auto"/>
                      <w:sz w:val="20"/>
                    </w:rPr>
                  </w:pPr>
                  <w:r>
                    <w:rPr>
                      <w:rFonts w:hint="eastAsia" w:eastAsia="宋体" w:cs="Times New Roman"/>
                      <w:color w:val="auto"/>
                      <w:sz w:val="20"/>
                      <w:lang w:val="en-US" w:eastAsia="zh-CN"/>
                    </w:rPr>
                    <w:t>80</w:t>
                  </w:r>
                </w:p>
              </w:tc>
              <w:tc>
                <w:tcPr>
                  <w:tcW w:w="537" w:type="dxa"/>
                  <w:tcBorders>
                    <w:tl2br w:val="nil"/>
                    <w:tr2bl w:val="nil"/>
                  </w:tcBorders>
                  <w:shd w:val="clear" w:color="auto" w:fill="FFFFFF"/>
                  <w:tcMar>
                    <w:top w:w="0" w:type="dxa"/>
                    <w:left w:w="0" w:type="dxa"/>
                    <w:bottom w:w="0" w:type="dxa"/>
                    <w:right w:w="0" w:type="dxa"/>
                  </w:tcMar>
                  <w:vAlign w:val="center"/>
                </w:tcPr>
                <w:p w14:paraId="510554F1">
                  <w:pPr>
                    <w:jc w:val="center"/>
                    <w:rPr>
                      <w:rFonts w:hint="eastAsia"/>
                      <w:color w:val="auto"/>
                      <w:lang w:val="en-US" w:eastAsia="zh-CN"/>
                    </w:rPr>
                  </w:pPr>
                  <w:r>
                    <w:rPr>
                      <w:rFonts w:hint="eastAsia"/>
                      <w:color w:val="auto"/>
                      <w:lang w:val="en-US" w:eastAsia="zh-CN"/>
                    </w:rPr>
                    <w:t>厂房隔声</w:t>
                  </w:r>
                </w:p>
              </w:tc>
              <w:tc>
                <w:tcPr>
                  <w:tcW w:w="594" w:type="dxa"/>
                  <w:tcBorders>
                    <w:tl2br w:val="nil"/>
                    <w:tr2bl w:val="nil"/>
                  </w:tcBorders>
                  <w:shd w:val="clear" w:color="auto" w:fill="FFFFFF"/>
                  <w:tcMar>
                    <w:top w:w="0" w:type="dxa"/>
                    <w:left w:w="0" w:type="dxa"/>
                    <w:bottom w:w="0" w:type="dxa"/>
                    <w:right w:w="0" w:type="dxa"/>
                  </w:tcMar>
                  <w:vAlign w:val="center"/>
                </w:tcPr>
                <w:p w14:paraId="4163B3DD">
                  <w:pPr>
                    <w:jc w:val="center"/>
                    <w:rPr>
                      <w:rFonts w:hint="default" w:ascii="Times New Roman" w:hAnsi="Times New Roman" w:eastAsia="宋体" w:cs="Times New Roman"/>
                      <w:color w:val="auto"/>
                      <w:sz w:val="20"/>
                      <w:lang w:val="en-US" w:eastAsia="zh-CN"/>
                    </w:rPr>
                  </w:pPr>
                  <w:r>
                    <w:rPr>
                      <w:rFonts w:hint="default" w:ascii="Times New Roman" w:hAnsi="Times New Roman" w:eastAsia="Arial" w:cs="Times New Roman"/>
                      <w:color w:val="auto"/>
                      <w:sz w:val="20"/>
                    </w:rPr>
                    <w:t>-</w:t>
                  </w:r>
                  <w:r>
                    <w:rPr>
                      <w:rFonts w:hint="eastAsia" w:ascii="Times New Roman" w:hAnsi="Times New Roman" w:eastAsia="宋体" w:cs="Times New Roman"/>
                      <w:color w:val="auto"/>
                      <w:sz w:val="20"/>
                      <w:lang w:val="en-US" w:eastAsia="zh-CN"/>
                    </w:rPr>
                    <w:t>1.2</w:t>
                  </w:r>
                </w:p>
              </w:tc>
              <w:tc>
                <w:tcPr>
                  <w:tcW w:w="594" w:type="dxa"/>
                  <w:tcBorders>
                    <w:tl2br w:val="nil"/>
                    <w:tr2bl w:val="nil"/>
                  </w:tcBorders>
                  <w:shd w:val="clear" w:color="auto" w:fill="FFFFFF"/>
                  <w:tcMar>
                    <w:top w:w="0" w:type="dxa"/>
                    <w:left w:w="0" w:type="dxa"/>
                    <w:bottom w:w="0" w:type="dxa"/>
                    <w:right w:w="0" w:type="dxa"/>
                  </w:tcMar>
                  <w:vAlign w:val="center"/>
                </w:tcPr>
                <w:p w14:paraId="02D5D884">
                  <w:pPr>
                    <w:jc w:val="center"/>
                    <w:rPr>
                      <w:rFonts w:hint="default" w:ascii="Times New Roman" w:hAnsi="Times New Roman" w:eastAsia="宋体" w:cs="Times New Roman"/>
                      <w:color w:val="auto"/>
                      <w:sz w:val="20"/>
                      <w:lang w:val="en-US" w:eastAsia="zh-CN"/>
                    </w:rPr>
                  </w:pPr>
                  <w:r>
                    <w:rPr>
                      <w:rFonts w:hint="eastAsia" w:ascii="Times New Roman" w:hAnsi="Times New Roman" w:eastAsia="宋体" w:cs="Times New Roman"/>
                      <w:color w:val="auto"/>
                      <w:sz w:val="20"/>
                      <w:lang w:val="en-US" w:eastAsia="zh-CN"/>
                    </w:rPr>
                    <w:t>2.2</w:t>
                  </w:r>
                </w:p>
              </w:tc>
              <w:tc>
                <w:tcPr>
                  <w:tcW w:w="604" w:type="dxa"/>
                  <w:tcBorders>
                    <w:tl2br w:val="nil"/>
                    <w:tr2bl w:val="nil"/>
                  </w:tcBorders>
                  <w:shd w:val="clear" w:color="auto" w:fill="FFFFFF"/>
                  <w:tcMar>
                    <w:top w:w="0" w:type="dxa"/>
                    <w:left w:w="0" w:type="dxa"/>
                    <w:bottom w:w="0" w:type="dxa"/>
                    <w:right w:w="0" w:type="dxa"/>
                  </w:tcMar>
                  <w:vAlign w:val="center"/>
                </w:tcPr>
                <w:p w14:paraId="089DCD8A">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1.2</w:t>
                  </w:r>
                </w:p>
              </w:tc>
              <w:tc>
                <w:tcPr>
                  <w:tcW w:w="493" w:type="dxa"/>
                  <w:tcBorders>
                    <w:tl2br w:val="nil"/>
                    <w:tr2bl w:val="nil"/>
                  </w:tcBorders>
                  <w:shd w:val="clear" w:color="auto" w:fill="FFFFFF"/>
                  <w:tcMar>
                    <w:top w:w="0" w:type="dxa"/>
                    <w:left w:w="0" w:type="dxa"/>
                    <w:bottom w:w="0" w:type="dxa"/>
                    <w:right w:w="0" w:type="dxa"/>
                  </w:tcMar>
                  <w:vAlign w:val="center"/>
                </w:tcPr>
                <w:p w14:paraId="14B8EA6D">
                  <w:pPr>
                    <w:jc w:val="center"/>
                    <w:rPr>
                      <w:rFonts w:hint="eastAsia" w:eastAsia="宋体" w:cs="Times New Roman"/>
                      <w:color w:val="auto"/>
                      <w:sz w:val="20"/>
                      <w:lang w:val="en-US" w:eastAsia="zh-CN"/>
                    </w:rPr>
                  </w:pPr>
                  <w:r>
                    <w:rPr>
                      <w:rFonts w:hint="eastAsia" w:eastAsia="宋体" w:cs="Times New Roman"/>
                      <w:color w:val="auto"/>
                      <w:sz w:val="20"/>
                      <w:lang w:val="en-US" w:eastAsia="zh-CN"/>
                    </w:rPr>
                    <w:t>13</w:t>
                  </w:r>
                </w:p>
              </w:tc>
              <w:tc>
                <w:tcPr>
                  <w:tcW w:w="493" w:type="dxa"/>
                  <w:tcBorders>
                    <w:tl2br w:val="nil"/>
                    <w:tr2bl w:val="nil"/>
                  </w:tcBorders>
                  <w:shd w:val="clear" w:color="auto" w:fill="FFFFFF"/>
                  <w:tcMar>
                    <w:top w:w="0" w:type="dxa"/>
                    <w:left w:w="0" w:type="dxa"/>
                    <w:bottom w:w="0" w:type="dxa"/>
                    <w:right w:w="0" w:type="dxa"/>
                  </w:tcMar>
                  <w:vAlign w:val="center"/>
                </w:tcPr>
                <w:p w14:paraId="58708EF1">
                  <w:pPr>
                    <w:jc w:val="center"/>
                    <w:rPr>
                      <w:rFonts w:hint="eastAsia" w:cs="Times New Roman"/>
                      <w:color w:val="auto"/>
                      <w:sz w:val="20"/>
                      <w:lang w:val="en-US" w:eastAsia="zh-CN"/>
                    </w:rPr>
                  </w:pPr>
                  <w:r>
                    <w:rPr>
                      <w:rFonts w:hint="eastAsia" w:cs="Times New Roman"/>
                      <w:color w:val="auto"/>
                      <w:sz w:val="20"/>
                      <w:lang w:val="en-US" w:eastAsia="zh-CN"/>
                    </w:rPr>
                    <w:t>10</w:t>
                  </w:r>
                </w:p>
              </w:tc>
              <w:tc>
                <w:tcPr>
                  <w:tcW w:w="493" w:type="dxa"/>
                  <w:tcBorders>
                    <w:tl2br w:val="nil"/>
                    <w:tr2bl w:val="nil"/>
                  </w:tcBorders>
                  <w:shd w:val="clear" w:color="auto" w:fill="FFFFFF"/>
                  <w:tcMar>
                    <w:top w:w="0" w:type="dxa"/>
                    <w:left w:w="0" w:type="dxa"/>
                    <w:bottom w:w="0" w:type="dxa"/>
                    <w:right w:w="0" w:type="dxa"/>
                  </w:tcMar>
                  <w:vAlign w:val="center"/>
                </w:tcPr>
                <w:p w14:paraId="276D93DE">
                  <w:pPr>
                    <w:jc w:val="center"/>
                    <w:rPr>
                      <w:rFonts w:hint="default" w:cs="Times New Roman"/>
                      <w:color w:val="auto"/>
                      <w:sz w:val="20"/>
                      <w:lang w:val="en-US" w:eastAsia="zh-CN"/>
                    </w:rPr>
                  </w:pPr>
                  <w:r>
                    <w:rPr>
                      <w:rFonts w:hint="eastAsia" w:cs="Times New Roman"/>
                      <w:color w:val="auto"/>
                      <w:sz w:val="20"/>
                      <w:lang w:val="en-US" w:eastAsia="zh-CN"/>
                    </w:rPr>
                    <w:t>19</w:t>
                  </w:r>
                </w:p>
              </w:tc>
              <w:tc>
                <w:tcPr>
                  <w:tcW w:w="503" w:type="dxa"/>
                  <w:tcBorders>
                    <w:tl2br w:val="nil"/>
                    <w:tr2bl w:val="nil"/>
                  </w:tcBorders>
                  <w:shd w:val="clear" w:color="auto" w:fill="FFFFFF"/>
                  <w:tcMar>
                    <w:top w:w="0" w:type="dxa"/>
                    <w:left w:w="0" w:type="dxa"/>
                    <w:bottom w:w="0" w:type="dxa"/>
                    <w:right w:w="0" w:type="dxa"/>
                  </w:tcMar>
                  <w:vAlign w:val="center"/>
                </w:tcPr>
                <w:p w14:paraId="0F67DC4B">
                  <w:pPr>
                    <w:jc w:val="center"/>
                    <w:rPr>
                      <w:rFonts w:hint="default" w:cs="Times New Roman"/>
                      <w:color w:val="auto"/>
                      <w:sz w:val="20"/>
                      <w:lang w:val="en-US" w:eastAsia="zh-CN"/>
                    </w:rPr>
                  </w:pPr>
                  <w:r>
                    <w:rPr>
                      <w:rFonts w:hint="eastAsia" w:cs="Times New Roman"/>
                      <w:color w:val="auto"/>
                      <w:sz w:val="20"/>
                      <w:lang w:val="en-US" w:eastAsia="zh-CN"/>
                    </w:rPr>
                    <w:t>17</w:t>
                  </w:r>
                </w:p>
              </w:tc>
              <w:tc>
                <w:tcPr>
                  <w:tcW w:w="486" w:type="dxa"/>
                  <w:tcBorders>
                    <w:tl2br w:val="nil"/>
                    <w:tr2bl w:val="nil"/>
                  </w:tcBorders>
                  <w:shd w:val="clear" w:color="auto" w:fill="FFFFFF"/>
                  <w:tcMar>
                    <w:top w:w="0" w:type="dxa"/>
                    <w:left w:w="0" w:type="dxa"/>
                    <w:bottom w:w="0" w:type="dxa"/>
                    <w:right w:w="0" w:type="dxa"/>
                  </w:tcMar>
                  <w:vAlign w:val="center"/>
                </w:tcPr>
                <w:p w14:paraId="4E3848EF">
                  <w:pPr>
                    <w:jc w:val="center"/>
                    <w:rPr>
                      <w:rFonts w:hint="default" w:ascii="Times New Roman" w:hAnsi="Times New Roman" w:eastAsia="宋体" w:cs="Times New Roman"/>
                      <w:color w:val="auto"/>
                      <w:sz w:val="20"/>
                      <w:lang w:val="en-US" w:eastAsia="zh-CN"/>
                    </w:rPr>
                  </w:pPr>
                  <w:r>
                    <w:rPr>
                      <w:rFonts w:hint="default" w:ascii="Times New Roman" w:hAnsi="Times New Roman" w:eastAsia="Arial" w:cs="Times New Roman"/>
                      <w:color w:val="auto"/>
                      <w:sz w:val="20"/>
                    </w:rPr>
                    <w:t>7</w:t>
                  </w:r>
                  <w:r>
                    <w:rPr>
                      <w:rFonts w:hint="eastAsia" w:ascii="Times New Roman" w:hAnsi="Times New Roman" w:eastAsia="宋体" w:cs="Times New Roman"/>
                      <w:color w:val="auto"/>
                      <w:sz w:val="20"/>
                      <w:lang w:val="en-US" w:eastAsia="zh-CN"/>
                    </w:rPr>
                    <w:t>1.0</w:t>
                  </w:r>
                </w:p>
              </w:tc>
              <w:tc>
                <w:tcPr>
                  <w:tcW w:w="486" w:type="dxa"/>
                  <w:tcBorders>
                    <w:tl2br w:val="nil"/>
                    <w:tr2bl w:val="nil"/>
                  </w:tcBorders>
                  <w:shd w:val="clear" w:color="auto" w:fill="FFFFFF"/>
                  <w:tcMar>
                    <w:top w:w="0" w:type="dxa"/>
                    <w:left w:w="0" w:type="dxa"/>
                    <w:bottom w:w="0" w:type="dxa"/>
                    <w:right w:w="0" w:type="dxa"/>
                  </w:tcMar>
                  <w:vAlign w:val="center"/>
                </w:tcPr>
                <w:p w14:paraId="279F3BEA">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7</w:t>
                  </w:r>
                  <w:r>
                    <w:rPr>
                      <w:rFonts w:hint="eastAsia" w:ascii="Times New Roman" w:hAnsi="Times New Roman" w:eastAsia="宋体" w:cs="Times New Roman"/>
                      <w:color w:val="auto"/>
                      <w:sz w:val="20"/>
                      <w:lang w:val="en-US" w:eastAsia="zh-CN"/>
                    </w:rPr>
                    <w:t>1.0</w:t>
                  </w:r>
                </w:p>
              </w:tc>
              <w:tc>
                <w:tcPr>
                  <w:tcW w:w="486" w:type="dxa"/>
                  <w:tcBorders>
                    <w:tl2br w:val="nil"/>
                    <w:tr2bl w:val="nil"/>
                  </w:tcBorders>
                  <w:shd w:val="clear" w:color="auto" w:fill="FFFFFF"/>
                  <w:tcMar>
                    <w:top w:w="0" w:type="dxa"/>
                    <w:left w:w="0" w:type="dxa"/>
                    <w:bottom w:w="0" w:type="dxa"/>
                    <w:right w:w="0" w:type="dxa"/>
                  </w:tcMar>
                  <w:vAlign w:val="center"/>
                </w:tcPr>
                <w:p w14:paraId="63E1EB9D">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7</w:t>
                  </w:r>
                  <w:r>
                    <w:rPr>
                      <w:rFonts w:hint="eastAsia" w:ascii="Times New Roman" w:hAnsi="Times New Roman" w:eastAsia="宋体" w:cs="Times New Roman"/>
                      <w:color w:val="auto"/>
                      <w:sz w:val="20"/>
                      <w:lang w:val="en-US" w:eastAsia="zh-CN"/>
                    </w:rPr>
                    <w:t>1.0</w:t>
                  </w:r>
                </w:p>
              </w:tc>
              <w:tc>
                <w:tcPr>
                  <w:tcW w:w="498" w:type="dxa"/>
                  <w:tcBorders>
                    <w:tl2br w:val="nil"/>
                    <w:tr2bl w:val="nil"/>
                  </w:tcBorders>
                  <w:shd w:val="clear" w:color="auto" w:fill="FFFFFF"/>
                  <w:tcMar>
                    <w:top w:w="0" w:type="dxa"/>
                    <w:left w:w="0" w:type="dxa"/>
                    <w:bottom w:w="0" w:type="dxa"/>
                    <w:right w:w="0" w:type="dxa"/>
                  </w:tcMar>
                  <w:vAlign w:val="center"/>
                </w:tcPr>
                <w:p w14:paraId="3B9E4ACE">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7</w:t>
                  </w:r>
                  <w:r>
                    <w:rPr>
                      <w:rFonts w:hint="eastAsia" w:ascii="Times New Roman" w:hAnsi="Times New Roman" w:eastAsia="宋体" w:cs="Times New Roman"/>
                      <w:color w:val="auto"/>
                      <w:sz w:val="20"/>
                      <w:lang w:val="en-US" w:eastAsia="zh-CN"/>
                    </w:rPr>
                    <w:t>1.0</w:t>
                  </w:r>
                </w:p>
              </w:tc>
              <w:tc>
                <w:tcPr>
                  <w:tcW w:w="551" w:type="dxa"/>
                  <w:tcBorders>
                    <w:tl2br w:val="nil"/>
                    <w:tr2bl w:val="nil"/>
                  </w:tcBorders>
                  <w:shd w:val="clear" w:color="auto" w:fill="FFFFFF"/>
                  <w:tcMar>
                    <w:top w:w="0" w:type="dxa"/>
                    <w:left w:w="0" w:type="dxa"/>
                    <w:bottom w:w="0" w:type="dxa"/>
                    <w:right w:w="0" w:type="dxa"/>
                  </w:tcMar>
                  <w:vAlign w:val="center"/>
                </w:tcPr>
                <w:p w14:paraId="79964BF6">
                  <w:pPr>
                    <w:jc w:val="center"/>
                    <w:rPr>
                      <w:rFonts w:hint="default" w:ascii="Times New Roman" w:hAnsi="Times New Roman" w:eastAsia="Arial" w:cs="Times New Roman"/>
                      <w:color w:val="auto"/>
                      <w:sz w:val="20"/>
                    </w:rPr>
                  </w:pPr>
                  <w:r>
                    <w:rPr>
                      <w:rFonts w:hint="eastAsia" w:eastAsia="宋体" w:cs="Times New Roman"/>
                      <w:color w:val="auto"/>
                      <w:sz w:val="20"/>
                      <w:lang w:val="en-US" w:eastAsia="zh-CN"/>
                    </w:rPr>
                    <w:t>昼间</w:t>
                  </w:r>
                </w:p>
              </w:tc>
              <w:tc>
                <w:tcPr>
                  <w:tcW w:w="340" w:type="dxa"/>
                  <w:tcBorders>
                    <w:tl2br w:val="nil"/>
                    <w:tr2bl w:val="nil"/>
                  </w:tcBorders>
                  <w:shd w:val="clear" w:color="auto" w:fill="FFFFFF"/>
                  <w:tcMar>
                    <w:top w:w="0" w:type="dxa"/>
                    <w:left w:w="0" w:type="dxa"/>
                    <w:bottom w:w="0" w:type="dxa"/>
                    <w:right w:w="0" w:type="dxa"/>
                  </w:tcMar>
                  <w:vAlign w:val="center"/>
                </w:tcPr>
                <w:p w14:paraId="1A913C04">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51F89750">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44269FD2">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80" w:type="dxa"/>
                  <w:tcBorders>
                    <w:tl2br w:val="nil"/>
                    <w:tr2bl w:val="nil"/>
                  </w:tcBorders>
                  <w:shd w:val="clear" w:color="auto" w:fill="FFFFFF"/>
                  <w:tcMar>
                    <w:top w:w="0" w:type="dxa"/>
                    <w:left w:w="0" w:type="dxa"/>
                    <w:bottom w:w="0" w:type="dxa"/>
                    <w:right w:w="0" w:type="dxa"/>
                  </w:tcMar>
                  <w:vAlign w:val="center"/>
                </w:tcPr>
                <w:p w14:paraId="1627D0ED">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500" w:type="dxa"/>
                  <w:tcBorders>
                    <w:tl2br w:val="nil"/>
                    <w:tr2bl w:val="nil"/>
                  </w:tcBorders>
                  <w:shd w:val="clear" w:color="auto" w:fill="FFFFFF"/>
                  <w:tcMar>
                    <w:top w:w="0" w:type="dxa"/>
                    <w:left w:w="0" w:type="dxa"/>
                    <w:bottom w:w="0" w:type="dxa"/>
                    <w:right w:w="0" w:type="dxa"/>
                  </w:tcMar>
                  <w:vAlign w:val="center"/>
                </w:tcPr>
                <w:p w14:paraId="340E7773">
                  <w:pPr>
                    <w:jc w:val="center"/>
                    <w:rPr>
                      <w:rFonts w:hint="default" w:eastAsia="宋体" w:cs="Times New Roman"/>
                      <w:color w:val="auto"/>
                      <w:sz w:val="20"/>
                      <w:lang w:val="en-US" w:eastAsia="zh-CN"/>
                    </w:rPr>
                  </w:pPr>
                  <w:r>
                    <w:rPr>
                      <w:rFonts w:hint="eastAsia" w:cs="Times New Roman"/>
                      <w:color w:val="auto"/>
                      <w:sz w:val="20"/>
                      <w:lang w:val="en-US" w:eastAsia="zh-CN"/>
                    </w:rPr>
                    <w:t>40.5</w:t>
                  </w:r>
                </w:p>
              </w:tc>
              <w:tc>
                <w:tcPr>
                  <w:tcW w:w="500" w:type="dxa"/>
                  <w:tcBorders>
                    <w:tl2br w:val="nil"/>
                    <w:tr2bl w:val="nil"/>
                  </w:tcBorders>
                  <w:shd w:val="clear" w:color="auto" w:fill="FFFFFF"/>
                  <w:tcMar>
                    <w:top w:w="0" w:type="dxa"/>
                    <w:left w:w="0" w:type="dxa"/>
                    <w:bottom w:w="0" w:type="dxa"/>
                    <w:right w:w="0" w:type="dxa"/>
                  </w:tcMar>
                  <w:vAlign w:val="center"/>
                </w:tcPr>
                <w:p w14:paraId="219B5EF4">
                  <w:pPr>
                    <w:jc w:val="center"/>
                    <w:rPr>
                      <w:rFonts w:hint="default" w:eastAsia="宋体" w:cs="Times New Roman"/>
                      <w:color w:val="auto"/>
                      <w:sz w:val="20"/>
                      <w:lang w:val="en-US" w:eastAsia="zh-CN"/>
                    </w:rPr>
                  </w:pPr>
                  <w:r>
                    <w:rPr>
                      <w:rFonts w:hint="eastAsia" w:cs="Times New Roman"/>
                      <w:color w:val="auto"/>
                      <w:sz w:val="20"/>
                      <w:lang w:val="en-US" w:eastAsia="zh-CN"/>
                    </w:rPr>
                    <w:t>42.6</w:t>
                  </w:r>
                </w:p>
              </w:tc>
              <w:tc>
                <w:tcPr>
                  <w:tcW w:w="500" w:type="dxa"/>
                  <w:tcBorders>
                    <w:tl2br w:val="nil"/>
                    <w:tr2bl w:val="nil"/>
                  </w:tcBorders>
                  <w:shd w:val="clear" w:color="auto" w:fill="FFFFFF"/>
                  <w:tcMar>
                    <w:top w:w="0" w:type="dxa"/>
                    <w:left w:w="0" w:type="dxa"/>
                    <w:bottom w:w="0" w:type="dxa"/>
                    <w:right w:w="0" w:type="dxa"/>
                  </w:tcMar>
                  <w:vAlign w:val="center"/>
                </w:tcPr>
                <w:p w14:paraId="595DD9AD">
                  <w:pPr>
                    <w:jc w:val="center"/>
                    <w:rPr>
                      <w:rFonts w:hint="default" w:eastAsia="宋体" w:cs="Times New Roman"/>
                      <w:color w:val="auto"/>
                      <w:sz w:val="20"/>
                      <w:lang w:val="en-US" w:eastAsia="zh-CN"/>
                    </w:rPr>
                  </w:pPr>
                  <w:r>
                    <w:rPr>
                      <w:rFonts w:hint="eastAsia" w:cs="Times New Roman"/>
                      <w:color w:val="auto"/>
                      <w:sz w:val="20"/>
                      <w:lang w:val="en-US" w:eastAsia="zh-CN"/>
                    </w:rPr>
                    <w:t>43.5</w:t>
                  </w:r>
                </w:p>
              </w:tc>
              <w:tc>
                <w:tcPr>
                  <w:tcW w:w="500" w:type="dxa"/>
                  <w:tcBorders>
                    <w:tl2br w:val="nil"/>
                    <w:tr2bl w:val="nil"/>
                  </w:tcBorders>
                  <w:shd w:val="clear" w:color="auto" w:fill="FFFFFF"/>
                  <w:tcMar>
                    <w:top w:w="0" w:type="dxa"/>
                    <w:left w:w="0" w:type="dxa"/>
                    <w:bottom w:w="0" w:type="dxa"/>
                    <w:right w:w="0" w:type="dxa"/>
                  </w:tcMar>
                  <w:vAlign w:val="center"/>
                </w:tcPr>
                <w:p w14:paraId="38B625DA">
                  <w:pPr>
                    <w:jc w:val="center"/>
                    <w:rPr>
                      <w:rFonts w:hint="default" w:eastAsia="宋体" w:cs="Times New Roman"/>
                      <w:color w:val="auto"/>
                      <w:sz w:val="20"/>
                      <w:lang w:val="en-US" w:eastAsia="zh-CN"/>
                    </w:rPr>
                  </w:pPr>
                  <w:r>
                    <w:rPr>
                      <w:rFonts w:hint="eastAsia" w:cs="Times New Roman"/>
                      <w:color w:val="auto"/>
                      <w:sz w:val="20"/>
                      <w:lang w:val="en-US" w:eastAsia="zh-CN"/>
                    </w:rPr>
                    <w:t>45.7</w:t>
                  </w:r>
                </w:p>
              </w:tc>
              <w:tc>
                <w:tcPr>
                  <w:tcW w:w="713" w:type="dxa"/>
                  <w:tcBorders>
                    <w:tl2br w:val="nil"/>
                    <w:tr2bl w:val="nil"/>
                  </w:tcBorders>
                  <w:shd w:val="clear" w:color="auto" w:fill="FFFFFF"/>
                  <w:tcMar>
                    <w:top w:w="0" w:type="dxa"/>
                    <w:left w:w="0" w:type="dxa"/>
                    <w:bottom w:w="0" w:type="dxa"/>
                    <w:right w:w="0" w:type="dxa"/>
                  </w:tcMar>
                  <w:vAlign w:val="center"/>
                </w:tcPr>
                <w:p w14:paraId="690BBEC5">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1</w:t>
                  </w:r>
                </w:p>
              </w:tc>
            </w:tr>
            <w:tr w14:paraId="12C7F2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24" w:hRule="atLeast"/>
                <w:jc w:val="center"/>
              </w:trPr>
              <w:tc>
                <w:tcPr>
                  <w:tcW w:w="387" w:type="dxa"/>
                  <w:tcBorders>
                    <w:tl2br w:val="nil"/>
                    <w:tr2bl w:val="nil"/>
                  </w:tcBorders>
                  <w:shd w:val="clear" w:color="auto" w:fill="FFFFFF"/>
                  <w:tcMar>
                    <w:top w:w="0" w:type="dxa"/>
                    <w:left w:w="0" w:type="dxa"/>
                    <w:bottom w:w="0" w:type="dxa"/>
                    <w:right w:w="0" w:type="dxa"/>
                  </w:tcMar>
                  <w:vAlign w:val="center"/>
                </w:tcPr>
                <w:p w14:paraId="6D6CADAC">
                  <w:pPr>
                    <w:rPr>
                      <w:rFonts w:hint="eastAsia" w:ascii="Times New Roman" w:hAnsi="Times New Roman" w:eastAsia="宋体" w:cs="Times New Roman"/>
                      <w:color w:val="auto"/>
                      <w:sz w:val="20"/>
                      <w:lang w:val="en-US" w:eastAsia="zh-CN"/>
                    </w:rPr>
                  </w:pPr>
                  <w:r>
                    <w:rPr>
                      <w:rFonts w:hint="eastAsia" w:eastAsia="宋体" w:cs="Times New Roman"/>
                      <w:color w:val="auto"/>
                      <w:sz w:val="20"/>
                      <w:lang w:val="en-US" w:eastAsia="zh-CN"/>
                    </w:rPr>
                    <w:t>5</w:t>
                  </w:r>
                </w:p>
              </w:tc>
              <w:tc>
                <w:tcPr>
                  <w:tcW w:w="553" w:type="dxa"/>
                  <w:tcBorders>
                    <w:tl2br w:val="nil"/>
                    <w:tr2bl w:val="nil"/>
                  </w:tcBorders>
                  <w:shd w:val="clear" w:color="auto" w:fill="FFFFFF"/>
                  <w:tcMar>
                    <w:top w:w="0" w:type="dxa"/>
                    <w:left w:w="0" w:type="dxa"/>
                    <w:bottom w:w="0" w:type="dxa"/>
                    <w:right w:w="0" w:type="dxa"/>
                  </w:tcMar>
                  <w:vAlign w:val="center"/>
                </w:tcPr>
                <w:p w14:paraId="0BC93E9B">
                  <w:pPr>
                    <w:rPr>
                      <w:rFonts w:hint="eastAsia" w:cs="Times New Roman"/>
                      <w:color w:val="auto"/>
                      <w:sz w:val="20"/>
                      <w:lang w:eastAsia="zh-CN"/>
                    </w:rPr>
                  </w:pPr>
                  <w:r>
                    <w:rPr>
                      <w:rFonts w:hint="eastAsia" w:cs="Times New Roman"/>
                      <w:color w:val="auto"/>
                      <w:sz w:val="20"/>
                      <w:lang w:eastAsia="zh-CN"/>
                    </w:rPr>
                    <w:t>凯漩-声屏障</w:t>
                  </w:r>
                </w:p>
              </w:tc>
              <w:tc>
                <w:tcPr>
                  <w:tcW w:w="524" w:type="dxa"/>
                  <w:tcBorders>
                    <w:tl2br w:val="nil"/>
                    <w:tr2bl w:val="nil"/>
                  </w:tcBorders>
                  <w:shd w:val="clear" w:color="auto" w:fill="FFFFFF"/>
                  <w:tcMar>
                    <w:top w:w="0" w:type="dxa"/>
                    <w:left w:w="0" w:type="dxa"/>
                    <w:bottom w:w="0" w:type="dxa"/>
                    <w:right w:w="0" w:type="dxa"/>
                  </w:tcMar>
                  <w:vAlign w:val="center"/>
                </w:tcPr>
                <w:p w14:paraId="7A7C31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气泵</w:t>
                  </w:r>
                </w:p>
              </w:tc>
              <w:tc>
                <w:tcPr>
                  <w:tcW w:w="387" w:type="dxa"/>
                  <w:tcBorders>
                    <w:tl2br w:val="nil"/>
                    <w:tr2bl w:val="nil"/>
                  </w:tcBorders>
                  <w:shd w:val="clear" w:color="auto" w:fill="FFFFFF"/>
                  <w:tcMar>
                    <w:top w:w="0" w:type="dxa"/>
                    <w:left w:w="0" w:type="dxa"/>
                    <w:bottom w:w="0" w:type="dxa"/>
                    <w:right w:w="0" w:type="dxa"/>
                  </w:tcMar>
                  <w:vAlign w:val="center"/>
                </w:tcPr>
                <w:p w14:paraId="63A800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w:t>
                  </w:r>
                </w:p>
              </w:tc>
              <w:tc>
                <w:tcPr>
                  <w:tcW w:w="633" w:type="dxa"/>
                  <w:tcBorders>
                    <w:tl2br w:val="nil"/>
                    <w:tr2bl w:val="nil"/>
                  </w:tcBorders>
                  <w:shd w:val="clear" w:color="auto" w:fill="FFFFFF"/>
                  <w:tcMar>
                    <w:top w:w="0" w:type="dxa"/>
                    <w:left w:w="0" w:type="dxa"/>
                    <w:bottom w:w="0" w:type="dxa"/>
                    <w:right w:w="0" w:type="dxa"/>
                  </w:tcMar>
                  <w:vAlign w:val="center"/>
                </w:tcPr>
                <w:p w14:paraId="2FAC6A0E">
                  <w:pPr>
                    <w:jc w:val="center"/>
                    <w:rPr>
                      <w:rFonts w:hint="default" w:ascii="Times New Roman" w:hAnsi="Times New Roman" w:eastAsia="宋体" w:cs="Times New Roman"/>
                      <w:color w:val="auto"/>
                      <w:sz w:val="20"/>
                      <w:lang w:val="en-US" w:eastAsia="zh-CN"/>
                    </w:rPr>
                  </w:pPr>
                  <w:r>
                    <w:rPr>
                      <w:rFonts w:hint="eastAsia" w:eastAsia="宋体" w:cs="Times New Roman"/>
                      <w:color w:val="auto"/>
                      <w:sz w:val="20"/>
                      <w:lang w:val="en-US" w:eastAsia="zh-CN"/>
                    </w:rPr>
                    <w:t>85</w:t>
                  </w:r>
                </w:p>
              </w:tc>
              <w:tc>
                <w:tcPr>
                  <w:tcW w:w="537" w:type="dxa"/>
                  <w:tcBorders>
                    <w:tl2br w:val="nil"/>
                    <w:tr2bl w:val="nil"/>
                  </w:tcBorders>
                  <w:shd w:val="clear" w:color="auto" w:fill="FFFFFF"/>
                  <w:tcMar>
                    <w:top w:w="0" w:type="dxa"/>
                    <w:left w:w="0" w:type="dxa"/>
                    <w:bottom w:w="0" w:type="dxa"/>
                    <w:right w:w="0" w:type="dxa"/>
                  </w:tcMar>
                  <w:vAlign w:val="center"/>
                </w:tcPr>
                <w:p w14:paraId="094CBA92">
                  <w:pPr>
                    <w:jc w:val="center"/>
                    <w:rPr>
                      <w:rFonts w:hint="eastAsia"/>
                      <w:color w:val="auto"/>
                      <w:lang w:val="en-US" w:eastAsia="zh-CN"/>
                    </w:rPr>
                  </w:pPr>
                  <w:r>
                    <w:rPr>
                      <w:rFonts w:hint="eastAsia"/>
                      <w:color w:val="auto"/>
                      <w:lang w:val="en-US" w:eastAsia="zh-CN"/>
                    </w:rPr>
                    <w:t>厂房隔声</w:t>
                  </w:r>
                </w:p>
              </w:tc>
              <w:tc>
                <w:tcPr>
                  <w:tcW w:w="594" w:type="dxa"/>
                  <w:tcBorders>
                    <w:tl2br w:val="nil"/>
                    <w:tr2bl w:val="nil"/>
                  </w:tcBorders>
                  <w:shd w:val="clear" w:color="auto" w:fill="FFFFFF"/>
                  <w:tcMar>
                    <w:top w:w="0" w:type="dxa"/>
                    <w:left w:w="0" w:type="dxa"/>
                    <w:bottom w:w="0" w:type="dxa"/>
                    <w:right w:w="0" w:type="dxa"/>
                  </w:tcMar>
                  <w:vAlign w:val="center"/>
                </w:tcPr>
                <w:p w14:paraId="32D2C353">
                  <w:pPr>
                    <w:jc w:val="center"/>
                    <w:rPr>
                      <w:rFonts w:hint="default" w:ascii="Times New Roman" w:hAnsi="Times New Roman" w:eastAsia="宋体" w:cs="Times New Roman"/>
                      <w:color w:val="auto"/>
                      <w:sz w:val="20"/>
                      <w:lang w:val="en-US" w:eastAsia="zh-CN"/>
                    </w:rPr>
                  </w:pPr>
                  <w:r>
                    <w:rPr>
                      <w:rFonts w:hint="default" w:ascii="Times New Roman" w:hAnsi="Times New Roman" w:eastAsia="Arial" w:cs="Times New Roman"/>
                      <w:color w:val="auto"/>
                      <w:sz w:val="20"/>
                    </w:rPr>
                    <w:t>-</w:t>
                  </w:r>
                  <w:r>
                    <w:rPr>
                      <w:rFonts w:hint="eastAsia" w:ascii="Times New Roman" w:hAnsi="Times New Roman" w:eastAsia="宋体" w:cs="Times New Roman"/>
                      <w:color w:val="auto"/>
                      <w:sz w:val="20"/>
                      <w:lang w:val="en-US" w:eastAsia="zh-CN"/>
                    </w:rPr>
                    <w:t>11</w:t>
                  </w:r>
                </w:p>
              </w:tc>
              <w:tc>
                <w:tcPr>
                  <w:tcW w:w="594" w:type="dxa"/>
                  <w:tcBorders>
                    <w:tl2br w:val="nil"/>
                    <w:tr2bl w:val="nil"/>
                  </w:tcBorders>
                  <w:shd w:val="clear" w:color="auto" w:fill="FFFFFF"/>
                  <w:tcMar>
                    <w:top w:w="0" w:type="dxa"/>
                    <w:left w:w="0" w:type="dxa"/>
                    <w:bottom w:w="0" w:type="dxa"/>
                    <w:right w:w="0" w:type="dxa"/>
                  </w:tcMar>
                  <w:vAlign w:val="center"/>
                </w:tcPr>
                <w:p w14:paraId="3009FA8F">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2.2</w:t>
                  </w:r>
                </w:p>
              </w:tc>
              <w:tc>
                <w:tcPr>
                  <w:tcW w:w="604" w:type="dxa"/>
                  <w:tcBorders>
                    <w:tl2br w:val="nil"/>
                    <w:tr2bl w:val="nil"/>
                  </w:tcBorders>
                  <w:shd w:val="clear" w:color="auto" w:fill="FFFFFF"/>
                  <w:tcMar>
                    <w:top w:w="0" w:type="dxa"/>
                    <w:left w:w="0" w:type="dxa"/>
                    <w:bottom w:w="0" w:type="dxa"/>
                    <w:right w:w="0" w:type="dxa"/>
                  </w:tcMar>
                  <w:vAlign w:val="center"/>
                </w:tcPr>
                <w:p w14:paraId="4E672D89">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1.2</w:t>
                  </w:r>
                </w:p>
              </w:tc>
              <w:tc>
                <w:tcPr>
                  <w:tcW w:w="493" w:type="dxa"/>
                  <w:tcBorders>
                    <w:tl2br w:val="nil"/>
                    <w:tr2bl w:val="nil"/>
                  </w:tcBorders>
                  <w:shd w:val="clear" w:color="auto" w:fill="FFFFFF"/>
                  <w:tcMar>
                    <w:top w:w="0" w:type="dxa"/>
                    <w:left w:w="0" w:type="dxa"/>
                    <w:bottom w:w="0" w:type="dxa"/>
                    <w:right w:w="0" w:type="dxa"/>
                  </w:tcMar>
                  <w:vAlign w:val="center"/>
                </w:tcPr>
                <w:p w14:paraId="3D29EE3B">
                  <w:pPr>
                    <w:jc w:val="center"/>
                    <w:rPr>
                      <w:rFonts w:hint="eastAsia" w:eastAsia="宋体" w:cs="Times New Roman"/>
                      <w:color w:val="auto"/>
                      <w:sz w:val="20"/>
                      <w:lang w:val="en-US" w:eastAsia="zh-CN"/>
                    </w:rPr>
                  </w:pPr>
                  <w:r>
                    <w:rPr>
                      <w:rFonts w:hint="eastAsia" w:eastAsia="宋体" w:cs="Times New Roman"/>
                      <w:color w:val="auto"/>
                      <w:sz w:val="20"/>
                      <w:lang w:val="en-US" w:eastAsia="zh-CN"/>
                    </w:rPr>
                    <w:t>10</w:t>
                  </w:r>
                </w:p>
              </w:tc>
              <w:tc>
                <w:tcPr>
                  <w:tcW w:w="493" w:type="dxa"/>
                  <w:tcBorders>
                    <w:tl2br w:val="nil"/>
                    <w:tr2bl w:val="nil"/>
                  </w:tcBorders>
                  <w:shd w:val="clear" w:color="auto" w:fill="FFFFFF"/>
                  <w:tcMar>
                    <w:top w:w="0" w:type="dxa"/>
                    <w:left w:w="0" w:type="dxa"/>
                    <w:bottom w:w="0" w:type="dxa"/>
                    <w:right w:w="0" w:type="dxa"/>
                  </w:tcMar>
                  <w:vAlign w:val="center"/>
                </w:tcPr>
                <w:p w14:paraId="5F4D3349">
                  <w:pPr>
                    <w:jc w:val="center"/>
                    <w:rPr>
                      <w:rFonts w:hint="eastAsia" w:cs="Times New Roman"/>
                      <w:color w:val="auto"/>
                      <w:sz w:val="20"/>
                      <w:lang w:val="en-US" w:eastAsia="zh-CN"/>
                    </w:rPr>
                  </w:pPr>
                  <w:r>
                    <w:rPr>
                      <w:rFonts w:hint="eastAsia" w:cs="Times New Roman"/>
                      <w:color w:val="auto"/>
                      <w:sz w:val="20"/>
                      <w:lang w:val="en-US" w:eastAsia="zh-CN"/>
                    </w:rPr>
                    <w:t>12</w:t>
                  </w:r>
                </w:p>
              </w:tc>
              <w:tc>
                <w:tcPr>
                  <w:tcW w:w="493" w:type="dxa"/>
                  <w:tcBorders>
                    <w:tl2br w:val="nil"/>
                    <w:tr2bl w:val="nil"/>
                  </w:tcBorders>
                  <w:shd w:val="clear" w:color="auto" w:fill="FFFFFF"/>
                  <w:tcMar>
                    <w:top w:w="0" w:type="dxa"/>
                    <w:left w:w="0" w:type="dxa"/>
                    <w:bottom w:w="0" w:type="dxa"/>
                    <w:right w:w="0" w:type="dxa"/>
                  </w:tcMar>
                  <w:vAlign w:val="center"/>
                </w:tcPr>
                <w:p w14:paraId="7C2C7FF7">
                  <w:pPr>
                    <w:jc w:val="center"/>
                    <w:rPr>
                      <w:rFonts w:hint="eastAsia" w:cs="Times New Roman"/>
                      <w:color w:val="auto"/>
                      <w:sz w:val="20"/>
                      <w:lang w:val="en-US" w:eastAsia="zh-CN"/>
                    </w:rPr>
                  </w:pPr>
                  <w:r>
                    <w:rPr>
                      <w:rFonts w:hint="eastAsia" w:cs="Times New Roman"/>
                      <w:color w:val="auto"/>
                      <w:sz w:val="20"/>
                      <w:lang w:val="en-US" w:eastAsia="zh-CN"/>
                    </w:rPr>
                    <w:t>20</w:t>
                  </w:r>
                </w:p>
              </w:tc>
              <w:tc>
                <w:tcPr>
                  <w:tcW w:w="503" w:type="dxa"/>
                  <w:tcBorders>
                    <w:tl2br w:val="nil"/>
                    <w:tr2bl w:val="nil"/>
                  </w:tcBorders>
                  <w:shd w:val="clear" w:color="auto" w:fill="FFFFFF"/>
                  <w:tcMar>
                    <w:top w:w="0" w:type="dxa"/>
                    <w:left w:w="0" w:type="dxa"/>
                    <w:bottom w:w="0" w:type="dxa"/>
                    <w:right w:w="0" w:type="dxa"/>
                  </w:tcMar>
                  <w:vAlign w:val="center"/>
                </w:tcPr>
                <w:p w14:paraId="6527A632">
                  <w:pPr>
                    <w:jc w:val="center"/>
                    <w:rPr>
                      <w:rFonts w:hint="default" w:cs="Times New Roman"/>
                      <w:color w:val="auto"/>
                      <w:sz w:val="20"/>
                      <w:lang w:val="en-US" w:eastAsia="zh-CN"/>
                    </w:rPr>
                  </w:pPr>
                  <w:r>
                    <w:rPr>
                      <w:rFonts w:hint="eastAsia" w:cs="Times New Roman"/>
                      <w:color w:val="auto"/>
                      <w:sz w:val="20"/>
                      <w:lang w:val="en-US" w:eastAsia="zh-CN"/>
                    </w:rPr>
                    <w:t>18</w:t>
                  </w:r>
                </w:p>
              </w:tc>
              <w:tc>
                <w:tcPr>
                  <w:tcW w:w="486" w:type="dxa"/>
                  <w:tcBorders>
                    <w:tl2br w:val="nil"/>
                    <w:tr2bl w:val="nil"/>
                  </w:tcBorders>
                  <w:shd w:val="clear" w:color="auto" w:fill="FFFFFF"/>
                  <w:tcMar>
                    <w:top w:w="0" w:type="dxa"/>
                    <w:left w:w="0" w:type="dxa"/>
                    <w:bottom w:w="0" w:type="dxa"/>
                    <w:right w:w="0" w:type="dxa"/>
                  </w:tcMar>
                  <w:vAlign w:val="center"/>
                </w:tcPr>
                <w:p w14:paraId="7C1EC707">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66.</w:t>
                  </w:r>
                  <w:r>
                    <w:rPr>
                      <w:rFonts w:hint="default" w:ascii="Times New Roman" w:hAnsi="Times New Roman" w:eastAsia="Arial" w:cs="Times New Roman"/>
                      <w:color w:val="auto"/>
                      <w:sz w:val="20"/>
                    </w:rPr>
                    <w:t>8</w:t>
                  </w:r>
                </w:p>
              </w:tc>
              <w:tc>
                <w:tcPr>
                  <w:tcW w:w="486" w:type="dxa"/>
                  <w:tcBorders>
                    <w:tl2br w:val="nil"/>
                    <w:tr2bl w:val="nil"/>
                  </w:tcBorders>
                  <w:shd w:val="clear" w:color="auto" w:fill="FFFFFF"/>
                  <w:tcMar>
                    <w:top w:w="0" w:type="dxa"/>
                    <w:left w:w="0" w:type="dxa"/>
                    <w:bottom w:w="0" w:type="dxa"/>
                    <w:right w:w="0" w:type="dxa"/>
                  </w:tcMar>
                  <w:vAlign w:val="center"/>
                </w:tcPr>
                <w:p w14:paraId="6B816E5F">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66.</w:t>
                  </w:r>
                  <w:r>
                    <w:rPr>
                      <w:rFonts w:hint="default" w:ascii="Times New Roman" w:hAnsi="Times New Roman" w:eastAsia="Arial" w:cs="Times New Roman"/>
                      <w:color w:val="auto"/>
                      <w:sz w:val="20"/>
                    </w:rPr>
                    <w:t>8</w:t>
                  </w:r>
                </w:p>
              </w:tc>
              <w:tc>
                <w:tcPr>
                  <w:tcW w:w="486" w:type="dxa"/>
                  <w:tcBorders>
                    <w:tl2br w:val="nil"/>
                    <w:tr2bl w:val="nil"/>
                  </w:tcBorders>
                  <w:shd w:val="clear" w:color="auto" w:fill="FFFFFF"/>
                  <w:tcMar>
                    <w:top w:w="0" w:type="dxa"/>
                    <w:left w:w="0" w:type="dxa"/>
                    <w:bottom w:w="0" w:type="dxa"/>
                    <w:right w:w="0" w:type="dxa"/>
                  </w:tcMar>
                  <w:vAlign w:val="center"/>
                </w:tcPr>
                <w:p w14:paraId="3A5234ED">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66.</w:t>
                  </w:r>
                  <w:r>
                    <w:rPr>
                      <w:rFonts w:hint="default" w:ascii="Times New Roman" w:hAnsi="Times New Roman" w:eastAsia="Arial" w:cs="Times New Roman"/>
                      <w:color w:val="auto"/>
                      <w:sz w:val="20"/>
                    </w:rPr>
                    <w:t>8</w:t>
                  </w:r>
                </w:p>
              </w:tc>
              <w:tc>
                <w:tcPr>
                  <w:tcW w:w="498" w:type="dxa"/>
                  <w:tcBorders>
                    <w:tl2br w:val="nil"/>
                    <w:tr2bl w:val="nil"/>
                  </w:tcBorders>
                  <w:shd w:val="clear" w:color="auto" w:fill="FFFFFF"/>
                  <w:tcMar>
                    <w:top w:w="0" w:type="dxa"/>
                    <w:left w:w="0" w:type="dxa"/>
                    <w:bottom w:w="0" w:type="dxa"/>
                    <w:right w:w="0" w:type="dxa"/>
                  </w:tcMar>
                  <w:vAlign w:val="center"/>
                </w:tcPr>
                <w:p w14:paraId="1836E8BA">
                  <w:pPr>
                    <w:jc w:val="center"/>
                    <w:rPr>
                      <w:rFonts w:hint="default" w:ascii="Times New Roman" w:hAnsi="Times New Roman" w:eastAsia="Arial" w:cs="Times New Roman"/>
                      <w:color w:val="auto"/>
                      <w:sz w:val="20"/>
                    </w:rPr>
                  </w:pPr>
                  <w:r>
                    <w:rPr>
                      <w:rFonts w:hint="eastAsia" w:ascii="Times New Roman" w:hAnsi="Times New Roman" w:eastAsia="宋体" w:cs="Times New Roman"/>
                      <w:color w:val="auto"/>
                      <w:sz w:val="20"/>
                      <w:lang w:val="en-US" w:eastAsia="zh-CN"/>
                    </w:rPr>
                    <w:t>66.</w:t>
                  </w:r>
                  <w:r>
                    <w:rPr>
                      <w:rFonts w:hint="default" w:ascii="Times New Roman" w:hAnsi="Times New Roman" w:eastAsia="Arial" w:cs="Times New Roman"/>
                      <w:color w:val="auto"/>
                      <w:sz w:val="20"/>
                    </w:rPr>
                    <w:t>8</w:t>
                  </w:r>
                </w:p>
              </w:tc>
              <w:tc>
                <w:tcPr>
                  <w:tcW w:w="551" w:type="dxa"/>
                  <w:tcBorders>
                    <w:tl2br w:val="nil"/>
                    <w:tr2bl w:val="nil"/>
                  </w:tcBorders>
                  <w:shd w:val="clear" w:color="auto" w:fill="FFFFFF"/>
                  <w:tcMar>
                    <w:top w:w="0" w:type="dxa"/>
                    <w:left w:w="0" w:type="dxa"/>
                    <w:bottom w:w="0" w:type="dxa"/>
                    <w:right w:w="0" w:type="dxa"/>
                  </w:tcMar>
                  <w:vAlign w:val="center"/>
                </w:tcPr>
                <w:p w14:paraId="1BB2C480">
                  <w:pPr>
                    <w:jc w:val="center"/>
                    <w:rPr>
                      <w:rFonts w:hint="default" w:ascii="Times New Roman" w:hAnsi="Times New Roman" w:eastAsia="Arial" w:cs="Times New Roman"/>
                      <w:color w:val="auto"/>
                      <w:sz w:val="20"/>
                    </w:rPr>
                  </w:pPr>
                  <w:r>
                    <w:rPr>
                      <w:rFonts w:hint="eastAsia" w:eastAsia="宋体" w:cs="Times New Roman"/>
                      <w:color w:val="auto"/>
                      <w:sz w:val="20"/>
                      <w:lang w:val="en-US" w:eastAsia="zh-CN"/>
                    </w:rPr>
                    <w:t>昼间</w:t>
                  </w:r>
                </w:p>
              </w:tc>
              <w:tc>
                <w:tcPr>
                  <w:tcW w:w="340" w:type="dxa"/>
                  <w:tcBorders>
                    <w:tl2br w:val="nil"/>
                    <w:tr2bl w:val="nil"/>
                  </w:tcBorders>
                  <w:shd w:val="clear" w:color="auto" w:fill="FFFFFF"/>
                  <w:tcMar>
                    <w:top w:w="0" w:type="dxa"/>
                    <w:left w:w="0" w:type="dxa"/>
                    <w:bottom w:w="0" w:type="dxa"/>
                    <w:right w:w="0" w:type="dxa"/>
                  </w:tcMar>
                  <w:vAlign w:val="center"/>
                </w:tcPr>
                <w:p w14:paraId="1CDC28ED">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0FAE0519">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69" w:type="dxa"/>
                  <w:tcBorders>
                    <w:tl2br w:val="nil"/>
                    <w:tr2bl w:val="nil"/>
                  </w:tcBorders>
                  <w:shd w:val="clear" w:color="auto" w:fill="FFFFFF"/>
                  <w:tcMar>
                    <w:top w:w="0" w:type="dxa"/>
                    <w:left w:w="0" w:type="dxa"/>
                    <w:bottom w:w="0" w:type="dxa"/>
                    <w:right w:w="0" w:type="dxa"/>
                  </w:tcMar>
                  <w:vAlign w:val="center"/>
                </w:tcPr>
                <w:p w14:paraId="189006BE">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480" w:type="dxa"/>
                  <w:tcBorders>
                    <w:tl2br w:val="nil"/>
                    <w:tr2bl w:val="nil"/>
                  </w:tcBorders>
                  <w:shd w:val="clear" w:color="auto" w:fill="FFFFFF"/>
                  <w:tcMar>
                    <w:top w:w="0" w:type="dxa"/>
                    <w:left w:w="0" w:type="dxa"/>
                    <w:bottom w:w="0" w:type="dxa"/>
                    <w:right w:w="0" w:type="dxa"/>
                  </w:tcMar>
                  <w:vAlign w:val="center"/>
                </w:tcPr>
                <w:p w14:paraId="6DC62C23">
                  <w:pPr>
                    <w:jc w:val="center"/>
                    <w:rPr>
                      <w:rFonts w:hint="eastAsia" w:eastAsia="宋体" w:cs="Times New Roman"/>
                      <w:color w:val="auto"/>
                      <w:sz w:val="20"/>
                      <w:lang w:val="en-US" w:eastAsia="zh-CN"/>
                    </w:rPr>
                  </w:pPr>
                  <w:r>
                    <w:rPr>
                      <w:rFonts w:hint="eastAsia" w:eastAsia="宋体" w:cs="Times New Roman"/>
                      <w:color w:val="auto"/>
                      <w:sz w:val="20"/>
                      <w:lang w:val="en-US" w:eastAsia="zh-CN"/>
                    </w:rPr>
                    <w:t>2</w:t>
                  </w:r>
                  <w:r>
                    <w:rPr>
                      <w:rFonts w:hint="default" w:ascii="Times New Roman" w:hAnsi="Times New Roman" w:eastAsia="Arial" w:cs="Times New Roman"/>
                      <w:color w:val="auto"/>
                      <w:sz w:val="20"/>
                    </w:rPr>
                    <w:t>1.0</w:t>
                  </w:r>
                </w:p>
              </w:tc>
              <w:tc>
                <w:tcPr>
                  <w:tcW w:w="500" w:type="dxa"/>
                  <w:tcBorders>
                    <w:tl2br w:val="nil"/>
                    <w:tr2bl w:val="nil"/>
                  </w:tcBorders>
                  <w:shd w:val="clear" w:color="auto" w:fill="FFFFFF"/>
                  <w:tcMar>
                    <w:top w:w="0" w:type="dxa"/>
                    <w:left w:w="0" w:type="dxa"/>
                    <w:bottom w:w="0" w:type="dxa"/>
                    <w:right w:w="0" w:type="dxa"/>
                  </w:tcMar>
                  <w:vAlign w:val="center"/>
                </w:tcPr>
                <w:p w14:paraId="4FDAF0CB">
                  <w:pPr>
                    <w:jc w:val="center"/>
                    <w:rPr>
                      <w:rFonts w:hint="default" w:eastAsia="宋体" w:cs="Times New Roman"/>
                      <w:color w:val="auto"/>
                      <w:sz w:val="20"/>
                      <w:lang w:val="en-US" w:eastAsia="zh-CN"/>
                    </w:rPr>
                  </w:pPr>
                  <w:r>
                    <w:rPr>
                      <w:rFonts w:hint="eastAsia" w:cs="Times New Roman"/>
                      <w:color w:val="auto"/>
                      <w:sz w:val="20"/>
                      <w:lang w:val="en-US" w:eastAsia="zh-CN"/>
                    </w:rPr>
                    <w:t>45.2</w:t>
                  </w:r>
                </w:p>
              </w:tc>
              <w:tc>
                <w:tcPr>
                  <w:tcW w:w="500" w:type="dxa"/>
                  <w:tcBorders>
                    <w:tl2br w:val="nil"/>
                    <w:tr2bl w:val="nil"/>
                  </w:tcBorders>
                  <w:shd w:val="clear" w:color="auto" w:fill="FFFFFF"/>
                  <w:tcMar>
                    <w:top w:w="0" w:type="dxa"/>
                    <w:left w:w="0" w:type="dxa"/>
                    <w:bottom w:w="0" w:type="dxa"/>
                    <w:right w:w="0" w:type="dxa"/>
                  </w:tcMar>
                  <w:vAlign w:val="center"/>
                </w:tcPr>
                <w:p w14:paraId="0F0927FC">
                  <w:pPr>
                    <w:jc w:val="center"/>
                    <w:rPr>
                      <w:rFonts w:hint="default" w:eastAsia="宋体" w:cs="Times New Roman"/>
                      <w:color w:val="auto"/>
                      <w:sz w:val="20"/>
                      <w:lang w:val="en-US" w:eastAsia="zh-CN"/>
                    </w:rPr>
                  </w:pPr>
                  <w:r>
                    <w:rPr>
                      <w:rFonts w:hint="eastAsia" w:cs="Times New Roman"/>
                      <w:color w:val="auto"/>
                      <w:sz w:val="20"/>
                      <w:lang w:val="en-US" w:eastAsia="zh-CN"/>
                    </w:rPr>
                    <w:t>41.7</w:t>
                  </w:r>
                </w:p>
              </w:tc>
              <w:tc>
                <w:tcPr>
                  <w:tcW w:w="500" w:type="dxa"/>
                  <w:tcBorders>
                    <w:tl2br w:val="nil"/>
                    <w:tr2bl w:val="nil"/>
                  </w:tcBorders>
                  <w:shd w:val="clear" w:color="auto" w:fill="FFFFFF"/>
                  <w:tcMar>
                    <w:top w:w="0" w:type="dxa"/>
                    <w:left w:w="0" w:type="dxa"/>
                    <w:bottom w:w="0" w:type="dxa"/>
                    <w:right w:w="0" w:type="dxa"/>
                  </w:tcMar>
                  <w:vAlign w:val="center"/>
                </w:tcPr>
                <w:p w14:paraId="486B3E15">
                  <w:pPr>
                    <w:jc w:val="center"/>
                    <w:rPr>
                      <w:rFonts w:hint="default" w:eastAsia="宋体" w:cs="Times New Roman"/>
                      <w:color w:val="auto"/>
                      <w:sz w:val="20"/>
                      <w:lang w:val="en-US" w:eastAsia="zh-CN"/>
                    </w:rPr>
                  </w:pPr>
                  <w:r>
                    <w:rPr>
                      <w:rFonts w:hint="eastAsia" w:cs="Times New Roman"/>
                      <w:color w:val="auto"/>
                      <w:sz w:val="20"/>
                      <w:lang w:val="en-US" w:eastAsia="zh-CN"/>
                    </w:rPr>
                    <w:t>42.9</w:t>
                  </w:r>
                </w:p>
              </w:tc>
              <w:tc>
                <w:tcPr>
                  <w:tcW w:w="500" w:type="dxa"/>
                  <w:tcBorders>
                    <w:tl2br w:val="nil"/>
                    <w:tr2bl w:val="nil"/>
                  </w:tcBorders>
                  <w:shd w:val="clear" w:color="auto" w:fill="FFFFFF"/>
                  <w:tcMar>
                    <w:top w:w="0" w:type="dxa"/>
                    <w:left w:w="0" w:type="dxa"/>
                    <w:bottom w:w="0" w:type="dxa"/>
                    <w:right w:w="0" w:type="dxa"/>
                  </w:tcMar>
                  <w:vAlign w:val="center"/>
                </w:tcPr>
                <w:p w14:paraId="2F2398B7">
                  <w:pPr>
                    <w:jc w:val="center"/>
                    <w:rPr>
                      <w:rFonts w:hint="default" w:eastAsia="宋体" w:cs="Times New Roman"/>
                      <w:color w:val="auto"/>
                      <w:sz w:val="20"/>
                      <w:lang w:val="en-US" w:eastAsia="zh-CN"/>
                    </w:rPr>
                  </w:pPr>
                  <w:r>
                    <w:rPr>
                      <w:rFonts w:hint="eastAsia" w:cs="Times New Roman"/>
                      <w:color w:val="auto"/>
                      <w:sz w:val="20"/>
                      <w:lang w:val="en-US" w:eastAsia="zh-CN"/>
                    </w:rPr>
                    <w:t>46.9</w:t>
                  </w:r>
                </w:p>
              </w:tc>
              <w:tc>
                <w:tcPr>
                  <w:tcW w:w="713" w:type="dxa"/>
                  <w:tcBorders>
                    <w:tl2br w:val="nil"/>
                    <w:tr2bl w:val="nil"/>
                  </w:tcBorders>
                  <w:shd w:val="clear" w:color="auto" w:fill="FFFFFF"/>
                  <w:tcMar>
                    <w:top w:w="0" w:type="dxa"/>
                    <w:left w:w="0" w:type="dxa"/>
                    <w:bottom w:w="0" w:type="dxa"/>
                    <w:right w:w="0" w:type="dxa"/>
                  </w:tcMar>
                  <w:vAlign w:val="center"/>
                </w:tcPr>
                <w:p w14:paraId="2D91CC7B">
                  <w:pPr>
                    <w:jc w:val="center"/>
                    <w:rPr>
                      <w:rFonts w:hint="default" w:ascii="Times New Roman" w:hAnsi="Times New Roman" w:eastAsia="Arial" w:cs="Times New Roman"/>
                      <w:color w:val="auto"/>
                      <w:sz w:val="20"/>
                    </w:rPr>
                  </w:pPr>
                  <w:r>
                    <w:rPr>
                      <w:rFonts w:hint="default" w:ascii="Times New Roman" w:hAnsi="Times New Roman" w:eastAsia="Arial" w:cs="Times New Roman"/>
                      <w:color w:val="auto"/>
                      <w:sz w:val="20"/>
                    </w:rPr>
                    <w:t>1</w:t>
                  </w:r>
                </w:p>
              </w:tc>
            </w:tr>
            <w:bookmarkEnd w:id="0"/>
          </w:tbl>
          <w:p w14:paraId="32FCCAED">
            <w:pPr>
              <w:rPr>
                <w:rFonts w:hint="default" w:ascii="Times New Roman" w:hAnsi="Times New Roman" w:eastAsia="宋体" w:cs="Times New Roman"/>
                <w:color w:val="auto"/>
              </w:rPr>
            </w:pPr>
            <w:r>
              <w:rPr>
                <w:rFonts w:hint="default" w:ascii="Times New Roman" w:hAnsi="Times New Roman" w:eastAsia="宋体" w:cs="Times New Roman"/>
                <w:b w:val="0"/>
                <w:bCs/>
                <w:color w:val="auto"/>
                <w:sz w:val="21"/>
                <w:szCs w:val="21"/>
                <w:lang w:val="en-US" w:eastAsia="zh-CN"/>
              </w:rPr>
              <w:t>表中坐标以厂界中心（</w:t>
            </w:r>
            <w:bookmarkStart w:id="2" w:name="PO_7"/>
            <w:r>
              <w:rPr>
                <w:rFonts w:hint="default" w:ascii="Times New Roman" w:hAnsi="Times New Roman" w:eastAsia="宋体" w:cs="Times New Roman"/>
                <w:b w:val="0"/>
                <w:bCs/>
                <w:color w:val="auto"/>
                <w:sz w:val="21"/>
                <w:szCs w:val="21"/>
                <w:lang w:val="en-US" w:eastAsia="zh-CN"/>
              </w:rPr>
              <w:t>11</w:t>
            </w:r>
            <w:r>
              <w:rPr>
                <w:rFonts w:hint="eastAsia" w:cs="Times New Roman"/>
                <w:b w:val="0"/>
                <w:bCs/>
                <w:color w:val="auto"/>
                <w:sz w:val="21"/>
                <w:szCs w:val="21"/>
                <w:lang w:val="en-US" w:eastAsia="zh-CN"/>
              </w:rPr>
              <w:t>7.516，</w:t>
            </w:r>
            <w:r>
              <w:rPr>
                <w:rFonts w:hint="default" w:ascii="Times New Roman" w:hAnsi="Times New Roman" w:eastAsia="宋体" w:cs="Times New Roman"/>
                <w:b w:val="0"/>
                <w:bCs/>
                <w:color w:val="auto"/>
                <w:sz w:val="21"/>
                <w:szCs w:val="21"/>
                <w:lang w:val="en-US" w:eastAsia="zh-CN"/>
              </w:rPr>
              <w:t>35.</w:t>
            </w:r>
            <w:bookmarkEnd w:id="2"/>
            <w:r>
              <w:rPr>
                <w:rFonts w:hint="eastAsia" w:cs="Times New Roman"/>
                <w:b w:val="0"/>
                <w:bCs/>
                <w:color w:val="auto"/>
                <w:sz w:val="21"/>
                <w:szCs w:val="21"/>
                <w:lang w:val="en-US" w:eastAsia="zh-CN"/>
              </w:rPr>
              <w:t>619</w:t>
            </w:r>
            <w:r>
              <w:rPr>
                <w:rFonts w:hint="default" w:ascii="Times New Roman" w:hAnsi="Times New Roman" w:eastAsia="宋体" w:cs="Times New Roman"/>
                <w:b w:val="0"/>
                <w:bCs/>
                <w:color w:val="auto"/>
                <w:sz w:val="21"/>
                <w:szCs w:val="21"/>
                <w:lang w:val="en-US" w:eastAsia="zh-CN"/>
              </w:rPr>
              <w:t>）为坐标原点，正东向为X轴正方向，正北向为Y轴正方向</w:t>
            </w:r>
            <w:r>
              <w:rPr>
                <w:rFonts w:hint="eastAsia" w:ascii="Times New Roman" w:hAnsi="Times New Roman" w:eastAsia="宋体" w:cs="Times New Roman"/>
                <w:b w:val="0"/>
                <w:bCs/>
                <w:color w:val="auto"/>
                <w:sz w:val="21"/>
                <w:szCs w:val="21"/>
                <w:lang w:val="en-US" w:eastAsia="zh-CN"/>
              </w:rPr>
              <w:t>。</w:t>
            </w:r>
          </w:p>
          <w:p w14:paraId="3102B0A4">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4"/>
                <w:lang w:bidi="ar"/>
              </w:rPr>
            </w:pPr>
            <w:r>
              <w:rPr>
                <w:rFonts w:hint="default" w:ascii="Times New Roman" w:hAnsi="Times New Roman" w:eastAsia="宋体" w:cs="Times New Roman"/>
                <w:b/>
                <w:bCs/>
                <w:color w:val="auto"/>
                <w:sz w:val="21"/>
                <w:szCs w:val="16"/>
                <w:lang w:bidi="ar"/>
              </w:rPr>
              <w:t>表</w:t>
            </w:r>
            <w:r>
              <w:rPr>
                <w:rFonts w:hint="default" w:ascii="Times New Roman" w:hAnsi="Times New Roman" w:eastAsia="宋体" w:cs="Times New Roman"/>
                <w:b/>
                <w:bCs/>
                <w:color w:val="auto"/>
                <w:sz w:val="21"/>
                <w:szCs w:val="16"/>
                <w:lang w:val="en-US" w:eastAsia="zh-CN" w:bidi="ar"/>
              </w:rPr>
              <w:t>4</w:t>
            </w:r>
            <w:r>
              <w:rPr>
                <w:rFonts w:hint="eastAsia" w:ascii="Times New Roman" w:hAnsi="Times New Roman" w:eastAsia="宋体" w:cs="Times New Roman"/>
                <w:b/>
                <w:bCs/>
                <w:color w:val="auto"/>
                <w:sz w:val="21"/>
                <w:szCs w:val="16"/>
                <w:lang w:val="en-US" w:eastAsia="zh-CN" w:bidi="ar"/>
              </w:rPr>
              <w:t>-</w:t>
            </w:r>
            <w:r>
              <w:rPr>
                <w:rFonts w:hint="eastAsia" w:cs="Times New Roman"/>
                <w:b/>
                <w:bCs/>
                <w:color w:val="auto"/>
                <w:sz w:val="21"/>
                <w:szCs w:val="16"/>
                <w:lang w:val="en-US" w:eastAsia="zh-CN" w:bidi="ar"/>
              </w:rPr>
              <w:t>9</w:t>
            </w:r>
            <w:r>
              <w:rPr>
                <w:rFonts w:hint="eastAsia" w:ascii="Times New Roman" w:hAnsi="Times New Roman" w:eastAsia="宋体" w:cs="Times New Roman"/>
                <w:b/>
                <w:bCs/>
                <w:color w:val="auto"/>
                <w:sz w:val="21"/>
                <w:szCs w:val="16"/>
                <w:lang w:val="en-US" w:eastAsia="zh-CN" w:bidi="ar"/>
              </w:rPr>
              <w:t xml:space="preserve"> </w:t>
            </w:r>
            <w:r>
              <w:rPr>
                <w:rFonts w:hint="default" w:ascii="Times New Roman" w:hAnsi="Times New Roman" w:eastAsia="宋体" w:cs="Times New Roman"/>
                <w:b/>
                <w:bCs/>
                <w:color w:val="auto"/>
                <w:sz w:val="21"/>
                <w:szCs w:val="16"/>
                <w:lang w:bidi="ar"/>
              </w:rPr>
              <w:t>项目噪声源强调查清单（室外声源）</w:t>
            </w:r>
          </w:p>
          <w:tbl>
            <w:tblPr>
              <w:tblStyle w:val="37"/>
              <w:tblW w:w="141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365"/>
              <w:gridCol w:w="1184"/>
              <w:gridCol w:w="1184"/>
              <w:gridCol w:w="1386"/>
              <w:gridCol w:w="2810"/>
              <w:gridCol w:w="2590"/>
              <w:gridCol w:w="1368"/>
              <w:gridCol w:w="1368"/>
            </w:tblGrid>
            <w:tr w14:paraId="3F7D4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6" w:hRule="exact"/>
                <w:jc w:val="center"/>
              </w:trPr>
              <w:tc>
                <w:tcPr>
                  <w:tcW w:w="883" w:type="dxa"/>
                  <w:vMerge w:val="restart"/>
                  <w:tcBorders>
                    <w:tl2br w:val="nil"/>
                    <w:tr2bl w:val="nil"/>
                  </w:tcBorders>
                  <w:noWrap w:val="0"/>
                  <w:vAlign w:val="center"/>
                </w:tcPr>
                <w:p w14:paraId="2151C4FD">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序号</w:t>
                  </w:r>
                </w:p>
              </w:tc>
              <w:tc>
                <w:tcPr>
                  <w:tcW w:w="1365" w:type="dxa"/>
                  <w:vMerge w:val="restart"/>
                  <w:tcBorders>
                    <w:tl2br w:val="nil"/>
                    <w:tr2bl w:val="nil"/>
                  </w:tcBorders>
                  <w:noWrap w:val="0"/>
                  <w:vAlign w:val="center"/>
                </w:tcPr>
                <w:p w14:paraId="4F7F0BC1">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声源名称</w:t>
                  </w:r>
                </w:p>
              </w:tc>
              <w:tc>
                <w:tcPr>
                  <w:tcW w:w="3754" w:type="dxa"/>
                  <w:gridSpan w:val="3"/>
                  <w:tcBorders>
                    <w:tl2br w:val="nil"/>
                    <w:tr2bl w:val="nil"/>
                  </w:tcBorders>
                  <w:noWrap w:val="0"/>
                  <w:vAlign w:val="center"/>
                </w:tcPr>
                <w:p w14:paraId="7B372687">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空间相对位置/m</w:t>
                  </w:r>
                </w:p>
              </w:tc>
              <w:tc>
                <w:tcPr>
                  <w:tcW w:w="2810" w:type="dxa"/>
                  <w:tcBorders>
                    <w:tl2br w:val="nil"/>
                    <w:tr2bl w:val="nil"/>
                  </w:tcBorders>
                  <w:noWrap w:val="0"/>
                  <w:vAlign w:val="center"/>
                </w:tcPr>
                <w:p w14:paraId="79526FF3">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声源源强</w:t>
                  </w:r>
                </w:p>
              </w:tc>
              <w:tc>
                <w:tcPr>
                  <w:tcW w:w="2590" w:type="dxa"/>
                  <w:vMerge w:val="restart"/>
                  <w:tcBorders>
                    <w:tl2br w:val="nil"/>
                    <w:tr2bl w:val="nil"/>
                  </w:tcBorders>
                  <w:noWrap w:val="0"/>
                  <w:vAlign w:val="center"/>
                </w:tcPr>
                <w:p w14:paraId="773C9559">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声源控制措施</w:t>
                  </w:r>
                </w:p>
              </w:tc>
              <w:tc>
                <w:tcPr>
                  <w:tcW w:w="1368" w:type="dxa"/>
                  <w:vMerge w:val="restart"/>
                  <w:tcBorders>
                    <w:tl2br w:val="nil"/>
                    <w:tr2bl w:val="nil"/>
                  </w:tcBorders>
                  <w:noWrap w:val="0"/>
                  <w:vAlign w:val="center"/>
                </w:tcPr>
                <w:p w14:paraId="72DB0221">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降噪后源强dB</w:t>
                  </w:r>
                  <w:r>
                    <w:rPr>
                      <w:rFonts w:hint="eastAsia" w:eastAsia="他" w:cs="Times New Roman"/>
                      <w:b/>
                      <w:bCs/>
                      <w:color w:val="auto"/>
                      <w:sz w:val="21"/>
                      <w:szCs w:val="21"/>
                      <w:lang w:val="en-US" w:eastAsia="zh-CN"/>
                    </w:rPr>
                    <w:t>（</w:t>
                  </w:r>
                  <w:r>
                    <w:rPr>
                      <w:rFonts w:hint="default" w:ascii="Times New Roman" w:hAnsi="Times New Roman" w:eastAsia="他" w:cs="Times New Roman"/>
                      <w:b/>
                      <w:bCs/>
                      <w:color w:val="auto"/>
                      <w:sz w:val="21"/>
                      <w:szCs w:val="21"/>
                      <w:lang w:val="en-US" w:eastAsia="zh-CN"/>
                    </w:rPr>
                    <w:t>A</w:t>
                  </w:r>
                  <w:r>
                    <w:rPr>
                      <w:rFonts w:hint="eastAsia" w:eastAsia="他" w:cs="Times New Roman"/>
                      <w:b/>
                      <w:bCs/>
                      <w:color w:val="auto"/>
                      <w:sz w:val="21"/>
                      <w:szCs w:val="21"/>
                      <w:lang w:val="en-US" w:eastAsia="zh-CN"/>
                    </w:rPr>
                    <w:t>）</w:t>
                  </w:r>
                </w:p>
              </w:tc>
              <w:tc>
                <w:tcPr>
                  <w:tcW w:w="1368" w:type="dxa"/>
                  <w:vMerge w:val="restart"/>
                  <w:tcBorders>
                    <w:tl2br w:val="nil"/>
                    <w:tr2bl w:val="nil"/>
                  </w:tcBorders>
                  <w:noWrap w:val="0"/>
                  <w:vAlign w:val="center"/>
                </w:tcPr>
                <w:p w14:paraId="3110FCFD">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运行时段</w:t>
                  </w:r>
                </w:p>
              </w:tc>
            </w:tr>
            <w:tr w14:paraId="640C6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883" w:type="dxa"/>
                  <w:vMerge w:val="continue"/>
                  <w:tcBorders>
                    <w:tl2br w:val="nil"/>
                    <w:tr2bl w:val="nil"/>
                  </w:tcBorders>
                  <w:noWrap w:val="0"/>
                  <w:vAlign w:val="center"/>
                </w:tcPr>
                <w:p w14:paraId="1BBF38DF">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p>
              </w:tc>
              <w:tc>
                <w:tcPr>
                  <w:tcW w:w="1365" w:type="dxa"/>
                  <w:vMerge w:val="continue"/>
                  <w:tcBorders>
                    <w:tl2br w:val="nil"/>
                    <w:tr2bl w:val="nil"/>
                  </w:tcBorders>
                  <w:noWrap w:val="0"/>
                  <w:vAlign w:val="center"/>
                </w:tcPr>
                <w:p w14:paraId="1517E4F9">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p>
              </w:tc>
              <w:tc>
                <w:tcPr>
                  <w:tcW w:w="1184" w:type="dxa"/>
                  <w:tcBorders>
                    <w:tl2br w:val="nil"/>
                    <w:tr2bl w:val="nil"/>
                  </w:tcBorders>
                  <w:noWrap w:val="0"/>
                  <w:vAlign w:val="center"/>
                </w:tcPr>
                <w:p w14:paraId="4DF956DB">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X</w:t>
                  </w:r>
                </w:p>
              </w:tc>
              <w:tc>
                <w:tcPr>
                  <w:tcW w:w="1184" w:type="dxa"/>
                  <w:tcBorders>
                    <w:tl2br w:val="nil"/>
                    <w:tr2bl w:val="nil"/>
                  </w:tcBorders>
                  <w:noWrap w:val="0"/>
                  <w:vAlign w:val="center"/>
                </w:tcPr>
                <w:p w14:paraId="44F5909F">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Y</w:t>
                  </w:r>
                </w:p>
              </w:tc>
              <w:tc>
                <w:tcPr>
                  <w:tcW w:w="1386" w:type="dxa"/>
                  <w:tcBorders>
                    <w:tl2br w:val="nil"/>
                    <w:tr2bl w:val="nil"/>
                  </w:tcBorders>
                  <w:noWrap w:val="0"/>
                  <w:vAlign w:val="center"/>
                </w:tcPr>
                <w:p w14:paraId="12D59080">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Z</w:t>
                  </w:r>
                </w:p>
              </w:tc>
              <w:tc>
                <w:tcPr>
                  <w:tcW w:w="2810" w:type="dxa"/>
                  <w:tcBorders>
                    <w:tl2br w:val="nil"/>
                    <w:tr2bl w:val="nil"/>
                  </w:tcBorders>
                  <w:noWrap w:val="0"/>
                  <w:vAlign w:val="center"/>
                </w:tcPr>
                <w:p w14:paraId="7A1D29AA">
                  <w:pPr>
                    <w:tabs>
                      <w:tab w:val="left" w:pos="405"/>
                      <w:tab w:val="center" w:pos="702"/>
                    </w:tabs>
                    <w:spacing w:line="240" w:lineRule="auto"/>
                    <w:jc w:val="center"/>
                    <w:rPr>
                      <w:rFonts w:hint="default" w:ascii="Times New Roman" w:hAnsi="Times New Roman" w:eastAsia="他" w:cs="Times New Roman"/>
                      <w:b/>
                      <w:bCs/>
                      <w:color w:val="auto"/>
                      <w:sz w:val="21"/>
                      <w:szCs w:val="21"/>
                      <w:lang w:val="en-US" w:eastAsia="zh-CN"/>
                    </w:rPr>
                  </w:pPr>
                  <w:r>
                    <w:rPr>
                      <w:rFonts w:hint="default" w:ascii="Times New Roman" w:hAnsi="Times New Roman" w:eastAsia="他" w:cs="Times New Roman"/>
                      <w:b/>
                      <w:bCs/>
                      <w:color w:val="auto"/>
                      <w:sz w:val="21"/>
                      <w:szCs w:val="21"/>
                      <w:lang w:val="en-US" w:eastAsia="zh-CN"/>
                    </w:rPr>
                    <w:t>（声压级/距声源距离）/（dB</w:t>
                  </w:r>
                  <w:r>
                    <w:rPr>
                      <w:rFonts w:hint="eastAsia" w:eastAsia="他" w:cs="Times New Roman"/>
                      <w:b/>
                      <w:bCs/>
                      <w:color w:val="auto"/>
                      <w:sz w:val="21"/>
                      <w:szCs w:val="21"/>
                      <w:lang w:val="en-US" w:eastAsia="zh-CN"/>
                    </w:rPr>
                    <w:t>（</w:t>
                  </w:r>
                  <w:r>
                    <w:rPr>
                      <w:rFonts w:hint="default" w:ascii="Times New Roman" w:hAnsi="Times New Roman" w:eastAsia="他" w:cs="Times New Roman"/>
                      <w:b/>
                      <w:bCs/>
                      <w:color w:val="auto"/>
                      <w:sz w:val="21"/>
                      <w:szCs w:val="21"/>
                      <w:lang w:val="en-US" w:eastAsia="zh-CN"/>
                    </w:rPr>
                    <w:t>A</w:t>
                  </w:r>
                  <w:r>
                    <w:rPr>
                      <w:rFonts w:hint="eastAsia" w:eastAsia="他" w:cs="Times New Roman"/>
                      <w:b/>
                      <w:bCs/>
                      <w:color w:val="auto"/>
                      <w:sz w:val="21"/>
                      <w:szCs w:val="21"/>
                      <w:lang w:val="en-US" w:eastAsia="zh-CN"/>
                    </w:rPr>
                    <w:t>）</w:t>
                  </w:r>
                  <w:r>
                    <w:rPr>
                      <w:rFonts w:hint="default" w:ascii="Times New Roman" w:hAnsi="Times New Roman" w:eastAsia="他" w:cs="Times New Roman"/>
                      <w:b/>
                      <w:bCs/>
                      <w:color w:val="auto"/>
                      <w:sz w:val="21"/>
                      <w:szCs w:val="21"/>
                      <w:lang w:val="en-US" w:eastAsia="zh-CN"/>
                    </w:rPr>
                    <w:t>/m）</w:t>
                  </w:r>
                </w:p>
              </w:tc>
              <w:tc>
                <w:tcPr>
                  <w:tcW w:w="2590" w:type="dxa"/>
                  <w:vMerge w:val="continue"/>
                  <w:tcBorders>
                    <w:tl2br w:val="nil"/>
                    <w:tr2bl w:val="nil"/>
                  </w:tcBorders>
                  <w:noWrap w:val="0"/>
                  <w:vAlign w:val="center"/>
                </w:tcPr>
                <w:p w14:paraId="4DD52FF9">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p>
              </w:tc>
              <w:tc>
                <w:tcPr>
                  <w:tcW w:w="1368" w:type="dxa"/>
                  <w:vMerge w:val="continue"/>
                  <w:tcBorders>
                    <w:tl2br w:val="nil"/>
                    <w:tr2bl w:val="nil"/>
                  </w:tcBorders>
                  <w:noWrap w:val="0"/>
                  <w:vAlign w:val="center"/>
                </w:tcPr>
                <w:p w14:paraId="2DB74107">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p>
              </w:tc>
              <w:tc>
                <w:tcPr>
                  <w:tcW w:w="1368" w:type="dxa"/>
                  <w:vMerge w:val="continue"/>
                  <w:tcBorders>
                    <w:tl2br w:val="nil"/>
                    <w:tr2bl w:val="nil"/>
                  </w:tcBorders>
                  <w:noWrap w:val="0"/>
                  <w:vAlign w:val="center"/>
                </w:tcPr>
                <w:p w14:paraId="2683395C">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p>
              </w:tc>
            </w:tr>
            <w:tr w14:paraId="4F629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883" w:type="dxa"/>
                  <w:tcBorders>
                    <w:tl2br w:val="nil"/>
                    <w:tr2bl w:val="nil"/>
                  </w:tcBorders>
                  <w:noWrap w:val="0"/>
                  <w:vAlign w:val="center"/>
                </w:tcPr>
                <w:p w14:paraId="29BEB5D5">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ascii="Times New Roman" w:hAnsi="Times New Roman" w:eastAsia="他" w:cs="Times New Roman"/>
                      <w:color w:val="auto"/>
                      <w:sz w:val="21"/>
                      <w:szCs w:val="21"/>
                      <w:lang w:val="en-US" w:eastAsia="zh-CN"/>
                    </w:rPr>
                    <w:t>1</w:t>
                  </w:r>
                </w:p>
              </w:tc>
              <w:tc>
                <w:tcPr>
                  <w:tcW w:w="1365" w:type="dxa"/>
                  <w:tcBorders>
                    <w:tl2br w:val="nil"/>
                    <w:tr2bl w:val="nil"/>
                  </w:tcBorders>
                  <w:noWrap w:val="0"/>
                  <w:vAlign w:val="center"/>
                </w:tcPr>
                <w:p w14:paraId="41389895">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ascii="Times New Roman" w:hAnsi="Times New Roman" w:eastAsia="他" w:cs="Times New Roman"/>
                      <w:color w:val="auto"/>
                      <w:sz w:val="21"/>
                      <w:szCs w:val="21"/>
                      <w:lang w:val="en-US" w:eastAsia="zh-CN"/>
                    </w:rPr>
                    <w:t>风机</w:t>
                  </w:r>
                </w:p>
              </w:tc>
              <w:tc>
                <w:tcPr>
                  <w:tcW w:w="1184" w:type="dxa"/>
                  <w:tcBorders>
                    <w:tl2br w:val="nil"/>
                    <w:tr2bl w:val="nil"/>
                  </w:tcBorders>
                  <w:noWrap w:val="0"/>
                  <w:vAlign w:val="center"/>
                </w:tcPr>
                <w:p w14:paraId="070BBC15">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eastAsia="他" w:cs="Times New Roman"/>
                      <w:color w:val="auto"/>
                      <w:sz w:val="21"/>
                      <w:szCs w:val="21"/>
                      <w:lang w:val="en-US" w:eastAsia="zh-CN"/>
                    </w:rPr>
                    <w:t>-20</w:t>
                  </w:r>
                </w:p>
              </w:tc>
              <w:tc>
                <w:tcPr>
                  <w:tcW w:w="1184" w:type="dxa"/>
                  <w:tcBorders>
                    <w:tl2br w:val="nil"/>
                    <w:tr2bl w:val="nil"/>
                  </w:tcBorders>
                  <w:noWrap w:val="0"/>
                  <w:vAlign w:val="center"/>
                </w:tcPr>
                <w:p w14:paraId="580564B2">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eastAsia="他" w:cs="Times New Roman"/>
                      <w:color w:val="auto"/>
                      <w:sz w:val="21"/>
                      <w:szCs w:val="21"/>
                      <w:lang w:val="en-US" w:eastAsia="zh-CN"/>
                    </w:rPr>
                    <w:t>-10</w:t>
                  </w:r>
                </w:p>
              </w:tc>
              <w:tc>
                <w:tcPr>
                  <w:tcW w:w="1386" w:type="dxa"/>
                  <w:tcBorders>
                    <w:tl2br w:val="nil"/>
                    <w:tr2bl w:val="nil"/>
                  </w:tcBorders>
                  <w:noWrap w:val="0"/>
                  <w:vAlign w:val="center"/>
                </w:tcPr>
                <w:p w14:paraId="4566F2D9">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ascii="Times New Roman" w:hAnsi="Times New Roman" w:eastAsia="他" w:cs="Times New Roman"/>
                      <w:color w:val="auto"/>
                      <w:sz w:val="21"/>
                      <w:szCs w:val="21"/>
                      <w:lang w:val="en-US" w:eastAsia="zh-CN"/>
                    </w:rPr>
                    <w:t>1.2</w:t>
                  </w:r>
                </w:p>
              </w:tc>
              <w:tc>
                <w:tcPr>
                  <w:tcW w:w="2810" w:type="dxa"/>
                  <w:tcBorders>
                    <w:tl2br w:val="nil"/>
                    <w:tr2bl w:val="nil"/>
                  </w:tcBorders>
                  <w:noWrap w:val="0"/>
                  <w:vAlign w:val="center"/>
                </w:tcPr>
                <w:p w14:paraId="7AFA5079">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default" w:ascii="Times New Roman" w:hAnsi="Times New Roman" w:eastAsia="他" w:cs="Times New Roman"/>
                      <w:color w:val="auto"/>
                      <w:sz w:val="21"/>
                      <w:szCs w:val="21"/>
                      <w:lang w:val="en-US" w:eastAsia="zh-CN"/>
                    </w:rPr>
                    <w:t>85/1</w:t>
                  </w:r>
                </w:p>
              </w:tc>
              <w:tc>
                <w:tcPr>
                  <w:tcW w:w="2590" w:type="dxa"/>
                  <w:tcBorders>
                    <w:tl2br w:val="nil"/>
                    <w:tr2bl w:val="nil"/>
                  </w:tcBorders>
                  <w:noWrap w:val="0"/>
                  <w:vAlign w:val="center"/>
                </w:tcPr>
                <w:p w14:paraId="6A7B6AC2">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default" w:ascii="Times New Roman" w:hAnsi="Times New Roman" w:eastAsia="他" w:cs="Times New Roman"/>
                      <w:color w:val="auto"/>
                      <w:sz w:val="21"/>
                      <w:szCs w:val="21"/>
                      <w:lang w:val="en-US" w:eastAsia="zh-CN"/>
                    </w:rPr>
                    <w:t>基础减震</w:t>
                  </w:r>
                  <w:r>
                    <w:rPr>
                      <w:rFonts w:hint="eastAsia" w:ascii="Times New Roman" w:hAnsi="Times New Roman" w:eastAsia="他" w:cs="Times New Roman"/>
                      <w:color w:val="auto"/>
                      <w:sz w:val="21"/>
                      <w:szCs w:val="21"/>
                      <w:lang w:val="en-US" w:eastAsia="zh-CN"/>
                    </w:rPr>
                    <w:t>、隔声</w:t>
                  </w:r>
                </w:p>
              </w:tc>
              <w:tc>
                <w:tcPr>
                  <w:tcW w:w="1368" w:type="dxa"/>
                  <w:tcBorders>
                    <w:tl2br w:val="nil"/>
                    <w:tr2bl w:val="nil"/>
                  </w:tcBorders>
                  <w:noWrap w:val="0"/>
                  <w:vAlign w:val="center"/>
                </w:tcPr>
                <w:p w14:paraId="09D24F0E">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ascii="Times New Roman" w:hAnsi="Times New Roman" w:eastAsia="他" w:cs="Times New Roman"/>
                      <w:color w:val="auto"/>
                      <w:sz w:val="21"/>
                      <w:szCs w:val="21"/>
                      <w:lang w:val="en-US" w:eastAsia="zh-CN"/>
                    </w:rPr>
                    <w:t>70</w:t>
                  </w:r>
                </w:p>
              </w:tc>
              <w:tc>
                <w:tcPr>
                  <w:tcW w:w="1368" w:type="dxa"/>
                  <w:tcBorders>
                    <w:tl2br w:val="nil"/>
                    <w:tr2bl w:val="nil"/>
                  </w:tcBorders>
                  <w:noWrap w:val="0"/>
                  <w:vAlign w:val="center"/>
                </w:tcPr>
                <w:p w14:paraId="267FEEA7">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eastAsia="他" w:cs="Times New Roman"/>
                      <w:color w:val="auto"/>
                      <w:sz w:val="21"/>
                      <w:szCs w:val="21"/>
                      <w:lang w:val="en-US" w:eastAsia="zh-CN"/>
                    </w:rPr>
                    <w:t>昼间</w:t>
                  </w:r>
                </w:p>
              </w:tc>
            </w:tr>
            <w:tr w14:paraId="7E0F2A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883" w:type="dxa"/>
                  <w:tcBorders>
                    <w:tl2br w:val="nil"/>
                    <w:tr2bl w:val="nil"/>
                  </w:tcBorders>
                  <w:noWrap w:val="0"/>
                  <w:vAlign w:val="center"/>
                </w:tcPr>
                <w:p w14:paraId="3ACD4A7E">
                  <w:pPr>
                    <w:tabs>
                      <w:tab w:val="left" w:pos="405"/>
                      <w:tab w:val="center" w:pos="702"/>
                    </w:tabs>
                    <w:spacing w:line="240" w:lineRule="auto"/>
                    <w:jc w:val="center"/>
                    <w:rPr>
                      <w:rFonts w:hint="default" w:eastAsia="他" w:cs="Times New Roman"/>
                      <w:color w:val="auto"/>
                      <w:sz w:val="21"/>
                      <w:szCs w:val="21"/>
                      <w:lang w:val="en-US" w:eastAsia="zh-CN"/>
                    </w:rPr>
                  </w:pPr>
                  <w:r>
                    <w:rPr>
                      <w:rFonts w:hint="eastAsia" w:eastAsia="他" w:cs="Times New Roman"/>
                      <w:color w:val="auto"/>
                      <w:sz w:val="21"/>
                      <w:szCs w:val="21"/>
                      <w:lang w:val="en-US" w:eastAsia="zh-CN"/>
                    </w:rPr>
                    <w:t>2</w:t>
                  </w:r>
                </w:p>
              </w:tc>
              <w:tc>
                <w:tcPr>
                  <w:tcW w:w="1365" w:type="dxa"/>
                  <w:tcBorders>
                    <w:tl2br w:val="nil"/>
                    <w:tr2bl w:val="nil"/>
                  </w:tcBorders>
                  <w:noWrap w:val="0"/>
                  <w:vAlign w:val="center"/>
                </w:tcPr>
                <w:p w14:paraId="3B0BE0A7">
                  <w:pPr>
                    <w:tabs>
                      <w:tab w:val="left" w:pos="405"/>
                      <w:tab w:val="center" w:pos="702"/>
                    </w:tabs>
                    <w:spacing w:line="240" w:lineRule="auto"/>
                    <w:jc w:val="center"/>
                    <w:rPr>
                      <w:rFonts w:hint="default" w:ascii="Times New Roman" w:hAnsi="Times New Roman" w:eastAsia="他" w:cs="Times New Roman"/>
                      <w:color w:val="auto"/>
                      <w:sz w:val="21"/>
                      <w:szCs w:val="21"/>
                      <w:lang w:val="en-US" w:eastAsia="zh-CN"/>
                    </w:rPr>
                  </w:pPr>
                  <w:r>
                    <w:rPr>
                      <w:rFonts w:hint="eastAsia" w:eastAsia="他" w:cs="Times New Roman"/>
                      <w:color w:val="auto"/>
                      <w:sz w:val="21"/>
                      <w:szCs w:val="21"/>
                      <w:lang w:val="en-US" w:eastAsia="zh-CN"/>
                    </w:rPr>
                    <w:t>水泵</w:t>
                  </w:r>
                </w:p>
              </w:tc>
              <w:tc>
                <w:tcPr>
                  <w:tcW w:w="1184" w:type="dxa"/>
                  <w:tcBorders>
                    <w:tl2br w:val="nil"/>
                    <w:tr2bl w:val="nil"/>
                  </w:tcBorders>
                  <w:noWrap w:val="0"/>
                  <w:vAlign w:val="center"/>
                </w:tcPr>
                <w:p w14:paraId="035AC52F">
                  <w:pPr>
                    <w:tabs>
                      <w:tab w:val="left" w:pos="405"/>
                      <w:tab w:val="center" w:pos="702"/>
                    </w:tabs>
                    <w:spacing w:line="240" w:lineRule="auto"/>
                    <w:jc w:val="center"/>
                    <w:rPr>
                      <w:rFonts w:hint="default" w:eastAsia="他" w:cs="Times New Roman"/>
                      <w:color w:val="auto"/>
                      <w:sz w:val="21"/>
                      <w:szCs w:val="21"/>
                      <w:lang w:val="en-US" w:eastAsia="zh-CN"/>
                    </w:rPr>
                  </w:pPr>
                  <w:r>
                    <w:rPr>
                      <w:rFonts w:hint="eastAsia" w:eastAsia="他" w:cs="Times New Roman"/>
                      <w:color w:val="auto"/>
                      <w:sz w:val="21"/>
                      <w:szCs w:val="21"/>
                      <w:lang w:val="en-US" w:eastAsia="zh-CN"/>
                    </w:rPr>
                    <w:t>-15</w:t>
                  </w:r>
                </w:p>
              </w:tc>
              <w:tc>
                <w:tcPr>
                  <w:tcW w:w="1184" w:type="dxa"/>
                  <w:tcBorders>
                    <w:tl2br w:val="nil"/>
                    <w:tr2bl w:val="nil"/>
                  </w:tcBorders>
                  <w:noWrap w:val="0"/>
                  <w:vAlign w:val="center"/>
                </w:tcPr>
                <w:p w14:paraId="16DD70B4">
                  <w:pPr>
                    <w:tabs>
                      <w:tab w:val="left" w:pos="405"/>
                      <w:tab w:val="center" w:pos="702"/>
                    </w:tabs>
                    <w:spacing w:line="240" w:lineRule="auto"/>
                    <w:jc w:val="center"/>
                    <w:rPr>
                      <w:rFonts w:hint="default" w:eastAsia="他" w:cs="Times New Roman"/>
                      <w:color w:val="auto"/>
                      <w:sz w:val="21"/>
                      <w:szCs w:val="21"/>
                      <w:lang w:val="en-US" w:eastAsia="zh-CN"/>
                    </w:rPr>
                  </w:pPr>
                  <w:r>
                    <w:rPr>
                      <w:rFonts w:hint="eastAsia" w:eastAsia="他" w:cs="Times New Roman"/>
                      <w:color w:val="auto"/>
                      <w:sz w:val="21"/>
                      <w:szCs w:val="21"/>
                      <w:lang w:val="en-US" w:eastAsia="zh-CN"/>
                    </w:rPr>
                    <w:t>-10</w:t>
                  </w:r>
                </w:p>
              </w:tc>
              <w:tc>
                <w:tcPr>
                  <w:tcW w:w="1386" w:type="dxa"/>
                  <w:tcBorders>
                    <w:tl2br w:val="nil"/>
                    <w:tr2bl w:val="nil"/>
                  </w:tcBorders>
                  <w:noWrap w:val="0"/>
                  <w:vAlign w:val="center"/>
                </w:tcPr>
                <w:p w14:paraId="6440B61F">
                  <w:pPr>
                    <w:tabs>
                      <w:tab w:val="left" w:pos="405"/>
                      <w:tab w:val="center" w:pos="702"/>
                    </w:tabs>
                    <w:spacing w:line="240" w:lineRule="auto"/>
                    <w:jc w:val="center"/>
                    <w:rPr>
                      <w:rFonts w:hint="default" w:eastAsia="他" w:cs="Times New Roman"/>
                      <w:color w:val="auto"/>
                      <w:sz w:val="21"/>
                      <w:szCs w:val="21"/>
                      <w:lang w:val="en-US" w:eastAsia="zh-CN"/>
                    </w:rPr>
                  </w:pPr>
                  <w:r>
                    <w:rPr>
                      <w:rFonts w:hint="eastAsia" w:eastAsia="他" w:cs="Times New Roman"/>
                      <w:color w:val="auto"/>
                      <w:sz w:val="21"/>
                      <w:szCs w:val="21"/>
                      <w:lang w:val="en-US" w:eastAsia="zh-CN"/>
                    </w:rPr>
                    <w:t>1.2</w:t>
                  </w:r>
                </w:p>
              </w:tc>
              <w:tc>
                <w:tcPr>
                  <w:tcW w:w="2810" w:type="dxa"/>
                  <w:tcBorders>
                    <w:tl2br w:val="nil"/>
                    <w:tr2bl w:val="nil"/>
                  </w:tcBorders>
                  <w:shd w:val="clear" w:color="auto" w:fill="auto"/>
                  <w:noWrap w:val="0"/>
                  <w:vAlign w:val="center"/>
                </w:tcPr>
                <w:p w14:paraId="1B8117F4">
                  <w:pPr>
                    <w:tabs>
                      <w:tab w:val="left" w:pos="405"/>
                      <w:tab w:val="center" w:pos="702"/>
                    </w:tabs>
                    <w:spacing w:line="240" w:lineRule="auto"/>
                    <w:jc w:val="center"/>
                    <w:rPr>
                      <w:rFonts w:hint="default" w:ascii="Times New Roman" w:hAnsi="Times New Roman" w:eastAsia="他" w:cs="Times New Roman"/>
                      <w:color w:val="auto"/>
                      <w:kern w:val="2"/>
                      <w:sz w:val="21"/>
                      <w:szCs w:val="21"/>
                      <w:lang w:val="en-US" w:eastAsia="zh-CN" w:bidi="ar-SA"/>
                    </w:rPr>
                  </w:pPr>
                  <w:r>
                    <w:rPr>
                      <w:rFonts w:hint="default" w:ascii="Times New Roman" w:hAnsi="Times New Roman" w:eastAsia="他" w:cs="Times New Roman"/>
                      <w:color w:val="auto"/>
                      <w:sz w:val="21"/>
                      <w:szCs w:val="21"/>
                      <w:lang w:val="en-US" w:eastAsia="zh-CN"/>
                    </w:rPr>
                    <w:t>85/1</w:t>
                  </w:r>
                </w:p>
              </w:tc>
              <w:tc>
                <w:tcPr>
                  <w:tcW w:w="2590" w:type="dxa"/>
                  <w:tcBorders>
                    <w:tl2br w:val="nil"/>
                    <w:tr2bl w:val="nil"/>
                  </w:tcBorders>
                  <w:shd w:val="clear" w:color="auto" w:fill="auto"/>
                  <w:noWrap w:val="0"/>
                  <w:vAlign w:val="center"/>
                </w:tcPr>
                <w:p w14:paraId="7BB96B3A">
                  <w:pPr>
                    <w:tabs>
                      <w:tab w:val="left" w:pos="405"/>
                      <w:tab w:val="center" w:pos="702"/>
                    </w:tabs>
                    <w:spacing w:line="240" w:lineRule="auto"/>
                    <w:jc w:val="center"/>
                    <w:rPr>
                      <w:rFonts w:hint="default" w:ascii="Times New Roman" w:hAnsi="Times New Roman" w:eastAsia="他" w:cs="Times New Roman"/>
                      <w:color w:val="auto"/>
                      <w:kern w:val="2"/>
                      <w:sz w:val="21"/>
                      <w:szCs w:val="21"/>
                      <w:lang w:val="en-US" w:eastAsia="zh-CN" w:bidi="ar-SA"/>
                    </w:rPr>
                  </w:pPr>
                  <w:r>
                    <w:rPr>
                      <w:rFonts w:hint="default" w:ascii="Times New Roman" w:hAnsi="Times New Roman" w:eastAsia="他" w:cs="Times New Roman"/>
                      <w:color w:val="auto"/>
                      <w:sz w:val="21"/>
                      <w:szCs w:val="21"/>
                      <w:lang w:val="en-US" w:eastAsia="zh-CN"/>
                    </w:rPr>
                    <w:t>基础减震</w:t>
                  </w:r>
                  <w:r>
                    <w:rPr>
                      <w:rFonts w:hint="eastAsia" w:ascii="Times New Roman" w:hAnsi="Times New Roman" w:eastAsia="他" w:cs="Times New Roman"/>
                      <w:color w:val="auto"/>
                      <w:sz w:val="21"/>
                      <w:szCs w:val="21"/>
                      <w:lang w:val="en-US" w:eastAsia="zh-CN"/>
                    </w:rPr>
                    <w:t>、隔声</w:t>
                  </w:r>
                </w:p>
              </w:tc>
              <w:tc>
                <w:tcPr>
                  <w:tcW w:w="1368" w:type="dxa"/>
                  <w:tcBorders>
                    <w:tl2br w:val="nil"/>
                    <w:tr2bl w:val="nil"/>
                  </w:tcBorders>
                  <w:shd w:val="clear" w:color="auto" w:fill="auto"/>
                  <w:noWrap w:val="0"/>
                  <w:vAlign w:val="center"/>
                </w:tcPr>
                <w:p w14:paraId="5452E0DD">
                  <w:pPr>
                    <w:tabs>
                      <w:tab w:val="left" w:pos="405"/>
                      <w:tab w:val="center" w:pos="702"/>
                    </w:tabs>
                    <w:spacing w:line="240" w:lineRule="auto"/>
                    <w:jc w:val="center"/>
                    <w:rPr>
                      <w:rFonts w:hint="eastAsia" w:ascii="Times New Roman" w:hAnsi="Times New Roman" w:eastAsia="他" w:cs="Times New Roman"/>
                      <w:color w:val="auto"/>
                      <w:kern w:val="2"/>
                      <w:sz w:val="21"/>
                      <w:szCs w:val="21"/>
                      <w:lang w:val="en-US" w:eastAsia="zh-CN" w:bidi="ar-SA"/>
                    </w:rPr>
                  </w:pPr>
                  <w:r>
                    <w:rPr>
                      <w:rFonts w:hint="eastAsia" w:ascii="Times New Roman" w:hAnsi="Times New Roman" w:eastAsia="他" w:cs="Times New Roman"/>
                      <w:color w:val="auto"/>
                      <w:sz w:val="21"/>
                      <w:szCs w:val="21"/>
                      <w:lang w:val="en-US" w:eastAsia="zh-CN"/>
                    </w:rPr>
                    <w:t>70</w:t>
                  </w:r>
                </w:p>
              </w:tc>
              <w:tc>
                <w:tcPr>
                  <w:tcW w:w="1368" w:type="dxa"/>
                  <w:tcBorders>
                    <w:tl2br w:val="nil"/>
                    <w:tr2bl w:val="nil"/>
                  </w:tcBorders>
                  <w:shd w:val="clear" w:color="auto" w:fill="auto"/>
                  <w:noWrap w:val="0"/>
                  <w:vAlign w:val="center"/>
                </w:tcPr>
                <w:p w14:paraId="7D747748">
                  <w:pPr>
                    <w:tabs>
                      <w:tab w:val="left" w:pos="405"/>
                      <w:tab w:val="center" w:pos="702"/>
                    </w:tabs>
                    <w:spacing w:line="240" w:lineRule="auto"/>
                    <w:jc w:val="center"/>
                    <w:rPr>
                      <w:rFonts w:hint="eastAsia" w:ascii="Times New Roman" w:hAnsi="Times New Roman" w:eastAsia="他" w:cs="Times New Roman"/>
                      <w:color w:val="auto"/>
                      <w:kern w:val="2"/>
                      <w:sz w:val="21"/>
                      <w:szCs w:val="21"/>
                      <w:lang w:val="en-US" w:eastAsia="zh-CN" w:bidi="ar-SA"/>
                    </w:rPr>
                  </w:pPr>
                  <w:r>
                    <w:rPr>
                      <w:rFonts w:hint="eastAsia" w:eastAsia="他" w:cs="Times New Roman"/>
                      <w:color w:val="auto"/>
                      <w:sz w:val="21"/>
                      <w:szCs w:val="21"/>
                      <w:lang w:val="en-US" w:eastAsia="zh-CN"/>
                    </w:rPr>
                    <w:t>昼间</w:t>
                  </w:r>
                </w:p>
              </w:tc>
            </w:tr>
          </w:tbl>
          <w:p w14:paraId="6A639E57">
            <w:pPr>
              <w:pStyle w:val="36"/>
              <w:ind w:left="0" w:leftChars="0" w:firstLine="0" w:firstLineChars="0"/>
              <w:rPr>
                <w:rFonts w:hint="eastAsia" w:eastAsiaTheme="minorEastAsia"/>
                <w:color w:val="auto"/>
                <w:lang w:val="en-US" w:eastAsia="zh-CN"/>
              </w:rPr>
            </w:pPr>
          </w:p>
        </w:tc>
      </w:tr>
    </w:tbl>
    <w:p w14:paraId="2DD3F362">
      <w:pPr>
        <w:spacing w:after="240" w:afterLines="100"/>
        <w:outlineLvl w:val="0"/>
        <w:rPr>
          <w:rFonts w:hint="default" w:ascii="Times New Roman" w:hAnsi="Times New Roman" w:cs="Times New Roman"/>
          <w:b/>
          <w:color w:val="auto"/>
          <w:sz w:val="30"/>
          <w:szCs w:val="30"/>
        </w:rPr>
        <w:sectPr>
          <w:pgSz w:w="16840" w:h="11907" w:orient="landscape"/>
          <w:pgMar w:top="1797" w:right="1440" w:bottom="1797" w:left="1440" w:header="851" w:footer="851" w:gutter="0"/>
          <w:pgBorders>
            <w:top w:val="none" w:sz="0" w:space="0"/>
            <w:left w:val="none" w:sz="0" w:space="0"/>
            <w:bottom w:val="none" w:sz="0" w:space="0"/>
            <w:right w:val="none" w:sz="0" w:space="0"/>
          </w:pgBorders>
          <w:cols w:space="720" w:num="1"/>
          <w:docGrid w:linePitch="312" w:charSpace="0"/>
        </w:sectPr>
      </w:pPr>
    </w:p>
    <w:tbl>
      <w:tblPr>
        <w:tblStyle w:val="37"/>
        <w:tblW w:w="93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9"/>
        <w:gridCol w:w="8913"/>
      </w:tblGrid>
      <w:tr w14:paraId="36D9E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81" w:hRule="atLeast"/>
          <w:jc w:val="center"/>
        </w:trPr>
        <w:tc>
          <w:tcPr>
            <w:tcW w:w="469" w:type="dxa"/>
            <w:tcBorders>
              <w:top w:val="single" w:color="auto" w:sz="12" w:space="0"/>
              <w:bottom w:val="single" w:color="auto" w:sz="12" w:space="0"/>
            </w:tcBorders>
            <w:noWrap w:val="0"/>
            <w:vAlign w:val="center"/>
          </w:tcPr>
          <w:p w14:paraId="0D9CDF54">
            <w:pPr>
              <w:pStyle w:val="36"/>
              <w:keepNext w:val="0"/>
              <w:keepLines w:val="0"/>
              <w:pageBreakBefore w:val="0"/>
              <w:widowControl w:val="0"/>
              <w:kinsoku/>
              <w:wordWrap/>
              <w:overflowPunct/>
              <w:topLinePunct w:val="0"/>
              <w:autoSpaceDE/>
              <w:autoSpaceDN/>
              <w:bidi w:val="0"/>
              <w:adjustRightInd w:val="0"/>
              <w:snapToGrid w:val="0"/>
              <w:spacing w:before="0" w:after="0"/>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运营期环境影响和保护措施</w:t>
            </w:r>
          </w:p>
        </w:tc>
        <w:tc>
          <w:tcPr>
            <w:tcW w:w="8913" w:type="dxa"/>
            <w:tcBorders>
              <w:top w:val="single" w:color="auto" w:sz="12" w:space="0"/>
              <w:bottom w:val="single" w:color="auto" w:sz="12" w:space="0"/>
            </w:tcBorders>
            <w:noWrap w:val="0"/>
            <w:vAlign w:val="center"/>
          </w:tcPr>
          <w:p w14:paraId="6B86D5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dB（A）；</w:t>
            </w:r>
            <w:bookmarkStart w:id="3" w:name="_Toc458177329"/>
          </w:p>
          <w:p w14:paraId="0B5BBB90">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T</w:t>
            </w:r>
            <w:r>
              <w:rPr>
                <w:rFonts w:hint="default" w:ascii="Times New Roman" w:hAnsi="Times New Roman" w:eastAsia="宋体" w:cs="Times New Roman"/>
                <w:color w:val="auto"/>
                <w:kern w:val="2"/>
                <w:sz w:val="24"/>
                <w:szCs w:val="24"/>
                <w:highlight w:val="none"/>
                <w:vertAlign w:val="subscript"/>
                <w:lang w:val="en-US" w:eastAsia="zh-CN" w:bidi="ar-SA"/>
              </w:rPr>
              <w:t>Li</w:t>
            </w:r>
            <w:r>
              <w:rPr>
                <w:rFonts w:hint="default" w:ascii="Times New Roman" w:hAnsi="Times New Roman" w:eastAsia="宋体" w:cs="Times New Roman"/>
                <w:color w:val="auto"/>
                <w:kern w:val="2"/>
                <w:sz w:val="24"/>
                <w:szCs w:val="24"/>
                <w:highlight w:val="none"/>
                <w:lang w:val="en-US" w:eastAsia="zh-CN" w:bidi="ar-SA"/>
              </w:rPr>
              <w:t>—围护结构i倍频带的隔声量，dB（A）；</w:t>
            </w:r>
            <w:bookmarkEnd w:id="3"/>
          </w:p>
          <w:p w14:paraId="2E43B68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④将室外声源的声压级和透声面积换算成等效的室外声源，计算出中心位置位于透声面积（S）处的等效声源的倍频带声功率级</w:t>
            </w:r>
          </w:p>
          <w:p w14:paraId="0375D2A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drawing>
                <wp:inline distT="0" distB="0" distL="114300" distR="114300">
                  <wp:extent cx="1285875" cy="228600"/>
                  <wp:effectExtent l="0" t="0" r="9525"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pic:cNvPicPr>
                        </pic:nvPicPr>
                        <pic:blipFill>
                          <a:blip r:embed="rId15"/>
                          <a:stretch>
                            <a:fillRect/>
                          </a:stretch>
                        </pic:blipFill>
                        <pic:spPr>
                          <a:xfrm>
                            <a:off x="0" y="0"/>
                            <a:ext cx="1285875" cy="228600"/>
                          </a:xfrm>
                          <a:prstGeom prst="rect">
                            <a:avLst/>
                          </a:prstGeom>
                          <a:noFill/>
                          <a:ln>
                            <a:noFill/>
                          </a:ln>
                        </pic:spPr>
                      </pic:pic>
                    </a:graphicData>
                  </a:graphic>
                </wp:inline>
              </w:drawing>
            </w:r>
          </w:p>
          <w:p w14:paraId="61AD9B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式中：S—透声面积，m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p>
          <w:p w14:paraId="225B697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⑤然后按照室外声源预测方法计算预测点处的A声级。</w:t>
            </w:r>
          </w:p>
          <w:p w14:paraId="248A4D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（2）参数的确定</w:t>
            </w:r>
          </w:p>
          <w:p w14:paraId="2388989C">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①声波几何发散引起的A声级衰减量（工业噪声源）：</w:t>
            </w:r>
          </w:p>
          <w:p w14:paraId="4BC74F85">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a、点声源      Adiv＝20Lg（r/ro）</w:t>
            </w:r>
          </w:p>
          <w:p w14:paraId="1ACA8355">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b、有限长（Lo）线声源</w:t>
            </w:r>
          </w:p>
          <w:p w14:paraId="6C9F5937">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当r＞Lo且ro＞Lo时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 xml:space="preserve">   Adiv＝20lg（r/ro）</w:t>
            </w:r>
          </w:p>
          <w:p w14:paraId="127BCCD4">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当r＜Lo/3且ro＜Lo/3时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 xml:space="preserve"> Adiv＝10lg（r/ro）</w:t>
            </w:r>
          </w:p>
          <w:p w14:paraId="40A13A6F">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当Lo/3＜r＜Lo且Lo/3＜ro＜Lo时    Adiv＝15lg（r/ro）</w:t>
            </w:r>
          </w:p>
          <w:p w14:paraId="0F948C2A">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②空气吸收引起的衰减量Aatm</w:t>
            </w:r>
          </w:p>
          <w:p w14:paraId="1480013E">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本工程噪声以中低频为主，空气吸收性衰减很少。</w:t>
            </w:r>
          </w:p>
          <w:p w14:paraId="4C49C3F1">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③地面效应引起的衰减量Agr</w:t>
            </w:r>
          </w:p>
          <w:p w14:paraId="01A7337C">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本工程地面为水泥硬化路面，地面效应引起的衰减量很小。</w:t>
            </w:r>
          </w:p>
          <w:p w14:paraId="041EF788">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④屏障引起的衰减Abar</w:t>
            </w:r>
          </w:p>
          <w:p w14:paraId="3811BC43">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噪声在向外传播过程中将受到厂房或其它车间的阻挡影响，从而引起声能量的衰减，具体衰减根据不同声级的传播途径而定。</w:t>
            </w:r>
          </w:p>
          <w:p w14:paraId="460D2B82">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⑤其他多方面原因引起的衰减量Amisc</w:t>
            </w:r>
          </w:p>
          <w:p w14:paraId="45593D53">
            <w:pPr>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color w:val="auto"/>
                <w:sz w:val="24"/>
                <w:szCs w:val="24"/>
                <w:highlight w:val="none"/>
              </w:rPr>
              <w:t>主要考虑工业场所的衰减；通过房屋群的衰减等。</w:t>
            </w:r>
          </w:p>
          <w:p w14:paraId="2B69D555">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噪声预测结果</w:t>
            </w:r>
          </w:p>
          <w:p w14:paraId="5D255052">
            <w:pPr>
              <w:pStyle w:val="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lang w:eastAsia="zh-CN"/>
              </w:rPr>
              <w:t>通过预测模型计算，项目厂界噪声预测结果与达标分析见表</w:t>
            </w:r>
            <w:r>
              <w:rPr>
                <w:rFonts w:hint="eastAsia" w:ascii="Times New Roman" w:hAnsi="Times New Roman" w:eastAsia="宋体" w:cs="Times New Roman"/>
                <w:color w:val="auto"/>
                <w:sz w:val="24"/>
                <w:szCs w:val="24"/>
                <w:highlight w:val="none"/>
                <w:lang w:val="en-US" w:eastAsia="zh-CN"/>
              </w:rPr>
              <w:t>4-1</w:t>
            </w:r>
            <w:r>
              <w:rPr>
                <w:rFonts w:hint="eastAsia" w:ascii="Times New Roman" w:hAnsi="Times New Roman" w:cs="Times New Roman"/>
                <w:color w:val="auto"/>
                <w:sz w:val="24"/>
                <w:szCs w:val="24"/>
                <w:highlight w:val="none"/>
                <w:lang w:val="en-US" w:eastAsia="zh-CN"/>
              </w:rPr>
              <w:t>0。</w:t>
            </w:r>
          </w:p>
          <w:p w14:paraId="01A561D0">
            <w:pPr>
              <w:keepNext w:val="0"/>
              <w:keepLines w:val="0"/>
              <w:pageBreakBefore w:val="0"/>
              <w:widowControl w:val="0"/>
              <w:kinsoku/>
              <w:wordWrap/>
              <w:overflowPunct/>
              <w:topLinePunct w:val="0"/>
              <w:autoSpaceDE w:val="0"/>
              <w:autoSpaceDN w:val="0"/>
              <w:bidi w:val="0"/>
              <w:adjustRightInd w:val="0"/>
              <w:snapToGrid/>
              <w:spacing w:line="240" w:lineRule="auto"/>
              <w:ind w:lef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w:t>
            </w:r>
            <w:r>
              <w:rPr>
                <w:rFonts w:hint="eastAsia"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eastAsia="zh-CN"/>
              </w:rPr>
              <w:t>项目厂界噪声预测结果与达标分析</w:t>
            </w:r>
            <w:r>
              <w:rPr>
                <w:rFonts w:hint="default" w:ascii="Times New Roman" w:hAnsi="Times New Roman" w:cs="Times New Roman"/>
                <w:b/>
                <w:color w:val="auto"/>
                <w:sz w:val="24"/>
                <w:szCs w:val="24"/>
                <w:highlight w:val="none"/>
                <w:lang w:bidi="ar"/>
              </w:rPr>
              <w:t>情况表</w:t>
            </w:r>
          </w:p>
          <w:tbl>
            <w:tblPr>
              <w:tblStyle w:val="37"/>
              <w:tblW w:w="858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625"/>
              <w:gridCol w:w="698"/>
              <w:gridCol w:w="752"/>
              <w:gridCol w:w="613"/>
              <w:gridCol w:w="994"/>
              <w:gridCol w:w="994"/>
              <w:gridCol w:w="822"/>
              <w:gridCol w:w="1202"/>
              <w:gridCol w:w="710"/>
            </w:tblGrid>
            <w:tr w14:paraId="31449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exact"/>
                <w:jc w:val="center"/>
              </w:trPr>
              <w:tc>
                <w:tcPr>
                  <w:tcW w:w="1177" w:type="dxa"/>
                  <w:vMerge w:val="restart"/>
                  <w:tcBorders>
                    <w:tl2br w:val="nil"/>
                    <w:tr2bl w:val="nil"/>
                  </w:tcBorders>
                  <w:noWrap w:val="0"/>
                  <w:vAlign w:val="center"/>
                </w:tcPr>
                <w:p w14:paraId="22BBBC5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预测方位</w:t>
                  </w:r>
                </w:p>
              </w:tc>
              <w:tc>
                <w:tcPr>
                  <w:tcW w:w="2075" w:type="dxa"/>
                  <w:gridSpan w:val="3"/>
                  <w:tcBorders>
                    <w:tl2br w:val="nil"/>
                    <w:tr2bl w:val="nil"/>
                  </w:tcBorders>
                  <w:noWrap w:val="0"/>
                  <w:vAlign w:val="center"/>
                </w:tcPr>
                <w:p w14:paraId="0C4CF5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lang w:val="en-US" w:eastAsia="zh-CN"/>
                    </w:rPr>
                    <w:t>最大值点</w:t>
                  </w:r>
                  <w:r>
                    <w:rPr>
                      <w:rFonts w:hint="default" w:ascii="Times New Roman" w:hAnsi="Times New Roman" w:eastAsia="宋体" w:cs="Times New Roman"/>
                      <w:b/>
                      <w:color w:val="auto"/>
                      <w:sz w:val="21"/>
                      <w:szCs w:val="21"/>
                    </w:rPr>
                    <w:t>空间相对位置/m</w:t>
                  </w:r>
                </w:p>
              </w:tc>
              <w:tc>
                <w:tcPr>
                  <w:tcW w:w="613" w:type="dxa"/>
                  <w:vMerge w:val="restart"/>
                  <w:tcBorders>
                    <w:tl2br w:val="nil"/>
                    <w:tr2bl w:val="nil"/>
                  </w:tcBorders>
                  <w:noWrap w:val="0"/>
                  <w:vAlign w:val="center"/>
                </w:tcPr>
                <w:p w14:paraId="114F18F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时段</w:t>
                  </w:r>
                </w:p>
              </w:tc>
              <w:tc>
                <w:tcPr>
                  <w:tcW w:w="994" w:type="dxa"/>
                  <w:vMerge w:val="restart"/>
                  <w:tcBorders>
                    <w:tl2br w:val="nil"/>
                    <w:tr2bl w:val="nil"/>
                  </w:tcBorders>
                  <w:noWrap w:val="0"/>
                  <w:vAlign w:val="center"/>
                </w:tcPr>
                <w:p w14:paraId="72C5825E">
                  <w:pPr>
                    <w:jc w:val="center"/>
                    <w:rPr>
                      <w:rFonts w:hint="default" w:ascii="Times New Roman" w:hAnsi="Times New Roman" w:eastAsia="宋体" w:cs="Times New Roman"/>
                      <w:b/>
                      <w:color w:val="auto"/>
                      <w:sz w:val="21"/>
                      <w:szCs w:val="21"/>
                    </w:rPr>
                  </w:pPr>
                  <w:r>
                    <w:rPr>
                      <w:rFonts w:hint="eastAsia" w:cs="Times New Roman"/>
                      <w:b/>
                      <w:color w:val="auto"/>
                      <w:sz w:val="21"/>
                      <w:szCs w:val="21"/>
                      <w:lang w:val="en-US" w:eastAsia="zh-CN"/>
                    </w:rPr>
                    <w:t>叠加预测值</w:t>
                  </w:r>
                  <w:r>
                    <w:rPr>
                      <w:rFonts w:hint="default" w:ascii="Times New Roman" w:hAnsi="Times New Roman" w:eastAsia="宋体" w:cs="Times New Roman"/>
                      <w:b/>
                      <w:color w:val="auto"/>
                      <w:sz w:val="21"/>
                      <w:szCs w:val="21"/>
                    </w:rPr>
                    <w:t>（dBA）</w:t>
                  </w:r>
                </w:p>
              </w:tc>
              <w:tc>
                <w:tcPr>
                  <w:tcW w:w="994" w:type="dxa"/>
                  <w:vMerge w:val="restart"/>
                  <w:tcBorders>
                    <w:tl2br w:val="nil"/>
                    <w:tr2bl w:val="nil"/>
                  </w:tcBorders>
                  <w:noWrap w:val="0"/>
                  <w:vAlign w:val="center"/>
                </w:tcPr>
                <w:p w14:paraId="5C6F4BD2">
                  <w:pPr>
                    <w:jc w:val="center"/>
                    <w:rPr>
                      <w:rFonts w:hint="default" w:ascii="Times New Roman" w:hAnsi="Times New Roman" w:eastAsia="宋体" w:cs="Times New Roman"/>
                      <w:b/>
                      <w:color w:val="auto"/>
                      <w:sz w:val="21"/>
                      <w:szCs w:val="21"/>
                    </w:rPr>
                  </w:pPr>
                  <w:r>
                    <w:rPr>
                      <w:rFonts w:hint="eastAsia" w:ascii="Times New Roman" w:hAnsi="Times New Roman" w:eastAsia="宋体" w:cs="Times New Roman"/>
                      <w:b/>
                      <w:color w:val="auto"/>
                      <w:sz w:val="21"/>
                      <w:szCs w:val="21"/>
                      <w:lang w:val="en-US" w:eastAsia="zh-CN"/>
                    </w:rPr>
                    <w:t>现状</w:t>
                  </w:r>
                  <w:r>
                    <w:rPr>
                      <w:rFonts w:hint="default" w:ascii="Times New Roman" w:hAnsi="Times New Roman" w:eastAsia="宋体" w:cs="Times New Roman"/>
                      <w:b/>
                      <w:color w:val="auto"/>
                      <w:sz w:val="21"/>
                      <w:szCs w:val="21"/>
                    </w:rPr>
                    <w:t>值（dBA）</w:t>
                  </w:r>
                </w:p>
              </w:tc>
              <w:tc>
                <w:tcPr>
                  <w:tcW w:w="822" w:type="dxa"/>
                  <w:vMerge w:val="restart"/>
                  <w:tcBorders>
                    <w:tl2br w:val="nil"/>
                    <w:tr2bl w:val="nil"/>
                  </w:tcBorders>
                  <w:noWrap w:val="0"/>
                  <w:vAlign w:val="center"/>
                </w:tcPr>
                <w:p w14:paraId="366F2C6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贡献值（dBA）</w:t>
                  </w:r>
                </w:p>
              </w:tc>
              <w:tc>
                <w:tcPr>
                  <w:tcW w:w="1202" w:type="dxa"/>
                  <w:vMerge w:val="restart"/>
                  <w:tcBorders>
                    <w:tl2br w:val="nil"/>
                    <w:tr2bl w:val="nil"/>
                  </w:tcBorders>
                  <w:noWrap w:val="0"/>
                  <w:vAlign w:val="center"/>
                </w:tcPr>
                <w:p w14:paraId="13B7FD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标准限值（dBA）</w:t>
                  </w:r>
                </w:p>
              </w:tc>
              <w:tc>
                <w:tcPr>
                  <w:tcW w:w="710" w:type="dxa"/>
                  <w:vMerge w:val="restart"/>
                  <w:tcBorders>
                    <w:tl2br w:val="nil"/>
                    <w:tr2bl w:val="nil"/>
                  </w:tcBorders>
                  <w:noWrap w:val="0"/>
                  <w:vAlign w:val="center"/>
                </w:tcPr>
                <w:p w14:paraId="0104A03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达标情况</w:t>
                  </w:r>
                </w:p>
              </w:tc>
            </w:tr>
            <w:tr w14:paraId="53072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177" w:type="dxa"/>
                  <w:vMerge w:val="continue"/>
                  <w:tcBorders>
                    <w:tl2br w:val="nil"/>
                    <w:tr2bl w:val="nil"/>
                  </w:tcBorders>
                  <w:noWrap w:val="0"/>
                  <w:vAlign w:val="center"/>
                </w:tcPr>
                <w:p w14:paraId="494FEC87">
                  <w:pPr>
                    <w:jc w:val="center"/>
                    <w:rPr>
                      <w:rFonts w:hint="default" w:ascii="Times New Roman" w:hAnsi="Times New Roman" w:eastAsia="宋体" w:cs="Times New Roman"/>
                      <w:color w:val="auto"/>
                      <w:sz w:val="21"/>
                      <w:szCs w:val="21"/>
                    </w:rPr>
                  </w:pPr>
                </w:p>
              </w:tc>
              <w:tc>
                <w:tcPr>
                  <w:tcW w:w="625" w:type="dxa"/>
                  <w:tcBorders>
                    <w:tl2br w:val="nil"/>
                    <w:tr2bl w:val="nil"/>
                  </w:tcBorders>
                  <w:noWrap w:val="0"/>
                  <w:vAlign w:val="center"/>
                </w:tcPr>
                <w:p w14:paraId="722C910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698" w:type="dxa"/>
                  <w:tcBorders>
                    <w:tl2br w:val="nil"/>
                    <w:tr2bl w:val="nil"/>
                  </w:tcBorders>
                  <w:noWrap w:val="0"/>
                  <w:vAlign w:val="center"/>
                </w:tcPr>
                <w:p w14:paraId="58AB1DF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752" w:type="dxa"/>
                  <w:tcBorders>
                    <w:tl2br w:val="nil"/>
                    <w:tr2bl w:val="nil"/>
                  </w:tcBorders>
                  <w:noWrap w:val="0"/>
                  <w:vAlign w:val="center"/>
                </w:tcPr>
                <w:p w14:paraId="584FE0A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w:t>
                  </w:r>
                </w:p>
              </w:tc>
              <w:tc>
                <w:tcPr>
                  <w:tcW w:w="613" w:type="dxa"/>
                  <w:vMerge w:val="continue"/>
                  <w:tcBorders>
                    <w:tl2br w:val="nil"/>
                    <w:tr2bl w:val="nil"/>
                  </w:tcBorders>
                  <w:noWrap w:val="0"/>
                  <w:vAlign w:val="center"/>
                </w:tcPr>
                <w:p w14:paraId="7D14ECBE">
                  <w:pPr>
                    <w:jc w:val="center"/>
                    <w:rPr>
                      <w:rFonts w:hint="default" w:ascii="Times New Roman" w:hAnsi="Times New Roman" w:eastAsia="宋体" w:cs="Times New Roman"/>
                      <w:color w:val="auto"/>
                      <w:sz w:val="21"/>
                      <w:szCs w:val="21"/>
                    </w:rPr>
                  </w:pPr>
                </w:p>
              </w:tc>
              <w:tc>
                <w:tcPr>
                  <w:tcW w:w="994" w:type="dxa"/>
                  <w:vMerge w:val="continue"/>
                  <w:tcBorders>
                    <w:tl2br w:val="nil"/>
                    <w:tr2bl w:val="nil"/>
                  </w:tcBorders>
                  <w:noWrap w:val="0"/>
                  <w:vAlign w:val="center"/>
                </w:tcPr>
                <w:p w14:paraId="1B75CDDE">
                  <w:pPr>
                    <w:jc w:val="center"/>
                    <w:rPr>
                      <w:rFonts w:hint="default" w:ascii="Times New Roman" w:hAnsi="Times New Roman" w:eastAsia="宋体" w:cs="Times New Roman"/>
                      <w:color w:val="auto"/>
                      <w:sz w:val="21"/>
                      <w:szCs w:val="21"/>
                    </w:rPr>
                  </w:pPr>
                </w:p>
              </w:tc>
              <w:tc>
                <w:tcPr>
                  <w:tcW w:w="994" w:type="dxa"/>
                  <w:vMerge w:val="continue"/>
                  <w:tcBorders>
                    <w:tl2br w:val="nil"/>
                    <w:tr2bl w:val="nil"/>
                  </w:tcBorders>
                  <w:noWrap w:val="0"/>
                  <w:vAlign w:val="center"/>
                </w:tcPr>
                <w:p w14:paraId="20C11DBB">
                  <w:pPr>
                    <w:jc w:val="center"/>
                    <w:rPr>
                      <w:rFonts w:hint="default" w:ascii="Times New Roman" w:hAnsi="Times New Roman" w:eastAsia="宋体" w:cs="Times New Roman"/>
                      <w:color w:val="auto"/>
                      <w:sz w:val="21"/>
                      <w:szCs w:val="21"/>
                    </w:rPr>
                  </w:pPr>
                </w:p>
              </w:tc>
              <w:tc>
                <w:tcPr>
                  <w:tcW w:w="822" w:type="dxa"/>
                  <w:vMerge w:val="continue"/>
                  <w:tcBorders>
                    <w:tl2br w:val="nil"/>
                    <w:tr2bl w:val="nil"/>
                  </w:tcBorders>
                  <w:noWrap w:val="0"/>
                  <w:vAlign w:val="center"/>
                </w:tcPr>
                <w:p w14:paraId="12D44758">
                  <w:pPr>
                    <w:jc w:val="center"/>
                    <w:rPr>
                      <w:rFonts w:hint="default" w:ascii="Times New Roman" w:hAnsi="Times New Roman" w:eastAsia="宋体" w:cs="Times New Roman"/>
                      <w:color w:val="auto"/>
                      <w:sz w:val="21"/>
                      <w:szCs w:val="21"/>
                    </w:rPr>
                  </w:pPr>
                </w:p>
              </w:tc>
              <w:tc>
                <w:tcPr>
                  <w:tcW w:w="1202" w:type="dxa"/>
                  <w:vMerge w:val="continue"/>
                  <w:tcBorders>
                    <w:tl2br w:val="nil"/>
                    <w:tr2bl w:val="nil"/>
                  </w:tcBorders>
                  <w:noWrap w:val="0"/>
                  <w:vAlign w:val="center"/>
                </w:tcPr>
                <w:p w14:paraId="40277A68">
                  <w:pPr>
                    <w:jc w:val="center"/>
                    <w:rPr>
                      <w:rFonts w:hint="default" w:ascii="Times New Roman" w:hAnsi="Times New Roman" w:eastAsia="宋体" w:cs="Times New Roman"/>
                      <w:color w:val="auto"/>
                      <w:sz w:val="21"/>
                      <w:szCs w:val="21"/>
                    </w:rPr>
                  </w:pPr>
                </w:p>
              </w:tc>
              <w:tc>
                <w:tcPr>
                  <w:tcW w:w="710" w:type="dxa"/>
                  <w:vMerge w:val="continue"/>
                  <w:tcBorders>
                    <w:tl2br w:val="nil"/>
                    <w:tr2bl w:val="nil"/>
                  </w:tcBorders>
                  <w:noWrap w:val="0"/>
                  <w:vAlign w:val="center"/>
                </w:tcPr>
                <w:p w14:paraId="4497C0AA">
                  <w:pPr>
                    <w:jc w:val="center"/>
                    <w:rPr>
                      <w:rFonts w:hint="default" w:ascii="Times New Roman" w:hAnsi="Times New Roman" w:eastAsia="宋体" w:cs="Times New Roman"/>
                      <w:color w:val="auto"/>
                      <w:sz w:val="21"/>
                      <w:szCs w:val="21"/>
                    </w:rPr>
                  </w:pPr>
                </w:p>
              </w:tc>
            </w:tr>
            <w:tr w14:paraId="40619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exact"/>
                <w:jc w:val="center"/>
              </w:trPr>
              <w:tc>
                <w:tcPr>
                  <w:tcW w:w="1177" w:type="dxa"/>
                  <w:tcBorders>
                    <w:tl2br w:val="nil"/>
                    <w:tr2bl w:val="nil"/>
                  </w:tcBorders>
                  <w:noWrap w:val="0"/>
                  <w:vAlign w:val="center"/>
                </w:tcPr>
                <w:p w14:paraId="6CF69D0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东侧</w:t>
                  </w:r>
                </w:p>
              </w:tc>
              <w:tc>
                <w:tcPr>
                  <w:tcW w:w="625" w:type="dxa"/>
                  <w:tcBorders>
                    <w:tl2br w:val="nil"/>
                    <w:tr2bl w:val="nil"/>
                  </w:tcBorders>
                  <w:noWrap w:val="0"/>
                  <w:vAlign w:val="center"/>
                </w:tcPr>
                <w:p w14:paraId="26CCAAC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2.5</w:t>
                  </w:r>
                </w:p>
              </w:tc>
              <w:tc>
                <w:tcPr>
                  <w:tcW w:w="698" w:type="dxa"/>
                  <w:tcBorders>
                    <w:tl2br w:val="nil"/>
                    <w:tr2bl w:val="nil"/>
                  </w:tcBorders>
                  <w:noWrap w:val="0"/>
                  <w:vAlign w:val="center"/>
                </w:tcPr>
                <w:p w14:paraId="27D765C4">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5</w:t>
                  </w:r>
                </w:p>
              </w:tc>
              <w:tc>
                <w:tcPr>
                  <w:tcW w:w="752" w:type="dxa"/>
                  <w:tcBorders>
                    <w:tl2br w:val="nil"/>
                    <w:tr2bl w:val="nil"/>
                  </w:tcBorders>
                  <w:noWrap w:val="0"/>
                  <w:vAlign w:val="center"/>
                </w:tcPr>
                <w:p w14:paraId="7736B79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w:t>
                  </w:r>
                </w:p>
              </w:tc>
              <w:tc>
                <w:tcPr>
                  <w:tcW w:w="613" w:type="dxa"/>
                  <w:tcBorders>
                    <w:tl2br w:val="nil"/>
                    <w:tr2bl w:val="nil"/>
                  </w:tcBorders>
                  <w:noWrap w:val="0"/>
                  <w:vAlign w:val="center"/>
                </w:tcPr>
                <w:p w14:paraId="4906DD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31E09DF7">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94" w:type="dxa"/>
                  <w:tcBorders>
                    <w:tl2br w:val="nil"/>
                    <w:tr2bl w:val="nil"/>
                  </w:tcBorders>
                  <w:shd w:val="clear" w:color="auto" w:fill="auto"/>
                  <w:noWrap w:val="0"/>
                  <w:vAlign w:val="center"/>
                </w:tcPr>
                <w:p w14:paraId="29C9749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54.5</w:t>
                  </w:r>
                </w:p>
              </w:tc>
              <w:tc>
                <w:tcPr>
                  <w:tcW w:w="822" w:type="dxa"/>
                  <w:tcBorders>
                    <w:tl2br w:val="nil"/>
                    <w:tr2bl w:val="nil"/>
                  </w:tcBorders>
                  <w:noWrap w:val="0"/>
                  <w:vAlign w:val="center"/>
                </w:tcPr>
                <w:p w14:paraId="2D52BB6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54.7</w:t>
                  </w:r>
                </w:p>
              </w:tc>
              <w:tc>
                <w:tcPr>
                  <w:tcW w:w="1202" w:type="dxa"/>
                  <w:tcBorders>
                    <w:tl2br w:val="nil"/>
                    <w:tr2bl w:val="nil"/>
                  </w:tcBorders>
                  <w:noWrap w:val="0"/>
                  <w:vAlign w:val="center"/>
                </w:tcPr>
                <w:p w14:paraId="20861B7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105F957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达标</w:t>
                  </w:r>
                </w:p>
              </w:tc>
            </w:tr>
            <w:tr w14:paraId="2968C1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1177" w:type="dxa"/>
                  <w:tcBorders>
                    <w:tl2br w:val="nil"/>
                    <w:tr2bl w:val="nil"/>
                  </w:tcBorders>
                  <w:noWrap w:val="0"/>
                  <w:vAlign w:val="center"/>
                </w:tcPr>
                <w:p w14:paraId="717FCFF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南侧</w:t>
                  </w:r>
                </w:p>
              </w:tc>
              <w:tc>
                <w:tcPr>
                  <w:tcW w:w="625" w:type="dxa"/>
                  <w:tcBorders>
                    <w:tl2br w:val="nil"/>
                    <w:tr2bl w:val="nil"/>
                  </w:tcBorders>
                  <w:noWrap w:val="0"/>
                  <w:vAlign w:val="center"/>
                </w:tcPr>
                <w:p w14:paraId="370AA5FA">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w:t>
                  </w:r>
                </w:p>
              </w:tc>
              <w:tc>
                <w:tcPr>
                  <w:tcW w:w="698" w:type="dxa"/>
                  <w:tcBorders>
                    <w:tl2br w:val="nil"/>
                    <w:tr2bl w:val="nil"/>
                  </w:tcBorders>
                  <w:noWrap w:val="0"/>
                  <w:vAlign w:val="center"/>
                </w:tcPr>
                <w:p w14:paraId="159E55C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7.3</w:t>
                  </w:r>
                </w:p>
              </w:tc>
              <w:tc>
                <w:tcPr>
                  <w:tcW w:w="752" w:type="dxa"/>
                  <w:tcBorders>
                    <w:tl2br w:val="nil"/>
                    <w:tr2bl w:val="nil"/>
                  </w:tcBorders>
                  <w:noWrap w:val="0"/>
                  <w:vAlign w:val="center"/>
                </w:tcPr>
                <w:p w14:paraId="0AFA25E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w:t>
                  </w:r>
                </w:p>
              </w:tc>
              <w:tc>
                <w:tcPr>
                  <w:tcW w:w="613" w:type="dxa"/>
                  <w:tcBorders>
                    <w:tl2br w:val="nil"/>
                    <w:tr2bl w:val="nil"/>
                  </w:tcBorders>
                  <w:noWrap w:val="0"/>
                  <w:vAlign w:val="center"/>
                </w:tcPr>
                <w:p w14:paraId="367A79A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3CD0793C">
                  <w:pPr>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994" w:type="dxa"/>
                  <w:tcBorders>
                    <w:tl2br w:val="nil"/>
                    <w:tr2bl w:val="nil"/>
                  </w:tcBorders>
                  <w:shd w:val="clear" w:color="auto" w:fill="auto"/>
                  <w:noWrap w:val="0"/>
                  <w:vAlign w:val="center"/>
                </w:tcPr>
                <w:p w14:paraId="4B90737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56.2</w:t>
                  </w:r>
                </w:p>
              </w:tc>
              <w:tc>
                <w:tcPr>
                  <w:tcW w:w="822" w:type="dxa"/>
                  <w:tcBorders>
                    <w:tl2br w:val="nil"/>
                    <w:tr2bl w:val="nil"/>
                  </w:tcBorders>
                  <w:noWrap w:val="0"/>
                  <w:vAlign w:val="center"/>
                </w:tcPr>
                <w:p w14:paraId="3F10140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56.8</w:t>
                  </w:r>
                </w:p>
              </w:tc>
              <w:tc>
                <w:tcPr>
                  <w:tcW w:w="1202" w:type="dxa"/>
                  <w:tcBorders>
                    <w:tl2br w:val="nil"/>
                    <w:tr2bl w:val="nil"/>
                  </w:tcBorders>
                  <w:noWrap w:val="0"/>
                  <w:vAlign w:val="center"/>
                </w:tcPr>
                <w:p w14:paraId="7C68043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2B62EC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达标</w:t>
                  </w:r>
                </w:p>
              </w:tc>
            </w:tr>
            <w:tr w14:paraId="2A4865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2" w:hRule="exact"/>
                <w:jc w:val="center"/>
              </w:trPr>
              <w:tc>
                <w:tcPr>
                  <w:tcW w:w="1177" w:type="dxa"/>
                  <w:tcBorders>
                    <w:tl2br w:val="nil"/>
                    <w:tr2bl w:val="nil"/>
                  </w:tcBorders>
                  <w:noWrap w:val="0"/>
                  <w:vAlign w:val="center"/>
                </w:tcPr>
                <w:p w14:paraId="51D4AD4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西侧</w:t>
                  </w:r>
                </w:p>
              </w:tc>
              <w:tc>
                <w:tcPr>
                  <w:tcW w:w="625" w:type="dxa"/>
                  <w:tcBorders>
                    <w:tl2br w:val="nil"/>
                    <w:tr2bl w:val="nil"/>
                  </w:tcBorders>
                  <w:noWrap w:val="0"/>
                  <w:vAlign w:val="center"/>
                </w:tcPr>
                <w:p w14:paraId="4DEF49A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.5</w:t>
                  </w:r>
                </w:p>
              </w:tc>
              <w:tc>
                <w:tcPr>
                  <w:tcW w:w="698" w:type="dxa"/>
                  <w:tcBorders>
                    <w:tl2br w:val="nil"/>
                    <w:tr2bl w:val="nil"/>
                  </w:tcBorders>
                  <w:noWrap w:val="0"/>
                  <w:vAlign w:val="center"/>
                </w:tcPr>
                <w:p w14:paraId="3FD5CB9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7.3</w:t>
                  </w:r>
                </w:p>
              </w:tc>
              <w:tc>
                <w:tcPr>
                  <w:tcW w:w="752" w:type="dxa"/>
                  <w:tcBorders>
                    <w:tl2br w:val="nil"/>
                    <w:tr2bl w:val="nil"/>
                  </w:tcBorders>
                  <w:noWrap w:val="0"/>
                  <w:vAlign w:val="center"/>
                </w:tcPr>
                <w:p w14:paraId="3295872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w:t>
                  </w:r>
                </w:p>
              </w:tc>
              <w:tc>
                <w:tcPr>
                  <w:tcW w:w="613" w:type="dxa"/>
                  <w:tcBorders>
                    <w:tl2br w:val="nil"/>
                    <w:tr2bl w:val="nil"/>
                  </w:tcBorders>
                  <w:noWrap w:val="0"/>
                  <w:vAlign w:val="center"/>
                </w:tcPr>
                <w:p w14:paraId="34EF6B2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7F9D8ECB">
                  <w:pPr>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994" w:type="dxa"/>
                  <w:tcBorders>
                    <w:tl2br w:val="nil"/>
                    <w:tr2bl w:val="nil"/>
                  </w:tcBorders>
                  <w:shd w:val="clear" w:color="auto" w:fill="auto"/>
                  <w:noWrap w:val="0"/>
                  <w:vAlign w:val="center"/>
                </w:tcPr>
                <w:p w14:paraId="037423B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54.8</w:t>
                  </w:r>
                </w:p>
              </w:tc>
              <w:tc>
                <w:tcPr>
                  <w:tcW w:w="822" w:type="dxa"/>
                  <w:tcBorders>
                    <w:tl2br w:val="nil"/>
                    <w:tr2bl w:val="nil"/>
                  </w:tcBorders>
                  <w:noWrap w:val="0"/>
                  <w:vAlign w:val="center"/>
                </w:tcPr>
                <w:p w14:paraId="665F9E1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55.2</w:t>
                  </w:r>
                </w:p>
              </w:tc>
              <w:tc>
                <w:tcPr>
                  <w:tcW w:w="1202" w:type="dxa"/>
                  <w:tcBorders>
                    <w:tl2br w:val="nil"/>
                    <w:tr2bl w:val="nil"/>
                  </w:tcBorders>
                  <w:noWrap w:val="0"/>
                  <w:vAlign w:val="center"/>
                </w:tcPr>
                <w:p w14:paraId="4CBC1CD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4ABDF52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达标</w:t>
                  </w:r>
                </w:p>
              </w:tc>
            </w:tr>
            <w:tr w14:paraId="50F82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6" w:hRule="exact"/>
                <w:jc w:val="center"/>
              </w:trPr>
              <w:tc>
                <w:tcPr>
                  <w:tcW w:w="1177" w:type="dxa"/>
                  <w:tcBorders>
                    <w:tl2br w:val="nil"/>
                    <w:tr2bl w:val="nil"/>
                  </w:tcBorders>
                  <w:noWrap w:val="0"/>
                  <w:vAlign w:val="center"/>
                </w:tcPr>
                <w:p w14:paraId="1B06945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北侧</w:t>
                  </w:r>
                </w:p>
              </w:tc>
              <w:tc>
                <w:tcPr>
                  <w:tcW w:w="625" w:type="dxa"/>
                  <w:tcBorders>
                    <w:tl2br w:val="nil"/>
                    <w:tr2bl w:val="nil"/>
                  </w:tcBorders>
                  <w:noWrap w:val="0"/>
                  <w:vAlign w:val="center"/>
                </w:tcPr>
                <w:p w14:paraId="51450247">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w:t>
                  </w:r>
                </w:p>
              </w:tc>
              <w:tc>
                <w:tcPr>
                  <w:tcW w:w="698" w:type="dxa"/>
                  <w:tcBorders>
                    <w:tl2br w:val="nil"/>
                    <w:tr2bl w:val="nil"/>
                  </w:tcBorders>
                  <w:noWrap w:val="0"/>
                  <w:vAlign w:val="center"/>
                </w:tcPr>
                <w:p w14:paraId="358E7ACE">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5</w:t>
                  </w:r>
                </w:p>
              </w:tc>
              <w:tc>
                <w:tcPr>
                  <w:tcW w:w="752" w:type="dxa"/>
                  <w:tcBorders>
                    <w:tl2br w:val="nil"/>
                    <w:tr2bl w:val="nil"/>
                  </w:tcBorders>
                  <w:noWrap w:val="0"/>
                  <w:vAlign w:val="center"/>
                </w:tcPr>
                <w:p w14:paraId="00ED8FA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1.2</w:t>
                  </w:r>
                </w:p>
              </w:tc>
              <w:tc>
                <w:tcPr>
                  <w:tcW w:w="613" w:type="dxa"/>
                  <w:tcBorders>
                    <w:tl2br w:val="nil"/>
                    <w:tr2bl w:val="nil"/>
                  </w:tcBorders>
                  <w:noWrap w:val="0"/>
                  <w:vAlign w:val="center"/>
                </w:tcPr>
                <w:p w14:paraId="687ACCB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373DD93C">
                  <w:pPr>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994" w:type="dxa"/>
                  <w:tcBorders>
                    <w:tl2br w:val="nil"/>
                    <w:tr2bl w:val="nil"/>
                  </w:tcBorders>
                  <w:shd w:val="clear" w:color="auto" w:fill="auto"/>
                  <w:noWrap w:val="0"/>
                  <w:vAlign w:val="center"/>
                </w:tcPr>
                <w:p w14:paraId="67A18EE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53.8</w:t>
                  </w:r>
                </w:p>
              </w:tc>
              <w:tc>
                <w:tcPr>
                  <w:tcW w:w="822" w:type="dxa"/>
                  <w:tcBorders>
                    <w:tl2br w:val="nil"/>
                    <w:tr2bl w:val="nil"/>
                  </w:tcBorders>
                  <w:noWrap w:val="0"/>
                  <w:vAlign w:val="center"/>
                </w:tcPr>
                <w:p w14:paraId="3D84F38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54.1</w:t>
                  </w:r>
                </w:p>
              </w:tc>
              <w:tc>
                <w:tcPr>
                  <w:tcW w:w="1202" w:type="dxa"/>
                  <w:tcBorders>
                    <w:tl2br w:val="nil"/>
                    <w:tr2bl w:val="nil"/>
                  </w:tcBorders>
                  <w:noWrap w:val="0"/>
                  <w:vAlign w:val="center"/>
                </w:tcPr>
                <w:p w14:paraId="652085C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0841B25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达标</w:t>
                  </w:r>
                </w:p>
              </w:tc>
            </w:tr>
            <w:tr w14:paraId="783D6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1177" w:type="dxa"/>
                  <w:tcBorders>
                    <w:tl2br w:val="nil"/>
                    <w:tr2bl w:val="nil"/>
                  </w:tcBorders>
                  <w:noWrap w:val="0"/>
                  <w:vAlign w:val="center"/>
                </w:tcPr>
                <w:p w14:paraId="40C095B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天源机床附件厂家属院</w:t>
                  </w:r>
                </w:p>
              </w:tc>
              <w:tc>
                <w:tcPr>
                  <w:tcW w:w="625" w:type="dxa"/>
                  <w:tcBorders>
                    <w:tl2br w:val="nil"/>
                    <w:tr2bl w:val="nil"/>
                  </w:tcBorders>
                  <w:noWrap w:val="0"/>
                  <w:vAlign w:val="center"/>
                </w:tcPr>
                <w:p w14:paraId="2FB5A045">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698" w:type="dxa"/>
                  <w:tcBorders>
                    <w:tl2br w:val="nil"/>
                    <w:tr2bl w:val="nil"/>
                  </w:tcBorders>
                  <w:noWrap w:val="0"/>
                  <w:vAlign w:val="center"/>
                </w:tcPr>
                <w:p w14:paraId="0AC77DE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c>
                <w:tcPr>
                  <w:tcW w:w="752" w:type="dxa"/>
                  <w:tcBorders>
                    <w:tl2br w:val="nil"/>
                    <w:tr2bl w:val="nil"/>
                  </w:tcBorders>
                  <w:noWrap w:val="0"/>
                  <w:vAlign w:val="center"/>
                </w:tcPr>
                <w:p w14:paraId="308EE53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613" w:type="dxa"/>
                  <w:tcBorders>
                    <w:tl2br w:val="nil"/>
                    <w:tr2bl w:val="nil"/>
                  </w:tcBorders>
                  <w:noWrap w:val="0"/>
                  <w:vAlign w:val="center"/>
                </w:tcPr>
                <w:p w14:paraId="6B8D90B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298FC4E9">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44.3</w:t>
                  </w:r>
                </w:p>
              </w:tc>
              <w:tc>
                <w:tcPr>
                  <w:tcW w:w="994" w:type="dxa"/>
                  <w:tcBorders>
                    <w:tl2br w:val="nil"/>
                    <w:tr2bl w:val="nil"/>
                  </w:tcBorders>
                  <w:shd w:val="clear" w:color="auto" w:fill="auto"/>
                  <w:noWrap w:val="0"/>
                  <w:vAlign w:val="center"/>
                </w:tcPr>
                <w:p w14:paraId="421D5E6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51.9</w:t>
                  </w:r>
                </w:p>
              </w:tc>
              <w:tc>
                <w:tcPr>
                  <w:tcW w:w="822" w:type="dxa"/>
                  <w:tcBorders>
                    <w:tl2br w:val="nil"/>
                    <w:tr2bl w:val="nil"/>
                  </w:tcBorders>
                  <w:noWrap w:val="0"/>
                  <w:vAlign w:val="center"/>
                </w:tcPr>
                <w:p w14:paraId="6059B0D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52.0</w:t>
                  </w:r>
                </w:p>
              </w:tc>
              <w:tc>
                <w:tcPr>
                  <w:tcW w:w="1202" w:type="dxa"/>
                  <w:tcBorders>
                    <w:tl2br w:val="nil"/>
                    <w:tr2bl w:val="nil"/>
                  </w:tcBorders>
                  <w:noWrap w:val="0"/>
                  <w:vAlign w:val="center"/>
                </w:tcPr>
                <w:p w14:paraId="1497BDF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640DB57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BD60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8" w:hRule="exact"/>
                <w:jc w:val="center"/>
              </w:trPr>
              <w:tc>
                <w:tcPr>
                  <w:tcW w:w="1177" w:type="dxa"/>
                  <w:tcBorders>
                    <w:tl2br w:val="nil"/>
                    <w:tr2bl w:val="nil"/>
                  </w:tcBorders>
                  <w:noWrap w:val="0"/>
                  <w:vAlign w:val="center"/>
                </w:tcPr>
                <w:p w14:paraId="2711FAC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山东机械附件厂家属院</w:t>
                  </w:r>
                </w:p>
              </w:tc>
              <w:tc>
                <w:tcPr>
                  <w:tcW w:w="625" w:type="dxa"/>
                  <w:tcBorders>
                    <w:tl2br w:val="nil"/>
                    <w:tr2bl w:val="nil"/>
                  </w:tcBorders>
                  <w:noWrap w:val="0"/>
                  <w:vAlign w:val="center"/>
                </w:tcPr>
                <w:p w14:paraId="273ADFF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698" w:type="dxa"/>
                  <w:tcBorders>
                    <w:tl2br w:val="nil"/>
                    <w:tr2bl w:val="nil"/>
                  </w:tcBorders>
                  <w:noWrap w:val="0"/>
                  <w:vAlign w:val="center"/>
                </w:tcPr>
                <w:p w14:paraId="794A3A4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752" w:type="dxa"/>
                  <w:tcBorders>
                    <w:tl2br w:val="nil"/>
                    <w:tr2bl w:val="nil"/>
                  </w:tcBorders>
                  <w:noWrap w:val="0"/>
                  <w:vAlign w:val="center"/>
                </w:tcPr>
                <w:p w14:paraId="7F065FC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613" w:type="dxa"/>
                  <w:tcBorders>
                    <w:tl2br w:val="nil"/>
                    <w:tr2bl w:val="nil"/>
                  </w:tcBorders>
                  <w:noWrap w:val="0"/>
                  <w:vAlign w:val="center"/>
                </w:tcPr>
                <w:p w14:paraId="216978A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994" w:type="dxa"/>
                  <w:tcBorders>
                    <w:tl2br w:val="nil"/>
                    <w:tr2bl w:val="nil"/>
                  </w:tcBorders>
                  <w:shd w:val="clear" w:color="auto" w:fill="auto"/>
                  <w:noWrap w:val="0"/>
                  <w:vAlign w:val="center"/>
                </w:tcPr>
                <w:p w14:paraId="11C74F7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42.6</w:t>
                  </w:r>
                </w:p>
              </w:tc>
              <w:tc>
                <w:tcPr>
                  <w:tcW w:w="994" w:type="dxa"/>
                  <w:tcBorders>
                    <w:tl2br w:val="nil"/>
                    <w:tr2bl w:val="nil"/>
                  </w:tcBorders>
                  <w:shd w:val="clear" w:color="auto" w:fill="auto"/>
                  <w:noWrap w:val="0"/>
                  <w:vAlign w:val="center"/>
                </w:tcPr>
                <w:p w14:paraId="3A755615">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51.3</w:t>
                  </w:r>
                </w:p>
              </w:tc>
              <w:tc>
                <w:tcPr>
                  <w:tcW w:w="822" w:type="dxa"/>
                  <w:tcBorders>
                    <w:tl2br w:val="nil"/>
                    <w:tr2bl w:val="nil"/>
                  </w:tcBorders>
                  <w:noWrap w:val="0"/>
                  <w:vAlign w:val="center"/>
                </w:tcPr>
                <w:p w14:paraId="0E87F19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51.4</w:t>
                  </w:r>
                </w:p>
              </w:tc>
              <w:tc>
                <w:tcPr>
                  <w:tcW w:w="1202" w:type="dxa"/>
                  <w:tcBorders>
                    <w:tl2br w:val="nil"/>
                    <w:tr2bl w:val="nil"/>
                  </w:tcBorders>
                  <w:noWrap w:val="0"/>
                  <w:vAlign w:val="center"/>
                </w:tcPr>
                <w:p w14:paraId="3888B69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710" w:type="dxa"/>
                  <w:tcBorders>
                    <w:tl2br w:val="nil"/>
                    <w:tr2bl w:val="nil"/>
                  </w:tcBorders>
                  <w:noWrap w:val="0"/>
                  <w:vAlign w:val="center"/>
                </w:tcPr>
                <w:p w14:paraId="4925156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14:paraId="5EC9A93B">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firstLine="480" w:firstLineChars="200"/>
              <w:textAlignment w:val="auto"/>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项目夜间不生产，</w:t>
            </w:r>
            <w:r>
              <w:rPr>
                <w:rFonts w:hint="default" w:ascii="Times New Roman" w:hAnsi="Times New Roman" w:eastAsia="宋体" w:cs="Times New Roman"/>
                <w:b w:val="0"/>
                <w:bCs w:val="0"/>
                <w:color w:val="auto"/>
                <w:sz w:val="24"/>
                <w:szCs w:val="24"/>
                <w:highlight w:val="none"/>
              </w:rPr>
              <w:t>经预测，设备噪声采用上述隔声、减振等措施后，再经过距离衰减，项目建设完成后厂界</w:t>
            </w:r>
            <w:r>
              <w:rPr>
                <w:rFonts w:hint="eastAsia" w:ascii="Times New Roman" w:hAnsi="Times New Roman" w:eastAsia="宋体" w:cs="Times New Roman"/>
                <w:b w:val="0"/>
                <w:bCs w:val="0"/>
                <w:color w:val="auto"/>
                <w:sz w:val="24"/>
                <w:szCs w:val="24"/>
                <w:highlight w:val="none"/>
                <w:lang w:val="en-US" w:eastAsia="zh-CN"/>
              </w:rPr>
              <w:t>及敏感点目标</w:t>
            </w:r>
            <w:r>
              <w:rPr>
                <w:rFonts w:hint="default" w:ascii="Times New Roman" w:hAnsi="Times New Roman" w:eastAsia="宋体" w:cs="Times New Roman"/>
                <w:b w:val="0"/>
                <w:bCs w:val="0"/>
                <w:color w:val="auto"/>
                <w:sz w:val="24"/>
                <w:szCs w:val="24"/>
                <w:highlight w:val="none"/>
              </w:rPr>
              <w:t>处昼间噪声值≤6</w:t>
            </w:r>
            <w:r>
              <w:rPr>
                <w:rFonts w:hint="eastAsia" w:ascii="Times New Roman" w:hAnsi="Times New Roman" w:eastAsia="宋体" w:cs="Times New Roman"/>
                <w:b w:val="0"/>
                <w:bCs w:val="0"/>
                <w:color w:val="auto"/>
                <w:sz w:val="24"/>
                <w:szCs w:val="24"/>
                <w:highlight w:val="none"/>
                <w:lang w:val="en-US" w:eastAsia="zh-CN"/>
              </w:rPr>
              <w:t>0</w:t>
            </w:r>
            <w:r>
              <w:rPr>
                <w:rFonts w:hint="default" w:ascii="Times New Roman" w:hAnsi="Times New Roman" w:eastAsia="宋体" w:cs="Times New Roman"/>
                <w:b w:val="0"/>
                <w:bCs w:val="0"/>
                <w:color w:val="auto"/>
                <w:sz w:val="24"/>
                <w:szCs w:val="24"/>
                <w:highlight w:val="none"/>
              </w:rPr>
              <w:t>dB</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A。可见，本项目的建设能够满足《工业企业厂界环境噪声排放标准》（GB12348-2008）</w:t>
            </w:r>
            <w:r>
              <w:rPr>
                <w:rFonts w:hint="eastAsia" w:ascii="Times New Roman" w:hAnsi="Times New Roman" w:eastAsia="宋体" w:cs="Times New Roman"/>
                <w:b w:val="0"/>
                <w:bCs w:val="0"/>
                <w:color w:val="auto"/>
                <w:sz w:val="24"/>
                <w:szCs w:val="24"/>
                <w:highlight w:val="none"/>
                <w:lang w:eastAsia="zh-CN"/>
              </w:rPr>
              <w:t>2类</w:t>
            </w:r>
            <w:r>
              <w:rPr>
                <w:rFonts w:hint="default" w:ascii="Times New Roman" w:hAnsi="Times New Roman" w:eastAsia="宋体" w:cs="Times New Roman"/>
                <w:b w:val="0"/>
                <w:bCs w:val="0"/>
                <w:color w:val="auto"/>
                <w:sz w:val="24"/>
                <w:szCs w:val="24"/>
                <w:highlight w:val="none"/>
              </w:rPr>
              <w:t>标准要求。</w:t>
            </w:r>
            <w:r>
              <w:rPr>
                <w:rFonts w:hint="eastAsia" w:ascii="Times New Roman" w:hAnsi="Times New Roman" w:eastAsia="宋体" w:cs="Times New Roman"/>
                <w:b w:val="0"/>
                <w:bCs w:val="0"/>
                <w:color w:val="auto"/>
                <w:sz w:val="24"/>
                <w:szCs w:val="24"/>
                <w:highlight w:val="none"/>
                <w:lang w:val="en-US" w:eastAsia="zh-CN"/>
              </w:rPr>
              <w:t>经过叠加预测后，</w:t>
            </w:r>
            <w:r>
              <w:rPr>
                <w:rFonts w:hint="default" w:ascii="Times New Roman" w:hAnsi="Times New Roman" w:eastAsia="宋体" w:cs="Times New Roman"/>
                <w:b w:val="0"/>
                <w:bCs w:val="0"/>
                <w:color w:val="auto"/>
                <w:sz w:val="24"/>
                <w:szCs w:val="24"/>
                <w:highlight w:val="none"/>
              </w:rPr>
              <w:t>本项目厂界外50米范围内环境保护目标</w:t>
            </w:r>
            <w:r>
              <w:rPr>
                <w:rFonts w:hint="eastAsia" w:ascii="Times New Roman" w:hAnsi="Times New Roman" w:eastAsia="宋体" w:cs="Times New Roman"/>
                <w:b w:val="0"/>
                <w:bCs w:val="0"/>
                <w:color w:val="auto"/>
                <w:sz w:val="24"/>
                <w:szCs w:val="24"/>
                <w:highlight w:val="none"/>
                <w:lang w:val="en-US" w:eastAsia="zh-CN"/>
              </w:rPr>
              <w:t>能够满足《声环境质量标准》（GB3096-2008）2类标准要求</w:t>
            </w:r>
            <w:r>
              <w:rPr>
                <w:rFonts w:hint="default" w:ascii="Times New Roman" w:hAnsi="Times New Roman" w:eastAsia="宋体" w:cs="Times New Roman"/>
                <w:b w:val="0"/>
                <w:bCs w:val="0"/>
                <w:color w:val="auto"/>
                <w:sz w:val="24"/>
                <w:szCs w:val="24"/>
                <w:highlight w:val="none"/>
              </w:rPr>
              <w:t>。</w:t>
            </w:r>
          </w:p>
          <w:p w14:paraId="7B3B38B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5、监测计划</w:t>
            </w:r>
          </w:p>
          <w:p w14:paraId="371450D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根据《排污许可证申请与核发技术规范 总则》（HJ 942-2018）和《排污单位自行监测技术指南 总则》（HJ 819-2017）</w:t>
            </w:r>
            <w:r>
              <w:rPr>
                <w:rFonts w:hint="eastAsia"/>
                <w:color w:val="auto"/>
                <w:sz w:val="24"/>
                <w:szCs w:val="24"/>
                <w:lang w:eastAsia="zh-CN"/>
              </w:rPr>
              <w:t>、</w:t>
            </w:r>
            <w:r>
              <w:rPr>
                <w:rFonts w:hint="eastAsia" w:cs="Times New Roman"/>
                <w:b w:val="0"/>
                <w:bCs w:val="0"/>
                <w:color w:val="auto"/>
                <w:sz w:val="24"/>
                <w:szCs w:val="24"/>
                <w:highlight w:val="none"/>
                <w:lang w:val="en-US" w:eastAsia="zh-CN"/>
              </w:rPr>
              <w:t>《 </w:t>
            </w:r>
            <w:r>
              <w:rPr>
                <w:rFonts w:hint="eastAsia" w:cs="Times New Roman"/>
                <w:b w:val="0"/>
                <w:bCs w:val="0"/>
                <w:color w:val="auto"/>
                <w:sz w:val="24"/>
                <w:szCs w:val="24"/>
                <w:highlight w:val="none"/>
                <w:lang w:val="en-US" w:eastAsia="zh-CN"/>
              </w:rPr>
              <w:fldChar w:fldCharType="begin"/>
            </w:r>
            <w:r>
              <w:rPr>
                <w:rFonts w:hint="eastAsia" w:cs="Times New Roman"/>
                <w:b w:val="0"/>
                <w:bCs w:val="0"/>
                <w:color w:val="auto"/>
                <w:sz w:val="24"/>
                <w:szCs w:val="24"/>
                <w:highlight w:val="none"/>
                <w:lang w:val="en-US" w:eastAsia="zh-CN"/>
              </w:rPr>
              <w:instrText xml:space="preserve"> HYPERLINK "https://www.mee.gov.cn/ywgz/fgbz/bz/bzwb/pwxk/202308/W020230919349861394526.pdf" </w:instrText>
            </w:r>
            <w:r>
              <w:rPr>
                <w:rFonts w:hint="eastAsia" w:cs="Times New Roman"/>
                <w:b w:val="0"/>
                <w:bCs w:val="0"/>
                <w:color w:val="auto"/>
                <w:sz w:val="24"/>
                <w:szCs w:val="24"/>
                <w:highlight w:val="none"/>
                <w:lang w:val="en-US" w:eastAsia="zh-CN"/>
              </w:rPr>
              <w:fldChar w:fldCharType="separate"/>
            </w:r>
            <w:r>
              <w:rPr>
                <w:rFonts w:hint="eastAsia" w:cs="Times New Roman"/>
                <w:b w:val="0"/>
                <w:bCs w:val="0"/>
                <w:color w:val="auto"/>
                <w:sz w:val="24"/>
                <w:szCs w:val="24"/>
                <w:highlight w:val="none"/>
                <w:lang w:val="en-US" w:eastAsia="zh-CN"/>
              </w:rPr>
              <w:t>排污许可证申请与核发技术规范 工业噪声</w:t>
            </w:r>
            <w:r>
              <w:rPr>
                <w:rFonts w:hint="eastAsia" w:cs="Times New Roman"/>
                <w:b w:val="0"/>
                <w:bCs w:val="0"/>
                <w:color w:val="auto"/>
                <w:sz w:val="24"/>
                <w:szCs w:val="24"/>
                <w:highlight w:val="none"/>
                <w:lang w:val="en-US" w:eastAsia="zh-CN"/>
              </w:rPr>
              <w:fldChar w:fldCharType="end"/>
            </w:r>
            <w:r>
              <w:rPr>
                <w:rFonts w:hint="eastAsia" w:cs="Times New Roman"/>
                <w:b w:val="0"/>
                <w:bCs w:val="0"/>
                <w:color w:val="auto"/>
                <w:sz w:val="24"/>
                <w:szCs w:val="24"/>
                <w:highlight w:val="none"/>
                <w:lang w:val="en-US" w:eastAsia="zh-CN"/>
              </w:rPr>
              <w:t>》（HJ 1301—2023）、</w:t>
            </w:r>
            <w:r>
              <w:rPr>
                <w:rFonts w:hint="default" w:ascii="Times New Roman" w:hAnsi="Times New Roman" w:eastAsia="宋体" w:cs="Times New Roman"/>
                <w:color w:val="auto"/>
                <w:sz w:val="24"/>
                <w:szCs w:val="24"/>
                <w:highlight w:val="none"/>
                <w:lang w:val="en-US" w:eastAsia="zh-CN"/>
              </w:rPr>
              <w:t>《排污许可证申请与核发技术规范 橡胶和塑料制品工业》（HJ1122-2020）</w:t>
            </w:r>
            <w:r>
              <w:rPr>
                <w:rFonts w:hint="eastAsia" w:cs="Times New Roman"/>
                <w:color w:val="auto"/>
                <w:sz w:val="24"/>
                <w:szCs w:val="24"/>
                <w:lang w:val="en-US" w:eastAsia="zh-CN"/>
              </w:rPr>
              <w:t>、《</w:t>
            </w:r>
            <w:r>
              <w:rPr>
                <w:rFonts w:hint="eastAsia" w:cs="Times New Roman"/>
                <w:color w:val="auto"/>
                <w:sz w:val="24"/>
                <w:szCs w:val="24"/>
                <w:lang w:val="en-US" w:eastAsia="zh-CN"/>
              </w:rPr>
              <w:fldChar w:fldCharType="begin"/>
            </w:r>
            <w:r>
              <w:rPr>
                <w:rFonts w:hint="eastAsia" w:cs="Times New Roman"/>
                <w:color w:val="auto"/>
                <w:sz w:val="24"/>
                <w:szCs w:val="24"/>
                <w:lang w:val="en-US" w:eastAsia="zh-CN"/>
              </w:rPr>
              <w:instrText xml:space="preserve"> HYPERLINK "https://www.mee.gov.cn/ywgz/fgbz/bz/bzwb/shjbh/xgbzh/201705/W020170511331854489935.pdf" </w:instrText>
            </w:r>
            <w:r>
              <w:rPr>
                <w:rFonts w:hint="eastAsia" w:cs="Times New Roman"/>
                <w:color w:val="auto"/>
                <w:sz w:val="24"/>
                <w:szCs w:val="24"/>
                <w:lang w:val="en-US" w:eastAsia="zh-CN"/>
              </w:rPr>
              <w:fldChar w:fldCharType="separate"/>
            </w:r>
            <w:r>
              <w:rPr>
                <w:rFonts w:hint="eastAsia" w:cs="Times New Roman"/>
                <w:color w:val="auto"/>
                <w:sz w:val="24"/>
                <w:szCs w:val="24"/>
                <w:lang w:val="en-US" w:eastAsia="zh-CN"/>
              </w:rPr>
              <w:t xml:space="preserve">排污单位自行监测技术指南 </w:t>
            </w:r>
            <w:r>
              <w:rPr>
                <w:rFonts w:hint="default" w:ascii="Times New Roman" w:hAnsi="Times New Roman" w:eastAsia="宋体" w:cs="Times New Roman"/>
                <w:color w:val="auto"/>
                <w:sz w:val="24"/>
                <w:szCs w:val="24"/>
                <w:highlight w:val="none"/>
                <w:lang w:val="en-US" w:eastAsia="zh-CN"/>
              </w:rPr>
              <w:t>橡胶和塑料制品</w:t>
            </w:r>
            <w:r>
              <w:rPr>
                <w:rFonts w:hint="eastAsia" w:cs="Times New Roman"/>
                <w:color w:val="auto"/>
                <w:sz w:val="24"/>
                <w:szCs w:val="24"/>
                <w:lang w:val="en-US" w:eastAsia="zh-CN"/>
              </w:rPr>
              <w:t>》（HJ 1207-2021）</w:t>
            </w:r>
            <w:r>
              <w:rPr>
                <w:rFonts w:hint="eastAsia" w:cs="Times New Roman"/>
                <w:color w:val="auto"/>
                <w:sz w:val="24"/>
                <w:szCs w:val="24"/>
                <w:lang w:val="en-US" w:eastAsia="zh-CN"/>
              </w:rPr>
              <w:fldChar w:fldCharType="end"/>
            </w:r>
            <w:r>
              <w:rPr>
                <w:rFonts w:hint="eastAsia" w:cs="Times New Roman"/>
                <w:color w:val="auto"/>
                <w:sz w:val="24"/>
                <w:szCs w:val="24"/>
                <w:lang w:val="en-US" w:eastAsia="zh-CN"/>
              </w:rPr>
              <w:t>，</w:t>
            </w:r>
            <w:r>
              <w:rPr>
                <w:rFonts w:hint="default" w:ascii="Times New Roman" w:hAnsi="Times New Roman" w:eastAsia="宋体" w:cs="Times New Roman"/>
                <w:b w:val="0"/>
                <w:bCs w:val="0"/>
                <w:color w:val="auto"/>
                <w:sz w:val="24"/>
                <w:szCs w:val="24"/>
                <w:highlight w:val="none"/>
                <w:lang w:val="en-US" w:eastAsia="zh-CN"/>
              </w:rPr>
              <w:t>项目噪声污染源监测计划见下表。</w:t>
            </w:r>
          </w:p>
          <w:p w14:paraId="69205F4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 xml:space="preserve">  噪声污染源监测计划一览表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81"/>
              <w:gridCol w:w="2433"/>
              <w:gridCol w:w="3053"/>
            </w:tblGrid>
            <w:tr w14:paraId="1A422E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5" w:type="pct"/>
                  <w:tcBorders>
                    <w:tl2br w:val="nil"/>
                    <w:tr2bl w:val="nil"/>
                  </w:tcBorders>
                  <w:noWrap w:val="0"/>
                  <w:vAlign w:val="center"/>
                </w:tcPr>
                <w:p w14:paraId="23809584">
                  <w:pPr>
                    <w:pageBreakBefore w:val="0"/>
                    <w:kinsoku/>
                    <w:wordWrap/>
                    <w:overflowPunct/>
                    <w:bidi w:val="0"/>
                    <w:spacing w:line="300" w:lineRule="exact"/>
                    <w:ind w:lef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监测点位</w:t>
                  </w:r>
                </w:p>
              </w:tc>
              <w:tc>
                <w:tcPr>
                  <w:tcW w:w="1403" w:type="pct"/>
                  <w:tcBorders>
                    <w:tl2br w:val="nil"/>
                    <w:tr2bl w:val="nil"/>
                  </w:tcBorders>
                  <w:noWrap w:val="0"/>
                  <w:vAlign w:val="center"/>
                </w:tcPr>
                <w:p w14:paraId="135EF569">
                  <w:pPr>
                    <w:pageBreakBefore w:val="0"/>
                    <w:kinsoku/>
                    <w:wordWrap/>
                    <w:overflowPunct/>
                    <w:bidi w:val="0"/>
                    <w:spacing w:line="300" w:lineRule="exact"/>
                    <w:ind w:lef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监测项目</w:t>
                  </w:r>
                </w:p>
              </w:tc>
              <w:tc>
                <w:tcPr>
                  <w:tcW w:w="1761" w:type="pct"/>
                  <w:tcBorders>
                    <w:tl2br w:val="nil"/>
                    <w:tr2bl w:val="nil"/>
                  </w:tcBorders>
                  <w:noWrap w:val="0"/>
                  <w:vAlign w:val="center"/>
                </w:tcPr>
                <w:p w14:paraId="016983E9">
                  <w:pPr>
                    <w:pageBreakBefore w:val="0"/>
                    <w:kinsoku/>
                    <w:wordWrap/>
                    <w:overflowPunct/>
                    <w:bidi w:val="0"/>
                    <w:spacing w:line="300" w:lineRule="exact"/>
                    <w:ind w:lef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监测频次</w:t>
                  </w:r>
                </w:p>
              </w:tc>
            </w:tr>
            <w:tr w14:paraId="5429A4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5" w:type="pct"/>
                  <w:tcBorders>
                    <w:tl2br w:val="nil"/>
                    <w:tr2bl w:val="nil"/>
                  </w:tcBorders>
                  <w:noWrap w:val="0"/>
                  <w:vAlign w:val="center"/>
                </w:tcPr>
                <w:p w14:paraId="33AA35A9">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厂界围墙外1m</w:t>
                  </w:r>
                </w:p>
              </w:tc>
              <w:tc>
                <w:tcPr>
                  <w:tcW w:w="1403" w:type="pct"/>
                  <w:tcBorders>
                    <w:tl2br w:val="nil"/>
                    <w:tr2bl w:val="nil"/>
                  </w:tcBorders>
                  <w:noWrap w:val="0"/>
                  <w:vAlign w:val="center"/>
                </w:tcPr>
                <w:p w14:paraId="3A793EA0">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厂界</w:t>
                  </w:r>
                  <w:r>
                    <w:rPr>
                      <w:rFonts w:hint="default" w:ascii="Times New Roman" w:hAnsi="Times New Roman" w:eastAsia="宋体" w:cs="Times New Roman"/>
                      <w:b w:val="0"/>
                      <w:bCs w:val="0"/>
                      <w:color w:val="auto"/>
                      <w:sz w:val="21"/>
                      <w:szCs w:val="21"/>
                      <w:highlight w:val="none"/>
                      <w:lang w:val="en-US" w:eastAsia="zh-CN"/>
                    </w:rPr>
                    <w:t>噪声</w:t>
                  </w:r>
                </w:p>
              </w:tc>
              <w:tc>
                <w:tcPr>
                  <w:tcW w:w="1761" w:type="pct"/>
                  <w:tcBorders>
                    <w:tl2br w:val="nil"/>
                    <w:tr2bl w:val="nil"/>
                  </w:tcBorders>
                  <w:noWrap w:val="0"/>
                  <w:vAlign w:val="center"/>
                </w:tcPr>
                <w:p w14:paraId="5E888572">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每季度一次</w:t>
                  </w:r>
                </w:p>
              </w:tc>
            </w:tr>
            <w:tr w14:paraId="0CF29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1" w:type="dxa"/>
                  <w:tcBorders>
                    <w:tl2br w:val="nil"/>
                    <w:tr2bl w:val="nil"/>
                  </w:tcBorders>
                  <w:noWrap w:val="0"/>
                  <w:vAlign w:val="center"/>
                </w:tcPr>
                <w:p w14:paraId="04A6599F">
                  <w:pPr>
                    <w:jc w:val="center"/>
                    <w:rPr>
                      <w:rFonts w:hint="default" w:ascii="Times New Roman" w:hAnsi="Times New Roman" w:eastAsia="宋体" w:cs="Times New Roman"/>
                      <w:b w:val="0"/>
                      <w:bCs w:val="0"/>
                      <w:color w:val="auto"/>
                      <w:sz w:val="21"/>
                      <w:szCs w:val="21"/>
                      <w:highlight w:val="none"/>
                    </w:rPr>
                  </w:pPr>
                  <w:r>
                    <w:rPr>
                      <w:rFonts w:hint="eastAsia" w:cs="Times New Roman"/>
                      <w:color w:val="auto"/>
                      <w:sz w:val="21"/>
                      <w:szCs w:val="21"/>
                      <w:lang w:val="en-US" w:eastAsia="zh-CN"/>
                    </w:rPr>
                    <w:t>天源机床附件厂家属院</w:t>
                  </w:r>
                </w:p>
              </w:tc>
              <w:tc>
                <w:tcPr>
                  <w:tcW w:w="1403" w:type="pct"/>
                  <w:tcBorders>
                    <w:tl2br w:val="nil"/>
                    <w:tr2bl w:val="nil"/>
                  </w:tcBorders>
                  <w:noWrap w:val="0"/>
                  <w:vAlign w:val="center"/>
                </w:tcPr>
                <w:p w14:paraId="227AE1B2">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敏感点噪声</w:t>
                  </w:r>
                </w:p>
              </w:tc>
              <w:tc>
                <w:tcPr>
                  <w:tcW w:w="1761" w:type="pct"/>
                  <w:tcBorders>
                    <w:tl2br w:val="nil"/>
                    <w:tr2bl w:val="nil"/>
                  </w:tcBorders>
                  <w:noWrap w:val="0"/>
                  <w:vAlign w:val="center"/>
                </w:tcPr>
                <w:p w14:paraId="0BECF05A">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每</w:t>
                  </w:r>
                  <w:r>
                    <w:rPr>
                      <w:rFonts w:hint="eastAsia" w:ascii="Times New Roman" w:hAnsi="Times New Roman" w:eastAsia="宋体" w:cs="Times New Roman"/>
                      <w:b w:val="0"/>
                      <w:bCs w:val="0"/>
                      <w:color w:val="auto"/>
                      <w:sz w:val="21"/>
                      <w:szCs w:val="21"/>
                      <w:highlight w:val="none"/>
                      <w:lang w:val="en-US" w:eastAsia="zh-CN"/>
                    </w:rPr>
                    <w:t>年</w:t>
                  </w:r>
                  <w:r>
                    <w:rPr>
                      <w:rFonts w:hint="default" w:ascii="Times New Roman" w:hAnsi="Times New Roman" w:eastAsia="宋体" w:cs="Times New Roman"/>
                      <w:b w:val="0"/>
                      <w:bCs w:val="0"/>
                      <w:color w:val="auto"/>
                      <w:sz w:val="21"/>
                      <w:szCs w:val="21"/>
                      <w:highlight w:val="none"/>
                      <w:lang w:val="en-US" w:eastAsia="zh-CN"/>
                    </w:rPr>
                    <w:t>一次</w:t>
                  </w:r>
                </w:p>
              </w:tc>
            </w:tr>
            <w:tr w14:paraId="75D2C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1" w:type="dxa"/>
                  <w:tcBorders>
                    <w:tl2br w:val="nil"/>
                    <w:tr2bl w:val="nil"/>
                  </w:tcBorders>
                  <w:noWrap w:val="0"/>
                  <w:vAlign w:val="center"/>
                </w:tcPr>
                <w:p w14:paraId="4E3D5093">
                  <w:pPr>
                    <w:jc w:val="center"/>
                    <w:rPr>
                      <w:rFonts w:hint="default" w:ascii="Times New Roman" w:hAnsi="Times New Roman" w:eastAsia="宋体" w:cs="Times New Roman"/>
                      <w:b w:val="0"/>
                      <w:bCs w:val="0"/>
                      <w:color w:val="auto"/>
                      <w:sz w:val="21"/>
                      <w:szCs w:val="21"/>
                      <w:highlight w:val="none"/>
                    </w:rPr>
                  </w:pPr>
                  <w:r>
                    <w:rPr>
                      <w:rFonts w:hint="eastAsia" w:cs="Times New Roman"/>
                      <w:color w:val="auto"/>
                      <w:sz w:val="21"/>
                      <w:szCs w:val="21"/>
                      <w:lang w:val="en-US" w:eastAsia="zh-CN"/>
                    </w:rPr>
                    <w:t>山东机械附件厂家属院</w:t>
                  </w:r>
                </w:p>
              </w:tc>
              <w:tc>
                <w:tcPr>
                  <w:tcW w:w="1403" w:type="pct"/>
                  <w:tcBorders>
                    <w:tl2br w:val="nil"/>
                    <w:tr2bl w:val="nil"/>
                  </w:tcBorders>
                  <w:noWrap w:val="0"/>
                  <w:vAlign w:val="center"/>
                </w:tcPr>
                <w:p w14:paraId="4EA48C40">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敏感点噪声</w:t>
                  </w:r>
                </w:p>
              </w:tc>
              <w:tc>
                <w:tcPr>
                  <w:tcW w:w="1761" w:type="pct"/>
                  <w:tcBorders>
                    <w:tl2br w:val="nil"/>
                    <w:tr2bl w:val="nil"/>
                  </w:tcBorders>
                  <w:noWrap w:val="0"/>
                  <w:vAlign w:val="center"/>
                </w:tcPr>
                <w:p w14:paraId="1FC9F829">
                  <w:pPr>
                    <w:pageBreakBefore w:val="0"/>
                    <w:kinsoku/>
                    <w:wordWrap/>
                    <w:overflowPunct/>
                    <w:bidi w:val="0"/>
                    <w:spacing w:line="300" w:lineRule="exact"/>
                    <w:ind w:lef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每</w:t>
                  </w:r>
                  <w:r>
                    <w:rPr>
                      <w:rFonts w:hint="eastAsia" w:ascii="Times New Roman" w:hAnsi="Times New Roman" w:eastAsia="宋体" w:cs="Times New Roman"/>
                      <w:b w:val="0"/>
                      <w:bCs w:val="0"/>
                      <w:color w:val="auto"/>
                      <w:sz w:val="21"/>
                      <w:szCs w:val="21"/>
                      <w:highlight w:val="none"/>
                      <w:lang w:val="en-US" w:eastAsia="zh-CN"/>
                    </w:rPr>
                    <w:t>年</w:t>
                  </w:r>
                  <w:r>
                    <w:rPr>
                      <w:rFonts w:hint="default" w:ascii="Times New Roman" w:hAnsi="Times New Roman" w:eastAsia="宋体" w:cs="Times New Roman"/>
                      <w:b w:val="0"/>
                      <w:bCs w:val="0"/>
                      <w:color w:val="auto"/>
                      <w:sz w:val="21"/>
                      <w:szCs w:val="21"/>
                      <w:highlight w:val="none"/>
                      <w:lang w:val="en-US" w:eastAsia="zh-CN"/>
                    </w:rPr>
                    <w:t>一次</w:t>
                  </w:r>
                </w:p>
              </w:tc>
            </w:tr>
          </w:tbl>
          <w:p w14:paraId="7CD6A53E">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firstLine="482" w:firstLineChars="200"/>
              <w:textAlignment w:val="auto"/>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四</w:t>
            </w:r>
            <w:r>
              <w:rPr>
                <w:rFonts w:hint="default" w:ascii="Times New Roman" w:hAnsi="Times New Roman" w:eastAsia="宋体" w:cs="Times New Roman"/>
                <w:b/>
                <w:bCs/>
                <w:color w:val="auto"/>
                <w:sz w:val="24"/>
                <w:szCs w:val="24"/>
                <w:highlight w:val="none"/>
              </w:rPr>
              <w:t>、固体废物</w:t>
            </w:r>
          </w:p>
          <w:p w14:paraId="4F99378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cs="Times New Roman"/>
                <w:color w:val="auto"/>
                <w:sz w:val="24"/>
                <w:szCs w:val="24"/>
                <w:highlight w:val="none"/>
              </w:rPr>
              <w:t>本项目产生的固体废物主要为</w:t>
            </w:r>
            <w:r>
              <w:rPr>
                <w:rFonts w:hint="eastAsia" w:cs="Times New Roman"/>
                <w:color w:val="auto"/>
                <w:sz w:val="24"/>
                <w:szCs w:val="24"/>
                <w:highlight w:val="none"/>
                <w:lang w:val="en-US" w:eastAsia="zh-CN"/>
              </w:rPr>
              <w:t>塑料下脚料、一般废旧包装材料、废过滤棉、废活性炭、废矿物油、废油桶等</w:t>
            </w:r>
            <w:r>
              <w:rPr>
                <w:rFonts w:hint="default" w:ascii="Times New Roman" w:hAnsi="Times New Roman" w:cs="Times New Roman"/>
                <w:color w:val="auto"/>
                <w:sz w:val="24"/>
                <w:szCs w:val="24"/>
                <w:highlight w:val="none"/>
              </w:rPr>
              <w:t>。</w:t>
            </w:r>
          </w:p>
          <w:p w14:paraId="5BD6B45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生活垃圾</w:t>
            </w:r>
          </w:p>
          <w:p w14:paraId="5B7B12B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本项目劳动人员</w:t>
            </w:r>
            <w:r>
              <w:rPr>
                <w:rFonts w:hint="eastAsia" w:cs="Times New Roman"/>
                <w:b w:val="0"/>
                <w:bCs w:val="0"/>
                <w:color w:val="auto"/>
                <w:sz w:val="24"/>
                <w:szCs w:val="24"/>
                <w:highlight w:val="none"/>
                <w:lang w:val="en-US" w:eastAsia="zh-CN"/>
              </w:rPr>
              <w:t>10</w:t>
            </w:r>
            <w:r>
              <w:rPr>
                <w:rFonts w:hint="default" w:ascii="Times New Roman" w:hAnsi="Times New Roman" w:eastAsia="宋体" w:cs="Times New Roman"/>
                <w:b w:val="0"/>
                <w:bCs w:val="0"/>
                <w:color w:val="auto"/>
                <w:sz w:val="24"/>
                <w:szCs w:val="24"/>
                <w:highlight w:val="none"/>
              </w:rPr>
              <w:t>人，按0.5kg/人 ·d计，年工作300d</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生活垃圾产生量为</w:t>
            </w:r>
            <w:r>
              <w:rPr>
                <w:rFonts w:hint="eastAsia" w:cs="Times New Roman"/>
                <w:b w:val="0"/>
                <w:bCs w:val="0"/>
                <w:color w:val="auto"/>
                <w:sz w:val="24"/>
                <w:szCs w:val="24"/>
                <w:highlight w:val="none"/>
                <w:lang w:val="en-US" w:eastAsia="zh-CN"/>
              </w:rPr>
              <w:t>1.5</w:t>
            </w:r>
            <w:r>
              <w:rPr>
                <w:rFonts w:hint="default" w:ascii="Times New Roman" w:hAnsi="Times New Roman" w:eastAsia="宋体" w:cs="Times New Roman"/>
                <w:b w:val="0"/>
                <w:bCs w:val="0"/>
                <w:color w:val="auto"/>
                <w:sz w:val="24"/>
                <w:szCs w:val="24"/>
                <w:highlight w:val="none"/>
              </w:rPr>
              <w:t>t/a。 根据《固体废物分类与代码目录》</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废物类别为SW64</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废物代码900-099-S64</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委托环卫部门清运。</w:t>
            </w:r>
          </w:p>
          <w:p w14:paraId="7A2151C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一般工业固体废物</w:t>
            </w:r>
          </w:p>
          <w:p w14:paraId="1EB36D4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①</w:t>
            </w:r>
            <w:r>
              <w:rPr>
                <w:rFonts w:hint="default" w:ascii="Times New Roman" w:hAnsi="Times New Roman" w:eastAsia="宋体" w:cs="Times New Roman"/>
                <w:b w:val="0"/>
                <w:bCs w:val="0"/>
                <w:color w:val="auto"/>
                <w:sz w:val="24"/>
                <w:szCs w:val="24"/>
                <w:highlight w:val="none"/>
                <w:lang w:val="en-US" w:eastAsia="zh-CN"/>
              </w:rPr>
              <w:t>塑料下脚料</w:t>
            </w:r>
          </w:p>
          <w:p w14:paraId="1960F19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根据企业提供的资料，</w:t>
            </w:r>
            <w:r>
              <w:rPr>
                <w:rFonts w:hint="eastAsia" w:ascii="Times New Roman" w:hAnsi="Times New Roman" w:eastAsia="宋体" w:cs="Times New Roman"/>
                <w:b w:val="0"/>
                <w:bCs w:val="0"/>
                <w:color w:val="auto"/>
                <w:sz w:val="24"/>
                <w:szCs w:val="24"/>
                <w:highlight w:val="none"/>
                <w:lang w:val="en-US" w:eastAsia="zh-CN"/>
              </w:rPr>
              <w:t>吹塑</w:t>
            </w:r>
            <w:r>
              <w:rPr>
                <w:rFonts w:hint="default" w:ascii="Times New Roman" w:hAnsi="Times New Roman" w:eastAsia="宋体" w:cs="Times New Roman"/>
                <w:b w:val="0"/>
                <w:bCs w:val="0"/>
                <w:color w:val="auto"/>
                <w:sz w:val="24"/>
                <w:szCs w:val="24"/>
                <w:highlight w:val="none"/>
                <w:lang w:val="en-US" w:eastAsia="zh-CN"/>
              </w:rPr>
              <w:t>加工过程产生少量塑料下脚料，产生量约为</w:t>
            </w: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t/a</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根据 《固体废物分类与代码目录》</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废物种类为SW17</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废物代码900-003-S17</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粉碎后回用于生产。</w:t>
            </w:r>
          </w:p>
          <w:p w14:paraId="191659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②一般</w:t>
            </w:r>
            <w:r>
              <w:rPr>
                <w:rFonts w:hint="default" w:ascii="Times New Roman" w:hAnsi="Times New Roman" w:eastAsia="宋体" w:cs="Times New Roman"/>
                <w:b w:val="0"/>
                <w:bCs w:val="0"/>
                <w:color w:val="auto"/>
                <w:sz w:val="24"/>
                <w:szCs w:val="24"/>
                <w:highlight w:val="none"/>
              </w:rPr>
              <w:t>废</w:t>
            </w:r>
            <w:r>
              <w:rPr>
                <w:rFonts w:hint="eastAsia" w:ascii="Times New Roman" w:hAnsi="Times New Roman" w:eastAsia="宋体" w:cs="Times New Roman"/>
                <w:b w:val="0"/>
                <w:bCs w:val="0"/>
                <w:color w:val="auto"/>
                <w:sz w:val="24"/>
                <w:szCs w:val="24"/>
                <w:highlight w:val="none"/>
                <w:lang w:val="en-US" w:eastAsia="zh-CN"/>
              </w:rPr>
              <w:t>旧包装材料</w:t>
            </w:r>
          </w:p>
          <w:p w14:paraId="32F7C1B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根据企业提供的资料，废包装主要为废纸箱和废塑料袋。废纸箱等包装物产生量约为0.2t/a</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根据《固体废物分类与代码目录》</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废物种类为SW17</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废物代码900-005-S17</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废塑料袋等包装物产生量约为0.1t/a</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根据《固体废物分类与代码目录》</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废物种类为 SW17</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废物代码900-003-S17。以上废包装外售具有相应处理能力或经营范围的单位利用或处置。</w:t>
            </w:r>
          </w:p>
          <w:p w14:paraId="5934A953">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left="0" w:firstLine="482" w:firstLineChars="200"/>
              <w:jc w:val="both"/>
              <w:textAlignment w:val="auto"/>
              <w:rPr>
                <w:rFonts w:hint="eastAsia"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危险废物</w:t>
            </w:r>
          </w:p>
          <w:p w14:paraId="2288D83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both"/>
              <w:textAlignment w:val="auto"/>
              <w:rPr>
                <w:rFonts w:hint="default" w:ascii="Times New Roman" w:hAnsi="Times New Roman" w:eastAsia="宋体" w:cs="Times New Roman"/>
                <w:b w:val="0"/>
                <w:bCs w:val="0"/>
                <w:color w:val="auto"/>
                <w:spacing w:val="0"/>
                <w:sz w:val="24"/>
                <w:szCs w:val="24"/>
                <w:highlight w:val="none"/>
                <w:lang w:eastAsia="zh-CN"/>
              </w:rPr>
            </w:pPr>
            <w:r>
              <w:rPr>
                <w:rFonts w:hint="eastAsia" w:cs="Times New Roman"/>
                <w:b w:val="0"/>
                <w:bCs w:val="0"/>
                <w:color w:val="auto"/>
                <w:spacing w:val="0"/>
                <w:sz w:val="24"/>
                <w:szCs w:val="24"/>
                <w:highlight w:val="none"/>
                <w:lang w:val="en-US" w:eastAsia="zh-CN"/>
              </w:rPr>
              <w:t>①</w:t>
            </w:r>
            <w:r>
              <w:rPr>
                <w:rFonts w:hint="default" w:ascii="Times New Roman" w:hAnsi="Times New Roman" w:eastAsia="宋体" w:cs="Times New Roman"/>
                <w:b w:val="0"/>
                <w:bCs w:val="0"/>
                <w:color w:val="auto"/>
                <w:spacing w:val="0"/>
                <w:sz w:val="24"/>
                <w:szCs w:val="24"/>
                <w:highlight w:val="none"/>
              </w:rPr>
              <w:t>废</w:t>
            </w:r>
            <w:r>
              <w:rPr>
                <w:rFonts w:hint="default" w:ascii="Times New Roman" w:hAnsi="Times New Roman" w:eastAsia="宋体" w:cs="Times New Roman"/>
                <w:b w:val="0"/>
                <w:bCs w:val="0"/>
                <w:color w:val="auto"/>
                <w:spacing w:val="0"/>
                <w:sz w:val="24"/>
                <w:szCs w:val="24"/>
                <w:highlight w:val="none"/>
                <w:lang w:val="en-US" w:eastAsia="zh-CN"/>
              </w:rPr>
              <w:t>矿物</w:t>
            </w:r>
            <w:r>
              <w:rPr>
                <w:rFonts w:hint="default" w:ascii="Times New Roman" w:hAnsi="Times New Roman" w:eastAsia="宋体" w:cs="Times New Roman"/>
                <w:b w:val="0"/>
                <w:bCs w:val="0"/>
                <w:color w:val="auto"/>
                <w:spacing w:val="0"/>
                <w:sz w:val="24"/>
                <w:szCs w:val="24"/>
                <w:highlight w:val="none"/>
              </w:rPr>
              <w:t>油</w:t>
            </w:r>
          </w:p>
          <w:p w14:paraId="7DE8956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设备检修产生的废</w:t>
            </w:r>
            <w:r>
              <w:rPr>
                <w:rFonts w:hint="default" w:ascii="Times New Roman" w:hAnsi="Times New Roman" w:eastAsia="宋体" w:cs="Times New Roman"/>
                <w:color w:val="auto"/>
                <w:spacing w:val="0"/>
                <w:sz w:val="24"/>
                <w:szCs w:val="24"/>
                <w:highlight w:val="none"/>
                <w:lang w:val="en-US" w:eastAsia="zh-CN"/>
              </w:rPr>
              <w:t>矿物</w:t>
            </w:r>
            <w:r>
              <w:rPr>
                <w:rFonts w:hint="default" w:ascii="Times New Roman" w:hAnsi="Times New Roman" w:eastAsia="宋体" w:cs="Times New Roman"/>
                <w:color w:val="auto"/>
                <w:spacing w:val="0"/>
                <w:sz w:val="24"/>
                <w:szCs w:val="24"/>
                <w:highlight w:val="none"/>
              </w:rPr>
              <w:t>油属于危险废物，年产生量约</w:t>
            </w:r>
            <w:r>
              <w:rPr>
                <w:rFonts w:hint="eastAsia" w:ascii="Times New Roman" w:hAnsi="Times New Roman" w:eastAsia="宋体" w:cs="Times New Roman"/>
                <w:color w:val="auto"/>
                <w:spacing w:val="0"/>
                <w:sz w:val="24"/>
                <w:szCs w:val="24"/>
                <w:highlight w:val="none"/>
                <w:lang w:val="en-US" w:eastAsia="zh-CN"/>
              </w:rPr>
              <w:t>0.0</w:t>
            </w:r>
            <w:r>
              <w:rPr>
                <w:rFonts w:hint="eastAsia"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rPr>
              <w:t>t，根据《国家危险废物名录》</w:t>
            </w:r>
            <w:r>
              <w:rPr>
                <w:rFonts w:hint="eastAsia"/>
                <w:color w:val="auto"/>
                <w:sz w:val="24"/>
                <w:szCs w:val="24"/>
                <w:highlight w:val="none"/>
                <w:lang w:eastAsia="zh-CN"/>
              </w:rPr>
              <w:t>（2025年版</w:t>
            </w:r>
            <w:r>
              <w:rPr>
                <w:rFonts w:hint="eastAsia" w:cs="Calibri"/>
                <w:snapToGrid w:val="0"/>
                <w:color w:val="auto"/>
                <w:kern w:val="0"/>
                <w:sz w:val="24"/>
                <w:szCs w:val="24"/>
                <w:highlight w:val="none"/>
              </w:rPr>
              <w:t>）</w:t>
            </w:r>
            <w:r>
              <w:rPr>
                <w:rFonts w:hint="default" w:ascii="Times New Roman" w:hAnsi="Times New Roman" w:eastAsia="宋体" w:cs="Times New Roman"/>
                <w:color w:val="auto"/>
                <w:spacing w:val="0"/>
                <w:sz w:val="24"/>
                <w:szCs w:val="24"/>
                <w:highlight w:val="none"/>
              </w:rPr>
              <w:t>，危废类别 HW08废矿物油与含矿物油废物，危废代码 900-214-08。废</w:t>
            </w:r>
            <w:r>
              <w:rPr>
                <w:rFonts w:hint="default" w:ascii="Times New Roman" w:hAnsi="Times New Roman" w:eastAsia="宋体" w:cs="Times New Roman"/>
                <w:color w:val="auto"/>
                <w:spacing w:val="0"/>
                <w:sz w:val="24"/>
                <w:szCs w:val="24"/>
                <w:highlight w:val="none"/>
                <w:lang w:val="en-US" w:eastAsia="zh-CN"/>
              </w:rPr>
              <w:t>矿物油</w:t>
            </w:r>
            <w:r>
              <w:rPr>
                <w:rFonts w:hint="default" w:ascii="Times New Roman" w:hAnsi="Times New Roman" w:eastAsia="宋体" w:cs="Times New Roman"/>
                <w:color w:val="auto"/>
                <w:spacing w:val="0"/>
                <w:sz w:val="24"/>
                <w:szCs w:val="24"/>
                <w:highlight w:val="none"/>
              </w:rPr>
              <w:t>收集后采用桶装，暂存于危险废物暂存间内，定期委托具备危废</w:t>
            </w:r>
            <w:r>
              <w:rPr>
                <w:rFonts w:hint="default" w:ascii="Times New Roman" w:hAnsi="Times New Roman" w:eastAsia="宋体" w:cs="Times New Roman"/>
                <w:color w:val="auto"/>
                <w:spacing w:val="0"/>
                <w:sz w:val="24"/>
                <w:szCs w:val="24"/>
                <w:highlight w:val="none"/>
                <w:lang w:val="en-US" w:eastAsia="zh-CN"/>
              </w:rPr>
              <w:t>处置资质的</w:t>
            </w:r>
            <w:r>
              <w:rPr>
                <w:rFonts w:hint="default" w:ascii="Times New Roman" w:hAnsi="Times New Roman" w:eastAsia="宋体" w:cs="Times New Roman"/>
                <w:color w:val="auto"/>
                <w:spacing w:val="0"/>
                <w:sz w:val="24"/>
                <w:szCs w:val="24"/>
                <w:highlight w:val="none"/>
              </w:rPr>
              <w:t>单位</w:t>
            </w:r>
            <w:r>
              <w:rPr>
                <w:rFonts w:hint="default" w:ascii="Times New Roman" w:hAnsi="Times New Roman" w:eastAsia="宋体" w:cs="Times New Roman"/>
                <w:color w:val="auto"/>
                <w:spacing w:val="0"/>
                <w:sz w:val="24"/>
                <w:szCs w:val="24"/>
                <w:highlight w:val="none"/>
                <w:lang w:val="en-US" w:eastAsia="zh-CN"/>
              </w:rPr>
              <w:t>进行处置</w:t>
            </w:r>
            <w:r>
              <w:rPr>
                <w:rFonts w:hint="default" w:ascii="Times New Roman" w:hAnsi="Times New Roman" w:eastAsia="宋体" w:cs="Times New Roman"/>
                <w:color w:val="auto"/>
                <w:spacing w:val="0"/>
                <w:sz w:val="24"/>
                <w:szCs w:val="24"/>
                <w:highlight w:val="none"/>
              </w:rPr>
              <w:t>。</w:t>
            </w:r>
          </w:p>
          <w:p w14:paraId="0A9CAB44">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②</w:t>
            </w:r>
            <w:r>
              <w:rPr>
                <w:rFonts w:hint="default" w:ascii="Times New Roman" w:hAnsi="Times New Roman" w:eastAsia="宋体" w:cs="Times New Roman"/>
                <w:b w:val="0"/>
                <w:bCs w:val="0"/>
                <w:color w:val="auto"/>
                <w:sz w:val="24"/>
                <w:szCs w:val="24"/>
                <w:highlight w:val="none"/>
                <w:lang w:val="en-US" w:eastAsia="zh-CN"/>
              </w:rPr>
              <w:t>废油桶</w:t>
            </w:r>
          </w:p>
          <w:p w14:paraId="7FD9B9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宋体" w:cs="Times New Roman"/>
                <w:b w:val="0"/>
                <w:bCs/>
                <w:color w:val="auto"/>
                <w:sz w:val="24"/>
                <w:szCs w:val="24"/>
                <w:highlight w:val="none"/>
                <w:lang w:val="en-US" w:eastAsia="zh-CN"/>
              </w:rPr>
              <w:t>根据企业提供资料，废润滑油桶为10个/a</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每个空桶重量按照2kg计，则废润滑油桶产生量约为0.02t/a。根据《国家危险废物名录》</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2025年版</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其属于危险废物，废物类别为HW08</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废物代码为900-249-08</w:t>
            </w:r>
            <w:r>
              <w:rPr>
                <w:rFonts w:hint="eastAsia"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暂存危废库，委托有资质公司处理。</w:t>
            </w:r>
          </w:p>
          <w:p w14:paraId="2D1C68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b w:val="0"/>
                <w:bCs w:val="0"/>
                <w:color w:val="auto"/>
                <w:sz w:val="24"/>
                <w:szCs w:val="24"/>
                <w:highlight w:val="none"/>
                <w:lang w:val="en-US" w:eastAsia="zh-CN"/>
              </w:rPr>
              <w:t>③</w:t>
            </w:r>
            <w:r>
              <w:rPr>
                <w:rFonts w:hint="eastAsia" w:ascii="Times New Roman" w:hAnsi="Times New Roman" w:eastAsia="宋体" w:cs="Times New Roman"/>
                <w:color w:val="auto"/>
                <w:sz w:val="24"/>
                <w:szCs w:val="24"/>
                <w:highlight w:val="none"/>
                <w:lang w:val="en-US" w:eastAsia="zh-CN"/>
              </w:rPr>
              <w:t>废过滤棉</w:t>
            </w:r>
          </w:p>
          <w:p w14:paraId="030DBE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共1套活性炭吸附装置，内部装有过滤棉，每套装置内填充量为2m²，约为为0.001t，每季度更换一次，则需要的过滤棉为0.012t/a，考虑到沾染的杂质和水分，废过滤棉产生量约为0.02t/a。根据《国家危险废物名录》（2025年版），其属于危险</w:t>
            </w:r>
            <w:r>
              <w:rPr>
                <w:rFonts w:hint="default" w:ascii="Times New Roman" w:hAnsi="Times New Roman" w:eastAsia="宋体" w:cs="Times New Roman"/>
                <w:color w:val="auto"/>
                <w:sz w:val="24"/>
                <w:szCs w:val="24"/>
                <w:highlight w:val="none"/>
                <w:lang w:val="en-US" w:eastAsia="zh-CN"/>
              </w:rPr>
              <w:t>废物，废物类别为HW49</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 xml:space="preserve"> 废物代码为900-041-49</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暂存危废库，委托有资质公司处理</w:t>
            </w:r>
            <w:r>
              <w:rPr>
                <w:rFonts w:hint="eastAsia" w:ascii="Times New Roman" w:hAnsi="Times New Roman" w:eastAsia="宋体" w:cs="Times New Roman"/>
                <w:color w:val="auto"/>
                <w:sz w:val="24"/>
                <w:szCs w:val="24"/>
                <w:highlight w:val="none"/>
                <w:lang w:val="en-US" w:eastAsia="zh-CN"/>
              </w:rPr>
              <w:t>。</w:t>
            </w:r>
          </w:p>
          <w:p w14:paraId="49B86BDB">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④</w:t>
            </w:r>
            <w:r>
              <w:rPr>
                <w:rFonts w:hint="default" w:ascii="Times New Roman" w:hAnsi="Times New Roman" w:eastAsia="宋体" w:cs="Times New Roman"/>
                <w:b w:val="0"/>
                <w:bCs w:val="0"/>
                <w:color w:val="auto"/>
                <w:sz w:val="24"/>
                <w:szCs w:val="24"/>
                <w:highlight w:val="none"/>
                <w:lang w:val="en-US" w:eastAsia="zh-CN"/>
              </w:rPr>
              <w:t>废活性炭</w:t>
            </w:r>
          </w:p>
          <w:p w14:paraId="594438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设置1套</w:t>
            </w:r>
            <w:r>
              <w:rPr>
                <w:rFonts w:hint="default" w:ascii="Times New Roman" w:hAnsi="Times New Roman" w:eastAsia="宋体" w:cs="Times New Roman"/>
                <w:color w:val="auto"/>
                <w:sz w:val="24"/>
                <w:szCs w:val="24"/>
                <w:highlight w:val="none"/>
                <w:lang w:val="en-US" w:eastAsia="zh-CN"/>
              </w:rPr>
              <w:t>活性炭吸附装置吸附有机废气，根据前文可知，</w:t>
            </w:r>
            <w:r>
              <w:rPr>
                <w:rFonts w:hint="eastAsia" w:ascii="Times New Roman" w:hAnsi="Times New Roman" w:eastAsia="宋体" w:cs="Times New Roman"/>
                <w:color w:val="auto"/>
                <w:sz w:val="24"/>
                <w:szCs w:val="24"/>
                <w:highlight w:val="none"/>
                <w:lang w:val="en-US" w:eastAsia="zh-CN"/>
              </w:rPr>
              <w:t>本项目约有0.365t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有机废气被活性炭吸附，</w:t>
            </w:r>
            <w:r>
              <w:rPr>
                <w:rFonts w:hint="default" w:ascii="Times New Roman" w:hAnsi="Times New Roman" w:eastAsia="宋体" w:cs="Times New Roman"/>
                <w:color w:val="auto"/>
                <w:kern w:val="2"/>
                <w:sz w:val="24"/>
                <w:szCs w:val="24"/>
                <w:highlight w:val="none"/>
                <w:lang w:val="en-US" w:eastAsia="zh-CN" w:bidi="ar-SA"/>
              </w:rPr>
              <w:t>根据《简明通风设计手册》活性炭的有效吸附量：qe=0.</w:t>
            </w:r>
            <w:r>
              <w:rPr>
                <w:rFonts w:hint="eastAsia" w:ascii="Times New Roman" w:hAnsi="Times New Roman" w:eastAsia="宋体"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kg/kg活性炭，则活性炭最低使用量为</w:t>
            </w:r>
            <w:r>
              <w:rPr>
                <w:rFonts w:hint="eastAsia" w:ascii="Times New Roman" w:hAnsi="Times New Roman" w:eastAsia="宋体" w:cs="Times New Roman"/>
                <w:color w:val="auto"/>
                <w:kern w:val="2"/>
                <w:sz w:val="24"/>
                <w:szCs w:val="24"/>
                <w:highlight w:val="none"/>
                <w:lang w:val="en-US" w:eastAsia="zh-CN" w:bidi="ar-SA"/>
              </w:rPr>
              <w:t>0.913t</w:t>
            </w:r>
            <w:r>
              <w:rPr>
                <w:rFonts w:hint="default" w:ascii="Times New Roman" w:hAnsi="Times New Roman" w:eastAsia="宋体" w:cs="Times New Roman"/>
                <w:color w:val="auto"/>
                <w:kern w:val="2"/>
                <w:sz w:val="24"/>
                <w:szCs w:val="24"/>
                <w:highlight w:val="none"/>
                <w:lang w:val="en-US" w:eastAsia="zh-CN" w:bidi="ar-SA"/>
              </w:rPr>
              <w:t>/a</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活性炭应定期更换，以确保吸附效率。项目</w:t>
            </w:r>
            <w:r>
              <w:rPr>
                <w:rFonts w:hint="eastAsia" w:ascii="Times New Roman" w:hAnsi="Times New Roman" w:eastAsia="宋体" w:cs="Times New Roman"/>
                <w:color w:val="auto"/>
                <w:kern w:val="2"/>
                <w:sz w:val="24"/>
                <w:szCs w:val="24"/>
                <w:highlight w:val="none"/>
                <w:lang w:val="en-US" w:eastAsia="zh-CN" w:bidi="ar-SA"/>
              </w:rPr>
              <w:t>一套</w:t>
            </w:r>
            <w:r>
              <w:rPr>
                <w:rFonts w:hint="default" w:ascii="Times New Roman" w:hAnsi="Times New Roman" w:eastAsia="宋体" w:cs="Times New Roman"/>
                <w:color w:val="auto"/>
                <w:kern w:val="2"/>
                <w:sz w:val="24"/>
                <w:szCs w:val="24"/>
                <w:highlight w:val="none"/>
                <w:lang w:val="en-US" w:eastAsia="zh-CN" w:bidi="ar-SA"/>
              </w:rPr>
              <w:t>活性炭吸附装置一次装填量为</w:t>
            </w:r>
            <w:r>
              <w:rPr>
                <w:rFonts w:hint="eastAsia" w:ascii="Times New Roman" w:hAnsi="Times New Roman" w:eastAsia="宋体" w:cs="Times New Roman"/>
                <w:color w:val="auto"/>
                <w:kern w:val="2"/>
                <w:sz w:val="24"/>
                <w:szCs w:val="24"/>
                <w:highlight w:val="none"/>
                <w:lang w:val="en-US" w:eastAsia="zh-CN" w:bidi="ar-SA"/>
              </w:rPr>
              <w:t>0.5</w:t>
            </w:r>
            <w:r>
              <w:rPr>
                <w:rFonts w:hint="default" w:ascii="Times New Roman" w:hAnsi="Times New Roman" w:eastAsia="宋体" w:cs="Times New Roman"/>
                <w:color w:val="auto"/>
                <w:kern w:val="2"/>
                <w:sz w:val="24"/>
                <w:szCs w:val="24"/>
                <w:highlight w:val="none"/>
                <w:lang w:val="en-US" w:eastAsia="zh-CN" w:bidi="ar-SA"/>
              </w:rPr>
              <w:t>t，</w:t>
            </w:r>
            <w:r>
              <w:rPr>
                <w:rFonts w:hint="eastAsia" w:ascii="Times New Roman" w:hAnsi="Times New Roman" w:eastAsia="宋体" w:cs="Times New Roman"/>
                <w:color w:val="auto"/>
                <w:kern w:val="2"/>
                <w:sz w:val="24"/>
                <w:szCs w:val="24"/>
                <w:highlight w:val="none"/>
                <w:lang w:val="en-US" w:eastAsia="zh-CN" w:bidi="ar-SA"/>
              </w:rPr>
              <w:t>共1套活性炭吸附装置，</w:t>
            </w:r>
            <w:r>
              <w:rPr>
                <w:rFonts w:hint="default" w:ascii="Times New Roman" w:hAnsi="Times New Roman" w:eastAsia="宋体" w:cs="Times New Roman"/>
                <w:color w:val="auto"/>
                <w:kern w:val="2"/>
                <w:sz w:val="24"/>
                <w:szCs w:val="24"/>
                <w:highlight w:val="none"/>
                <w:lang w:val="en-US" w:eastAsia="zh-CN" w:bidi="ar-SA"/>
              </w:rPr>
              <w:t>每</w:t>
            </w:r>
            <w:r>
              <w:rPr>
                <w:rFonts w:hint="eastAsia" w:ascii="Times New Roman" w:hAnsi="Times New Roman" w:eastAsia="宋体" w:cs="Times New Roman"/>
                <w:color w:val="auto"/>
                <w:kern w:val="2"/>
                <w:sz w:val="24"/>
                <w:szCs w:val="24"/>
                <w:highlight w:val="none"/>
                <w:lang w:val="en-US" w:eastAsia="zh-CN" w:bidi="ar-SA"/>
              </w:rPr>
              <w:t>半年</w:t>
            </w:r>
            <w:r>
              <w:rPr>
                <w:rFonts w:hint="default" w:ascii="Times New Roman" w:hAnsi="Times New Roman" w:eastAsia="宋体" w:cs="Times New Roman"/>
                <w:color w:val="auto"/>
                <w:kern w:val="2"/>
                <w:sz w:val="24"/>
                <w:szCs w:val="24"/>
                <w:highlight w:val="none"/>
                <w:lang w:val="en-US" w:eastAsia="zh-CN" w:bidi="ar-SA"/>
              </w:rPr>
              <w:t>更换一次，则活性炭使用量为</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t/a。</w:t>
            </w:r>
          </w:p>
          <w:p w14:paraId="252776DC">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both"/>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废活性炭为活性炭用量与吸收废气量总和，产生量约为</w:t>
            </w:r>
            <w:r>
              <w:rPr>
                <w:rFonts w:hint="eastAsia" w:ascii="Times New Roman" w:hAnsi="Times New Roman" w:eastAsia="宋体" w:cs="Times New Roman"/>
                <w:color w:val="auto"/>
                <w:kern w:val="2"/>
                <w:sz w:val="24"/>
                <w:szCs w:val="24"/>
                <w:highlight w:val="none"/>
                <w:lang w:val="en-US" w:eastAsia="zh-CN" w:bidi="ar-SA"/>
              </w:rPr>
              <w:t>1.365</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0.365</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1.365</w:t>
            </w:r>
            <w:r>
              <w:rPr>
                <w:rFonts w:hint="default" w:ascii="Times New Roman" w:hAnsi="Times New Roman" w:eastAsia="宋体" w:cs="Times New Roman"/>
                <w:color w:val="auto"/>
                <w:kern w:val="2"/>
                <w:sz w:val="24"/>
                <w:szCs w:val="24"/>
                <w:highlight w:val="none"/>
                <w:lang w:val="en-US" w:eastAsia="zh-CN" w:bidi="ar-SA"/>
              </w:rPr>
              <w:t>），每次更换产生的废活性炭为</w:t>
            </w:r>
            <w:r>
              <w:rPr>
                <w:rFonts w:hint="eastAsia" w:ascii="Times New Roman" w:hAnsi="Times New Roman" w:eastAsia="宋体" w:cs="Times New Roman"/>
                <w:color w:val="auto"/>
                <w:kern w:val="2"/>
                <w:sz w:val="24"/>
                <w:szCs w:val="24"/>
                <w:highlight w:val="none"/>
                <w:lang w:val="en-US" w:eastAsia="zh-CN" w:bidi="ar-SA"/>
              </w:rPr>
              <w:t>0.683</w:t>
            </w:r>
            <w:r>
              <w:rPr>
                <w:rFonts w:hint="default" w:ascii="Times New Roman" w:hAnsi="Times New Roman" w:eastAsia="宋体" w:cs="Times New Roman"/>
                <w:color w:val="auto"/>
                <w:kern w:val="2"/>
                <w:sz w:val="24"/>
                <w:szCs w:val="24"/>
                <w:highlight w:val="none"/>
                <w:lang w:val="en-US" w:eastAsia="zh-CN" w:bidi="ar-SA"/>
              </w:rPr>
              <w:t>t。</w:t>
            </w:r>
          </w:p>
          <w:p w14:paraId="2360DB4F">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废活性炭属</w:t>
            </w:r>
            <w:r>
              <w:rPr>
                <w:rFonts w:hint="default" w:ascii="Times New Roman" w:hAnsi="Times New Roman" w:eastAsia="宋体" w:cs="Times New Roman"/>
                <w:color w:val="auto"/>
                <w:sz w:val="24"/>
                <w:szCs w:val="24"/>
                <w:highlight w:val="none"/>
              </w:rPr>
              <w:t>危险废物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编号为HW49（其他废物），废物代码为900-0</w:t>
            </w:r>
            <w:r>
              <w:rPr>
                <w:rFonts w:hint="default" w:ascii="Times New Roman" w:hAnsi="Times New Roman" w:eastAsia="宋体" w:cs="Times New Roman"/>
                <w:color w:val="auto"/>
                <w:sz w:val="24"/>
                <w:szCs w:val="24"/>
                <w:highlight w:val="none"/>
                <w:lang w:val="en-US" w:eastAsia="zh-CN"/>
              </w:rPr>
              <w:t>39</w:t>
            </w:r>
            <w:r>
              <w:rPr>
                <w:rFonts w:hint="default" w:ascii="Times New Roman" w:hAnsi="Times New Roman" w:eastAsia="宋体" w:cs="Times New Roman"/>
                <w:color w:val="auto"/>
                <w:sz w:val="24"/>
                <w:szCs w:val="24"/>
                <w:highlight w:val="none"/>
              </w:rPr>
              <w:t>-49（烟气、VOCs 治理过程（不包括餐饮行业油烟治理过程）产生的废活性炭，化学原料和化学制品脱色（不包括有机合成食品添加剂脱色）、除杂、净化过程产生的废活性炭（不包括900-405-06、772-005-18、261-053-29、265-002-29、384-003-29、387-001-29类废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color w:val="auto"/>
                <w:sz w:val="24"/>
                <w:szCs w:val="24"/>
                <w:highlight w:val="none"/>
                <w:lang w:val="en-US" w:eastAsia="zh-CN"/>
              </w:rPr>
              <w:t>委托有危废处置资质单位进行处置</w:t>
            </w:r>
            <w:r>
              <w:rPr>
                <w:rFonts w:hint="default" w:ascii="Times New Roman" w:hAnsi="Times New Roman" w:eastAsia="宋体" w:cs="Times New Roman"/>
                <w:color w:val="auto"/>
                <w:sz w:val="24"/>
                <w:szCs w:val="24"/>
                <w:highlight w:val="none"/>
                <w:lang w:eastAsia="zh-CN"/>
              </w:rPr>
              <w:t>。</w:t>
            </w:r>
          </w:p>
          <w:p w14:paraId="0BBA02ED">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更换方式：</w:t>
            </w:r>
            <w:r>
              <w:rPr>
                <w:rFonts w:hint="default" w:ascii="Times New Roman" w:hAnsi="Times New Roman" w:eastAsia="宋体" w:cs="Times New Roman"/>
                <w:b w:val="0"/>
                <w:bCs w:val="0"/>
                <w:color w:val="auto"/>
                <w:sz w:val="24"/>
                <w:szCs w:val="24"/>
                <w:highlight w:val="none"/>
                <w:lang w:val="en-US" w:eastAsia="zh-CN"/>
              </w:rPr>
              <w:t>活性炭技术处理装置应先于产生废气的生产工艺设备开启、晚于生产工艺设备停机，有条件的可实现与生产装置的连锁控制。</w:t>
            </w:r>
          </w:p>
          <w:p w14:paraId="463107C9">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监控方式：采用活性炭吸附装置的企业应配备VOCs快速监测设备，活性炭吸附相关技术处理装置应在设备进气和出气管道上设置气体采样口，采样口的设置应符合《环境保护产品技术要求 工业废气吸附净化装置HJ</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T386</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2007》的要求，便于日常监测活性炭吸附效率，当出口废气浓度≥排放限值的70%时，应及时更换活性炭，并做好相应台账更换记录及危废入库记录。</w:t>
            </w:r>
          </w:p>
          <w:p w14:paraId="58176D5C">
            <w:pPr>
              <w:pStyle w:val="145"/>
              <w:ind w:firstLine="480"/>
              <w:rPr>
                <w:color w:val="auto"/>
                <w:sz w:val="24"/>
                <w:szCs w:val="24"/>
                <w:highlight w:val="none"/>
              </w:rPr>
            </w:pPr>
            <w:r>
              <w:rPr>
                <w:rFonts w:hint="eastAsia"/>
                <w:color w:val="auto"/>
                <w:sz w:val="24"/>
                <w:szCs w:val="24"/>
                <w:highlight w:val="none"/>
              </w:rPr>
              <w:t>本项目固废产生处置情况详见下表。</w:t>
            </w:r>
          </w:p>
          <w:p w14:paraId="7B44E7B8">
            <w:pPr>
              <w:pStyle w:val="146"/>
              <w:rPr>
                <w:b w:val="0"/>
                <w:bCs/>
                <w:color w:val="auto"/>
                <w:sz w:val="24"/>
                <w:szCs w:val="24"/>
                <w:highlight w:val="none"/>
              </w:rPr>
            </w:pPr>
            <w:r>
              <w:rPr>
                <w:rFonts w:hint="eastAsia"/>
                <w:b/>
                <w:bCs w:val="0"/>
                <w:color w:val="auto"/>
                <w:sz w:val="24"/>
                <w:szCs w:val="24"/>
                <w:highlight w:val="none"/>
              </w:rPr>
              <w:t>表</w:t>
            </w:r>
            <w:r>
              <w:rPr>
                <w:b/>
                <w:bCs w:val="0"/>
                <w:color w:val="auto"/>
                <w:sz w:val="24"/>
                <w:szCs w:val="24"/>
                <w:highlight w:val="none"/>
              </w:rPr>
              <w:t>4-1</w:t>
            </w:r>
            <w:r>
              <w:rPr>
                <w:rFonts w:hint="eastAsia"/>
                <w:b/>
                <w:bCs w:val="0"/>
                <w:color w:val="auto"/>
                <w:sz w:val="24"/>
                <w:szCs w:val="24"/>
                <w:highlight w:val="none"/>
                <w:lang w:val="en-US" w:eastAsia="zh-CN"/>
              </w:rPr>
              <w:t>2</w:t>
            </w:r>
            <w:r>
              <w:rPr>
                <w:b/>
                <w:bCs w:val="0"/>
                <w:color w:val="auto"/>
                <w:sz w:val="24"/>
                <w:szCs w:val="24"/>
                <w:highlight w:val="none"/>
              </w:rPr>
              <w:t xml:space="preserve">  </w:t>
            </w:r>
            <w:r>
              <w:rPr>
                <w:rFonts w:hint="eastAsia"/>
                <w:b/>
                <w:bCs w:val="0"/>
                <w:color w:val="auto"/>
                <w:sz w:val="24"/>
                <w:szCs w:val="24"/>
                <w:highlight w:val="none"/>
              </w:rPr>
              <w:t>项目固体废物产生及处置情况</w:t>
            </w:r>
          </w:p>
          <w:tbl>
            <w:tblPr>
              <w:tblStyle w:val="37"/>
              <w:tblW w:w="504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4"/>
              <w:gridCol w:w="1690"/>
              <w:gridCol w:w="1051"/>
              <w:gridCol w:w="1304"/>
              <w:gridCol w:w="1587"/>
              <w:gridCol w:w="1624"/>
            </w:tblGrid>
            <w:tr w14:paraId="4AF393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pct"/>
                  <w:tcBorders>
                    <w:tl2br w:val="nil"/>
                    <w:tr2bl w:val="nil"/>
                  </w:tcBorders>
                  <w:noWrap w:val="0"/>
                  <w:vAlign w:val="center"/>
                </w:tcPr>
                <w:p w14:paraId="1C638B4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产生环节</w:t>
                  </w:r>
                </w:p>
              </w:tc>
              <w:tc>
                <w:tcPr>
                  <w:tcW w:w="966" w:type="pct"/>
                  <w:tcBorders>
                    <w:tl2br w:val="nil"/>
                    <w:tr2bl w:val="nil"/>
                  </w:tcBorders>
                  <w:noWrap w:val="0"/>
                  <w:vAlign w:val="center"/>
                </w:tcPr>
                <w:p w14:paraId="67B4E59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固体废物名称</w:t>
                  </w:r>
                </w:p>
              </w:tc>
              <w:tc>
                <w:tcPr>
                  <w:tcW w:w="601" w:type="pct"/>
                  <w:tcBorders>
                    <w:tl2br w:val="nil"/>
                    <w:tr2bl w:val="nil"/>
                  </w:tcBorders>
                  <w:noWrap w:val="0"/>
                  <w:vAlign w:val="center"/>
                </w:tcPr>
                <w:p w14:paraId="703237A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产生量（t/a）</w:t>
                  </w:r>
                </w:p>
              </w:tc>
              <w:tc>
                <w:tcPr>
                  <w:tcW w:w="745" w:type="pct"/>
                  <w:tcBorders>
                    <w:tl2br w:val="nil"/>
                    <w:tr2bl w:val="nil"/>
                  </w:tcBorders>
                  <w:noWrap w:val="0"/>
                  <w:vAlign w:val="center"/>
                </w:tcPr>
                <w:p w14:paraId="19E12C2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属性</w:t>
                  </w:r>
                </w:p>
              </w:tc>
              <w:tc>
                <w:tcPr>
                  <w:tcW w:w="907" w:type="pct"/>
                  <w:tcBorders>
                    <w:tl2br w:val="nil"/>
                    <w:tr2bl w:val="nil"/>
                  </w:tcBorders>
                  <w:noWrap w:val="0"/>
                  <w:vAlign w:val="center"/>
                </w:tcPr>
                <w:p w14:paraId="14F90B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废物类别</w:t>
                  </w:r>
                  <w:r>
                    <w:rPr>
                      <w:rFonts w:hint="default" w:ascii="Times New Roman" w:hAnsi="Times New Roman" w:eastAsia="宋体" w:cs="Times New Roman"/>
                      <w:b/>
                      <w:bCs/>
                      <w:color w:val="auto"/>
                      <w:sz w:val="21"/>
                      <w:szCs w:val="21"/>
                      <w:highlight w:val="none"/>
                      <w:lang w:eastAsia="zh-CN"/>
                    </w:rPr>
                    <w:t>及代码</w:t>
                  </w:r>
                </w:p>
              </w:tc>
              <w:tc>
                <w:tcPr>
                  <w:tcW w:w="929" w:type="pct"/>
                  <w:tcBorders>
                    <w:tl2br w:val="nil"/>
                    <w:tr2bl w:val="nil"/>
                  </w:tcBorders>
                  <w:noWrap w:val="0"/>
                  <w:vAlign w:val="center"/>
                </w:tcPr>
                <w:p w14:paraId="424BA06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处置措施</w:t>
                  </w:r>
                </w:p>
              </w:tc>
            </w:tr>
            <w:tr w14:paraId="14A8F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pct"/>
                  <w:tcBorders>
                    <w:tl2br w:val="nil"/>
                    <w:tr2bl w:val="nil"/>
                  </w:tcBorders>
                  <w:noWrap w:val="0"/>
                  <w:vAlign w:val="center"/>
                </w:tcPr>
                <w:p w14:paraId="72344FA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职工生活</w:t>
                  </w:r>
                </w:p>
              </w:tc>
              <w:tc>
                <w:tcPr>
                  <w:tcW w:w="966" w:type="pct"/>
                  <w:tcBorders>
                    <w:tl2br w:val="nil"/>
                    <w:tr2bl w:val="nil"/>
                  </w:tcBorders>
                  <w:noWrap w:val="0"/>
                  <w:vAlign w:val="center"/>
                </w:tcPr>
                <w:p w14:paraId="4DFC1FC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eastAsia" w:cs="Times New Roman"/>
                      <w:b w:val="0"/>
                      <w:bCs w:val="0"/>
                      <w:color w:val="auto"/>
                      <w:sz w:val="21"/>
                      <w:szCs w:val="21"/>
                      <w:highlight w:val="none"/>
                      <w:lang w:val="en-US" w:eastAsia="zh-CN"/>
                    </w:rPr>
                    <w:t>生活垃圾</w:t>
                  </w:r>
                </w:p>
              </w:tc>
              <w:tc>
                <w:tcPr>
                  <w:tcW w:w="601" w:type="pct"/>
                  <w:tcBorders>
                    <w:tl2br w:val="nil"/>
                    <w:tr2bl w:val="nil"/>
                  </w:tcBorders>
                  <w:noWrap w:val="0"/>
                  <w:vAlign w:val="center"/>
                </w:tcPr>
                <w:p w14:paraId="0CFD2E4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745" w:type="pct"/>
                  <w:tcBorders>
                    <w:tl2br w:val="nil"/>
                    <w:tr2bl w:val="nil"/>
                  </w:tcBorders>
                  <w:noWrap w:val="0"/>
                  <w:vAlign w:val="center"/>
                </w:tcPr>
                <w:p w14:paraId="449B0EE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w:t>
                  </w:r>
                </w:p>
              </w:tc>
              <w:tc>
                <w:tcPr>
                  <w:tcW w:w="907" w:type="pct"/>
                  <w:tcBorders>
                    <w:tl2br w:val="nil"/>
                    <w:tr2bl w:val="nil"/>
                  </w:tcBorders>
                  <w:noWrap w:val="0"/>
                  <w:vAlign w:val="center"/>
                </w:tcPr>
                <w:p w14:paraId="7807AC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eastAsia" w:cs="Times New Roman"/>
                      <w:b/>
                      <w:bCs/>
                      <w:color w:val="auto"/>
                      <w:sz w:val="21"/>
                      <w:szCs w:val="21"/>
                      <w:highlight w:val="none"/>
                      <w:lang w:val="en-US" w:eastAsia="zh-CN"/>
                    </w:rPr>
                    <w:t>--</w:t>
                  </w:r>
                </w:p>
              </w:tc>
              <w:tc>
                <w:tcPr>
                  <w:tcW w:w="929" w:type="pct"/>
                  <w:tcBorders>
                    <w:tl2br w:val="nil"/>
                    <w:tr2bl w:val="nil"/>
                  </w:tcBorders>
                  <w:noWrap w:val="0"/>
                  <w:vAlign w:val="center"/>
                </w:tcPr>
                <w:p w14:paraId="60A88DE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val="0"/>
                      <w:bCs w:val="0"/>
                      <w:color w:val="auto"/>
                      <w:sz w:val="21"/>
                      <w:szCs w:val="21"/>
                      <w:highlight w:val="none"/>
                    </w:rPr>
                    <w:t>委托环卫部门清运</w:t>
                  </w:r>
                </w:p>
              </w:tc>
            </w:tr>
            <w:tr w14:paraId="5A6220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848" w:type="pct"/>
                  <w:tcBorders>
                    <w:tl2br w:val="nil"/>
                    <w:tr2bl w:val="nil"/>
                  </w:tcBorders>
                  <w:noWrap w:val="0"/>
                  <w:vAlign w:val="center"/>
                </w:tcPr>
                <w:p w14:paraId="64CADA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b w:val="0"/>
                      <w:bCs w:val="0"/>
                      <w:color w:val="auto"/>
                      <w:sz w:val="21"/>
                      <w:szCs w:val="21"/>
                      <w:highlight w:val="none"/>
                      <w:lang w:val="en-US" w:eastAsia="zh-CN"/>
                    </w:rPr>
                    <w:t>吹塑工序</w:t>
                  </w:r>
                </w:p>
              </w:tc>
              <w:tc>
                <w:tcPr>
                  <w:tcW w:w="966" w:type="pct"/>
                  <w:tcBorders>
                    <w:tl2br w:val="nil"/>
                    <w:tr2bl w:val="nil"/>
                  </w:tcBorders>
                  <w:noWrap w:val="0"/>
                  <w:vAlign w:val="center"/>
                </w:tcPr>
                <w:p w14:paraId="142DDD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塑料下脚料</w:t>
                  </w:r>
                </w:p>
              </w:tc>
              <w:tc>
                <w:tcPr>
                  <w:tcW w:w="601" w:type="pct"/>
                  <w:tcBorders>
                    <w:tl2br w:val="nil"/>
                    <w:tr2bl w:val="nil"/>
                  </w:tcBorders>
                  <w:noWrap w:val="0"/>
                  <w:vAlign w:val="center"/>
                </w:tcPr>
                <w:p w14:paraId="28BD2FC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745" w:type="pct"/>
                  <w:tcBorders>
                    <w:tl2br w:val="nil"/>
                    <w:tr2bl w:val="nil"/>
                  </w:tcBorders>
                  <w:noWrap w:val="0"/>
                  <w:vAlign w:val="center"/>
                </w:tcPr>
                <w:p w14:paraId="681E64A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w:t>
                  </w:r>
                  <w:r>
                    <w:rPr>
                      <w:rFonts w:hint="default" w:ascii="Times New Roman" w:hAnsi="Times New Roman" w:cs="Times New Roman"/>
                      <w:color w:val="auto"/>
                      <w:sz w:val="21"/>
                      <w:szCs w:val="21"/>
                      <w:highlight w:val="none"/>
                      <w:lang w:val="en-US" w:eastAsia="zh-CN"/>
                    </w:rPr>
                    <w:t>工业固体</w:t>
                  </w:r>
                  <w:r>
                    <w:rPr>
                      <w:rFonts w:hint="default" w:ascii="Times New Roman" w:hAnsi="Times New Roman" w:cs="Times New Roman"/>
                      <w:color w:val="auto"/>
                      <w:sz w:val="21"/>
                      <w:szCs w:val="21"/>
                      <w:highlight w:val="none"/>
                    </w:rPr>
                    <w:t>废物</w:t>
                  </w:r>
                </w:p>
              </w:tc>
              <w:tc>
                <w:tcPr>
                  <w:tcW w:w="907" w:type="pct"/>
                  <w:tcBorders>
                    <w:tl2br w:val="nil"/>
                    <w:tr2bl w:val="nil"/>
                  </w:tcBorders>
                  <w:noWrap w:val="0"/>
                  <w:vAlign w:val="center"/>
                </w:tcPr>
                <w:p w14:paraId="130E324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900-003-S17</w:t>
                  </w:r>
                </w:p>
              </w:tc>
              <w:tc>
                <w:tcPr>
                  <w:tcW w:w="929" w:type="pct"/>
                  <w:tcBorders>
                    <w:tl2br w:val="nil"/>
                    <w:tr2bl w:val="nil"/>
                  </w:tcBorders>
                  <w:noWrap w:val="0"/>
                  <w:vAlign w:val="center"/>
                </w:tcPr>
                <w:p w14:paraId="5FA6600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粉碎后回用于生产</w:t>
                  </w:r>
                </w:p>
              </w:tc>
            </w:tr>
            <w:tr w14:paraId="46066F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pct"/>
                  <w:tcBorders>
                    <w:tl2br w:val="nil"/>
                    <w:tr2bl w:val="nil"/>
                  </w:tcBorders>
                  <w:noWrap w:val="0"/>
                  <w:vAlign w:val="center"/>
                </w:tcPr>
                <w:p w14:paraId="775010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包装</w:t>
                  </w:r>
                </w:p>
              </w:tc>
              <w:tc>
                <w:tcPr>
                  <w:tcW w:w="966" w:type="pct"/>
                  <w:tcBorders>
                    <w:tl2br w:val="nil"/>
                    <w:tr2bl w:val="nil"/>
                  </w:tcBorders>
                  <w:noWrap w:val="0"/>
                  <w:vAlign w:val="center"/>
                </w:tcPr>
                <w:p w14:paraId="7B3611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一般废旧包装材料</w:t>
                  </w:r>
                </w:p>
              </w:tc>
              <w:tc>
                <w:tcPr>
                  <w:tcW w:w="601" w:type="pct"/>
                  <w:tcBorders>
                    <w:tl2br w:val="nil"/>
                    <w:tr2bl w:val="nil"/>
                  </w:tcBorders>
                  <w:noWrap w:val="0"/>
                  <w:vAlign w:val="center"/>
                </w:tcPr>
                <w:p w14:paraId="5E08847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745" w:type="pct"/>
                  <w:tcBorders>
                    <w:tl2br w:val="nil"/>
                    <w:tr2bl w:val="nil"/>
                  </w:tcBorders>
                  <w:noWrap w:val="0"/>
                  <w:vAlign w:val="center"/>
                </w:tcPr>
                <w:p w14:paraId="7A5AFDB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w:t>
                  </w:r>
                  <w:r>
                    <w:rPr>
                      <w:rFonts w:hint="default" w:ascii="Times New Roman" w:hAnsi="Times New Roman" w:cs="Times New Roman"/>
                      <w:color w:val="auto"/>
                      <w:sz w:val="21"/>
                      <w:szCs w:val="21"/>
                      <w:highlight w:val="none"/>
                      <w:lang w:val="en-US" w:eastAsia="zh-CN"/>
                    </w:rPr>
                    <w:t>工业固体</w:t>
                  </w:r>
                  <w:r>
                    <w:rPr>
                      <w:rFonts w:hint="default" w:ascii="Times New Roman" w:hAnsi="Times New Roman" w:cs="Times New Roman"/>
                      <w:color w:val="auto"/>
                      <w:sz w:val="21"/>
                      <w:szCs w:val="21"/>
                      <w:highlight w:val="none"/>
                    </w:rPr>
                    <w:t>废物</w:t>
                  </w:r>
                </w:p>
              </w:tc>
              <w:tc>
                <w:tcPr>
                  <w:tcW w:w="907" w:type="pct"/>
                  <w:tcBorders>
                    <w:tl2br w:val="nil"/>
                    <w:tr2bl w:val="nil"/>
                  </w:tcBorders>
                  <w:noWrap w:val="0"/>
                  <w:vAlign w:val="center"/>
                </w:tcPr>
                <w:p w14:paraId="4924C33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900-003-S17</w:t>
                  </w:r>
                </w:p>
              </w:tc>
              <w:tc>
                <w:tcPr>
                  <w:tcW w:w="929" w:type="pct"/>
                  <w:tcBorders>
                    <w:tl2br w:val="nil"/>
                    <w:tr2bl w:val="nil"/>
                  </w:tcBorders>
                  <w:noWrap w:val="0"/>
                  <w:vAlign w:val="center"/>
                </w:tcPr>
                <w:p w14:paraId="45BEC5B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外售具有相应处理能力或经营范围的单位利用或处置</w:t>
                  </w:r>
                </w:p>
              </w:tc>
            </w:tr>
            <w:tr w14:paraId="2C5D7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48" w:type="pct"/>
                  <w:vMerge w:val="restart"/>
                  <w:tcBorders>
                    <w:tl2br w:val="nil"/>
                    <w:tr2bl w:val="nil"/>
                  </w:tcBorders>
                  <w:noWrap w:val="0"/>
                  <w:vAlign w:val="center"/>
                </w:tcPr>
                <w:p w14:paraId="46E4CD2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废气处理装置</w:t>
                  </w:r>
                </w:p>
              </w:tc>
              <w:tc>
                <w:tcPr>
                  <w:tcW w:w="966" w:type="pct"/>
                  <w:tcBorders>
                    <w:tl2br w:val="nil"/>
                    <w:tr2bl w:val="nil"/>
                  </w:tcBorders>
                  <w:noWrap w:val="0"/>
                  <w:vAlign w:val="center"/>
                </w:tcPr>
                <w:p w14:paraId="5759F84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废活性炭</w:t>
                  </w:r>
                </w:p>
              </w:tc>
              <w:tc>
                <w:tcPr>
                  <w:tcW w:w="601" w:type="pct"/>
                  <w:tcBorders>
                    <w:tl2br w:val="nil"/>
                    <w:tr2bl w:val="nil"/>
                  </w:tcBorders>
                  <w:noWrap w:val="0"/>
                  <w:vAlign w:val="center"/>
                </w:tcPr>
                <w:p w14:paraId="1225BDE6">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1.365</w:t>
                  </w:r>
                </w:p>
              </w:tc>
              <w:tc>
                <w:tcPr>
                  <w:tcW w:w="745" w:type="pct"/>
                  <w:tcBorders>
                    <w:tl2br w:val="nil"/>
                    <w:tr2bl w:val="nil"/>
                  </w:tcBorders>
                  <w:noWrap w:val="0"/>
                  <w:vAlign w:val="center"/>
                </w:tcPr>
                <w:p w14:paraId="36F3BFE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907" w:type="pct"/>
                  <w:tcBorders>
                    <w:tl2br w:val="nil"/>
                    <w:tr2bl w:val="nil"/>
                  </w:tcBorders>
                  <w:noWrap w:val="0"/>
                  <w:vAlign w:val="center"/>
                </w:tcPr>
                <w:p w14:paraId="2D5DAA9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039</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lang w:eastAsia="zh-CN"/>
                    </w:rPr>
                    <w:t>）</w:t>
                  </w:r>
                </w:p>
              </w:tc>
              <w:tc>
                <w:tcPr>
                  <w:tcW w:w="929" w:type="pct"/>
                  <w:vMerge w:val="restart"/>
                  <w:tcBorders>
                    <w:tl2br w:val="nil"/>
                    <w:tr2bl w:val="nil"/>
                  </w:tcBorders>
                  <w:noWrap w:val="0"/>
                  <w:vAlign w:val="center"/>
                </w:tcPr>
                <w:p w14:paraId="490EE4A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委托有危废处置资质的单位进行处置</w:t>
                  </w:r>
                </w:p>
              </w:tc>
            </w:tr>
            <w:tr w14:paraId="5F2421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848" w:type="pct"/>
                  <w:vMerge w:val="continue"/>
                  <w:tcBorders>
                    <w:tl2br w:val="nil"/>
                    <w:tr2bl w:val="nil"/>
                  </w:tcBorders>
                  <w:noWrap w:val="0"/>
                  <w:vAlign w:val="center"/>
                </w:tcPr>
                <w:p w14:paraId="35353C5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966" w:type="pct"/>
                  <w:tcBorders>
                    <w:tl2br w:val="nil"/>
                    <w:tr2bl w:val="nil"/>
                  </w:tcBorders>
                  <w:noWrap w:val="0"/>
                  <w:vAlign w:val="center"/>
                </w:tcPr>
                <w:p w14:paraId="0988F4A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废过滤棉</w:t>
                  </w:r>
                </w:p>
              </w:tc>
              <w:tc>
                <w:tcPr>
                  <w:tcW w:w="601" w:type="pct"/>
                  <w:tcBorders>
                    <w:tl2br w:val="nil"/>
                    <w:tr2bl w:val="nil"/>
                  </w:tcBorders>
                  <w:noWrap w:val="0"/>
                  <w:vAlign w:val="center"/>
                </w:tcPr>
                <w:p w14:paraId="666E23C0">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0.02</w:t>
                  </w:r>
                </w:p>
              </w:tc>
              <w:tc>
                <w:tcPr>
                  <w:tcW w:w="745" w:type="pct"/>
                  <w:tcBorders>
                    <w:tl2br w:val="nil"/>
                    <w:tr2bl w:val="nil"/>
                  </w:tcBorders>
                  <w:noWrap w:val="0"/>
                  <w:vAlign w:val="center"/>
                </w:tcPr>
                <w:p w14:paraId="21E826E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907" w:type="pct"/>
                  <w:tcBorders>
                    <w:tl2br w:val="nil"/>
                    <w:tr2bl w:val="nil"/>
                  </w:tcBorders>
                  <w:noWrap w:val="0"/>
                  <w:vAlign w:val="center"/>
                </w:tcPr>
                <w:p w14:paraId="544A51E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lang w:eastAsia="zh-CN"/>
                    </w:rPr>
                    <w:t>）</w:t>
                  </w:r>
                </w:p>
              </w:tc>
              <w:tc>
                <w:tcPr>
                  <w:tcW w:w="929" w:type="pct"/>
                  <w:vMerge w:val="continue"/>
                  <w:tcBorders>
                    <w:tl2br w:val="nil"/>
                    <w:tr2bl w:val="nil"/>
                  </w:tcBorders>
                  <w:noWrap w:val="0"/>
                  <w:vAlign w:val="center"/>
                </w:tcPr>
                <w:p w14:paraId="484940AC">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r>
            <w:tr w14:paraId="5C65C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pct"/>
                  <w:vMerge w:val="restart"/>
                  <w:tcBorders>
                    <w:tl2br w:val="nil"/>
                    <w:tr2bl w:val="nil"/>
                  </w:tcBorders>
                  <w:noWrap w:val="0"/>
                  <w:vAlign w:val="center"/>
                </w:tcPr>
                <w:p w14:paraId="7623D15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设备维修</w:t>
                  </w:r>
                </w:p>
              </w:tc>
              <w:tc>
                <w:tcPr>
                  <w:tcW w:w="966" w:type="pct"/>
                  <w:tcBorders>
                    <w:tl2br w:val="nil"/>
                    <w:tr2bl w:val="nil"/>
                  </w:tcBorders>
                  <w:noWrap w:val="0"/>
                  <w:vAlign w:val="center"/>
                </w:tcPr>
                <w:p w14:paraId="176FBFE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w:t>
                  </w:r>
                  <w:r>
                    <w:rPr>
                      <w:rFonts w:hint="eastAsia" w:cs="Times New Roman"/>
                      <w:color w:val="auto"/>
                      <w:sz w:val="21"/>
                      <w:szCs w:val="21"/>
                      <w:highlight w:val="none"/>
                      <w:lang w:val="en-US" w:eastAsia="zh-CN"/>
                    </w:rPr>
                    <w:t>矿物</w:t>
                  </w:r>
                  <w:r>
                    <w:rPr>
                      <w:rFonts w:hint="default" w:ascii="Times New Roman" w:hAnsi="Times New Roman" w:cs="Times New Roman"/>
                      <w:color w:val="auto"/>
                      <w:sz w:val="21"/>
                      <w:szCs w:val="21"/>
                      <w:highlight w:val="none"/>
                      <w:lang w:val="en-US" w:eastAsia="zh-CN"/>
                    </w:rPr>
                    <w:t>油</w:t>
                  </w:r>
                </w:p>
              </w:tc>
              <w:tc>
                <w:tcPr>
                  <w:tcW w:w="601" w:type="pct"/>
                  <w:tcBorders>
                    <w:tl2br w:val="nil"/>
                    <w:tr2bl w:val="nil"/>
                  </w:tcBorders>
                  <w:noWrap w:val="0"/>
                  <w:vAlign w:val="center"/>
                </w:tcPr>
                <w:p w14:paraId="2C80EA09">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0.02</w:t>
                  </w:r>
                </w:p>
              </w:tc>
              <w:tc>
                <w:tcPr>
                  <w:tcW w:w="745" w:type="pct"/>
                  <w:tcBorders>
                    <w:tl2br w:val="nil"/>
                    <w:tr2bl w:val="nil"/>
                  </w:tcBorders>
                  <w:noWrap w:val="0"/>
                  <w:vAlign w:val="center"/>
                </w:tcPr>
                <w:p w14:paraId="6035E08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907" w:type="pct"/>
                  <w:tcBorders>
                    <w:tl2br w:val="nil"/>
                    <w:tr2bl w:val="nil"/>
                  </w:tcBorders>
                  <w:noWrap w:val="0"/>
                  <w:vAlign w:val="center"/>
                </w:tcPr>
                <w:p w14:paraId="7C759A7F">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21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lang w:eastAsia="zh-CN"/>
                    </w:rPr>
                    <w:t>）</w:t>
                  </w:r>
                </w:p>
              </w:tc>
              <w:tc>
                <w:tcPr>
                  <w:tcW w:w="929" w:type="pct"/>
                  <w:vMerge w:val="continue"/>
                  <w:tcBorders>
                    <w:tl2br w:val="nil"/>
                    <w:tr2bl w:val="nil"/>
                  </w:tcBorders>
                  <w:noWrap w:val="0"/>
                  <w:vAlign w:val="center"/>
                </w:tcPr>
                <w:p w14:paraId="69AEBFA3">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r>
            <w:tr w14:paraId="4CF3E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8" w:type="pct"/>
                  <w:vMerge w:val="continue"/>
                  <w:tcBorders>
                    <w:tl2br w:val="nil"/>
                    <w:tr2bl w:val="nil"/>
                  </w:tcBorders>
                  <w:noWrap w:val="0"/>
                  <w:vAlign w:val="center"/>
                </w:tcPr>
                <w:p w14:paraId="4193E623">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966" w:type="pct"/>
                  <w:tcBorders>
                    <w:tl2br w:val="nil"/>
                    <w:tr2bl w:val="nil"/>
                  </w:tcBorders>
                  <w:noWrap w:val="0"/>
                  <w:vAlign w:val="center"/>
                </w:tcPr>
                <w:p w14:paraId="31BF937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废油桶</w:t>
                  </w:r>
                </w:p>
              </w:tc>
              <w:tc>
                <w:tcPr>
                  <w:tcW w:w="601" w:type="pct"/>
                  <w:tcBorders>
                    <w:tl2br w:val="nil"/>
                    <w:tr2bl w:val="nil"/>
                  </w:tcBorders>
                  <w:noWrap w:val="0"/>
                  <w:vAlign w:val="center"/>
                </w:tcPr>
                <w:p w14:paraId="6E4366BA">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w:t>
                  </w:r>
                </w:p>
              </w:tc>
              <w:tc>
                <w:tcPr>
                  <w:tcW w:w="745" w:type="pct"/>
                  <w:tcBorders>
                    <w:tl2br w:val="nil"/>
                    <w:tr2bl w:val="nil"/>
                  </w:tcBorders>
                  <w:noWrap w:val="0"/>
                  <w:vAlign w:val="center"/>
                </w:tcPr>
                <w:p w14:paraId="6E4EEC37">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907" w:type="pct"/>
                  <w:tcBorders>
                    <w:tl2br w:val="nil"/>
                    <w:tr2bl w:val="nil"/>
                  </w:tcBorders>
                  <w:noWrap w:val="0"/>
                  <w:vAlign w:val="center"/>
                </w:tcPr>
                <w:p w14:paraId="4A93927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w:t>
                  </w:r>
                  <w:r>
                    <w:rPr>
                      <w:rFonts w:hint="eastAsia"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lang w:eastAsia="zh-CN"/>
                    </w:rPr>
                    <w:t>）</w:t>
                  </w:r>
                </w:p>
              </w:tc>
              <w:tc>
                <w:tcPr>
                  <w:tcW w:w="929" w:type="pct"/>
                  <w:vMerge w:val="continue"/>
                  <w:tcBorders>
                    <w:tl2br w:val="nil"/>
                    <w:tr2bl w:val="nil"/>
                  </w:tcBorders>
                  <w:noWrap w:val="0"/>
                  <w:vAlign w:val="center"/>
                </w:tcPr>
                <w:p w14:paraId="1E4BEB3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r>
          </w:tbl>
          <w:p w14:paraId="3AFCF34B">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根据《建设项目危险废物环境影响评价指南》，本项目工程分析中危险废物汇总表见表</w:t>
            </w:r>
            <w:r>
              <w:rPr>
                <w:rFonts w:hint="default"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14:paraId="38B68C0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b/>
                <w:bCs/>
                <w:snapToGrid w:val="0"/>
                <w:color w:val="auto"/>
                <w:kern w:val="21"/>
                <w:sz w:val="24"/>
                <w:szCs w:val="24"/>
                <w:highlight w:val="none"/>
                <w:lang w:val="en-US" w:eastAsia="zh-CN" w:bidi="ar-SA"/>
              </w:rPr>
            </w:pPr>
            <w:r>
              <w:rPr>
                <w:rFonts w:hint="default" w:ascii="Times New Roman" w:hAnsi="Times New Roman" w:eastAsia="宋体" w:cs="Times New Roman"/>
                <w:b/>
                <w:bCs/>
                <w:snapToGrid w:val="0"/>
                <w:color w:val="auto"/>
                <w:kern w:val="21"/>
                <w:sz w:val="24"/>
                <w:szCs w:val="24"/>
                <w:highlight w:val="none"/>
                <w:lang w:val="en-US" w:eastAsia="zh-CN" w:bidi="ar-SA"/>
              </w:rPr>
              <w:t>表4-</w:t>
            </w:r>
            <w:r>
              <w:rPr>
                <w:rFonts w:hint="eastAsia" w:ascii="Times New Roman" w:hAnsi="Times New Roman" w:eastAsia="宋体" w:cs="Times New Roman"/>
                <w:b/>
                <w:bCs/>
                <w:snapToGrid w:val="0"/>
                <w:color w:val="auto"/>
                <w:kern w:val="21"/>
                <w:sz w:val="24"/>
                <w:szCs w:val="24"/>
                <w:highlight w:val="none"/>
                <w:lang w:val="en-US" w:eastAsia="zh-CN" w:bidi="ar-SA"/>
              </w:rPr>
              <w:t>1</w:t>
            </w:r>
            <w:r>
              <w:rPr>
                <w:rFonts w:hint="eastAsia" w:cs="Times New Roman"/>
                <w:b/>
                <w:bCs/>
                <w:snapToGrid w:val="0"/>
                <w:color w:val="auto"/>
                <w:kern w:val="21"/>
                <w:sz w:val="24"/>
                <w:szCs w:val="24"/>
                <w:highlight w:val="none"/>
                <w:lang w:val="en-US" w:eastAsia="zh-CN" w:bidi="ar-SA"/>
              </w:rPr>
              <w:t>3</w:t>
            </w:r>
            <w:r>
              <w:rPr>
                <w:rFonts w:hint="default" w:ascii="Times New Roman" w:hAnsi="Times New Roman" w:eastAsia="宋体" w:cs="Times New Roman"/>
                <w:b/>
                <w:bCs/>
                <w:snapToGrid w:val="0"/>
                <w:color w:val="auto"/>
                <w:kern w:val="21"/>
                <w:sz w:val="24"/>
                <w:szCs w:val="24"/>
                <w:highlight w:val="none"/>
                <w:lang w:val="en-US" w:eastAsia="zh-CN" w:bidi="ar-SA"/>
              </w:rPr>
              <w:t xml:space="preserve"> 危险废物汇总表</w:t>
            </w:r>
          </w:p>
          <w:tbl>
            <w:tblPr>
              <w:tblStyle w:val="37"/>
              <w:tblW w:w="86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6"/>
              <w:gridCol w:w="682"/>
              <w:gridCol w:w="813"/>
              <w:gridCol w:w="810"/>
              <w:gridCol w:w="682"/>
              <w:gridCol w:w="985"/>
              <w:gridCol w:w="392"/>
              <w:gridCol w:w="677"/>
              <w:gridCol w:w="697"/>
              <w:gridCol w:w="711"/>
              <w:gridCol w:w="712"/>
              <w:gridCol w:w="1133"/>
            </w:tblGrid>
            <w:tr w14:paraId="1377D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6" w:type="dxa"/>
                  <w:tcBorders>
                    <w:tl2br w:val="nil"/>
                    <w:tr2bl w:val="nil"/>
                  </w:tcBorders>
                  <w:noWrap w:val="0"/>
                  <w:vAlign w:val="center"/>
                </w:tcPr>
                <w:p w14:paraId="3FAFBB30">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序号</w:t>
                  </w:r>
                </w:p>
              </w:tc>
              <w:tc>
                <w:tcPr>
                  <w:tcW w:w="682" w:type="dxa"/>
                  <w:tcBorders>
                    <w:tl2br w:val="nil"/>
                    <w:tr2bl w:val="nil"/>
                  </w:tcBorders>
                  <w:noWrap w:val="0"/>
                  <w:vAlign w:val="center"/>
                </w:tcPr>
                <w:p w14:paraId="0F42AD19">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危险废物名称</w:t>
                  </w:r>
                </w:p>
              </w:tc>
              <w:tc>
                <w:tcPr>
                  <w:tcW w:w="813" w:type="dxa"/>
                  <w:tcBorders>
                    <w:tl2br w:val="nil"/>
                    <w:tr2bl w:val="nil"/>
                  </w:tcBorders>
                  <w:noWrap w:val="0"/>
                  <w:vAlign w:val="center"/>
                </w:tcPr>
                <w:p w14:paraId="5BF9D879">
                  <w:pPr>
                    <w:pStyle w:val="72"/>
                    <w:keepNext w:val="0"/>
                    <w:keepLines w:val="0"/>
                    <w:pageBreakBefore w:val="0"/>
                    <w:widowControl w:val="0"/>
                    <w:kinsoku/>
                    <w:wordWrap/>
                    <w:overflow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cs="Times New Roman"/>
                      <w:b/>
                      <w:bCs/>
                      <w:color w:val="auto"/>
                      <w:spacing w:val="0"/>
                      <w:sz w:val="21"/>
                      <w:szCs w:val="21"/>
                      <w:highlight w:val="none"/>
                    </w:rPr>
                    <w:t>危险废物类别</w:t>
                  </w:r>
                </w:p>
              </w:tc>
              <w:tc>
                <w:tcPr>
                  <w:tcW w:w="810" w:type="dxa"/>
                  <w:tcBorders>
                    <w:tl2br w:val="nil"/>
                    <w:tr2bl w:val="nil"/>
                  </w:tcBorders>
                  <w:noWrap w:val="0"/>
                  <w:vAlign w:val="center"/>
                </w:tcPr>
                <w:p w14:paraId="58A7881C">
                  <w:pPr>
                    <w:pStyle w:val="72"/>
                    <w:keepNext w:val="0"/>
                    <w:keepLines w:val="0"/>
                    <w:pageBreakBefore w:val="0"/>
                    <w:widowControl w:val="0"/>
                    <w:kinsoku/>
                    <w:wordWrap/>
                    <w:overflow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cs="Times New Roman"/>
                      <w:b/>
                      <w:bCs/>
                      <w:color w:val="auto"/>
                      <w:spacing w:val="0"/>
                      <w:sz w:val="21"/>
                      <w:szCs w:val="21"/>
                      <w:highlight w:val="none"/>
                    </w:rPr>
                    <w:t>危险废物代码</w:t>
                  </w:r>
                </w:p>
              </w:tc>
              <w:tc>
                <w:tcPr>
                  <w:tcW w:w="682" w:type="dxa"/>
                  <w:tcBorders>
                    <w:tl2br w:val="nil"/>
                    <w:tr2bl w:val="nil"/>
                  </w:tcBorders>
                  <w:noWrap w:val="0"/>
                  <w:vAlign w:val="center"/>
                </w:tcPr>
                <w:p w14:paraId="6A7EE9B1">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产生量（</w:t>
                  </w:r>
                  <w:r>
                    <w:rPr>
                      <w:rFonts w:hint="default" w:ascii="Times New Roman" w:hAnsi="Times New Roman" w:eastAsia="宋体" w:cs="Times New Roman"/>
                      <w:b/>
                      <w:bCs/>
                      <w:color w:val="auto"/>
                      <w:kern w:val="0"/>
                      <w:sz w:val="21"/>
                      <w:szCs w:val="21"/>
                      <w:highlight w:val="none"/>
                      <w:lang w:val="en-US" w:eastAsia="zh-CN"/>
                    </w:rPr>
                    <w:t>t/a</w:t>
                  </w:r>
                  <w:r>
                    <w:rPr>
                      <w:rFonts w:hint="default" w:ascii="Times New Roman" w:hAnsi="Times New Roman" w:eastAsia="宋体" w:cs="Times New Roman"/>
                      <w:b/>
                      <w:bCs/>
                      <w:color w:val="auto"/>
                      <w:kern w:val="0"/>
                      <w:sz w:val="21"/>
                      <w:szCs w:val="21"/>
                      <w:highlight w:val="none"/>
                    </w:rPr>
                    <w:t>）</w:t>
                  </w:r>
                </w:p>
              </w:tc>
              <w:tc>
                <w:tcPr>
                  <w:tcW w:w="985" w:type="dxa"/>
                  <w:tcBorders>
                    <w:tl2br w:val="nil"/>
                    <w:tr2bl w:val="nil"/>
                  </w:tcBorders>
                  <w:noWrap w:val="0"/>
                  <w:vAlign w:val="center"/>
                </w:tcPr>
                <w:p w14:paraId="08B4313B">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产生工序及装置</w:t>
                  </w:r>
                </w:p>
              </w:tc>
              <w:tc>
                <w:tcPr>
                  <w:tcW w:w="392" w:type="dxa"/>
                  <w:tcBorders>
                    <w:tl2br w:val="nil"/>
                    <w:tr2bl w:val="nil"/>
                  </w:tcBorders>
                  <w:noWrap w:val="0"/>
                  <w:vAlign w:val="center"/>
                </w:tcPr>
                <w:p w14:paraId="227C1F3E">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形态</w:t>
                  </w:r>
                </w:p>
              </w:tc>
              <w:tc>
                <w:tcPr>
                  <w:tcW w:w="677" w:type="dxa"/>
                  <w:tcBorders>
                    <w:tl2br w:val="nil"/>
                    <w:tr2bl w:val="nil"/>
                  </w:tcBorders>
                  <w:noWrap w:val="0"/>
                  <w:vAlign w:val="center"/>
                </w:tcPr>
                <w:p w14:paraId="0A20F3F6">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主要成分</w:t>
                  </w:r>
                </w:p>
              </w:tc>
              <w:tc>
                <w:tcPr>
                  <w:tcW w:w="697" w:type="dxa"/>
                  <w:tcBorders>
                    <w:tl2br w:val="nil"/>
                    <w:tr2bl w:val="nil"/>
                  </w:tcBorders>
                  <w:noWrap w:val="0"/>
                  <w:vAlign w:val="center"/>
                </w:tcPr>
                <w:p w14:paraId="24C974E2">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有害成分</w:t>
                  </w:r>
                </w:p>
              </w:tc>
              <w:tc>
                <w:tcPr>
                  <w:tcW w:w="711" w:type="dxa"/>
                  <w:tcBorders>
                    <w:tl2br w:val="nil"/>
                    <w:tr2bl w:val="nil"/>
                  </w:tcBorders>
                  <w:noWrap w:val="0"/>
                  <w:vAlign w:val="center"/>
                </w:tcPr>
                <w:p w14:paraId="0D98C071">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产废周期</w:t>
                  </w:r>
                </w:p>
              </w:tc>
              <w:tc>
                <w:tcPr>
                  <w:tcW w:w="712" w:type="dxa"/>
                  <w:tcBorders>
                    <w:tl2br w:val="nil"/>
                    <w:tr2bl w:val="nil"/>
                  </w:tcBorders>
                  <w:noWrap w:val="0"/>
                  <w:vAlign w:val="center"/>
                </w:tcPr>
                <w:p w14:paraId="12287248">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危险</w:t>
                  </w:r>
                </w:p>
                <w:p w14:paraId="671394DF">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特性</w:t>
                  </w:r>
                </w:p>
              </w:tc>
              <w:tc>
                <w:tcPr>
                  <w:tcW w:w="1133" w:type="dxa"/>
                  <w:tcBorders>
                    <w:tl2br w:val="nil"/>
                    <w:tr2bl w:val="nil"/>
                  </w:tcBorders>
                  <w:noWrap w:val="0"/>
                  <w:vAlign w:val="center"/>
                </w:tcPr>
                <w:p w14:paraId="5C670084">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污染防治措施</w:t>
                  </w:r>
                </w:p>
              </w:tc>
            </w:tr>
            <w:tr w14:paraId="3E0D8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96" w:type="dxa"/>
                  <w:tcBorders>
                    <w:tl2br w:val="nil"/>
                    <w:tr2bl w:val="nil"/>
                  </w:tcBorders>
                  <w:noWrap w:val="0"/>
                  <w:vAlign w:val="center"/>
                </w:tcPr>
                <w:p w14:paraId="7DA2DB46">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682" w:type="dxa"/>
                  <w:tcBorders>
                    <w:tl2br w:val="nil"/>
                    <w:tr2bl w:val="nil"/>
                  </w:tcBorders>
                  <w:noWrap w:val="0"/>
                  <w:vAlign w:val="center"/>
                </w:tcPr>
                <w:p w14:paraId="2791F7F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c>
                <w:tcPr>
                  <w:tcW w:w="813" w:type="dxa"/>
                  <w:tcBorders>
                    <w:tl2br w:val="nil"/>
                    <w:tr2bl w:val="nil"/>
                  </w:tcBorders>
                  <w:noWrap w:val="0"/>
                  <w:vAlign w:val="center"/>
                </w:tcPr>
                <w:p w14:paraId="6CE896FE">
                  <w:pPr>
                    <w:widowControl w:val="0"/>
                    <w:snapToGrid/>
                    <w:spacing w:line="240" w:lineRule="auto"/>
                    <w:ind w:firstLine="0" w:firstLineChars="0"/>
                    <w:jc w:val="center"/>
                    <w:rPr>
                      <w:rFonts w:hint="default" w:ascii="Times New Roman" w:hAnsi="Times New Roman" w:cs="Times New Roman"/>
                      <w:b w:val="0"/>
                      <w:bCs w:val="0"/>
                      <w:iCs/>
                      <w:color w:val="auto"/>
                      <w:kern w:val="2"/>
                      <w:sz w:val="21"/>
                      <w:szCs w:val="21"/>
                      <w:highlight w:val="none"/>
                    </w:rPr>
                  </w:pPr>
                  <w:r>
                    <w:rPr>
                      <w:rFonts w:hint="default" w:ascii="Times New Roman" w:hAnsi="Times New Roman" w:cs="Times New Roman"/>
                      <w:b w:val="0"/>
                      <w:bCs w:val="0"/>
                      <w:iCs/>
                      <w:color w:val="auto"/>
                      <w:kern w:val="2"/>
                      <w:sz w:val="21"/>
                      <w:szCs w:val="21"/>
                      <w:highlight w:val="none"/>
                    </w:rPr>
                    <w:t>HW49</w:t>
                  </w:r>
                </w:p>
              </w:tc>
              <w:tc>
                <w:tcPr>
                  <w:tcW w:w="810" w:type="dxa"/>
                  <w:tcBorders>
                    <w:tl2br w:val="nil"/>
                    <w:tr2bl w:val="nil"/>
                  </w:tcBorders>
                  <w:noWrap w:val="0"/>
                  <w:vAlign w:val="center"/>
                </w:tcPr>
                <w:p w14:paraId="2050892F">
                  <w:pPr>
                    <w:widowControl w:val="0"/>
                    <w:snapToGrid/>
                    <w:spacing w:line="240" w:lineRule="auto"/>
                    <w:ind w:firstLine="0" w:firstLineChars="0"/>
                    <w:jc w:val="center"/>
                    <w:rPr>
                      <w:rFonts w:hint="default" w:ascii="Times New Roman" w:hAnsi="Times New Roman" w:cs="Times New Roman"/>
                      <w:b w:val="0"/>
                      <w:bCs w:val="0"/>
                      <w:iCs/>
                      <w:color w:val="auto"/>
                      <w:kern w:val="2"/>
                      <w:sz w:val="21"/>
                      <w:szCs w:val="21"/>
                      <w:highlight w:val="none"/>
                    </w:rPr>
                  </w:pPr>
                  <w:r>
                    <w:rPr>
                      <w:rFonts w:hint="default" w:ascii="Times New Roman" w:hAnsi="Times New Roman" w:cs="Times New Roman"/>
                      <w:b w:val="0"/>
                      <w:bCs w:val="0"/>
                      <w:iCs/>
                      <w:color w:val="auto"/>
                      <w:kern w:val="2"/>
                      <w:sz w:val="21"/>
                      <w:szCs w:val="21"/>
                      <w:highlight w:val="none"/>
                    </w:rPr>
                    <w:t>900-</w:t>
                  </w:r>
                  <w:r>
                    <w:rPr>
                      <w:rFonts w:hint="default" w:ascii="Times New Roman" w:hAnsi="Times New Roman" w:cs="Times New Roman"/>
                      <w:b w:val="0"/>
                      <w:bCs w:val="0"/>
                      <w:iCs/>
                      <w:color w:val="auto"/>
                      <w:kern w:val="2"/>
                      <w:sz w:val="21"/>
                      <w:szCs w:val="21"/>
                      <w:highlight w:val="none"/>
                      <w:lang w:val="en-US" w:eastAsia="zh-CN"/>
                    </w:rPr>
                    <w:t>039</w:t>
                  </w:r>
                  <w:r>
                    <w:rPr>
                      <w:rFonts w:hint="default" w:ascii="Times New Roman" w:hAnsi="Times New Roman" w:cs="Times New Roman"/>
                      <w:b w:val="0"/>
                      <w:bCs w:val="0"/>
                      <w:iCs/>
                      <w:color w:val="auto"/>
                      <w:kern w:val="2"/>
                      <w:sz w:val="21"/>
                      <w:szCs w:val="21"/>
                      <w:highlight w:val="none"/>
                    </w:rPr>
                    <w:t>-49</w:t>
                  </w:r>
                </w:p>
              </w:tc>
              <w:tc>
                <w:tcPr>
                  <w:tcW w:w="682" w:type="dxa"/>
                  <w:tcBorders>
                    <w:tl2br w:val="nil"/>
                    <w:tr2bl w:val="nil"/>
                  </w:tcBorders>
                  <w:noWrap w:val="0"/>
                  <w:vAlign w:val="center"/>
                </w:tcPr>
                <w:p w14:paraId="61C1B5CE">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1.365</w:t>
                  </w:r>
                </w:p>
              </w:tc>
              <w:tc>
                <w:tcPr>
                  <w:tcW w:w="985" w:type="dxa"/>
                  <w:tcBorders>
                    <w:tl2br w:val="nil"/>
                    <w:tr2bl w:val="nil"/>
                  </w:tcBorders>
                  <w:noWrap w:val="0"/>
                  <w:vAlign w:val="center"/>
                </w:tcPr>
                <w:p w14:paraId="7825BD72">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废气处理</w:t>
                  </w:r>
                </w:p>
              </w:tc>
              <w:tc>
                <w:tcPr>
                  <w:tcW w:w="392" w:type="dxa"/>
                  <w:tcBorders>
                    <w:tl2br w:val="nil"/>
                    <w:tr2bl w:val="nil"/>
                  </w:tcBorders>
                  <w:noWrap w:val="0"/>
                  <w:vAlign w:val="center"/>
                </w:tcPr>
                <w:p w14:paraId="59649B1F">
                  <w:pPr>
                    <w:topLinePunct/>
                    <w:adjustRightInd w:val="0"/>
                    <w:snapToGrid w:val="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固态</w:t>
                  </w:r>
                </w:p>
              </w:tc>
              <w:tc>
                <w:tcPr>
                  <w:tcW w:w="677" w:type="dxa"/>
                  <w:tcBorders>
                    <w:tl2br w:val="nil"/>
                    <w:tr2bl w:val="nil"/>
                  </w:tcBorders>
                  <w:noWrap w:val="0"/>
                  <w:vAlign w:val="center"/>
                </w:tcPr>
                <w:p w14:paraId="1FFD4D42">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有机废气</w:t>
                  </w:r>
                </w:p>
              </w:tc>
              <w:tc>
                <w:tcPr>
                  <w:tcW w:w="697" w:type="dxa"/>
                  <w:tcBorders>
                    <w:tl2br w:val="nil"/>
                    <w:tr2bl w:val="nil"/>
                  </w:tcBorders>
                  <w:noWrap w:val="0"/>
                  <w:vAlign w:val="center"/>
                </w:tcPr>
                <w:p w14:paraId="35B66E6B">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有机废气</w:t>
                  </w:r>
                </w:p>
              </w:tc>
              <w:tc>
                <w:tcPr>
                  <w:tcW w:w="711" w:type="dxa"/>
                  <w:tcBorders>
                    <w:tl2br w:val="nil"/>
                    <w:tr2bl w:val="nil"/>
                  </w:tcBorders>
                  <w:noWrap w:val="0"/>
                  <w:vAlign w:val="center"/>
                </w:tcPr>
                <w:p w14:paraId="6E6A69AF">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每</w:t>
                  </w:r>
                  <w:r>
                    <w:rPr>
                      <w:rFonts w:hint="eastAsia" w:ascii="Times New Roman" w:hAnsi="Times New Roman" w:eastAsia="宋体" w:cs="Times New Roman"/>
                      <w:b w:val="0"/>
                      <w:bCs w:val="0"/>
                      <w:color w:val="auto"/>
                      <w:kern w:val="0"/>
                      <w:sz w:val="21"/>
                      <w:szCs w:val="21"/>
                      <w:highlight w:val="none"/>
                      <w:lang w:val="en-US" w:eastAsia="zh-CN"/>
                    </w:rPr>
                    <w:t>6个</w:t>
                  </w:r>
                  <w:r>
                    <w:rPr>
                      <w:rFonts w:hint="default" w:ascii="Times New Roman" w:hAnsi="Times New Roman" w:eastAsia="宋体" w:cs="Times New Roman"/>
                      <w:b w:val="0"/>
                      <w:bCs w:val="0"/>
                      <w:color w:val="auto"/>
                      <w:kern w:val="0"/>
                      <w:sz w:val="21"/>
                      <w:szCs w:val="21"/>
                      <w:highlight w:val="none"/>
                      <w:lang w:val="en-US" w:eastAsia="zh-CN"/>
                    </w:rPr>
                    <w:t>月</w:t>
                  </w:r>
                </w:p>
              </w:tc>
              <w:tc>
                <w:tcPr>
                  <w:tcW w:w="712" w:type="dxa"/>
                  <w:tcBorders>
                    <w:tl2br w:val="nil"/>
                    <w:tr2bl w:val="nil"/>
                  </w:tcBorders>
                  <w:noWrap w:val="0"/>
                  <w:vAlign w:val="center"/>
                </w:tcPr>
                <w:p w14:paraId="7088263D">
                  <w:pPr>
                    <w:widowControl w:val="0"/>
                    <w:snapToGrid/>
                    <w:spacing w:line="240" w:lineRule="auto"/>
                    <w:ind w:firstLine="0" w:firstLineChars="0"/>
                    <w:jc w:val="center"/>
                    <w:rPr>
                      <w:rFonts w:hint="default" w:ascii="Times New Roman" w:hAnsi="Times New Roman" w:cs="Times New Roman"/>
                      <w:iCs/>
                      <w:color w:val="auto"/>
                      <w:sz w:val="21"/>
                      <w:szCs w:val="21"/>
                      <w:highlight w:val="none"/>
                    </w:rPr>
                  </w:pPr>
                  <w:r>
                    <w:rPr>
                      <w:rFonts w:hint="default" w:ascii="Times New Roman" w:hAnsi="Times New Roman" w:cs="Times New Roman"/>
                      <w:iCs/>
                      <w:color w:val="auto"/>
                      <w:sz w:val="21"/>
                      <w:szCs w:val="21"/>
                      <w:highlight w:val="none"/>
                    </w:rPr>
                    <w:t>T</w:t>
                  </w:r>
                </w:p>
              </w:tc>
              <w:tc>
                <w:tcPr>
                  <w:tcW w:w="1133" w:type="dxa"/>
                  <w:vMerge w:val="restart"/>
                  <w:tcBorders>
                    <w:tl2br w:val="nil"/>
                    <w:tr2bl w:val="nil"/>
                  </w:tcBorders>
                  <w:noWrap w:val="0"/>
                  <w:vAlign w:val="center"/>
                </w:tcPr>
                <w:p w14:paraId="0EB1D3F2">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spacing w:val="0"/>
                      <w:sz w:val="21"/>
                      <w:szCs w:val="21"/>
                      <w:highlight w:val="none"/>
                      <w:lang w:val="en-US" w:eastAsia="zh-CN"/>
                    </w:rPr>
                    <w:t>暂存</w:t>
                  </w:r>
                  <w:r>
                    <w:rPr>
                      <w:rFonts w:hint="default" w:ascii="Times New Roman" w:hAnsi="Times New Roman" w:cs="Times New Roman"/>
                      <w:color w:val="auto"/>
                      <w:spacing w:val="0"/>
                      <w:sz w:val="21"/>
                      <w:szCs w:val="21"/>
                      <w:highlight w:val="none"/>
                    </w:rPr>
                    <w:t>危废</w:t>
                  </w:r>
                  <w:r>
                    <w:rPr>
                      <w:rFonts w:hint="default" w:ascii="Times New Roman" w:hAnsi="Times New Roman" w:cs="Times New Roman"/>
                      <w:color w:val="auto"/>
                      <w:spacing w:val="0"/>
                      <w:sz w:val="21"/>
                      <w:szCs w:val="21"/>
                      <w:highlight w:val="none"/>
                      <w:lang w:val="en-US" w:eastAsia="zh-CN"/>
                    </w:rPr>
                    <w:t>库</w:t>
                  </w:r>
                  <w:r>
                    <w:rPr>
                      <w:rFonts w:hint="default" w:ascii="Times New Roman" w:hAnsi="Times New Roman" w:cs="Times New Roman"/>
                      <w:color w:val="auto"/>
                      <w:spacing w:val="0"/>
                      <w:sz w:val="21"/>
                      <w:szCs w:val="21"/>
                      <w:highlight w:val="none"/>
                    </w:rPr>
                    <w:t>，分区存放，委托有资质单位处置</w:t>
                  </w:r>
                </w:p>
              </w:tc>
            </w:tr>
            <w:tr w14:paraId="35E23D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96" w:type="dxa"/>
                  <w:tcBorders>
                    <w:tl2br w:val="nil"/>
                    <w:tr2bl w:val="nil"/>
                  </w:tcBorders>
                  <w:noWrap w:val="0"/>
                  <w:vAlign w:val="center"/>
                </w:tcPr>
                <w:p w14:paraId="1A037CDF">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682" w:type="dxa"/>
                  <w:tcBorders>
                    <w:tl2br w:val="nil"/>
                    <w:tr2bl w:val="nil"/>
                  </w:tcBorders>
                  <w:noWrap w:val="0"/>
                  <w:vAlign w:val="center"/>
                </w:tcPr>
                <w:p w14:paraId="169C1F2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废过滤棉</w:t>
                  </w:r>
                </w:p>
              </w:tc>
              <w:tc>
                <w:tcPr>
                  <w:tcW w:w="813" w:type="dxa"/>
                  <w:tcBorders>
                    <w:tl2br w:val="nil"/>
                    <w:tr2bl w:val="nil"/>
                  </w:tcBorders>
                  <w:noWrap w:val="0"/>
                  <w:vAlign w:val="center"/>
                </w:tcPr>
                <w:p w14:paraId="1CA29A5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08</w:t>
                  </w:r>
                </w:p>
              </w:tc>
              <w:tc>
                <w:tcPr>
                  <w:tcW w:w="810" w:type="dxa"/>
                  <w:tcBorders>
                    <w:tl2br w:val="nil"/>
                    <w:tr2bl w:val="nil"/>
                  </w:tcBorders>
                  <w:noWrap w:val="0"/>
                  <w:vAlign w:val="center"/>
                </w:tcPr>
                <w:p w14:paraId="6AF06687">
                  <w:pPr>
                    <w:widowControl w:val="0"/>
                    <w:snapToGrid/>
                    <w:spacing w:line="240" w:lineRule="auto"/>
                    <w:ind w:firstLine="0" w:firstLineChars="0"/>
                    <w:jc w:val="center"/>
                    <w:rPr>
                      <w:rFonts w:hint="default" w:ascii="Times New Roman" w:hAnsi="Times New Roman" w:cs="Times New Roman"/>
                      <w:b w:val="0"/>
                      <w:bCs w:val="0"/>
                      <w:iCs/>
                      <w:color w:val="auto"/>
                      <w:kern w:val="2"/>
                      <w:sz w:val="21"/>
                      <w:szCs w:val="21"/>
                      <w:highlight w:val="none"/>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682" w:type="dxa"/>
                  <w:tcBorders>
                    <w:tl2br w:val="nil"/>
                    <w:tr2bl w:val="nil"/>
                  </w:tcBorders>
                  <w:noWrap w:val="0"/>
                  <w:vAlign w:val="center"/>
                </w:tcPr>
                <w:p w14:paraId="23782FAE">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0.02</w:t>
                  </w:r>
                </w:p>
              </w:tc>
              <w:tc>
                <w:tcPr>
                  <w:tcW w:w="985" w:type="dxa"/>
                  <w:tcBorders>
                    <w:tl2br w:val="nil"/>
                    <w:tr2bl w:val="nil"/>
                  </w:tcBorders>
                  <w:noWrap w:val="0"/>
                  <w:vAlign w:val="center"/>
                </w:tcPr>
                <w:p w14:paraId="455D1DE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废气处理</w:t>
                  </w:r>
                </w:p>
              </w:tc>
              <w:tc>
                <w:tcPr>
                  <w:tcW w:w="392" w:type="dxa"/>
                  <w:tcBorders>
                    <w:tl2br w:val="nil"/>
                    <w:tr2bl w:val="nil"/>
                  </w:tcBorders>
                  <w:noWrap w:val="0"/>
                  <w:vAlign w:val="center"/>
                </w:tcPr>
                <w:p w14:paraId="48D7496F">
                  <w:pPr>
                    <w:topLinePunct/>
                    <w:adjustRightInd w:val="0"/>
                    <w:snapToGrid w:val="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液态</w:t>
                  </w:r>
                </w:p>
              </w:tc>
              <w:tc>
                <w:tcPr>
                  <w:tcW w:w="677" w:type="dxa"/>
                  <w:tcBorders>
                    <w:tl2br w:val="nil"/>
                    <w:tr2bl w:val="nil"/>
                  </w:tcBorders>
                  <w:noWrap w:val="0"/>
                  <w:vAlign w:val="center"/>
                </w:tcPr>
                <w:p w14:paraId="20FCA190">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有机废气</w:t>
                  </w:r>
                </w:p>
              </w:tc>
              <w:tc>
                <w:tcPr>
                  <w:tcW w:w="697" w:type="dxa"/>
                  <w:tcBorders>
                    <w:tl2br w:val="nil"/>
                    <w:tr2bl w:val="nil"/>
                  </w:tcBorders>
                  <w:noWrap w:val="0"/>
                  <w:vAlign w:val="center"/>
                </w:tcPr>
                <w:p w14:paraId="3541C1C0">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有机废气</w:t>
                  </w:r>
                </w:p>
              </w:tc>
              <w:tc>
                <w:tcPr>
                  <w:tcW w:w="711" w:type="dxa"/>
                  <w:tcBorders>
                    <w:tl2br w:val="nil"/>
                    <w:tr2bl w:val="nil"/>
                  </w:tcBorders>
                  <w:noWrap w:val="0"/>
                  <w:vAlign w:val="center"/>
                </w:tcPr>
                <w:p w14:paraId="798611F3">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每</w:t>
                  </w:r>
                  <w:r>
                    <w:rPr>
                      <w:rFonts w:hint="eastAsia" w:ascii="Times New Roman" w:hAnsi="Times New Roman" w:eastAsia="宋体" w:cs="Times New Roman"/>
                      <w:b w:val="0"/>
                      <w:bCs w:val="0"/>
                      <w:color w:val="auto"/>
                      <w:kern w:val="0"/>
                      <w:sz w:val="21"/>
                      <w:szCs w:val="21"/>
                      <w:highlight w:val="none"/>
                      <w:lang w:val="en-US" w:eastAsia="zh-CN"/>
                    </w:rPr>
                    <w:t>6个</w:t>
                  </w:r>
                  <w:r>
                    <w:rPr>
                      <w:rFonts w:hint="default" w:ascii="Times New Roman" w:hAnsi="Times New Roman" w:eastAsia="宋体" w:cs="Times New Roman"/>
                      <w:b w:val="0"/>
                      <w:bCs w:val="0"/>
                      <w:color w:val="auto"/>
                      <w:kern w:val="0"/>
                      <w:sz w:val="21"/>
                      <w:szCs w:val="21"/>
                      <w:highlight w:val="none"/>
                      <w:lang w:val="en-US" w:eastAsia="zh-CN"/>
                    </w:rPr>
                    <w:t>月</w:t>
                  </w:r>
                </w:p>
              </w:tc>
              <w:tc>
                <w:tcPr>
                  <w:tcW w:w="712" w:type="dxa"/>
                  <w:tcBorders>
                    <w:tl2br w:val="nil"/>
                    <w:tr2bl w:val="nil"/>
                  </w:tcBorders>
                  <w:noWrap w:val="0"/>
                  <w:vAlign w:val="center"/>
                </w:tcPr>
                <w:p w14:paraId="29CE94C8">
                  <w:pPr>
                    <w:widowControl w:val="0"/>
                    <w:snapToGrid/>
                    <w:spacing w:line="240" w:lineRule="auto"/>
                    <w:ind w:firstLine="0" w:firstLineChars="0"/>
                    <w:jc w:val="center"/>
                    <w:rPr>
                      <w:rFonts w:hint="default" w:ascii="Times New Roman" w:hAnsi="Times New Roman" w:eastAsia="宋体" w:cs="Times New Roman"/>
                      <w:color w:val="auto"/>
                      <w:kern w:val="0"/>
                      <w:sz w:val="21"/>
                      <w:szCs w:val="21"/>
                      <w:highlight w:val="none"/>
                      <w:lang w:val="zh-CN" w:eastAsia="zh-CN" w:bidi="zh-CN"/>
                    </w:rPr>
                  </w:pPr>
                  <w:r>
                    <w:rPr>
                      <w:rFonts w:hint="default" w:ascii="Times New Roman" w:hAnsi="Times New Roman" w:cs="Times New Roman"/>
                      <w:iCs/>
                      <w:color w:val="auto"/>
                      <w:sz w:val="21"/>
                      <w:szCs w:val="21"/>
                      <w:highlight w:val="none"/>
                    </w:rPr>
                    <w:t>T</w:t>
                  </w:r>
                </w:p>
              </w:tc>
              <w:tc>
                <w:tcPr>
                  <w:tcW w:w="1133" w:type="dxa"/>
                  <w:vMerge w:val="continue"/>
                  <w:tcBorders>
                    <w:tl2br w:val="nil"/>
                    <w:tr2bl w:val="nil"/>
                  </w:tcBorders>
                  <w:noWrap w:val="0"/>
                  <w:vAlign w:val="center"/>
                </w:tcPr>
                <w:p w14:paraId="324700C2">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eastAsia" w:ascii="Times New Roman" w:hAnsi="Times New Roman" w:cs="Times New Roman"/>
                      <w:color w:val="auto"/>
                      <w:spacing w:val="0"/>
                      <w:sz w:val="21"/>
                      <w:szCs w:val="21"/>
                      <w:highlight w:val="none"/>
                      <w:lang w:val="en-US" w:eastAsia="zh-CN"/>
                    </w:rPr>
                  </w:pPr>
                </w:p>
              </w:tc>
            </w:tr>
            <w:tr w14:paraId="245F35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96" w:type="dxa"/>
                  <w:tcBorders>
                    <w:tl2br w:val="nil"/>
                    <w:tr2bl w:val="nil"/>
                  </w:tcBorders>
                  <w:noWrap w:val="0"/>
                  <w:vAlign w:val="center"/>
                </w:tcPr>
                <w:p w14:paraId="3C5609FE">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w:t>
                  </w:r>
                </w:p>
              </w:tc>
              <w:tc>
                <w:tcPr>
                  <w:tcW w:w="682" w:type="dxa"/>
                  <w:tcBorders>
                    <w:tl2br w:val="nil"/>
                    <w:tr2bl w:val="nil"/>
                  </w:tcBorders>
                  <w:noWrap w:val="0"/>
                  <w:vAlign w:val="center"/>
                </w:tcPr>
                <w:p w14:paraId="0C77502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w:t>
                  </w:r>
                  <w:r>
                    <w:rPr>
                      <w:rFonts w:hint="eastAsia" w:cs="Times New Roman"/>
                      <w:color w:val="auto"/>
                      <w:sz w:val="21"/>
                      <w:szCs w:val="21"/>
                      <w:highlight w:val="none"/>
                      <w:lang w:val="en-US" w:eastAsia="zh-CN"/>
                    </w:rPr>
                    <w:t>矿物</w:t>
                  </w:r>
                  <w:r>
                    <w:rPr>
                      <w:rFonts w:hint="default" w:ascii="Times New Roman" w:hAnsi="Times New Roman" w:cs="Times New Roman"/>
                      <w:color w:val="auto"/>
                      <w:sz w:val="21"/>
                      <w:szCs w:val="21"/>
                      <w:highlight w:val="none"/>
                      <w:lang w:val="en-US" w:eastAsia="zh-CN"/>
                    </w:rPr>
                    <w:t>油</w:t>
                  </w:r>
                </w:p>
              </w:tc>
              <w:tc>
                <w:tcPr>
                  <w:tcW w:w="813" w:type="dxa"/>
                  <w:tcBorders>
                    <w:tl2br w:val="nil"/>
                    <w:tr2bl w:val="nil"/>
                  </w:tcBorders>
                  <w:noWrap w:val="0"/>
                  <w:vAlign w:val="center"/>
                </w:tcPr>
                <w:p w14:paraId="155AA89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eastAsia" w:ascii="Times New Roman" w:hAnsi="Times New Roman" w:eastAsia="宋体" w:cs="Times New Roman"/>
                      <w:color w:val="auto"/>
                      <w:sz w:val="21"/>
                      <w:szCs w:val="21"/>
                      <w:highlight w:val="none"/>
                      <w:lang w:val="en-US" w:eastAsia="zh-CN"/>
                    </w:rPr>
                    <w:t>08</w:t>
                  </w:r>
                </w:p>
              </w:tc>
              <w:tc>
                <w:tcPr>
                  <w:tcW w:w="810" w:type="dxa"/>
                  <w:tcBorders>
                    <w:tl2br w:val="nil"/>
                    <w:tr2bl w:val="nil"/>
                  </w:tcBorders>
                  <w:noWrap w:val="0"/>
                  <w:vAlign w:val="center"/>
                </w:tcPr>
                <w:p w14:paraId="79061613">
                  <w:pPr>
                    <w:widowControl w:val="0"/>
                    <w:snapToGrid/>
                    <w:spacing w:line="240" w:lineRule="auto"/>
                    <w:ind w:firstLine="0" w:firstLineChars="0"/>
                    <w:jc w:val="center"/>
                    <w:rPr>
                      <w:rFonts w:hint="default" w:ascii="Times New Roman" w:hAnsi="Times New Roman" w:cs="Times New Roman"/>
                      <w:b w:val="0"/>
                      <w:bCs w:val="0"/>
                      <w:iCs/>
                      <w:color w:val="auto"/>
                      <w:kern w:val="2"/>
                      <w:sz w:val="21"/>
                      <w:szCs w:val="21"/>
                      <w:highlight w:val="none"/>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21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08</w:t>
                  </w:r>
                </w:p>
              </w:tc>
              <w:tc>
                <w:tcPr>
                  <w:tcW w:w="682" w:type="dxa"/>
                  <w:tcBorders>
                    <w:tl2br w:val="nil"/>
                    <w:tr2bl w:val="nil"/>
                  </w:tcBorders>
                  <w:noWrap w:val="0"/>
                  <w:vAlign w:val="center"/>
                </w:tcPr>
                <w:p w14:paraId="2B4E7CE5">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0.02</w:t>
                  </w:r>
                </w:p>
              </w:tc>
              <w:tc>
                <w:tcPr>
                  <w:tcW w:w="985" w:type="dxa"/>
                  <w:tcBorders>
                    <w:tl2br w:val="nil"/>
                    <w:tr2bl w:val="nil"/>
                  </w:tcBorders>
                  <w:noWrap w:val="0"/>
                  <w:vAlign w:val="center"/>
                </w:tcPr>
                <w:p w14:paraId="6355F579">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设备维修</w:t>
                  </w:r>
                </w:p>
              </w:tc>
              <w:tc>
                <w:tcPr>
                  <w:tcW w:w="392" w:type="dxa"/>
                  <w:tcBorders>
                    <w:tl2br w:val="nil"/>
                    <w:tr2bl w:val="nil"/>
                  </w:tcBorders>
                  <w:noWrap w:val="0"/>
                  <w:vAlign w:val="center"/>
                </w:tcPr>
                <w:p w14:paraId="000FB30B">
                  <w:pPr>
                    <w:topLinePunct/>
                    <w:adjustRightInd w:val="0"/>
                    <w:snapToGrid w:val="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液态</w:t>
                  </w:r>
                </w:p>
              </w:tc>
              <w:tc>
                <w:tcPr>
                  <w:tcW w:w="677" w:type="dxa"/>
                  <w:tcBorders>
                    <w:tl2br w:val="nil"/>
                    <w:tr2bl w:val="nil"/>
                  </w:tcBorders>
                  <w:noWrap w:val="0"/>
                  <w:vAlign w:val="center"/>
                </w:tcPr>
                <w:p w14:paraId="5E38FFDF">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矿物油</w:t>
                  </w:r>
                </w:p>
              </w:tc>
              <w:tc>
                <w:tcPr>
                  <w:tcW w:w="697" w:type="dxa"/>
                  <w:tcBorders>
                    <w:tl2br w:val="nil"/>
                    <w:tr2bl w:val="nil"/>
                  </w:tcBorders>
                  <w:noWrap w:val="0"/>
                  <w:vAlign w:val="center"/>
                </w:tcPr>
                <w:p w14:paraId="0A5759B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矿物油</w:t>
                  </w:r>
                </w:p>
              </w:tc>
              <w:tc>
                <w:tcPr>
                  <w:tcW w:w="711" w:type="dxa"/>
                  <w:tcBorders>
                    <w:tl2br w:val="nil"/>
                    <w:tr2bl w:val="nil"/>
                  </w:tcBorders>
                  <w:noWrap w:val="0"/>
                  <w:vAlign w:val="center"/>
                </w:tcPr>
                <w:p w14:paraId="17F84388">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每月</w:t>
                  </w:r>
                </w:p>
              </w:tc>
              <w:tc>
                <w:tcPr>
                  <w:tcW w:w="712" w:type="dxa"/>
                  <w:tcBorders>
                    <w:tl2br w:val="nil"/>
                    <w:tr2bl w:val="nil"/>
                  </w:tcBorders>
                  <w:noWrap w:val="0"/>
                  <w:vAlign w:val="center"/>
                </w:tcPr>
                <w:p w14:paraId="329EC96F">
                  <w:pPr>
                    <w:keepNext w:val="0"/>
                    <w:keepLines w:val="0"/>
                    <w:pageBreakBefore w:val="0"/>
                    <w:widowControl w:val="0"/>
                    <w:kinsoku/>
                    <w:wordWrap/>
                    <w:overflow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iCs/>
                      <w:color w:val="auto"/>
                      <w:sz w:val="21"/>
                      <w:szCs w:val="21"/>
                      <w:highlight w:val="none"/>
                    </w:rPr>
                    <w:t>T/In</w:t>
                  </w:r>
                </w:p>
              </w:tc>
              <w:tc>
                <w:tcPr>
                  <w:tcW w:w="1133" w:type="dxa"/>
                  <w:vMerge w:val="continue"/>
                  <w:tcBorders>
                    <w:tl2br w:val="nil"/>
                    <w:tr2bl w:val="nil"/>
                  </w:tcBorders>
                  <w:noWrap w:val="0"/>
                  <w:vAlign w:val="center"/>
                </w:tcPr>
                <w:p w14:paraId="0875E908">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eastAsia" w:ascii="Times New Roman" w:hAnsi="Times New Roman" w:cs="Times New Roman"/>
                      <w:color w:val="auto"/>
                      <w:spacing w:val="0"/>
                      <w:sz w:val="21"/>
                      <w:szCs w:val="21"/>
                      <w:highlight w:val="none"/>
                      <w:lang w:val="en-US" w:eastAsia="zh-CN"/>
                    </w:rPr>
                  </w:pPr>
                </w:p>
              </w:tc>
            </w:tr>
            <w:tr w14:paraId="2F2EB1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96" w:type="dxa"/>
                  <w:tcBorders>
                    <w:tl2br w:val="nil"/>
                    <w:tr2bl w:val="nil"/>
                  </w:tcBorders>
                  <w:noWrap w:val="0"/>
                  <w:vAlign w:val="center"/>
                </w:tcPr>
                <w:p w14:paraId="18E2E859">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w:t>
                  </w:r>
                </w:p>
              </w:tc>
              <w:tc>
                <w:tcPr>
                  <w:tcW w:w="682" w:type="dxa"/>
                  <w:tcBorders>
                    <w:tl2br w:val="nil"/>
                    <w:tr2bl w:val="nil"/>
                  </w:tcBorders>
                  <w:noWrap w:val="0"/>
                  <w:vAlign w:val="center"/>
                </w:tcPr>
                <w:p w14:paraId="41DC50D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废油桶</w:t>
                  </w:r>
                </w:p>
              </w:tc>
              <w:tc>
                <w:tcPr>
                  <w:tcW w:w="813" w:type="dxa"/>
                  <w:tcBorders>
                    <w:tl2br w:val="nil"/>
                    <w:tr2bl w:val="nil"/>
                  </w:tcBorders>
                  <w:noWrap w:val="0"/>
                  <w:vAlign w:val="center"/>
                </w:tcPr>
                <w:p w14:paraId="2D08376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810" w:type="dxa"/>
                  <w:tcBorders>
                    <w:tl2br w:val="nil"/>
                    <w:tr2bl w:val="nil"/>
                  </w:tcBorders>
                  <w:noWrap w:val="0"/>
                  <w:vAlign w:val="center"/>
                </w:tcPr>
                <w:p w14:paraId="275AEE19">
                  <w:pPr>
                    <w:widowControl w:val="0"/>
                    <w:snapToGrid/>
                    <w:spacing w:line="240" w:lineRule="auto"/>
                    <w:ind w:firstLine="0" w:firstLineChars="0"/>
                    <w:jc w:val="center"/>
                    <w:rPr>
                      <w:rFonts w:hint="default" w:ascii="Times New Roman" w:hAnsi="Times New Roman" w:cs="Times New Roman"/>
                      <w:b w:val="0"/>
                      <w:bCs w:val="0"/>
                      <w:iCs/>
                      <w:color w:val="auto"/>
                      <w:kern w:val="2"/>
                      <w:sz w:val="21"/>
                      <w:szCs w:val="21"/>
                      <w:highlight w:val="none"/>
                    </w:rPr>
                  </w:pP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08</w:t>
                  </w:r>
                </w:p>
              </w:tc>
              <w:tc>
                <w:tcPr>
                  <w:tcW w:w="682" w:type="dxa"/>
                  <w:tcBorders>
                    <w:tl2br w:val="nil"/>
                    <w:tr2bl w:val="nil"/>
                  </w:tcBorders>
                  <w:noWrap w:val="0"/>
                  <w:vAlign w:val="center"/>
                </w:tcPr>
                <w:p w14:paraId="0998C7EB">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w:t>
                  </w:r>
                </w:p>
              </w:tc>
              <w:tc>
                <w:tcPr>
                  <w:tcW w:w="985" w:type="dxa"/>
                  <w:tcBorders>
                    <w:tl2br w:val="nil"/>
                    <w:tr2bl w:val="nil"/>
                  </w:tcBorders>
                  <w:noWrap w:val="0"/>
                  <w:vAlign w:val="center"/>
                </w:tcPr>
                <w:p w14:paraId="6F96A2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设备维修</w:t>
                  </w:r>
                </w:p>
              </w:tc>
              <w:tc>
                <w:tcPr>
                  <w:tcW w:w="392" w:type="dxa"/>
                  <w:tcBorders>
                    <w:tl2br w:val="nil"/>
                    <w:tr2bl w:val="nil"/>
                  </w:tcBorders>
                  <w:noWrap w:val="0"/>
                  <w:vAlign w:val="center"/>
                </w:tcPr>
                <w:p w14:paraId="3997C629">
                  <w:pPr>
                    <w:topLinePunct/>
                    <w:adjustRightInd w:val="0"/>
                    <w:snapToGrid w:val="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固态</w:t>
                  </w:r>
                </w:p>
              </w:tc>
              <w:tc>
                <w:tcPr>
                  <w:tcW w:w="677" w:type="dxa"/>
                  <w:tcBorders>
                    <w:tl2br w:val="nil"/>
                    <w:tr2bl w:val="nil"/>
                  </w:tcBorders>
                  <w:noWrap w:val="0"/>
                  <w:vAlign w:val="center"/>
                </w:tcPr>
                <w:p w14:paraId="75E20BD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color w:val="auto"/>
                      <w:sz w:val="21"/>
                      <w:szCs w:val="21"/>
                      <w:highlight w:val="none"/>
                    </w:rPr>
                    <w:t>矿物油</w:t>
                  </w:r>
                </w:p>
              </w:tc>
              <w:tc>
                <w:tcPr>
                  <w:tcW w:w="697" w:type="dxa"/>
                  <w:tcBorders>
                    <w:tl2br w:val="nil"/>
                    <w:tr2bl w:val="nil"/>
                  </w:tcBorders>
                  <w:noWrap w:val="0"/>
                  <w:vAlign w:val="center"/>
                </w:tcPr>
                <w:p w14:paraId="71FFC57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cs="Times New Roman"/>
                      <w:color w:val="auto"/>
                      <w:sz w:val="21"/>
                      <w:szCs w:val="21"/>
                      <w:highlight w:val="none"/>
                    </w:rPr>
                    <w:t>矿物油</w:t>
                  </w:r>
                </w:p>
              </w:tc>
              <w:tc>
                <w:tcPr>
                  <w:tcW w:w="711" w:type="dxa"/>
                  <w:tcBorders>
                    <w:tl2br w:val="nil"/>
                    <w:tr2bl w:val="nil"/>
                  </w:tcBorders>
                  <w:noWrap w:val="0"/>
                  <w:vAlign w:val="center"/>
                </w:tcPr>
                <w:p w14:paraId="3CABB23E">
                  <w:pPr>
                    <w:topLinePunct/>
                    <w:adjustRightInd w:val="0"/>
                    <w:snapToGrid w:val="0"/>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每月</w:t>
                  </w:r>
                </w:p>
              </w:tc>
              <w:tc>
                <w:tcPr>
                  <w:tcW w:w="712" w:type="dxa"/>
                  <w:tcBorders>
                    <w:tl2br w:val="nil"/>
                    <w:tr2bl w:val="nil"/>
                  </w:tcBorders>
                  <w:noWrap w:val="0"/>
                  <w:vAlign w:val="center"/>
                </w:tcPr>
                <w:p w14:paraId="7BBEE453">
                  <w:pPr>
                    <w:keepNext w:val="0"/>
                    <w:keepLines w:val="0"/>
                    <w:pageBreakBefore w:val="0"/>
                    <w:widowControl w:val="0"/>
                    <w:kinsoku/>
                    <w:wordWrap/>
                    <w:overflow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iCs/>
                      <w:color w:val="auto"/>
                      <w:sz w:val="21"/>
                      <w:szCs w:val="21"/>
                      <w:highlight w:val="none"/>
                    </w:rPr>
                  </w:pPr>
                  <w:r>
                    <w:rPr>
                      <w:rFonts w:hint="default" w:ascii="Times New Roman" w:hAnsi="Times New Roman" w:cs="Times New Roman"/>
                      <w:iCs/>
                      <w:color w:val="auto"/>
                      <w:sz w:val="21"/>
                      <w:szCs w:val="21"/>
                      <w:highlight w:val="none"/>
                    </w:rPr>
                    <w:t>T/In</w:t>
                  </w:r>
                </w:p>
              </w:tc>
              <w:tc>
                <w:tcPr>
                  <w:tcW w:w="1133" w:type="dxa"/>
                  <w:vMerge w:val="continue"/>
                  <w:tcBorders>
                    <w:tl2br w:val="nil"/>
                    <w:tr2bl w:val="nil"/>
                  </w:tcBorders>
                  <w:noWrap w:val="0"/>
                  <w:vAlign w:val="center"/>
                </w:tcPr>
                <w:p w14:paraId="019A9479">
                  <w:pPr>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eastAsia" w:ascii="Times New Roman" w:hAnsi="Times New Roman" w:cs="Times New Roman"/>
                      <w:color w:val="auto"/>
                      <w:spacing w:val="0"/>
                      <w:sz w:val="21"/>
                      <w:szCs w:val="21"/>
                      <w:highlight w:val="none"/>
                      <w:lang w:val="en-US" w:eastAsia="zh-CN"/>
                    </w:rPr>
                  </w:pPr>
                </w:p>
              </w:tc>
            </w:tr>
          </w:tbl>
          <w:p w14:paraId="14F942BE">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sz w:val="24"/>
                <w:szCs w:val="24"/>
                <w:highlight w:val="none"/>
                <w:lang w:val="en-US" w:eastAsia="zh-CN"/>
              </w:rPr>
              <w:t>于车间西侧设置</w:t>
            </w:r>
            <w:r>
              <w:rPr>
                <w:rFonts w:hint="default" w:ascii="Times New Roman" w:hAnsi="Times New Roman" w:eastAsia="宋体" w:cs="Times New Roman"/>
                <w:color w:val="auto"/>
                <w:sz w:val="24"/>
                <w:szCs w:val="24"/>
                <w:highlight w:val="none"/>
                <w:lang w:val="en-US" w:eastAsia="zh-CN"/>
              </w:rPr>
              <w:t>1座危废库，占地面积约</w:t>
            </w: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，存放情况如下表所示：</w:t>
            </w:r>
          </w:p>
          <w:p w14:paraId="47D534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w:t>
            </w:r>
            <w:r>
              <w:rPr>
                <w:rFonts w:hint="eastAsia"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危废</w:t>
            </w:r>
            <w:r>
              <w:rPr>
                <w:rFonts w:hint="default" w:ascii="Times New Roman" w:hAnsi="Times New Roman" w:eastAsia="宋体" w:cs="Times New Roman"/>
                <w:b/>
                <w:bCs/>
                <w:color w:val="auto"/>
                <w:sz w:val="24"/>
                <w:szCs w:val="24"/>
                <w:highlight w:val="none"/>
                <w:lang w:val="en-US" w:eastAsia="zh-CN"/>
              </w:rPr>
              <w:t>库</w:t>
            </w:r>
            <w:r>
              <w:rPr>
                <w:rFonts w:hint="default" w:ascii="Times New Roman" w:hAnsi="Times New Roman" w:eastAsia="宋体" w:cs="Times New Roman"/>
                <w:b/>
                <w:bCs/>
                <w:color w:val="auto"/>
                <w:sz w:val="24"/>
                <w:szCs w:val="24"/>
                <w:highlight w:val="none"/>
              </w:rPr>
              <w:t>基本情况表</w:t>
            </w:r>
          </w:p>
          <w:tbl>
            <w:tblPr>
              <w:tblStyle w:val="37"/>
              <w:tblW w:w="86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077"/>
              <w:gridCol w:w="1115"/>
              <w:gridCol w:w="878"/>
              <w:gridCol w:w="1222"/>
              <w:gridCol w:w="524"/>
              <w:gridCol w:w="714"/>
              <w:gridCol w:w="1198"/>
              <w:gridCol w:w="715"/>
              <w:gridCol w:w="799"/>
            </w:tblGrid>
            <w:tr w14:paraId="3CD228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dxa"/>
                  <w:tcBorders>
                    <w:tl2br w:val="nil"/>
                    <w:tr2bl w:val="nil"/>
                  </w:tcBorders>
                  <w:noWrap w:val="0"/>
                  <w:vAlign w:val="center"/>
                </w:tcPr>
                <w:p w14:paraId="35E9BE00">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序号</w:t>
                  </w:r>
                </w:p>
              </w:tc>
              <w:tc>
                <w:tcPr>
                  <w:tcW w:w="1077" w:type="dxa"/>
                  <w:tcBorders>
                    <w:tl2br w:val="nil"/>
                    <w:tr2bl w:val="nil"/>
                  </w:tcBorders>
                  <w:noWrap w:val="0"/>
                  <w:vAlign w:val="center"/>
                </w:tcPr>
                <w:p w14:paraId="20E65332">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贮存场所（设施）</w:t>
                  </w:r>
                </w:p>
              </w:tc>
              <w:tc>
                <w:tcPr>
                  <w:tcW w:w="1115" w:type="dxa"/>
                  <w:tcBorders>
                    <w:tl2br w:val="nil"/>
                    <w:tr2bl w:val="nil"/>
                  </w:tcBorders>
                  <w:noWrap w:val="0"/>
                  <w:vAlign w:val="center"/>
                </w:tcPr>
                <w:p w14:paraId="385EE209">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危险废物名称</w:t>
                  </w:r>
                </w:p>
              </w:tc>
              <w:tc>
                <w:tcPr>
                  <w:tcW w:w="878" w:type="dxa"/>
                  <w:tcBorders>
                    <w:tl2br w:val="nil"/>
                    <w:tr2bl w:val="nil"/>
                  </w:tcBorders>
                  <w:noWrap w:val="0"/>
                  <w:vAlign w:val="center"/>
                </w:tcPr>
                <w:p w14:paraId="37E8F710">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危险废物类别</w:t>
                  </w:r>
                </w:p>
              </w:tc>
              <w:tc>
                <w:tcPr>
                  <w:tcW w:w="1222" w:type="dxa"/>
                  <w:tcBorders>
                    <w:tl2br w:val="nil"/>
                    <w:tr2bl w:val="nil"/>
                  </w:tcBorders>
                  <w:noWrap w:val="0"/>
                  <w:vAlign w:val="center"/>
                </w:tcPr>
                <w:p w14:paraId="63ED92B0">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危险废物代码</w:t>
                  </w:r>
                </w:p>
              </w:tc>
              <w:tc>
                <w:tcPr>
                  <w:tcW w:w="524" w:type="dxa"/>
                  <w:tcBorders>
                    <w:tl2br w:val="nil"/>
                    <w:tr2bl w:val="nil"/>
                  </w:tcBorders>
                  <w:noWrap w:val="0"/>
                  <w:vAlign w:val="center"/>
                </w:tcPr>
                <w:p w14:paraId="10351679">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位置</w:t>
                  </w:r>
                </w:p>
              </w:tc>
              <w:tc>
                <w:tcPr>
                  <w:tcW w:w="714" w:type="dxa"/>
                  <w:tcBorders>
                    <w:tl2br w:val="nil"/>
                    <w:tr2bl w:val="nil"/>
                  </w:tcBorders>
                  <w:noWrap w:val="0"/>
                  <w:vAlign w:val="center"/>
                </w:tcPr>
                <w:p w14:paraId="3B8D9486">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占地面积</w:t>
                  </w:r>
                </w:p>
              </w:tc>
              <w:tc>
                <w:tcPr>
                  <w:tcW w:w="1198" w:type="dxa"/>
                  <w:tcBorders>
                    <w:tl2br w:val="nil"/>
                    <w:tr2bl w:val="nil"/>
                  </w:tcBorders>
                  <w:noWrap w:val="0"/>
                  <w:vAlign w:val="center"/>
                </w:tcPr>
                <w:p w14:paraId="33C7B50B">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eastAsia="宋体" w:cs="Times New Roman"/>
                      <w:b/>
                      <w:bCs/>
                      <w:color w:val="auto"/>
                      <w:spacing w:val="0"/>
                      <w:kern w:val="0"/>
                      <w:sz w:val="21"/>
                      <w:szCs w:val="21"/>
                      <w:highlight w:val="none"/>
                    </w:rPr>
                    <w:t>贮存方式</w:t>
                  </w:r>
                </w:p>
              </w:tc>
              <w:tc>
                <w:tcPr>
                  <w:tcW w:w="715" w:type="dxa"/>
                  <w:tcBorders>
                    <w:tl2br w:val="nil"/>
                    <w:tr2bl w:val="nil"/>
                  </w:tcBorders>
                  <w:noWrap w:val="0"/>
                  <w:vAlign w:val="center"/>
                </w:tcPr>
                <w:p w14:paraId="456226FF">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sz w:val="21"/>
                      <w:szCs w:val="21"/>
                      <w:highlight w:val="none"/>
                    </w:rPr>
                    <w:t>贮存能力</w:t>
                  </w:r>
                </w:p>
              </w:tc>
              <w:tc>
                <w:tcPr>
                  <w:tcW w:w="799" w:type="dxa"/>
                  <w:tcBorders>
                    <w:tl2br w:val="nil"/>
                    <w:tr2bl w:val="nil"/>
                  </w:tcBorders>
                  <w:noWrap w:val="0"/>
                  <w:vAlign w:val="center"/>
                </w:tcPr>
                <w:p w14:paraId="137EBB9A">
                  <w:pPr>
                    <w:keepNext w:val="0"/>
                    <w:keepLines w:val="0"/>
                    <w:pageBreakBefore w:val="0"/>
                    <w:widowControl w:val="0"/>
                    <w:kinsoku/>
                    <w:wordWrap/>
                    <w:overflowPunct/>
                    <w:topLinePunct w:val="0"/>
                    <w:autoSpaceDE w:val="0"/>
                    <w:autoSpaceDN w:val="0"/>
                    <w:bidi w:val="0"/>
                    <w:adjustRightInd w:val="0"/>
                    <w:snapToGrid w:val="0"/>
                    <w:ind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贮存</w:t>
                  </w:r>
                </w:p>
                <w:p w14:paraId="38888E7A">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eastAsia="宋体" w:cs="Times New Roman"/>
                      <w:b/>
                      <w:bCs/>
                      <w:color w:val="auto"/>
                      <w:spacing w:val="0"/>
                      <w:kern w:val="0"/>
                      <w:sz w:val="21"/>
                      <w:szCs w:val="21"/>
                      <w:highlight w:val="none"/>
                    </w:rPr>
                  </w:pPr>
                  <w:r>
                    <w:rPr>
                      <w:rFonts w:hint="default" w:ascii="Times New Roman" w:hAnsi="Times New Roman" w:cs="Times New Roman"/>
                      <w:b/>
                      <w:bCs/>
                      <w:color w:val="auto"/>
                      <w:kern w:val="0"/>
                      <w:sz w:val="21"/>
                      <w:szCs w:val="21"/>
                      <w:highlight w:val="none"/>
                    </w:rPr>
                    <w:t>周期</w:t>
                  </w:r>
                </w:p>
              </w:tc>
            </w:tr>
            <w:tr w14:paraId="1856FC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dxa"/>
                  <w:tcBorders>
                    <w:tl2br w:val="nil"/>
                    <w:tr2bl w:val="nil"/>
                  </w:tcBorders>
                  <w:noWrap w:val="0"/>
                  <w:vAlign w:val="center"/>
                </w:tcPr>
                <w:p w14:paraId="0E2EAAAE">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val="0"/>
                      <w:bCs w:val="0"/>
                      <w:color w:val="auto"/>
                      <w:spacing w:val="0"/>
                      <w:kern w:val="0"/>
                      <w:sz w:val="21"/>
                      <w:szCs w:val="21"/>
                      <w:highlight w:val="none"/>
                    </w:rPr>
                  </w:pPr>
                  <w:r>
                    <w:rPr>
                      <w:rFonts w:hint="default" w:ascii="Times New Roman" w:hAnsi="Times New Roman" w:eastAsia="宋体" w:cs="Times New Roman"/>
                      <w:b w:val="0"/>
                      <w:bCs w:val="0"/>
                      <w:color w:val="auto"/>
                      <w:spacing w:val="0"/>
                      <w:kern w:val="0"/>
                      <w:sz w:val="21"/>
                      <w:szCs w:val="21"/>
                      <w:highlight w:val="none"/>
                    </w:rPr>
                    <w:t>1</w:t>
                  </w:r>
                </w:p>
              </w:tc>
              <w:tc>
                <w:tcPr>
                  <w:tcW w:w="1077" w:type="dxa"/>
                  <w:vMerge w:val="restart"/>
                  <w:tcBorders>
                    <w:tl2br w:val="nil"/>
                    <w:tr2bl w:val="nil"/>
                  </w:tcBorders>
                  <w:noWrap w:val="0"/>
                  <w:vAlign w:val="center"/>
                </w:tcPr>
                <w:p w14:paraId="1D2021B0">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val="0"/>
                      <w:bCs w:val="0"/>
                      <w:color w:val="auto"/>
                      <w:spacing w:val="0"/>
                      <w:kern w:val="0"/>
                      <w:sz w:val="21"/>
                      <w:szCs w:val="21"/>
                      <w:highlight w:val="none"/>
                      <w:lang w:eastAsia="zh-CN"/>
                    </w:rPr>
                  </w:pPr>
                  <w:r>
                    <w:rPr>
                      <w:rFonts w:hint="default" w:ascii="Times New Roman" w:hAnsi="Times New Roman" w:eastAsia="宋体" w:cs="Times New Roman"/>
                      <w:b w:val="0"/>
                      <w:bCs w:val="0"/>
                      <w:color w:val="auto"/>
                      <w:spacing w:val="0"/>
                      <w:kern w:val="0"/>
                      <w:sz w:val="21"/>
                      <w:szCs w:val="21"/>
                      <w:highlight w:val="none"/>
                    </w:rPr>
                    <w:t>危废</w:t>
                  </w:r>
                  <w:r>
                    <w:rPr>
                      <w:rFonts w:hint="default" w:ascii="Times New Roman" w:hAnsi="Times New Roman" w:eastAsia="宋体" w:cs="Times New Roman"/>
                      <w:b w:val="0"/>
                      <w:bCs w:val="0"/>
                      <w:color w:val="auto"/>
                      <w:spacing w:val="0"/>
                      <w:kern w:val="0"/>
                      <w:sz w:val="21"/>
                      <w:szCs w:val="21"/>
                      <w:highlight w:val="none"/>
                      <w:lang w:val="en-US" w:eastAsia="zh-CN"/>
                    </w:rPr>
                    <w:t>库</w:t>
                  </w:r>
                </w:p>
              </w:tc>
              <w:tc>
                <w:tcPr>
                  <w:tcW w:w="1115" w:type="dxa"/>
                  <w:tcBorders>
                    <w:tl2br w:val="nil"/>
                    <w:tr2bl w:val="nil"/>
                  </w:tcBorders>
                  <w:noWrap w:val="0"/>
                  <w:vAlign w:val="center"/>
                </w:tcPr>
                <w:p w14:paraId="6F16602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废活性炭</w:t>
                  </w:r>
                </w:p>
              </w:tc>
              <w:tc>
                <w:tcPr>
                  <w:tcW w:w="878" w:type="dxa"/>
                  <w:tcBorders>
                    <w:tl2br w:val="nil"/>
                    <w:tr2bl w:val="nil"/>
                  </w:tcBorders>
                  <w:noWrap w:val="0"/>
                  <w:vAlign w:val="center"/>
                </w:tcPr>
                <w:p w14:paraId="1A2C4B2A">
                  <w:pPr>
                    <w:widowControl w:val="0"/>
                    <w:snapToGrid/>
                    <w:spacing w:line="240" w:lineRule="auto"/>
                    <w:ind w:firstLine="0" w:firstLineChars="0"/>
                    <w:jc w:val="center"/>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cs="Times New Roman"/>
                      <w:b w:val="0"/>
                      <w:bCs w:val="0"/>
                      <w:iCs/>
                      <w:color w:val="auto"/>
                      <w:kern w:val="2"/>
                      <w:sz w:val="21"/>
                      <w:szCs w:val="21"/>
                      <w:highlight w:val="none"/>
                    </w:rPr>
                    <w:t>HW49</w:t>
                  </w:r>
                </w:p>
              </w:tc>
              <w:tc>
                <w:tcPr>
                  <w:tcW w:w="1222" w:type="dxa"/>
                  <w:tcBorders>
                    <w:tl2br w:val="nil"/>
                    <w:tr2bl w:val="nil"/>
                  </w:tcBorders>
                  <w:noWrap w:val="0"/>
                  <w:vAlign w:val="center"/>
                </w:tcPr>
                <w:p w14:paraId="54850FF8">
                  <w:pPr>
                    <w:widowControl w:val="0"/>
                    <w:snapToGrid/>
                    <w:spacing w:line="240" w:lineRule="auto"/>
                    <w:ind w:firstLine="0" w:firstLineChars="0"/>
                    <w:jc w:val="center"/>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cs="Times New Roman"/>
                      <w:b w:val="0"/>
                      <w:bCs w:val="0"/>
                      <w:iCs/>
                      <w:color w:val="auto"/>
                      <w:kern w:val="2"/>
                      <w:sz w:val="21"/>
                      <w:szCs w:val="21"/>
                      <w:highlight w:val="none"/>
                    </w:rPr>
                    <w:t>900-</w:t>
                  </w:r>
                  <w:r>
                    <w:rPr>
                      <w:rFonts w:hint="default" w:ascii="Times New Roman" w:hAnsi="Times New Roman" w:cs="Times New Roman"/>
                      <w:b w:val="0"/>
                      <w:bCs w:val="0"/>
                      <w:iCs/>
                      <w:color w:val="auto"/>
                      <w:kern w:val="2"/>
                      <w:sz w:val="21"/>
                      <w:szCs w:val="21"/>
                      <w:highlight w:val="none"/>
                      <w:lang w:val="en-US" w:eastAsia="zh-CN"/>
                    </w:rPr>
                    <w:t>039</w:t>
                  </w:r>
                  <w:r>
                    <w:rPr>
                      <w:rFonts w:hint="default" w:ascii="Times New Roman" w:hAnsi="Times New Roman" w:cs="Times New Roman"/>
                      <w:b w:val="0"/>
                      <w:bCs w:val="0"/>
                      <w:iCs/>
                      <w:color w:val="auto"/>
                      <w:kern w:val="2"/>
                      <w:sz w:val="21"/>
                      <w:szCs w:val="21"/>
                      <w:highlight w:val="none"/>
                    </w:rPr>
                    <w:t>-49</w:t>
                  </w:r>
                </w:p>
              </w:tc>
              <w:tc>
                <w:tcPr>
                  <w:tcW w:w="524" w:type="dxa"/>
                  <w:vMerge w:val="restart"/>
                  <w:tcBorders>
                    <w:tl2br w:val="nil"/>
                    <w:tr2bl w:val="nil"/>
                  </w:tcBorders>
                  <w:noWrap w:val="0"/>
                  <w:vAlign w:val="center"/>
                </w:tcPr>
                <w:p w14:paraId="3D7103C7">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车间</w:t>
                  </w:r>
                  <w:r>
                    <w:rPr>
                      <w:rFonts w:hint="eastAsia" w:cs="Times New Roman"/>
                      <w:b w:val="0"/>
                      <w:bCs w:val="0"/>
                      <w:color w:val="auto"/>
                      <w:spacing w:val="0"/>
                      <w:kern w:val="0"/>
                      <w:sz w:val="21"/>
                      <w:szCs w:val="21"/>
                      <w:highlight w:val="none"/>
                      <w:lang w:val="en-US" w:eastAsia="zh-CN"/>
                    </w:rPr>
                    <w:t>西南</w:t>
                  </w:r>
                  <w:r>
                    <w:rPr>
                      <w:rFonts w:hint="eastAsia" w:ascii="Times New Roman" w:hAnsi="Times New Roman" w:eastAsia="宋体" w:cs="Times New Roman"/>
                      <w:b w:val="0"/>
                      <w:bCs w:val="0"/>
                      <w:color w:val="auto"/>
                      <w:spacing w:val="0"/>
                      <w:kern w:val="0"/>
                      <w:sz w:val="21"/>
                      <w:szCs w:val="21"/>
                      <w:highlight w:val="none"/>
                      <w:lang w:val="en-US" w:eastAsia="zh-CN"/>
                    </w:rPr>
                    <w:t>侧</w:t>
                  </w:r>
                </w:p>
              </w:tc>
              <w:tc>
                <w:tcPr>
                  <w:tcW w:w="714" w:type="dxa"/>
                  <w:vMerge w:val="restart"/>
                  <w:tcBorders>
                    <w:tl2br w:val="nil"/>
                    <w:tr2bl w:val="nil"/>
                  </w:tcBorders>
                  <w:noWrap w:val="0"/>
                  <w:vAlign w:val="center"/>
                </w:tcPr>
                <w:p w14:paraId="74D0DEBF">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eastAsia="宋体" w:cs="Times New Roman"/>
                      <w:b w:val="0"/>
                      <w:bCs w:val="0"/>
                      <w:color w:val="auto"/>
                      <w:spacing w:val="0"/>
                      <w:kern w:val="0"/>
                      <w:sz w:val="21"/>
                      <w:szCs w:val="21"/>
                      <w:highlight w:val="none"/>
                      <w:vertAlign w:val="superscript"/>
                    </w:rPr>
                  </w:pPr>
                  <w:r>
                    <w:rPr>
                      <w:rFonts w:hint="eastAsia" w:cs="Times New Roman"/>
                      <w:b w:val="0"/>
                      <w:bCs w:val="0"/>
                      <w:color w:val="auto"/>
                      <w:kern w:val="0"/>
                      <w:sz w:val="21"/>
                      <w:szCs w:val="21"/>
                      <w:highlight w:val="none"/>
                      <w:lang w:val="en-US" w:eastAsia="zh-CN"/>
                    </w:rPr>
                    <w:t>10</w:t>
                  </w:r>
                  <w:r>
                    <w:rPr>
                      <w:rFonts w:hint="default" w:ascii="Times New Roman" w:hAnsi="Times New Roman" w:cs="Times New Roman"/>
                      <w:b w:val="0"/>
                      <w:bCs w:val="0"/>
                      <w:color w:val="auto"/>
                      <w:kern w:val="0"/>
                      <w:sz w:val="21"/>
                      <w:szCs w:val="21"/>
                      <w:highlight w:val="none"/>
                    </w:rPr>
                    <w:t>m</w:t>
                  </w:r>
                  <w:r>
                    <w:rPr>
                      <w:rFonts w:hint="default" w:ascii="Times New Roman" w:hAnsi="Times New Roman" w:cs="Times New Roman"/>
                      <w:b w:val="0"/>
                      <w:bCs w:val="0"/>
                      <w:color w:val="auto"/>
                      <w:kern w:val="0"/>
                      <w:sz w:val="21"/>
                      <w:szCs w:val="21"/>
                      <w:highlight w:val="none"/>
                      <w:vertAlign w:val="superscript"/>
                    </w:rPr>
                    <w:t>2</w:t>
                  </w:r>
                </w:p>
              </w:tc>
              <w:tc>
                <w:tcPr>
                  <w:tcW w:w="1198" w:type="dxa"/>
                  <w:tcBorders>
                    <w:tl2br w:val="nil"/>
                    <w:tr2bl w:val="nil"/>
                  </w:tcBorders>
                  <w:noWrap w:val="0"/>
                  <w:vAlign w:val="center"/>
                </w:tcPr>
                <w:p w14:paraId="400C9314">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b w:val="0"/>
                      <w:bCs w:val="0"/>
                      <w:color w:val="auto"/>
                      <w:kern w:val="0"/>
                      <w:sz w:val="21"/>
                      <w:szCs w:val="21"/>
                      <w:highlight w:val="none"/>
                    </w:rPr>
                    <w:t>密闭、</w:t>
                  </w:r>
                  <w:r>
                    <w:rPr>
                      <w:rFonts w:hint="default" w:ascii="Times New Roman" w:hAnsi="Times New Roman" w:cs="Times New Roman"/>
                      <w:b w:val="0"/>
                      <w:bCs w:val="0"/>
                      <w:color w:val="auto"/>
                      <w:kern w:val="0"/>
                      <w:sz w:val="21"/>
                      <w:szCs w:val="21"/>
                      <w:highlight w:val="none"/>
                      <w:lang w:val="en-US" w:eastAsia="zh-CN"/>
                    </w:rPr>
                    <w:t>袋装</w:t>
                  </w:r>
                </w:p>
              </w:tc>
              <w:tc>
                <w:tcPr>
                  <w:tcW w:w="715" w:type="dxa"/>
                  <w:vMerge w:val="restart"/>
                  <w:tcBorders>
                    <w:tl2br w:val="nil"/>
                    <w:tr2bl w:val="nil"/>
                  </w:tcBorders>
                  <w:noWrap w:val="0"/>
                  <w:vAlign w:val="center"/>
                </w:tcPr>
                <w:p w14:paraId="1ABA62F9">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eastAsia" w:cs="Times New Roman"/>
                      <w:b w:val="0"/>
                      <w:bCs w:val="0"/>
                      <w:color w:val="auto"/>
                      <w:sz w:val="21"/>
                      <w:szCs w:val="21"/>
                      <w:highlight w:val="none"/>
                      <w:lang w:val="en-US" w:eastAsia="zh-CN"/>
                    </w:rPr>
                    <w:t>10</w:t>
                  </w:r>
                  <w:r>
                    <w:rPr>
                      <w:rFonts w:hint="default" w:ascii="Times New Roman" w:hAnsi="Times New Roman" w:cs="Times New Roman"/>
                      <w:b w:val="0"/>
                      <w:bCs w:val="0"/>
                      <w:color w:val="auto"/>
                      <w:sz w:val="21"/>
                      <w:szCs w:val="21"/>
                      <w:highlight w:val="none"/>
                      <w:lang w:val="en-US" w:eastAsia="zh-CN"/>
                    </w:rPr>
                    <w:t>t</w:t>
                  </w:r>
                </w:p>
              </w:tc>
              <w:tc>
                <w:tcPr>
                  <w:tcW w:w="799" w:type="dxa"/>
                  <w:vMerge w:val="restart"/>
                  <w:tcBorders>
                    <w:tl2br w:val="nil"/>
                    <w:tr2bl w:val="nil"/>
                  </w:tcBorders>
                  <w:noWrap w:val="0"/>
                  <w:vAlign w:val="center"/>
                </w:tcPr>
                <w:p w14:paraId="5327F383">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r>
                    <w:rPr>
                      <w:rFonts w:hint="default" w:ascii="Times New Roman" w:hAnsi="Times New Roman" w:cs="Times New Roman"/>
                      <w:b w:val="0"/>
                      <w:bCs w:val="0"/>
                      <w:color w:val="auto"/>
                      <w:kern w:val="0"/>
                      <w:sz w:val="21"/>
                      <w:szCs w:val="21"/>
                      <w:highlight w:val="none"/>
                      <w:lang w:val="en-US" w:eastAsia="zh-CN"/>
                    </w:rPr>
                    <w:t>6个月</w:t>
                  </w:r>
                </w:p>
              </w:tc>
            </w:tr>
            <w:tr w14:paraId="3797CA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dxa"/>
                  <w:tcBorders>
                    <w:tl2br w:val="nil"/>
                    <w:tr2bl w:val="nil"/>
                  </w:tcBorders>
                  <w:noWrap w:val="0"/>
                  <w:vAlign w:val="center"/>
                </w:tcPr>
                <w:p w14:paraId="32D6D62F">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eastAsia"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2</w:t>
                  </w:r>
                </w:p>
              </w:tc>
              <w:tc>
                <w:tcPr>
                  <w:tcW w:w="1077" w:type="dxa"/>
                  <w:vMerge w:val="continue"/>
                  <w:tcBorders>
                    <w:tl2br w:val="nil"/>
                    <w:tr2bl w:val="nil"/>
                  </w:tcBorders>
                  <w:noWrap w:val="0"/>
                  <w:vAlign w:val="center"/>
                </w:tcPr>
                <w:p w14:paraId="58047587">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val="0"/>
                      <w:bCs w:val="0"/>
                      <w:color w:val="auto"/>
                      <w:spacing w:val="0"/>
                      <w:kern w:val="0"/>
                      <w:sz w:val="21"/>
                      <w:szCs w:val="21"/>
                      <w:highlight w:val="none"/>
                    </w:rPr>
                  </w:pPr>
                </w:p>
              </w:tc>
              <w:tc>
                <w:tcPr>
                  <w:tcW w:w="1115" w:type="dxa"/>
                  <w:tcBorders>
                    <w:tl2br w:val="nil"/>
                    <w:tr2bl w:val="nil"/>
                  </w:tcBorders>
                  <w:noWrap w:val="0"/>
                  <w:vAlign w:val="center"/>
                </w:tcPr>
                <w:p w14:paraId="0829E2C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废过滤棉</w:t>
                  </w:r>
                </w:p>
              </w:tc>
              <w:tc>
                <w:tcPr>
                  <w:tcW w:w="878" w:type="dxa"/>
                  <w:tcBorders>
                    <w:tl2br w:val="nil"/>
                    <w:tr2bl w:val="nil"/>
                  </w:tcBorders>
                  <w:noWrap w:val="0"/>
                  <w:vAlign w:val="center"/>
                </w:tcPr>
                <w:p w14:paraId="5CD5ECE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08</w:t>
                  </w:r>
                </w:p>
              </w:tc>
              <w:tc>
                <w:tcPr>
                  <w:tcW w:w="1222" w:type="dxa"/>
                  <w:tcBorders>
                    <w:tl2br w:val="nil"/>
                    <w:tr2bl w:val="nil"/>
                  </w:tcBorders>
                  <w:noWrap w:val="0"/>
                  <w:vAlign w:val="center"/>
                </w:tcPr>
                <w:p w14:paraId="0CE49421">
                  <w:pPr>
                    <w:widowControl w:val="0"/>
                    <w:snapToGrid/>
                    <w:spacing w:line="240" w:lineRule="auto"/>
                    <w:ind w:firstLine="0" w:firstLineChars="0"/>
                    <w:jc w:val="center"/>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524" w:type="dxa"/>
                  <w:vMerge w:val="continue"/>
                  <w:tcBorders>
                    <w:tl2br w:val="nil"/>
                    <w:tr2bl w:val="nil"/>
                  </w:tcBorders>
                  <w:noWrap w:val="0"/>
                  <w:vAlign w:val="center"/>
                </w:tcPr>
                <w:p w14:paraId="708917EB">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eastAsia" w:ascii="Times New Roman" w:hAnsi="Times New Roman" w:eastAsia="宋体" w:cs="Times New Roman"/>
                      <w:b w:val="0"/>
                      <w:bCs w:val="0"/>
                      <w:color w:val="auto"/>
                      <w:spacing w:val="0"/>
                      <w:kern w:val="0"/>
                      <w:sz w:val="21"/>
                      <w:szCs w:val="21"/>
                      <w:highlight w:val="none"/>
                      <w:lang w:val="en-US" w:eastAsia="zh-CN"/>
                    </w:rPr>
                  </w:pPr>
                </w:p>
              </w:tc>
              <w:tc>
                <w:tcPr>
                  <w:tcW w:w="714" w:type="dxa"/>
                  <w:vMerge w:val="continue"/>
                  <w:tcBorders>
                    <w:tl2br w:val="nil"/>
                    <w:tr2bl w:val="nil"/>
                  </w:tcBorders>
                  <w:noWrap w:val="0"/>
                  <w:vAlign w:val="center"/>
                </w:tcPr>
                <w:p w14:paraId="18E098C2">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c>
                <w:tcPr>
                  <w:tcW w:w="1198" w:type="dxa"/>
                  <w:tcBorders>
                    <w:tl2br w:val="nil"/>
                    <w:tr2bl w:val="nil"/>
                  </w:tcBorders>
                  <w:noWrap w:val="0"/>
                  <w:vAlign w:val="center"/>
                </w:tcPr>
                <w:p w14:paraId="7EE1CC5B">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color w:val="auto"/>
                      <w:kern w:val="0"/>
                      <w:sz w:val="21"/>
                      <w:szCs w:val="21"/>
                      <w:highlight w:val="none"/>
                    </w:rPr>
                    <w:t>密闭、桶装</w:t>
                  </w:r>
                </w:p>
              </w:tc>
              <w:tc>
                <w:tcPr>
                  <w:tcW w:w="715" w:type="dxa"/>
                  <w:vMerge w:val="continue"/>
                  <w:tcBorders>
                    <w:tl2br w:val="nil"/>
                    <w:tr2bl w:val="nil"/>
                  </w:tcBorders>
                  <w:noWrap w:val="0"/>
                  <w:vAlign w:val="center"/>
                </w:tcPr>
                <w:p w14:paraId="78910692">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p>
              </w:tc>
              <w:tc>
                <w:tcPr>
                  <w:tcW w:w="799" w:type="dxa"/>
                  <w:vMerge w:val="continue"/>
                  <w:tcBorders>
                    <w:tl2br w:val="nil"/>
                    <w:tr2bl w:val="nil"/>
                  </w:tcBorders>
                  <w:noWrap w:val="0"/>
                  <w:vAlign w:val="center"/>
                </w:tcPr>
                <w:p w14:paraId="187387EB">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r>
            <w:tr w14:paraId="1F7DAE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dxa"/>
                  <w:tcBorders>
                    <w:tl2br w:val="nil"/>
                    <w:tr2bl w:val="nil"/>
                  </w:tcBorders>
                  <w:noWrap w:val="0"/>
                  <w:vAlign w:val="center"/>
                </w:tcPr>
                <w:p w14:paraId="738CE93B">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eastAsia"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3</w:t>
                  </w:r>
                </w:p>
              </w:tc>
              <w:tc>
                <w:tcPr>
                  <w:tcW w:w="1077" w:type="dxa"/>
                  <w:vMerge w:val="continue"/>
                  <w:tcBorders>
                    <w:tl2br w:val="nil"/>
                    <w:tr2bl w:val="nil"/>
                  </w:tcBorders>
                  <w:noWrap w:val="0"/>
                  <w:vAlign w:val="center"/>
                </w:tcPr>
                <w:p w14:paraId="3ADBC3CB">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val="0"/>
                      <w:bCs w:val="0"/>
                      <w:color w:val="auto"/>
                      <w:spacing w:val="0"/>
                      <w:kern w:val="0"/>
                      <w:sz w:val="21"/>
                      <w:szCs w:val="21"/>
                      <w:highlight w:val="none"/>
                    </w:rPr>
                  </w:pPr>
                </w:p>
              </w:tc>
              <w:tc>
                <w:tcPr>
                  <w:tcW w:w="1115" w:type="dxa"/>
                  <w:tcBorders>
                    <w:tl2br w:val="nil"/>
                    <w:tr2bl w:val="nil"/>
                  </w:tcBorders>
                  <w:noWrap w:val="0"/>
                  <w:vAlign w:val="center"/>
                </w:tcPr>
                <w:p w14:paraId="0D7D7A5A">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w:t>
                  </w:r>
                  <w:r>
                    <w:rPr>
                      <w:rFonts w:hint="eastAsia" w:cs="Times New Roman"/>
                      <w:color w:val="auto"/>
                      <w:sz w:val="21"/>
                      <w:szCs w:val="21"/>
                      <w:highlight w:val="none"/>
                      <w:lang w:val="en-US" w:eastAsia="zh-CN"/>
                    </w:rPr>
                    <w:t>矿物</w:t>
                  </w:r>
                  <w:r>
                    <w:rPr>
                      <w:rFonts w:hint="default" w:ascii="Times New Roman" w:hAnsi="Times New Roman" w:cs="Times New Roman"/>
                      <w:color w:val="auto"/>
                      <w:sz w:val="21"/>
                      <w:szCs w:val="21"/>
                      <w:highlight w:val="none"/>
                      <w:lang w:val="en-US" w:eastAsia="zh-CN"/>
                    </w:rPr>
                    <w:t>油</w:t>
                  </w:r>
                </w:p>
              </w:tc>
              <w:tc>
                <w:tcPr>
                  <w:tcW w:w="878" w:type="dxa"/>
                  <w:tcBorders>
                    <w:tl2br w:val="nil"/>
                    <w:tr2bl w:val="nil"/>
                  </w:tcBorders>
                  <w:noWrap w:val="0"/>
                  <w:vAlign w:val="center"/>
                </w:tcPr>
                <w:p w14:paraId="354260D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eastAsia" w:ascii="Times New Roman" w:hAnsi="Times New Roman" w:eastAsia="宋体" w:cs="Times New Roman"/>
                      <w:color w:val="auto"/>
                      <w:sz w:val="21"/>
                      <w:szCs w:val="21"/>
                      <w:highlight w:val="none"/>
                      <w:lang w:val="en-US" w:eastAsia="zh-CN"/>
                    </w:rPr>
                    <w:t>08</w:t>
                  </w:r>
                </w:p>
              </w:tc>
              <w:tc>
                <w:tcPr>
                  <w:tcW w:w="1222" w:type="dxa"/>
                  <w:tcBorders>
                    <w:tl2br w:val="nil"/>
                    <w:tr2bl w:val="nil"/>
                  </w:tcBorders>
                  <w:noWrap w:val="0"/>
                  <w:vAlign w:val="center"/>
                </w:tcPr>
                <w:p w14:paraId="1406565A">
                  <w:pPr>
                    <w:widowControl w:val="0"/>
                    <w:snapToGrid/>
                    <w:spacing w:line="240" w:lineRule="auto"/>
                    <w:ind w:firstLine="0" w:firstLineChars="0"/>
                    <w:jc w:val="center"/>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21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08</w:t>
                  </w:r>
                </w:p>
              </w:tc>
              <w:tc>
                <w:tcPr>
                  <w:tcW w:w="524" w:type="dxa"/>
                  <w:vMerge w:val="continue"/>
                  <w:tcBorders>
                    <w:tl2br w:val="nil"/>
                    <w:tr2bl w:val="nil"/>
                  </w:tcBorders>
                  <w:noWrap w:val="0"/>
                  <w:vAlign w:val="center"/>
                </w:tcPr>
                <w:p w14:paraId="1CB51573">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eastAsia" w:ascii="Times New Roman" w:hAnsi="Times New Roman" w:eastAsia="宋体" w:cs="Times New Roman"/>
                      <w:b w:val="0"/>
                      <w:bCs w:val="0"/>
                      <w:color w:val="auto"/>
                      <w:spacing w:val="0"/>
                      <w:kern w:val="0"/>
                      <w:sz w:val="21"/>
                      <w:szCs w:val="21"/>
                      <w:highlight w:val="none"/>
                      <w:lang w:val="en-US" w:eastAsia="zh-CN"/>
                    </w:rPr>
                  </w:pPr>
                </w:p>
              </w:tc>
              <w:tc>
                <w:tcPr>
                  <w:tcW w:w="714" w:type="dxa"/>
                  <w:vMerge w:val="continue"/>
                  <w:tcBorders>
                    <w:tl2br w:val="nil"/>
                    <w:tr2bl w:val="nil"/>
                  </w:tcBorders>
                  <w:noWrap w:val="0"/>
                  <w:vAlign w:val="center"/>
                </w:tcPr>
                <w:p w14:paraId="7C7DAD2D">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c>
                <w:tcPr>
                  <w:tcW w:w="1198" w:type="dxa"/>
                  <w:tcBorders>
                    <w:tl2br w:val="nil"/>
                    <w:tr2bl w:val="nil"/>
                  </w:tcBorders>
                  <w:noWrap w:val="0"/>
                  <w:vAlign w:val="center"/>
                </w:tcPr>
                <w:p w14:paraId="48F482AB">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color w:val="auto"/>
                      <w:kern w:val="0"/>
                      <w:sz w:val="21"/>
                      <w:szCs w:val="21"/>
                      <w:highlight w:val="none"/>
                    </w:rPr>
                    <w:t>密闭</w:t>
                  </w:r>
                </w:p>
              </w:tc>
              <w:tc>
                <w:tcPr>
                  <w:tcW w:w="715" w:type="dxa"/>
                  <w:vMerge w:val="continue"/>
                  <w:tcBorders>
                    <w:tl2br w:val="nil"/>
                    <w:tr2bl w:val="nil"/>
                  </w:tcBorders>
                  <w:noWrap w:val="0"/>
                  <w:vAlign w:val="center"/>
                </w:tcPr>
                <w:p w14:paraId="1A4D722C">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p>
              </w:tc>
              <w:tc>
                <w:tcPr>
                  <w:tcW w:w="799" w:type="dxa"/>
                  <w:vMerge w:val="continue"/>
                  <w:tcBorders>
                    <w:tl2br w:val="nil"/>
                    <w:tr2bl w:val="nil"/>
                  </w:tcBorders>
                  <w:noWrap w:val="0"/>
                  <w:vAlign w:val="center"/>
                </w:tcPr>
                <w:p w14:paraId="2854C8D9">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r>
            <w:tr w14:paraId="1EB7DC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dxa"/>
                  <w:tcBorders>
                    <w:tl2br w:val="nil"/>
                    <w:tr2bl w:val="nil"/>
                  </w:tcBorders>
                  <w:noWrap w:val="0"/>
                  <w:vAlign w:val="center"/>
                </w:tcPr>
                <w:p w14:paraId="272AB3E5">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eastAsia" w:ascii="Times New Roman" w:hAnsi="Times New Roman" w:eastAsia="宋体" w:cs="Times New Roman"/>
                      <w:b w:val="0"/>
                      <w:bCs w:val="0"/>
                      <w:color w:val="auto"/>
                      <w:spacing w:val="0"/>
                      <w:kern w:val="0"/>
                      <w:sz w:val="21"/>
                      <w:szCs w:val="21"/>
                      <w:highlight w:val="none"/>
                      <w:lang w:val="en-US" w:eastAsia="zh-CN"/>
                    </w:rPr>
                  </w:pPr>
                  <w:r>
                    <w:rPr>
                      <w:rFonts w:hint="eastAsia" w:ascii="Times New Roman" w:hAnsi="Times New Roman" w:eastAsia="宋体" w:cs="Times New Roman"/>
                      <w:b w:val="0"/>
                      <w:bCs w:val="0"/>
                      <w:color w:val="auto"/>
                      <w:spacing w:val="0"/>
                      <w:kern w:val="0"/>
                      <w:sz w:val="21"/>
                      <w:szCs w:val="21"/>
                      <w:highlight w:val="none"/>
                      <w:lang w:val="en-US" w:eastAsia="zh-CN"/>
                    </w:rPr>
                    <w:t>4</w:t>
                  </w:r>
                </w:p>
              </w:tc>
              <w:tc>
                <w:tcPr>
                  <w:tcW w:w="1077" w:type="dxa"/>
                  <w:vMerge w:val="continue"/>
                  <w:tcBorders>
                    <w:tl2br w:val="nil"/>
                    <w:tr2bl w:val="nil"/>
                  </w:tcBorders>
                  <w:noWrap w:val="0"/>
                  <w:vAlign w:val="center"/>
                </w:tcPr>
                <w:p w14:paraId="1CB1BBA8">
                  <w:pPr>
                    <w:keepNext w:val="0"/>
                    <w:keepLines w:val="0"/>
                    <w:pageBreakBefore w:val="0"/>
                    <w:widowControl w:val="0"/>
                    <w:kinsoku/>
                    <w:wordWrap/>
                    <w:overflowPunct/>
                    <w:topLinePunct w:val="0"/>
                    <w:autoSpaceDE w:val="0"/>
                    <w:autoSpaceDN w:val="0"/>
                    <w:bidi w:val="0"/>
                    <w:adjustRightInd w:val="0"/>
                    <w:snapToGrid w:val="0"/>
                    <w:spacing w:line="240" w:lineRule="auto"/>
                    <w:ind w:right="0"/>
                    <w:jc w:val="center"/>
                    <w:textAlignment w:val="auto"/>
                    <w:outlineLvl w:val="9"/>
                    <w:rPr>
                      <w:rFonts w:hint="default" w:ascii="Times New Roman" w:hAnsi="Times New Roman" w:eastAsia="宋体" w:cs="Times New Roman"/>
                      <w:b w:val="0"/>
                      <w:bCs w:val="0"/>
                      <w:color w:val="auto"/>
                      <w:spacing w:val="0"/>
                      <w:kern w:val="0"/>
                      <w:sz w:val="21"/>
                      <w:szCs w:val="21"/>
                      <w:highlight w:val="none"/>
                    </w:rPr>
                  </w:pPr>
                </w:p>
              </w:tc>
              <w:tc>
                <w:tcPr>
                  <w:tcW w:w="1115" w:type="dxa"/>
                  <w:tcBorders>
                    <w:tl2br w:val="nil"/>
                    <w:tr2bl w:val="nil"/>
                  </w:tcBorders>
                  <w:noWrap w:val="0"/>
                  <w:vAlign w:val="center"/>
                </w:tcPr>
                <w:p w14:paraId="2387F7E7">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废油桶</w:t>
                  </w:r>
                </w:p>
              </w:tc>
              <w:tc>
                <w:tcPr>
                  <w:tcW w:w="878" w:type="dxa"/>
                  <w:tcBorders>
                    <w:tl2br w:val="nil"/>
                    <w:tr2bl w:val="nil"/>
                  </w:tcBorders>
                  <w:noWrap w:val="0"/>
                  <w:vAlign w:val="center"/>
                </w:tcPr>
                <w:p w14:paraId="3502B3F5">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1222" w:type="dxa"/>
                  <w:tcBorders>
                    <w:tl2br w:val="nil"/>
                    <w:tr2bl w:val="nil"/>
                  </w:tcBorders>
                  <w:noWrap w:val="0"/>
                  <w:vAlign w:val="center"/>
                </w:tcPr>
                <w:p w14:paraId="05262E54">
                  <w:pPr>
                    <w:widowControl w:val="0"/>
                    <w:snapToGrid/>
                    <w:spacing w:line="240" w:lineRule="auto"/>
                    <w:ind w:firstLine="0" w:firstLineChars="0"/>
                    <w:jc w:val="center"/>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08</w:t>
                  </w:r>
                </w:p>
              </w:tc>
              <w:tc>
                <w:tcPr>
                  <w:tcW w:w="524" w:type="dxa"/>
                  <w:vMerge w:val="continue"/>
                  <w:tcBorders>
                    <w:tl2br w:val="nil"/>
                    <w:tr2bl w:val="nil"/>
                  </w:tcBorders>
                  <w:noWrap w:val="0"/>
                  <w:vAlign w:val="center"/>
                </w:tcPr>
                <w:p w14:paraId="376BB51F">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eastAsia" w:ascii="Times New Roman" w:hAnsi="Times New Roman" w:eastAsia="宋体" w:cs="Times New Roman"/>
                      <w:b w:val="0"/>
                      <w:bCs w:val="0"/>
                      <w:color w:val="auto"/>
                      <w:spacing w:val="0"/>
                      <w:kern w:val="0"/>
                      <w:sz w:val="21"/>
                      <w:szCs w:val="21"/>
                      <w:highlight w:val="none"/>
                      <w:lang w:val="en-US" w:eastAsia="zh-CN"/>
                    </w:rPr>
                  </w:pPr>
                </w:p>
              </w:tc>
              <w:tc>
                <w:tcPr>
                  <w:tcW w:w="714" w:type="dxa"/>
                  <w:vMerge w:val="continue"/>
                  <w:tcBorders>
                    <w:tl2br w:val="nil"/>
                    <w:tr2bl w:val="nil"/>
                  </w:tcBorders>
                  <w:noWrap w:val="0"/>
                  <w:vAlign w:val="center"/>
                </w:tcPr>
                <w:p w14:paraId="52A26E0B">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c>
                <w:tcPr>
                  <w:tcW w:w="1198" w:type="dxa"/>
                  <w:tcBorders>
                    <w:tl2br w:val="nil"/>
                    <w:tr2bl w:val="nil"/>
                  </w:tcBorders>
                  <w:noWrap w:val="0"/>
                  <w:vAlign w:val="center"/>
                </w:tcPr>
                <w:p w14:paraId="5214BD1C">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color w:val="auto"/>
                      <w:kern w:val="0"/>
                      <w:sz w:val="21"/>
                      <w:szCs w:val="21"/>
                      <w:highlight w:val="none"/>
                    </w:rPr>
                    <w:t>密闭</w:t>
                  </w:r>
                </w:p>
              </w:tc>
              <w:tc>
                <w:tcPr>
                  <w:tcW w:w="715" w:type="dxa"/>
                  <w:vMerge w:val="continue"/>
                  <w:tcBorders>
                    <w:tl2br w:val="nil"/>
                    <w:tr2bl w:val="nil"/>
                  </w:tcBorders>
                  <w:noWrap w:val="0"/>
                  <w:vAlign w:val="center"/>
                </w:tcPr>
                <w:p w14:paraId="3199FD13">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p>
              </w:tc>
              <w:tc>
                <w:tcPr>
                  <w:tcW w:w="799" w:type="dxa"/>
                  <w:vMerge w:val="continue"/>
                  <w:tcBorders>
                    <w:tl2br w:val="nil"/>
                    <w:tr2bl w:val="nil"/>
                  </w:tcBorders>
                  <w:noWrap w:val="0"/>
                  <w:vAlign w:val="center"/>
                </w:tcPr>
                <w:p w14:paraId="09E9170F">
                  <w:pPr>
                    <w:keepNext w:val="0"/>
                    <w:keepLines w:val="0"/>
                    <w:pageBreakBefore w:val="0"/>
                    <w:widowControl w:val="0"/>
                    <w:kinsoku/>
                    <w:wordWrap/>
                    <w:overflowPunct/>
                    <w:topLinePunct w:val="0"/>
                    <w:autoSpaceDE w:val="0"/>
                    <w:autoSpaceDN w:val="0"/>
                    <w:bidi w:val="0"/>
                    <w:adjustRightInd w:val="0"/>
                    <w:snapToGrid w:val="0"/>
                    <w:ind w:right="0" w:rightChars="0"/>
                    <w:jc w:val="center"/>
                    <w:textAlignment w:val="auto"/>
                    <w:rPr>
                      <w:rFonts w:hint="default" w:ascii="Times New Roman" w:hAnsi="Times New Roman" w:cs="Times New Roman"/>
                      <w:b w:val="0"/>
                      <w:bCs w:val="0"/>
                      <w:color w:val="auto"/>
                      <w:kern w:val="0"/>
                      <w:sz w:val="21"/>
                      <w:szCs w:val="21"/>
                      <w:highlight w:val="none"/>
                      <w:lang w:val="en-US" w:eastAsia="zh-CN"/>
                    </w:rPr>
                  </w:pPr>
                </w:p>
              </w:tc>
            </w:tr>
          </w:tbl>
          <w:p w14:paraId="57D91254">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76"/>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（4）</w:t>
            </w:r>
            <w:r>
              <w:rPr>
                <w:rFonts w:hint="default" w:ascii="Times New Roman" w:hAnsi="Times New Roman" w:eastAsia="宋体" w:cs="Times New Roman"/>
                <w:snapToGrid w:val="0"/>
                <w:color w:val="auto"/>
                <w:kern w:val="21"/>
                <w:sz w:val="24"/>
                <w:szCs w:val="24"/>
                <w:highlight w:val="none"/>
              </w:rPr>
              <w:t>一般废物暂存、处置环境</w:t>
            </w:r>
            <w:r>
              <w:rPr>
                <w:rFonts w:hint="default" w:ascii="Times New Roman" w:hAnsi="Times New Roman" w:eastAsia="宋体" w:cs="Times New Roman"/>
                <w:snapToGrid w:val="0"/>
                <w:color w:val="auto"/>
                <w:kern w:val="21"/>
                <w:sz w:val="24"/>
                <w:szCs w:val="24"/>
                <w:highlight w:val="none"/>
                <w:lang w:val="en-US" w:eastAsia="zh-CN"/>
              </w:rPr>
              <w:t>管理要求</w:t>
            </w:r>
          </w:p>
          <w:p w14:paraId="5555116D">
            <w:pPr>
              <w:widowControl/>
              <w:spacing w:line="360" w:lineRule="auto"/>
              <w:ind w:firstLine="475"/>
              <w:rPr>
                <w:rFonts w:hint="default" w:ascii="Times New Roman" w:hAnsi="Times New Roman" w:cs="Times New Roman"/>
                <w:color w:val="auto"/>
                <w:sz w:val="24"/>
                <w:szCs w:val="24"/>
                <w:highlight w:val="none"/>
              </w:rPr>
            </w:pPr>
            <w:r>
              <w:rPr>
                <w:rFonts w:hint="default" w:ascii="Times New Roman" w:hAnsi="Times New Roman" w:cs="Times New Roman"/>
                <w:color w:val="auto"/>
                <w:kern w:val="21"/>
                <w:sz w:val="24"/>
                <w:szCs w:val="24"/>
                <w:highlight w:val="none"/>
                <w:lang w:eastAsia="zh-CN"/>
              </w:rPr>
              <w:t>项目</w:t>
            </w:r>
            <w:r>
              <w:rPr>
                <w:rFonts w:hint="default" w:ascii="Times New Roman" w:hAnsi="Times New Roman" w:cs="Times New Roman"/>
                <w:color w:val="auto"/>
                <w:kern w:val="21"/>
                <w:sz w:val="24"/>
                <w:szCs w:val="24"/>
                <w:highlight w:val="none"/>
                <w:lang w:val="en-US" w:eastAsia="zh-CN"/>
              </w:rPr>
              <w:t>于车间</w:t>
            </w:r>
            <w:r>
              <w:rPr>
                <w:rFonts w:hint="eastAsia" w:cs="Times New Roman"/>
                <w:color w:val="auto"/>
                <w:kern w:val="21"/>
                <w:sz w:val="24"/>
                <w:szCs w:val="24"/>
                <w:highlight w:val="none"/>
                <w:lang w:val="en-US" w:eastAsia="zh-CN"/>
              </w:rPr>
              <w:t>内西部</w:t>
            </w:r>
            <w:r>
              <w:rPr>
                <w:rFonts w:hint="default" w:ascii="Times New Roman" w:hAnsi="Times New Roman" w:cs="Times New Roman"/>
                <w:color w:val="auto"/>
                <w:kern w:val="21"/>
                <w:sz w:val="24"/>
                <w:szCs w:val="24"/>
                <w:highlight w:val="none"/>
                <w:lang w:val="en-US" w:eastAsia="zh-CN"/>
              </w:rPr>
              <w:t>设置1座</w:t>
            </w:r>
            <w:r>
              <w:rPr>
                <w:rFonts w:hint="eastAsia" w:cs="Times New Roman"/>
                <w:color w:val="auto"/>
                <w:kern w:val="21"/>
                <w:sz w:val="24"/>
                <w:szCs w:val="24"/>
                <w:highlight w:val="none"/>
                <w:lang w:val="en-US" w:eastAsia="zh-CN"/>
              </w:rPr>
              <w:t>一般固废暂存区</w:t>
            </w:r>
            <w:r>
              <w:rPr>
                <w:rFonts w:hint="default" w:ascii="Times New Roman" w:hAnsi="Times New Roman" w:cs="Times New Roman"/>
                <w:color w:val="auto"/>
                <w:kern w:val="21"/>
                <w:sz w:val="24"/>
                <w:szCs w:val="24"/>
                <w:highlight w:val="none"/>
                <w:lang w:val="en-US" w:eastAsia="zh-CN"/>
              </w:rPr>
              <w:t>，占地面积约</w:t>
            </w:r>
            <w:r>
              <w:rPr>
                <w:rFonts w:hint="eastAsia" w:cs="Times New Roman"/>
                <w:color w:val="auto"/>
                <w:kern w:val="21"/>
                <w:sz w:val="24"/>
                <w:szCs w:val="24"/>
                <w:highlight w:val="none"/>
                <w:lang w:val="en-US" w:eastAsia="zh-CN"/>
              </w:rPr>
              <w:t>10</w:t>
            </w:r>
            <w:r>
              <w:rPr>
                <w:rFonts w:hint="default" w:ascii="Times New Roman" w:hAnsi="Times New Roman" w:cs="Times New Roman"/>
                <w:color w:val="auto"/>
                <w:kern w:val="21"/>
                <w:sz w:val="24"/>
                <w:szCs w:val="24"/>
                <w:highlight w:val="none"/>
              </w:rPr>
              <w:t>m</w:t>
            </w:r>
            <w:r>
              <w:rPr>
                <w:rFonts w:hint="default" w:ascii="Times New Roman" w:hAnsi="Times New Roman" w:cs="Times New Roman"/>
                <w:color w:val="auto"/>
                <w:kern w:val="21"/>
                <w:sz w:val="24"/>
                <w:szCs w:val="24"/>
                <w:highlight w:val="none"/>
                <w:vertAlign w:val="superscript"/>
              </w:rPr>
              <w:t>2</w:t>
            </w:r>
            <w:r>
              <w:rPr>
                <w:rFonts w:hint="default" w:ascii="Times New Roman" w:hAnsi="Times New Roman" w:cs="Times New Roman"/>
                <w:color w:val="auto"/>
                <w:kern w:val="21"/>
                <w:sz w:val="24"/>
                <w:szCs w:val="24"/>
                <w:highlight w:val="none"/>
              </w:rPr>
              <w:t>，</w:t>
            </w:r>
            <w:r>
              <w:rPr>
                <w:rFonts w:hint="default" w:ascii="Times New Roman" w:hAnsi="Times New Roman" w:cs="Times New Roman"/>
                <w:color w:val="auto"/>
                <w:kern w:val="21"/>
                <w:sz w:val="24"/>
                <w:szCs w:val="24"/>
                <w:highlight w:val="none"/>
                <w:lang w:val="en-US" w:eastAsia="zh-CN"/>
              </w:rPr>
              <w:t>本项目产生的</w:t>
            </w:r>
            <w:r>
              <w:rPr>
                <w:rFonts w:hint="eastAsia" w:cs="Times New Roman"/>
                <w:color w:val="auto"/>
                <w:kern w:val="21"/>
                <w:sz w:val="24"/>
                <w:szCs w:val="24"/>
                <w:highlight w:val="none"/>
                <w:lang w:val="en-US" w:eastAsia="zh-CN"/>
              </w:rPr>
              <w:t>一般固废总量为4.8t/a，产生的一般固废种类相同，固废每3个月年处理一次，一般固废暂存库</w:t>
            </w:r>
            <w:r>
              <w:rPr>
                <w:rFonts w:hint="default" w:ascii="Times New Roman" w:hAnsi="Times New Roman" w:cs="Times New Roman"/>
                <w:color w:val="auto"/>
                <w:kern w:val="21"/>
                <w:sz w:val="24"/>
                <w:szCs w:val="24"/>
                <w:highlight w:val="none"/>
                <w:lang w:val="en-US" w:eastAsia="zh-CN"/>
              </w:rPr>
              <w:t>面积能够满足本项目</w:t>
            </w:r>
            <w:r>
              <w:rPr>
                <w:rFonts w:hint="eastAsia" w:ascii="Times New Roman" w:hAnsi="Times New Roman" w:cs="Times New Roman"/>
                <w:color w:val="auto"/>
                <w:kern w:val="21"/>
                <w:sz w:val="24"/>
                <w:szCs w:val="24"/>
                <w:highlight w:val="none"/>
                <w:lang w:val="en-US" w:eastAsia="zh-CN"/>
              </w:rPr>
              <w:t>暂存</w:t>
            </w:r>
            <w:r>
              <w:rPr>
                <w:rFonts w:hint="default" w:ascii="Times New Roman" w:hAnsi="Times New Roman" w:cs="Times New Roman"/>
                <w:color w:val="auto"/>
                <w:kern w:val="21"/>
                <w:sz w:val="24"/>
                <w:szCs w:val="24"/>
                <w:highlight w:val="none"/>
                <w:lang w:val="en-US" w:eastAsia="zh-CN"/>
              </w:rPr>
              <w:t>需求</w:t>
            </w:r>
            <w:r>
              <w:rPr>
                <w:rFonts w:hint="eastAsia" w:cs="Times New Roman"/>
                <w:color w:val="auto"/>
                <w:kern w:val="21"/>
                <w:sz w:val="24"/>
                <w:szCs w:val="24"/>
                <w:highlight w:val="none"/>
                <w:lang w:val="en-US" w:eastAsia="zh-CN"/>
              </w:rPr>
              <w:t>。</w:t>
            </w:r>
            <w:r>
              <w:rPr>
                <w:rFonts w:hint="default" w:ascii="Times New Roman" w:hAnsi="Times New Roman" w:cs="Times New Roman"/>
                <w:color w:val="auto"/>
                <w:sz w:val="24"/>
                <w:szCs w:val="24"/>
                <w:highlight w:val="none"/>
              </w:rPr>
              <w:t>一般固废暂存满足以下要求：</w:t>
            </w:r>
          </w:p>
          <w:p w14:paraId="65D6B323">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厂内一般固体废弃物应按《排污许可证申请与核发技术规范 工业固体废物（试行）》（HJ1200-2021）中4.2.2 一般工业固体废物自行贮存设施信息规定</w:t>
            </w:r>
            <w:r>
              <w:rPr>
                <w:rFonts w:hint="eastAsia" w:cs="Times New Roman"/>
                <w:color w:val="auto"/>
                <w:sz w:val="24"/>
                <w:szCs w:val="24"/>
                <w:highlight w:val="none"/>
                <w:lang w:val="en-US" w:eastAsia="zh-CN"/>
              </w:rPr>
              <w:t>的</w:t>
            </w:r>
            <w:r>
              <w:rPr>
                <w:rFonts w:hint="default" w:ascii="Times New Roman" w:hAnsi="Times New Roman" w:cs="Times New Roman"/>
                <w:color w:val="auto"/>
                <w:sz w:val="24"/>
                <w:szCs w:val="24"/>
                <w:highlight w:val="none"/>
              </w:rPr>
              <w:t>设置一般工业固体废物临时贮存场所，并专人负责固体废物的收集、贮存，同时配合地方要求进行集中处置。一般固废暂存库的固废管理方面的具体要求如下：</w:t>
            </w:r>
          </w:p>
          <w:p w14:paraId="3781A186">
            <w:pPr>
              <w:widowControl/>
              <w:spacing w:line="360" w:lineRule="auto"/>
              <w:ind w:firstLine="475"/>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自行贮存设施信息包括贮存设施名称、编号、类型、位置、是否符合贮存相关标准要求、贮存一般工业固体废物能力、面积，贮存一般工业固体废物的名称、代码、类别、物理性状、产生环节等信息， 参见附录 A.2。 </w:t>
            </w:r>
          </w:p>
          <w:p w14:paraId="6CA4BC08">
            <w:pPr>
              <w:widowControl/>
              <w:numPr>
                <w:ilvl w:val="0"/>
                <w:numId w:val="7"/>
              </w:numPr>
              <w:spacing w:line="360" w:lineRule="auto"/>
              <w:ind w:firstLine="475"/>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贮存设施名称按排污单位对该贮存设施的内部管理名称填写。 </w:t>
            </w:r>
          </w:p>
          <w:p w14:paraId="06711534">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设施编号应填报一般工业固体废物自行贮存设施的内部编号。若无内部设施编号，应按照 HJ 608 规定的污染防治设施编号规则进行编号并填报。 </w:t>
            </w:r>
          </w:p>
          <w:p w14:paraId="7AF7A716">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贮存设施类型填报自行贮存设施。 </w:t>
            </w:r>
          </w:p>
          <w:p w14:paraId="0A1E0002">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设施位置应填报一般工业固体废物自行贮存设施的地理坐标。 </w:t>
            </w:r>
          </w:p>
          <w:p w14:paraId="371CEBAE">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是否符合相关标准要求，是指该贮存设施是否符合 GB 15562.2、GB 18599 等相关标准中生产运营期间的环境管理和相关设施运行维护要求。 </w:t>
            </w:r>
          </w:p>
          <w:p w14:paraId="57D4F33D">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贮存一般工业固体废物能力和面积根据贮存设施实际情况填报。贮存能力为贮存设施可贮存一般工业固体废物的最大量，单位为 t、L、m</w:t>
            </w:r>
            <w:r>
              <w:rPr>
                <w:rFonts w:hint="default" w:ascii="Times New Roman" w:hAnsi="Times New Roman" w:cs="Times New Roman"/>
                <w:color w:val="auto"/>
                <w:sz w:val="24"/>
                <w:szCs w:val="24"/>
                <w:highlight w:val="none"/>
                <w:shd w:val="clear" w:color="auto" w:fill="FFFFFF"/>
                <w:vertAlign w:val="superscript"/>
              </w:rPr>
              <w:t>3</w:t>
            </w:r>
            <w:r>
              <w:rPr>
                <w:rFonts w:hint="default" w:ascii="Times New Roman" w:hAnsi="Times New Roman" w:cs="Times New Roman"/>
                <w:color w:val="auto"/>
                <w:sz w:val="24"/>
                <w:szCs w:val="24"/>
                <w:highlight w:val="none"/>
                <w:shd w:val="clear" w:color="auto" w:fill="FFFFFF"/>
              </w:rPr>
              <w:t>、个；面积为贮存设施达到贮存能力时一般工业固体废物堆存所占面积，单位为 m</w:t>
            </w:r>
            <w:r>
              <w:rPr>
                <w:rFonts w:hint="default" w:ascii="Times New Roman" w:hAnsi="Times New Roman" w:cs="Times New Roman"/>
                <w:color w:val="auto"/>
                <w:sz w:val="24"/>
                <w:szCs w:val="24"/>
                <w:highlight w:val="none"/>
                <w:shd w:val="clear" w:color="auto" w:fill="FFFFFF"/>
                <w:vertAlign w:val="superscript"/>
              </w:rPr>
              <w:t>2</w:t>
            </w:r>
            <w:r>
              <w:rPr>
                <w:rFonts w:hint="default" w:ascii="Times New Roman" w:hAnsi="Times New Roman" w:cs="Times New Roman"/>
                <w:color w:val="auto"/>
                <w:sz w:val="24"/>
                <w:szCs w:val="24"/>
                <w:highlight w:val="none"/>
                <w:shd w:val="clear" w:color="auto" w:fill="FFFFFF"/>
              </w:rPr>
              <w:t xml:space="preserve">。 </w:t>
            </w:r>
          </w:p>
          <w:p w14:paraId="48893E35">
            <w:pPr>
              <w:widowControl/>
              <w:numPr>
                <w:ilvl w:val="0"/>
                <w:numId w:val="7"/>
              </w:numPr>
              <w:spacing w:line="360" w:lineRule="auto"/>
              <w:ind w:left="0" w:leftChars="0" w:firstLine="475" w:firstLineChars="0"/>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 xml:space="preserve">贮存一般工业固体废物的名称、代码、类别、物理性状、产生环节按照 4.2.1 执行。 </w:t>
            </w:r>
          </w:p>
          <w:p w14:paraId="5B7DFFB3">
            <w:pPr>
              <w:widowControl/>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shd w:val="clear" w:color="auto" w:fill="FFFFFF"/>
              </w:rPr>
              <w:t xml:space="preserve">h） 半固态一般工业固体废物可备注含水率、含油率等指标。 </w:t>
            </w:r>
          </w:p>
          <w:p w14:paraId="490729EA">
            <w:pPr>
              <w:widowControl/>
              <w:numPr>
                <w:ilvl w:val="0"/>
                <w:numId w:val="0"/>
              </w:numPr>
              <w:spacing w:line="360" w:lineRule="auto"/>
              <w:ind w:firstLine="480" w:firstLineChars="200"/>
              <w:rPr>
                <w:rFonts w:hint="default" w:ascii="Times New Roman" w:hAnsi="Times New Roman" w:eastAsia="宋体" w:cs="Times New Roman"/>
                <w:snapToGrid w:val="0"/>
                <w:color w:val="FF0000"/>
                <w:kern w:val="21"/>
                <w:sz w:val="24"/>
                <w:szCs w:val="24"/>
                <w:highlight w:val="none"/>
                <w:lang w:val="en-US" w:eastAsia="zh-CN"/>
              </w:rPr>
            </w:pPr>
            <w:r>
              <w:rPr>
                <w:rFonts w:hint="default" w:ascii="Times New Roman" w:hAnsi="Times New Roman" w:eastAsia="宋体" w:cs="Times New Roman"/>
                <w:snapToGrid w:val="0"/>
                <w:color w:val="FF0000"/>
                <w:kern w:val="21"/>
                <w:sz w:val="24"/>
                <w:szCs w:val="24"/>
                <w:highlight w:val="none"/>
                <w:lang w:eastAsia="zh-CN"/>
              </w:rPr>
              <w:t>（</w:t>
            </w:r>
            <w:r>
              <w:rPr>
                <w:rFonts w:hint="default" w:ascii="Times New Roman" w:hAnsi="Times New Roman" w:eastAsia="宋体" w:cs="Times New Roman"/>
                <w:snapToGrid w:val="0"/>
                <w:color w:val="FF0000"/>
                <w:kern w:val="21"/>
                <w:sz w:val="24"/>
                <w:szCs w:val="24"/>
                <w:highlight w:val="none"/>
                <w:lang w:val="en-US" w:eastAsia="zh-CN"/>
              </w:rPr>
              <w:t>5</w:t>
            </w:r>
            <w:r>
              <w:rPr>
                <w:rFonts w:hint="default" w:ascii="Times New Roman" w:hAnsi="Times New Roman" w:eastAsia="宋体" w:cs="Times New Roman"/>
                <w:snapToGrid w:val="0"/>
                <w:color w:val="FF0000"/>
                <w:kern w:val="21"/>
                <w:sz w:val="24"/>
                <w:szCs w:val="24"/>
                <w:highlight w:val="none"/>
                <w:lang w:eastAsia="zh-CN"/>
              </w:rPr>
              <w:t>）</w:t>
            </w:r>
            <w:r>
              <w:rPr>
                <w:rFonts w:hint="default" w:ascii="Times New Roman" w:hAnsi="Times New Roman" w:eastAsia="宋体" w:cs="Times New Roman"/>
                <w:snapToGrid w:val="0"/>
                <w:color w:val="FF0000"/>
                <w:kern w:val="21"/>
                <w:sz w:val="24"/>
                <w:szCs w:val="24"/>
                <w:highlight w:val="none"/>
              </w:rPr>
              <w:t>危险废物环境</w:t>
            </w:r>
            <w:r>
              <w:rPr>
                <w:rFonts w:hint="default" w:ascii="Times New Roman" w:hAnsi="Times New Roman" w:eastAsia="宋体" w:cs="Times New Roman"/>
                <w:snapToGrid w:val="0"/>
                <w:color w:val="FF0000"/>
                <w:kern w:val="21"/>
                <w:sz w:val="24"/>
                <w:szCs w:val="24"/>
                <w:highlight w:val="none"/>
                <w:lang w:val="en-US" w:eastAsia="zh-CN"/>
              </w:rPr>
              <w:t>管理要求</w:t>
            </w:r>
          </w:p>
          <w:p w14:paraId="0C57BE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FF0000"/>
                <w:kern w:val="21"/>
                <w:sz w:val="24"/>
                <w:szCs w:val="24"/>
                <w:highlight w:val="none"/>
                <w:lang w:eastAsia="zh-CN"/>
              </w:rPr>
            </w:pPr>
            <w:r>
              <w:rPr>
                <w:rFonts w:hint="default" w:ascii="Times New Roman" w:hAnsi="Times New Roman" w:cs="Times New Roman"/>
                <w:color w:val="FF0000"/>
                <w:kern w:val="21"/>
                <w:sz w:val="24"/>
                <w:szCs w:val="24"/>
                <w:highlight w:val="none"/>
                <w:lang w:eastAsia="zh-CN"/>
              </w:rPr>
              <w:t>项目</w:t>
            </w:r>
            <w:r>
              <w:rPr>
                <w:rFonts w:hint="default" w:ascii="Times New Roman" w:hAnsi="Times New Roman" w:cs="Times New Roman"/>
                <w:color w:val="FF0000"/>
                <w:kern w:val="21"/>
                <w:sz w:val="24"/>
                <w:szCs w:val="24"/>
                <w:highlight w:val="none"/>
                <w:lang w:val="en-US" w:eastAsia="zh-CN"/>
              </w:rPr>
              <w:t>危险废物</w:t>
            </w:r>
            <w:r>
              <w:rPr>
                <w:rFonts w:hint="eastAsia" w:cs="Times New Roman"/>
                <w:color w:val="FF0000"/>
                <w:kern w:val="21"/>
                <w:sz w:val="24"/>
                <w:szCs w:val="24"/>
                <w:highlight w:val="none"/>
                <w:lang w:val="en-US" w:eastAsia="zh-CN"/>
              </w:rPr>
              <w:t>于</w:t>
            </w:r>
            <w:r>
              <w:rPr>
                <w:rFonts w:hint="default" w:ascii="Times New Roman" w:hAnsi="Times New Roman" w:cs="Times New Roman"/>
                <w:color w:val="FF0000"/>
                <w:kern w:val="21"/>
                <w:sz w:val="24"/>
                <w:szCs w:val="24"/>
                <w:highlight w:val="none"/>
                <w:lang w:val="en-US" w:eastAsia="zh-CN"/>
              </w:rPr>
              <w:t>危废间贮存</w:t>
            </w:r>
            <w:r>
              <w:rPr>
                <w:rFonts w:hint="eastAsia" w:cs="Times New Roman" w:eastAsiaTheme="minorEastAsia"/>
                <w:color w:val="FF0000"/>
                <w:kern w:val="0"/>
                <w:sz w:val="24"/>
                <w:szCs w:val="24"/>
                <w:highlight w:val="none"/>
                <w:lang w:val="en-US" w:eastAsia="zh-CN"/>
              </w:rPr>
              <w:t>位于整体生产车间内西南部，占地面积10</w:t>
            </w:r>
            <w:r>
              <w:rPr>
                <w:rFonts w:hint="default" w:ascii="Times New Roman" w:hAnsi="Times New Roman" w:cs="Times New Roman" w:eastAsiaTheme="minorEastAsia"/>
                <w:color w:val="FF0000"/>
                <w:kern w:val="0"/>
                <w:sz w:val="24"/>
                <w:szCs w:val="24"/>
                <w:highlight w:val="none"/>
                <w:lang w:val="en-US" w:eastAsia="zh-CN"/>
              </w:rPr>
              <w:t>m</w:t>
            </w:r>
            <w:r>
              <w:rPr>
                <w:rFonts w:hint="default" w:ascii="Times New Roman" w:hAnsi="Times New Roman" w:cs="Times New Roman" w:eastAsiaTheme="minorEastAsia"/>
                <w:color w:val="FF0000"/>
                <w:kern w:val="0"/>
                <w:sz w:val="24"/>
                <w:szCs w:val="24"/>
                <w:highlight w:val="none"/>
                <w:vertAlign w:val="superscript"/>
                <w:lang w:val="en-US" w:eastAsia="zh-CN"/>
              </w:rPr>
              <w:t>2</w:t>
            </w:r>
            <w:r>
              <w:rPr>
                <w:rFonts w:hint="default" w:ascii="Times New Roman" w:hAnsi="Times New Roman" w:cs="Times New Roman" w:eastAsiaTheme="minorEastAsia"/>
                <w:color w:val="FF0000"/>
                <w:kern w:val="0"/>
                <w:sz w:val="24"/>
                <w:szCs w:val="24"/>
                <w:highlight w:val="none"/>
                <w:vertAlign w:val="baseline"/>
                <w:lang w:val="en-US" w:eastAsia="zh-CN"/>
              </w:rPr>
              <w:t>，</w:t>
            </w:r>
            <w:r>
              <w:rPr>
                <w:rFonts w:hint="eastAsia" w:cs="Times New Roman"/>
                <w:color w:val="FF0000"/>
                <w:kern w:val="21"/>
                <w:sz w:val="24"/>
                <w:szCs w:val="24"/>
                <w:highlight w:val="none"/>
                <w:lang w:val="en-US" w:eastAsia="zh-CN"/>
              </w:rPr>
              <w:t>最大暂存量为10t，</w:t>
            </w:r>
            <w:r>
              <w:rPr>
                <w:rFonts w:hint="default" w:ascii="Times New Roman" w:hAnsi="Times New Roman" w:cs="Times New Roman"/>
                <w:color w:val="FF0000"/>
                <w:kern w:val="21"/>
                <w:sz w:val="24"/>
                <w:szCs w:val="24"/>
                <w:highlight w:val="none"/>
                <w:lang w:val="en-US" w:eastAsia="zh-CN"/>
              </w:rPr>
              <w:t>本项目产生的危险废物</w:t>
            </w:r>
            <w:r>
              <w:rPr>
                <w:rFonts w:hint="eastAsia" w:cs="Times New Roman"/>
                <w:color w:val="FF0000"/>
                <w:kern w:val="21"/>
                <w:sz w:val="24"/>
                <w:szCs w:val="24"/>
                <w:highlight w:val="none"/>
                <w:lang w:val="en-US" w:eastAsia="zh-CN"/>
              </w:rPr>
              <w:t>量为1.425t/a，危废每半年处理一次，危废库</w:t>
            </w:r>
            <w:r>
              <w:rPr>
                <w:rFonts w:hint="default" w:ascii="Times New Roman" w:hAnsi="Times New Roman" w:cs="Times New Roman"/>
                <w:color w:val="FF0000"/>
                <w:kern w:val="21"/>
                <w:sz w:val="24"/>
                <w:szCs w:val="24"/>
                <w:highlight w:val="none"/>
                <w:lang w:val="en-US" w:eastAsia="zh-CN"/>
              </w:rPr>
              <w:t>面积能够满足本项目</w:t>
            </w:r>
            <w:r>
              <w:rPr>
                <w:rFonts w:hint="eastAsia" w:ascii="Times New Roman" w:hAnsi="Times New Roman" w:cs="Times New Roman"/>
                <w:color w:val="FF0000"/>
                <w:kern w:val="21"/>
                <w:sz w:val="24"/>
                <w:szCs w:val="24"/>
                <w:highlight w:val="none"/>
                <w:lang w:val="en-US" w:eastAsia="zh-CN"/>
              </w:rPr>
              <w:t>暂存</w:t>
            </w:r>
            <w:r>
              <w:rPr>
                <w:rFonts w:hint="default" w:ascii="Times New Roman" w:hAnsi="Times New Roman" w:cs="Times New Roman"/>
                <w:color w:val="FF0000"/>
                <w:kern w:val="21"/>
                <w:sz w:val="24"/>
                <w:szCs w:val="24"/>
                <w:highlight w:val="none"/>
                <w:lang w:val="en-US" w:eastAsia="zh-CN"/>
              </w:rPr>
              <w:t>需求</w:t>
            </w:r>
            <w:r>
              <w:rPr>
                <w:rFonts w:hint="eastAsia" w:cs="Times New Roman"/>
                <w:color w:val="FF0000"/>
                <w:kern w:val="21"/>
                <w:sz w:val="24"/>
                <w:szCs w:val="24"/>
                <w:highlight w:val="none"/>
                <w:lang w:val="en-US" w:eastAsia="zh-CN"/>
              </w:rPr>
              <w:t>。</w:t>
            </w:r>
            <w:r>
              <w:rPr>
                <w:rFonts w:hint="default" w:ascii="Times New Roman" w:hAnsi="Times New Roman" w:cs="Times New Roman"/>
                <w:color w:val="FF0000"/>
                <w:kern w:val="21"/>
                <w:sz w:val="24"/>
                <w:szCs w:val="24"/>
                <w:highlight w:val="none"/>
                <w:lang w:val="en-US" w:eastAsia="zh-CN"/>
              </w:rPr>
              <w:t>危废库需做防流失、防渗漏等措施，</w:t>
            </w:r>
            <w:r>
              <w:rPr>
                <w:rFonts w:hint="default" w:ascii="Times New Roman" w:hAnsi="Times New Roman" w:eastAsia="宋体" w:cs="Times New Roman"/>
                <w:snapToGrid w:val="0"/>
                <w:color w:val="FF0000"/>
                <w:kern w:val="21"/>
                <w:sz w:val="24"/>
                <w:szCs w:val="24"/>
                <w:highlight w:val="none"/>
                <w:lang w:val="en-US" w:eastAsia="zh-CN"/>
              </w:rPr>
              <w:t>危废</w:t>
            </w:r>
            <w:r>
              <w:rPr>
                <w:rFonts w:hint="default" w:ascii="Times New Roman" w:hAnsi="Times New Roman" w:eastAsia="宋体" w:cs="Times New Roman"/>
                <w:snapToGrid w:val="0"/>
                <w:color w:val="FF0000"/>
                <w:kern w:val="21"/>
                <w:sz w:val="24"/>
                <w:szCs w:val="24"/>
                <w:highlight w:val="none"/>
              </w:rPr>
              <w:t>应严格按照《危险废物贮存污染控制标准》（GB18597-2023）、《危险废物收集 贮存 运输技术规范》</w:t>
            </w:r>
            <w:r>
              <w:rPr>
                <w:rFonts w:hint="eastAsia" w:cs="Times New Roman"/>
                <w:snapToGrid w:val="0"/>
                <w:color w:val="FF0000"/>
                <w:kern w:val="21"/>
                <w:sz w:val="24"/>
                <w:szCs w:val="24"/>
                <w:highlight w:val="none"/>
                <w:lang w:eastAsia="zh-CN"/>
              </w:rPr>
              <w:t>（</w:t>
            </w:r>
            <w:r>
              <w:rPr>
                <w:rFonts w:hint="default" w:ascii="Times New Roman" w:hAnsi="Times New Roman" w:eastAsia="宋体" w:cs="Times New Roman"/>
                <w:snapToGrid w:val="0"/>
                <w:color w:val="FF0000"/>
                <w:kern w:val="21"/>
                <w:sz w:val="24"/>
                <w:szCs w:val="24"/>
                <w:highlight w:val="none"/>
              </w:rPr>
              <w:t>HJ2025-2012</w:t>
            </w:r>
            <w:r>
              <w:rPr>
                <w:rFonts w:hint="eastAsia" w:cs="Times New Roman"/>
                <w:snapToGrid w:val="0"/>
                <w:color w:val="FF0000"/>
                <w:kern w:val="21"/>
                <w:sz w:val="24"/>
                <w:szCs w:val="24"/>
                <w:highlight w:val="none"/>
                <w:lang w:eastAsia="zh-CN"/>
              </w:rPr>
              <w:t>）</w:t>
            </w:r>
            <w:r>
              <w:rPr>
                <w:rFonts w:hint="default" w:ascii="Times New Roman" w:hAnsi="Times New Roman" w:eastAsia="宋体" w:cs="Times New Roman"/>
                <w:snapToGrid w:val="0"/>
                <w:color w:val="FF0000"/>
                <w:kern w:val="21"/>
                <w:sz w:val="24"/>
                <w:szCs w:val="24"/>
                <w:highlight w:val="none"/>
              </w:rPr>
              <w:t xml:space="preserve"> 以及《建设项目危险废物评价指南》的相关要求对危险废物进行暂存和处置。</w:t>
            </w:r>
          </w:p>
          <w:p w14:paraId="255EC5A9">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1）危险废物收集要求</w:t>
            </w:r>
          </w:p>
          <w:p w14:paraId="3F5A96F1">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项目危险废物的收集包括两个方面：一是在危险废物产生节点将危险废物集中到适当的包装容器中或车辆上的活动；二是将已包装或装到运输车辆上的危险废物集中到危险废物暂存仓库的内部转运。</w:t>
            </w:r>
          </w:p>
          <w:p w14:paraId="7B12706B">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项目危险废物的收集须严格按照《危险废物收集 贮存 运输技术规范》（HJ2025-2012）的要求：</w:t>
            </w:r>
          </w:p>
          <w:p w14:paraId="62DFDAEF">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①根据危险废物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14:paraId="1C6AA376">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②制定危险废物收集操作规程，内容包括适用范围、操作程序和方法、专用设备和工具、转移和交接、安全保障和应急防护等。</w:t>
            </w:r>
          </w:p>
          <w:p w14:paraId="72EE3BCF">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③危险废物收集和转运作业人员根据工作需要配备必要的个人防护装备，如手套、防护镜、防护服、防毒面具或口罩等。</w:t>
            </w:r>
          </w:p>
          <w:p w14:paraId="4945B286">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④在危险废物收集和转运过程中，采取相应的安全防护和污染防治措施，包括防爆、防火、防泄漏、防飞扬、防雨或其他防治污染环境的措施。</w:t>
            </w:r>
          </w:p>
          <w:p w14:paraId="497F3C4D">
            <w:p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⑤危险废物收集时应根据危险废物的种类、数量、危险特性、物理形态、运输要求等因素选择合适的包装形式。</w:t>
            </w:r>
          </w:p>
          <w:p w14:paraId="2C0379BD">
            <w:pPr>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snapToGrid w:val="0"/>
                <w:color w:val="auto"/>
                <w:kern w:val="21"/>
                <w:sz w:val="24"/>
                <w:szCs w:val="24"/>
                <w:highlight w:val="none"/>
                <w:lang w:val="en-US" w:eastAsia="zh-CN"/>
              </w:rPr>
              <w:t>2</w:t>
            </w:r>
            <w:r>
              <w:rPr>
                <w:rFonts w:hint="default" w:ascii="Times New Roman" w:hAnsi="Times New Roman" w:eastAsia="宋体" w:cs="Times New Roman"/>
                <w:snapToGrid w:val="0"/>
                <w:color w:val="auto"/>
                <w:kern w:val="21"/>
                <w:sz w:val="24"/>
                <w:szCs w:val="24"/>
                <w:highlight w:val="none"/>
                <w:lang w:eastAsia="zh-CN"/>
              </w:rPr>
              <w:t>）</w:t>
            </w:r>
            <w:r>
              <w:rPr>
                <w:rFonts w:hint="default" w:ascii="Times New Roman" w:hAnsi="Times New Roman" w:eastAsia="宋体" w:cs="Times New Roman"/>
                <w:snapToGrid w:val="0"/>
                <w:color w:val="auto"/>
                <w:kern w:val="21"/>
                <w:sz w:val="24"/>
                <w:szCs w:val="24"/>
                <w:highlight w:val="none"/>
              </w:rPr>
              <w:t>暂存要求</w:t>
            </w:r>
          </w:p>
          <w:p w14:paraId="2CE01DBA">
            <w:pPr>
              <w:numPr>
                <w:ilvl w:val="0"/>
                <w:numId w:val="0"/>
              </w:numPr>
              <w:spacing w:line="360" w:lineRule="auto"/>
              <w:ind w:firstLine="480" w:firstLineChars="200"/>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lang w:val="en-US" w:eastAsia="zh-CN"/>
              </w:rPr>
              <w:t>A、</w:t>
            </w:r>
            <w:r>
              <w:rPr>
                <w:rFonts w:hint="default" w:ascii="Times New Roman" w:hAnsi="Times New Roman" w:cs="Times New Roman"/>
                <w:color w:val="auto"/>
                <w:kern w:val="21"/>
                <w:sz w:val="24"/>
                <w:szCs w:val="24"/>
                <w:highlight w:val="none"/>
                <w:lang w:eastAsia="zh-CN"/>
              </w:rPr>
              <w:t>项目</w:t>
            </w:r>
            <w:r>
              <w:rPr>
                <w:rFonts w:hint="eastAsia" w:ascii="Times New Roman" w:hAnsi="Times New Roman" w:cs="Times New Roman"/>
                <w:color w:val="auto"/>
                <w:kern w:val="21"/>
                <w:sz w:val="24"/>
                <w:szCs w:val="24"/>
                <w:highlight w:val="none"/>
                <w:lang w:val="en-US" w:eastAsia="zh-CN"/>
              </w:rPr>
              <w:t>于车间</w:t>
            </w:r>
            <w:r>
              <w:rPr>
                <w:rFonts w:hint="eastAsia" w:cs="Times New Roman"/>
                <w:color w:val="auto"/>
                <w:kern w:val="21"/>
                <w:sz w:val="24"/>
                <w:szCs w:val="24"/>
                <w:highlight w:val="none"/>
                <w:lang w:val="en-US" w:eastAsia="zh-CN"/>
              </w:rPr>
              <w:t>西南</w:t>
            </w:r>
            <w:r>
              <w:rPr>
                <w:rFonts w:hint="eastAsia" w:ascii="Times New Roman" w:hAnsi="Times New Roman" w:cs="Times New Roman"/>
                <w:color w:val="auto"/>
                <w:kern w:val="21"/>
                <w:sz w:val="24"/>
                <w:szCs w:val="24"/>
                <w:highlight w:val="none"/>
                <w:lang w:val="en-US" w:eastAsia="zh-CN"/>
              </w:rPr>
              <w:t>侧设置</w:t>
            </w:r>
            <w:r>
              <w:rPr>
                <w:rFonts w:hint="default" w:ascii="Times New Roman" w:hAnsi="Times New Roman" w:cs="Times New Roman"/>
                <w:color w:val="auto"/>
                <w:kern w:val="21"/>
                <w:sz w:val="24"/>
                <w:szCs w:val="24"/>
                <w:highlight w:val="none"/>
                <w:lang w:eastAsia="zh-CN"/>
              </w:rPr>
              <w:t>危废间</w:t>
            </w:r>
            <w:r>
              <w:rPr>
                <w:rFonts w:hint="default" w:ascii="Times New Roman" w:hAnsi="Times New Roman" w:cs="Times New Roman"/>
                <w:color w:val="auto"/>
                <w:kern w:val="21"/>
                <w:sz w:val="24"/>
                <w:szCs w:val="24"/>
                <w:highlight w:val="none"/>
                <w:lang w:val="en-US" w:eastAsia="zh-CN"/>
              </w:rPr>
              <w:t>1</w:t>
            </w:r>
            <w:r>
              <w:rPr>
                <w:rFonts w:hint="eastAsia" w:ascii="Times New Roman" w:hAnsi="Times New Roman" w:cs="Times New Roman"/>
                <w:color w:val="auto"/>
                <w:kern w:val="21"/>
                <w:sz w:val="24"/>
                <w:szCs w:val="24"/>
                <w:highlight w:val="none"/>
                <w:lang w:val="en-US" w:eastAsia="zh-CN"/>
              </w:rPr>
              <w:t>处</w:t>
            </w:r>
            <w:r>
              <w:rPr>
                <w:rFonts w:hint="default" w:ascii="Times New Roman" w:hAnsi="Times New Roman" w:cs="Times New Roman"/>
                <w:color w:val="auto"/>
                <w:sz w:val="24"/>
                <w:szCs w:val="24"/>
                <w:highlight w:val="none"/>
                <w:lang w:eastAsia="zh-CN"/>
              </w:rPr>
              <w:t>，用于存放危险废物</w:t>
            </w:r>
            <w:r>
              <w:rPr>
                <w:rFonts w:hint="default" w:ascii="Times New Roman" w:hAnsi="Times New Roman" w:eastAsia="宋体" w:cs="Times New Roman"/>
                <w:snapToGrid w:val="0"/>
                <w:color w:val="auto"/>
                <w:kern w:val="21"/>
                <w:sz w:val="24"/>
                <w:szCs w:val="24"/>
                <w:highlight w:val="none"/>
              </w:rPr>
              <w:t>，</w:t>
            </w:r>
            <w:r>
              <w:rPr>
                <w:rFonts w:hint="default" w:ascii="Times New Roman" w:hAnsi="Times New Roman" w:cs="Times New Roman"/>
                <w:bCs/>
                <w:color w:val="auto"/>
                <w:spacing w:val="8"/>
                <w:sz w:val="24"/>
                <w:szCs w:val="24"/>
                <w:highlight w:val="none"/>
                <w:lang w:val="en-US" w:eastAsia="zh-CN"/>
              </w:rPr>
              <w:t>项目危废暂存间应严格按照</w:t>
            </w:r>
            <w:r>
              <w:rPr>
                <w:rFonts w:hint="default" w:ascii="Times New Roman" w:hAnsi="Times New Roman" w:eastAsia="宋体" w:cs="Times New Roman"/>
                <w:snapToGrid w:val="0"/>
                <w:color w:val="auto"/>
                <w:kern w:val="21"/>
                <w:sz w:val="24"/>
                <w:szCs w:val="24"/>
                <w:highlight w:val="none"/>
              </w:rPr>
              <w:t>《危险废物贮存污染控制标准》（GB18597-2023）和《危险废物收集贮存运输技术规范》</w:t>
            </w:r>
            <w:r>
              <w:rPr>
                <w:rFonts w:hint="eastAsia" w:cs="Times New Roman"/>
                <w:snapToGrid w:val="0"/>
                <w:color w:val="auto"/>
                <w:kern w:val="21"/>
                <w:sz w:val="24"/>
                <w:szCs w:val="24"/>
                <w:highlight w:val="none"/>
                <w:lang w:eastAsia="zh-CN"/>
              </w:rPr>
              <w:t>（</w:t>
            </w:r>
            <w:r>
              <w:rPr>
                <w:rFonts w:hint="default" w:ascii="Times New Roman" w:hAnsi="Times New Roman" w:eastAsia="宋体" w:cs="Times New Roman"/>
                <w:snapToGrid w:val="0"/>
                <w:color w:val="auto"/>
                <w:kern w:val="21"/>
                <w:sz w:val="24"/>
                <w:szCs w:val="24"/>
                <w:highlight w:val="none"/>
              </w:rPr>
              <w:t>HJ2025-2012</w:t>
            </w:r>
            <w:r>
              <w:rPr>
                <w:rFonts w:hint="eastAsia" w:cs="Times New Roman"/>
                <w:snapToGrid w:val="0"/>
                <w:color w:val="auto"/>
                <w:kern w:val="21"/>
                <w:sz w:val="24"/>
                <w:szCs w:val="24"/>
                <w:highlight w:val="none"/>
                <w:lang w:eastAsia="zh-CN"/>
              </w:rPr>
              <w:t>）</w:t>
            </w:r>
            <w:r>
              <w:rPr>
                <w:rFonts w:hint="default" w:ascii="Times New Roman" w:hAnsi="Times New Roman" w:eastAsia="宋体" w:cs="Times New Roman"/>
                <w:snapToGrid w:val="0"/>
                <w:color w:val="auto"/>
                <w:kern w:val="21"/>
                <w:sz w:val="24"/>
                <w:szCs w:val="24"/>
                <w:highlight w:val="none"/>
              </w:rPr>
              <w:t>的相关要求</w:t>
            </w:r>
            <w:r>
              <w:rPr>
                <w:rFonts w:hint="default" w:ascii="Times New Roman" w:hAnsi="Times New Roman" w:cs="Times New Roman"/>
                <w:bCs/>
                <w:color w:val="auto"/>
                <w:spacing w:val="8"/>
                <w:sz w:val="24"/>
                <w:szCs w:val="24"/>
                <w:highlight w:val="none"/>
                <w:lang w:val="en-US" w:eastAsia="zh-CN"/>
              </w:rPr>
              <w:t>采取相应的</w:t>
            </w:r>
            <w:r>
              <w:rPr>
                <w:rFonts w:hint="default" w:ascii="Times New Roman" w:hAnsi="Times New Roman" w:cs="Times New Roman"/>
                <w:bCs/>
                <w:color w:val="auto"/>
                <w:spacing w:val="8"/>
                <w:sz w:val="24"/>
                <w:szCs w:val="24"/>
                <w:highlight w:val="none"/>
              </w:rPr>
              <w:t>防渗防腐硬化处理</w:t>
            </w:r>
            <w:r>
              <w:rPr>
                <w:rFonts w:hint="default" w:ascii="Times New Roman" w:hAnsi="Times New Roman" w:cs="Times New Roman"/>
                <w:color w:val="auto"/>
                <w:sz w:val="24"/>
                <w:szCs w:val="24"/>
                <w:highlight w:val="none"/>
              </w:rPr>
              <w:t>。</w:t>
            </w:r>
          </w:p>
          <w:p w14:paraId="05A2A5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lang w:val="en-US" w:eastAsia="zh-CN"/>
              </w:rPr>
              <w:t>B</w:t>
            </w:r>
            <w:r>
              <w:rPr>
                <w:rFonts w:hint="default" w:ascii="Times New Roman" w:hAnsi="Times New Roman" w:eastAsia="宋体" w:cs="Times New Roman"/>
                <w:snapToGrid w:val="0"/>
                <w:color w:val="auto"/>
                <w:kern w:val="21"/>
                <w:sz w:val="24"/>
                <w:szCs w:val="24"/>
                <w:highlight w:val="none"/>
              </w:rPr>
              <w:t>、企业须健全危险废物相关管理制度，并严格落实。</w:t>
            </w:r>
          </w:p>
          <w:p w14:paraId="7AB033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①企业须配备专业技术人员和管理人员专门负责企业危险废物统计、收集、暂存、转运和管理工作，并对有关危废产生部门员工进行定期教育和培训，强化危险废物管理；</w:t>
            </w:r>
          </w:p>
          <w:p w14:paraId="7E4273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②企业须建立危险废物收集操作规程、危险废物转运操作规程、危险废物暂存管理规程等相关制度，并认真落实；</w:t>
            </w:r>
          </w:p>
          <w:p w14:paraId="75192E3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③企业须对危险废物储运场所张贴</w:t>
            </w:r>
            <w:r>
              <w:rPr>
                <w:rFonts w:hint="eastAsia" w:cs="Times New Roman"/>
                <w:snapToGrid w:val="0"/>
                <w:color w:val="auto"/>
                <w:kern w:val="21"/>
                <w:sz w:val="24"/>
                <w:szCs w:val="24"/>
                <w:highlight w:val="none"/>
                <w:lang w:eastAsia="zh-CN"/>
              </w:rPr>
              <w:t>警示标志</w:t>
            </w:r>
            <w:r>
              <w:rPr>
                <w:rFonts w:hint="default" w:ascii="Times New Roman" w:hAnsi="Times New Roman" w:eastAsia="宋体" w:cs="Times New Roman"/>
                <w:snapToGrid w:val="0"/>
                <w:color w:val="auto"/>
                <w:kern w:val="21"/>
                <w:sz w:val="24"/>
                <w:szCs w:val="24"/>
                <w:highlight w:val="none"/>
              </w:rPr>
              <w:t>，危险废物包装物张贴警示标签；</w:t>
            </w:r>
          </w:p>
          <w:p w14:paraId="1D61F5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④规范危险废物统计、建立危险废物收集及储运有关档案，认真填写《危险废物项目区内转运记录表》，</w:t>
            </w:r>
            <w:r>
              <w:rPr>
                <w:rFonts w:hint="eastAsia" w:cs="Times New Roman"/>
                <w:snapToGrid w:val="0"/>
                <w:color w:val="auto"/>
                <w:kern w:val="21"/>
                <w:sz w:val="24"/>
                <w:szCs w:val="24"/>
                <w:highlight w:val="none"/>
                <w:lang w:eastAsia="zh-CN"/>
              </w:rPr>
              <w:t>做好</w:t>
            </w:r>
            <w:r>
              <w:rPr>
                <w:rFonts w:hint="default" w:ascii="Times New Roman" w:hAnsi="Times New Roman" w:eastAsia="宋体" w:cs="Times New Roman"/>
                <w:snapToGrid w:val="0"/>
                <w:color w:val="auto"/>
                <w:kern w:val="21"/>
                <w:sz w:val="24"/>
                <w:szCs w:val="24"/>
                <w:highlight w:val="none"/>
              </w:rPr>
              <w:t>危险废物情况的记录，记录上须注明危险废物的名称、来源、数量、特性和包装容器的类别、入库日期、存放库位、废物出库日期及接收单位名称等，并即时存档以备查阅。</w:t>
            </w:r>
          </w:p>
          <w:p w14:paraId="3F2CA9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lang w:val="en-US" w:eastAsia="zh-CN"/>
              </w:rPr>
              <w:t>C</w:t>
            </w:r>
            <w:r>
              <w:rPr>
                <w:rFonts w:hint="default" w:ascii="Times New Roman" w:hAnsi="Times New Roman" w:eastAsia="宋体" w:cs="Times New Roman"/>
                <w:snapToGrid w:val="0"/>
                <w:color w:val="auto"/>
                <w:kern w:val="21"/>
                <w:sz w:val="24"/>
                <w:szCs w:val="24"/>
                <w:highlight w:val="none"/>
              </w:rPr>
              <w:t>、危险废物在危废库房内暂存期间应严格按照《危险废物贮存污染控制标准》（GB18597-2023）和《危险废物收集 贮存 运输技术规范》（HJ2025-2012）的相关要求进行存储和管理。</w:t>
            </w:r>
          </w:p>
          <w:p w14:paraId="19E5FD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①必须将危险废物装入容器内进行密封装运，禁止将不相容（相互反应）的危险废物在同一容器内混装；</w:t>
            </w:r>
          </w:p>
          <w:p w14:paraId="3B0D54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②盛装危险废物的容器应当符合标准，材质要满足相应的强度要求且必须完好无损，容器材质和衬里要与危险废物相容（不相互反应）；</w:t>
            </w:r>
          </w:p>
          <w:p w14:paraId="3FDE19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③危险废物贮存前应进行检验，确保同预定接收的危险废物一致，并登记注册，不得接收未粘贴符合规定的标签或标签没按规定填写的危险废物；</w:t>
            </w:r>
          </w:p>
          <w:p w14:paraId="3AB79C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④必须定期对所贮存的危险废物包装容器及贮存设施进行检查，发现破损，应及时采取措施清理更换。</w:t>
            </w:r>
          </w:p>
          <w:p w14:paraId="4611CA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lang w:val="en-US" w:eastAsia="zh-CN"/>
              </w:rPr>
              <w:t>3</w:t>
            </w:r>
            <w:r>
              <w:rPr>
                <w:rFonts w:hint="default" w:ascii="Times New Roman" w:hAnsi="Times New Roman" w:eastAsia="宋体" w:cs="Times New Roman"/>
                <w:snapToGrid w:val="0"/>
                <w:color w:val="auto"/>
                <w:kern w:val="21"/>
                <w:sz w:val="24"/>
                <w:szCs w:val="24"/>
                <w:highlight w:val="none"/>
              </w:rPr>
              <w:t>）危险废物的转运要求</w:t>
            </w:r>
          </w:p>
          <w:p w14:paraId="43EABF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项目固体废物转运过程中采取篷布遮盖、防滴漏等措施，减少固体废物运输过程给环境带来污染。危险废物的转运还按照《危险废物收集 贮存 运输技术规范》（HJ2025-2012）的要求进行，具体如下：</w:t>
            </w:r>
          </w:p>
          <w:p w14:paraId="551D14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① 危险废物的运输由持有危险废物经营许可证的单位组织实施，并按照相关危险货物运输管理规定执行；</w:t>
            </w:r>
          </w:p>
          <w:p w14:paraId="7A5B35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②项目危险废物运输采用公路运输方式，应按照《道路危险货物运输管理规定》（交通运输部令2013年第2号）执行。</w:t>
            </w:r>
          </w:p>
          <w:p w14:paraId="2A332B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运输单位承运危险废物时，应在危险废物包装上按照GB18597附录A设置标志，运输车辆应按GB13392设立车辆标志。危废运输车辆应配备符合有关国家标准以及与所载运的危险货物相适应的应急处理器材和安全防护设备。</w:t>
            </w:r>
          </w:p>
          <w:p w14:paraId="49F52A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③ 危险废物运输时的装卸应遵照如下技术要求：装卸区的工作人员应熟悉危险废物的危险特性，并配备适当的个人防护装备，如橡胶手套、防护服和口罩。装卸区域应配备必要的消防设备和设施，并设置明显的指示标志。装卸区域应设置隔离设施。</w:t>
            </w:r>
          </w:p>
          <w:p w14:paraId="6665A0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④危险废物转移过程严格落实《危险废物转移联单管理办法》的相关规定，规范危险废物转移；做好每次外运处置废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w:t>
            </w:r>
            <w:r>
              <w:rPr>
                <w:rFonts w:hint="eastAsia" w:cs="Times New Roman"/>
                <w:snapToGrid w:val="0"/>
                <w:color w:val="auto"/>
                <w:kern w:val="21"/>
                <w:sz w:val="24"/>
                <w:szCs w:val="24"/>
                <w:highlight w:val="none"/>
                <w:lang w:eastAsia="zh-CN"/>
              </w:rPr>
              <w:t>接收单位</w:t>
            </w:r>
            <w:r>
              <w:rPr>
                <w:rFonts w:hint="default" w:ascii="Times New Roman" w:hAnsi="Times New Roman" w:eastAsia="宋体" w:cs="Times New Roman"/>
                <w:snapToGrid w:val="0"/>
                <w:color w:val="auto"/>
                <w:kern w:val="21"/>
                <w:sz w:val="24"/>
                <w:szCs w:val="24"/>
                <w:highlight w:val="none"/>
              </w:rPr>
              <w:t>，第五联交接受地环保局。</w:t>
            </w:r>
          </w:p>
          <w:p w14:paraId="59A413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⑤废物处置单位的运输人员必须掌握危险废物运输的安全知识，了解所运载的危险废物的性质、危害特性、包装容器的使用特性和发生意外时的应急措施。运输车辆必须具有车辆危险货物运输许可证。</w:t>
            </w:r>
          </w:p>
          <w:p w14:paraId="46904BC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42" w:firstLineChars="200"/>
              <w:jc w:val="both"/>
              <w:textAlignment w:val="auto"/>
              <w:rPr>
                <w:rFonts w:hint="default" w:ascii="Times New Roman" w:hAnsi="Times New Roman" w:cs="Times New Roman"/>
                <w:b/>
                <w:bCs/>
                <w:color w:val="auto"/>
                <w:spacing w:val="-10"/>
                <w:sz w:val="24"/>
                <w:szCs w:val="24"/>
                <w:highlight w:val="none"/>
                <w:lang w:val="en-US" w:eastAsia="zh-CN"/>
              </w:rPr>
            </w:pPr>
            <w:r>
              <w:rPr>
                <w:rFonts w:hint="eastAsia" w:cs="Times New Roman"/>
                <w:b/>
                <w:bCs/>
                <w:color w:val="auto"/>
                <w:spacing w:val="-10"/>
                <w:sz w:val="24"/>
                <w:szCs w:val="24"/>
                <w:highlight w:val="none"/>
                <w:lang w:val="en-US" w:eastAsia="zh-CN"/>
              </w:rPr>
              <w:t>五</w:t>
            </w:r>
            <w:r>
              <w:rPr>
                <w:rFonts w:hint="default" w:ascii="Times New Roman" w:hAnsi="Times New Roman" w:cs="Times New Roman"/>
                <w:b/>
                <w:bCs/>
                <w:color w:val="auto"/>
                <w:spacing w:val="-10"/>
                <w:sz w:val="24"/>
                <w:szCs w:val="24"/>
                <w:highlight w:val="none"/>
                <w:lang w:val="en-US" w:eastAsia="zh-CN"/>
              </w:rPr>
              <w:t>、地下水和土壤</w:t>
            </w:r>
          </w:p>
          <w:p w14:paraId="3D6B3B6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（1）污染途径</w:t>
            </w:r>
          </w:p>
          <w:p w14:paraId="4461313E">
            <w:pPr>
              <w:pStyle w:val="36"/>
              <w:keepNext w:val="0"/>
              <w:keepLines w:val="0"/>
              <w:pageBreakBefore w:val="0"/>
              <w:widowControl w:val="0"/>
              <w:kinsoku/>
              <w:wordWrap/>
              <w:overflowPunct/>
              <w:topLinePunct w:val="0"/>
              <w:autoSpaceDE/>
              <w:autoSpaceDN/>
              <w:bidi w:val="0"/>
              <w:spacing w:after="0" w:line="360" w:lineRule="auto"/>
              <w:ind w:left="0" w:leftChars="0" w:firstLine="480" w:firstLineChars="200"/>
              <w:textAlignment w:val="auto"/>
              <w:rPr>
                <w:rFonts w:hint="default"/>
                <w:color w:val="auto"/>
                <w:sz w:val="24"/>
                <w:szCs w:val="24"/>
                <w:highlight w:val="none"/>
                <w:lang w:val="en-US" w:eastAsia="zh-CN"/>
              </w:rPr>
            </w:pPr>
            <w:r>
              <w:rPr>
                <w:rFonts w:hint="default"/>
                <w:color w:val="auto"/>
                <w:sz w:val="24"/>
                <w:szCs w:val="24"/>
                <w:highlight w:val="none"/>
                <w:lang w:val="en-US" w:eastAsia="zh-CN"/>
              </w:rPr>
              <w:t>项目正常情况下，生产车间地面均做硬化防渗处理，不会对地下水和土壤产生污染。</w:t>
            </w:r>
          </w:p>
          <w:p w14:paraId="418A495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w:t>
            </w:r>
            <w:r>
              <w:rPr>
                <w:rFonts w:hint="eastAsia" w:ascii="Times New Roman" w:hAnsi="Times New Roman" w:cs="Times New Roman"/>
                <w:b w:val="0"/>
                <w:bCs w:val="0"/>
                <w:color w:val="auto"/>
                <w:sz w:val="24"/>
                <w:szCs w:val="24"/>
                <w:highlight w:val="none"/>
                <w:lang w:val="en-US" w:eastAsia="zh-CN"/>
              </w:rPr>
              <w:t>非</w:t>
            </w:r>
            <w:r>
              <w:rPr>
                <w:rFonts w:hint="default" w:ascii="Times New Roman" w:hAnsi="Times New Roman" w:cs="Times New Roman"/>
                <w:b w:val="0"/>
                <w:bCs w:val="0"/>
                <w:color w:val="auto"/>
                <w:sz w:val="24"/>
                <w:szCs w:val="24"/>
                <w:highlight w:val="none"/>
                <w:lang w:val="en-US" w:eastAsia="zh-CN"/>
              </w:rPr>
              <w:t>正常情况下，项目主要污染途径包括：</w:t>
            </w:r>
          </w:p>
          <w:p w14:paraId="0F11187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化粪池、</w:t>
            </w:r>
            <w:r>
              <w:rPr>
                <w:rFonts w:hint="eastAsia" w:ascii="Times New Roman" w:hAnsi="Times New Roman" w:cs="Times New Roman"/>
                <w:b w:val="0"/>
                <w:bCs w:val="0"/>
                <w:color w:val="auto"/>
                <w:sz w:val="24"/>
                <w:szCs w:val="24"/>
                <w:highlight w:val="none"/>
                <w:lang w:val="en-US" w:eastAsia="zh-CN"/>
              </w:rPr>
              <w:t>危废库</w:t>
            </w:r>
            <w:r>
              <w:rPr>
                <w:rFonts w:hint="default" w:ascii="Times New Roman" w:hAnsi="Times New Roman" w:cs="Times New Roman"/>
                <w:b w:val="0"/>
                <w:bCs w:val="0"/>
                <w:color w:val="auto"/>
                <w:sz w:val="24"/>
                <w:szCs w:val="24"/>
                <w:highlight w:val="none"/>
                <w:lang w:val="en-US" w:eastAsia="zh-CN"/>
              </w:rPr>
              <w:t>地面防渗不当，造成</w:t>
            </w:r>
            <w:r>
              <w:rPr>
                <w:rFonts w:hint="eastAsia" w:cs="Times New Roman"/>
                <w:b w:val="0"/>
                <w:bCs w:val="0"/>
                <w:color w:val="auto"/>
                <w:sz w:val="24"/>
                <w:szCs w:val="24"/>
                <w:highlight w:val="none"/>
                <w:lang w:val="en-US" w:eastAsia="zh-CN"/>
              </w:rPr>
              <w:t>污水、</w:t>
            </w:r>
            <w:r>
              <w:rPr>
                <w:rFonts w:hint="eastAsia" w:ascii="Times New Roman" w:hAnsi="Times New Roman" w:cs="Times New Roman"/>
                <w:b w:val="0"/>
                <w:bCs w:val="0"/>
                <w:color w:val="auto"/>
                <w:sz w:val="24"/>
                <w:szCs w:val="24"/>
                <w:highlight w:val="none"/>
                <w:lang w:val="en-US" w:eastAsia="zh-CN"/>
              </w:rPr>
              <w:t>危废</w:t>
            </w:r>
            <w:r>
              <w:rPr>
                <w:rFonts w:hint="default" w:ascii="Times New Roman" w:hAnsi="Times New Roman" w:cs="Times New Roman"/>
                <w:b w:val="0"/>
                <w:bCs w:val="0"/>
                <w:color w:val="auto"/>
                <w:sz w:val="24"/>
                <w:szCs w:val="24"/>
                <w:highlight w:val="none"/>
                <w:lang w:val="en-US" w:eastAsia="zh-CN"/>
              </w:rPr>
              <w:t>渗滤液下渗污染地下水和土壤。</w:t>
            </w:r>
          </w:p>
          <w:p w14:paraId="05F7544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（2）防控措施</w:t>
            </w:r>
          </w:p>
          <w:p w14:paraId="48BBBAF1">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工程生产运行过程中要建立健全地下水、土壤保护与污染防治的措施与方法；必须采取必要监测制度，一旦发现地下水遭受污染，就应及时采取措施，防微杜渐；尽量减少污染物进入地下含水层的机会和数量。主要采取以下措施如下：</w:t>
            </w:r>
          </w:p>
          <w:p w14:paraId="2C19584F">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①源头控制措施</w:t>
            </w:r>
          </w:p>
          <w:p w14:paraId="2FC34057">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应对项目污水管道要经常巡查，杜绝“跑、冒、滴、漏”等事故的发生，尤其是在污水输送管道等周边，要进行严格的防渗处理，从源头上防止污水进入地下水含水层之中。</w:t>
            </w:r>
          </w:p>
          <w:p w14:paraId="4D27E602">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②分区防控措施</w:t>
            </w:r>
          </w:p>
          <w:p w14:paraId="56FA978E">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根据《环境影响评价技术导则 地下水环境》（HJ 610-2016），简单防渗区采用一般地面硬化，一般污染防治区防渗层的防渗性能不应低于1.5m 厚渗透系数1.0×10</w:t>
            </w:r>
            <w:r>
              <w:rPr>
                <w:rFonts w:hint="default" w:ascii="Times New Roman" w:hAnsi="Times New Roman" w:cs="Times New Roman"/>
                <w:color w:val="auto"/>
                <w:sz w:val="24"/>
                <w:szCs w:val="24"/>
                <w:highlight w:val="none"/>
                <w:vertAlign w:val="superscript"/>
                <w:lang w:val="en-US" w:eastAsia="zh-CN"/>
              </w:rPr>
              <w:t>-7</w:t>
            </w:r>
            <w:r>
              <w:rPr>
                <w:rFonts w:hint="default" w:ascii="Times New Roman" w:hAnsi="Times New Roman" w:cs="Times New Roman"/>
                <w:color w:val="auto"/>
                <w:sz w:val="24"/>
                <w:szCs w:val="24"/>
                <w:highlight w:val="none"/>
                <w:lang w:val="en-US" w:eastAsia="zh-CN"/>
              </w:rPr>
              <w:t>cm/s 的黏土层的防渗性能，重点污染防治区防渗层的防渗性能不应低于6.0m厚渗透系数为 1.0×10</w:t>
            </w:r>
            <w:r>
              <w:rPr>
                <w:rFonts w:hint="default" w:ascii="Times New Roman" w:hAnsi="Times New Roman" w:cs="Times New Roman"/>
                <w:color w:val="auto"/>
                <w:sz w:val="24"/>
                <w:szCs w:val="24"/>
                <w:highlight w:val="none"/>
                <w:vertAlign w:val="superscript"/>
                <w:lang w:val="en-US" w:eastAsia="zh-CN"/>
              </w:rPr>
              <w:t>-7</w:t>
            </w:r>
            <w:r>
              <w:rPr>
                <w:rFonts w:hint="default" w:ascii="Times New Roman" w:hAnsi="Times New Roman" w:cs="Times New Roman"/>
                <w:color w:val="auto"/>
                <w:sz w:val="24"/>
                <w:szCs w:val="24"/>
                <w:highlight w:val="none"/>
                <w:lang w:val="en-US" w:eastAsia="zh-CN"/>
              </w:rPr>
              <w:t>cm/s的黏土层的防渗性能。</w:t>
            </w:r>
          </w:p>
          <w:p w14:paraId="01D658BC">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根据污染控制难易程度分级参照表，天然包气带防污性能分级参照表，地下水污染防渗分区参照表，本项目的防渗等级可以分为三个等级——简单防渗区、一般防渗区和重点防渗区。</w:t>
            </w:r>
          </w:p>
          <w:p w14:paraId="657A5CB3">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结合本项目实际情况，重点污染防治区包括</w:t>
            </w:r>
            <w:r>
              <w:rPr>
                <w:rFonts w:hint="eastAsia" w:cs="Times New Roman"/>
                <w:b w:val="0"/>
                <w:bCs w:val="0"/>
                <w:color w:val="auto"/>
                <w:sz w:val="24"/>
                <w:szCs w:val="24"/>
                <w:highlight w:val="none"/>
                <w:lang w:val="en-US" w:eastAsia="zh-CN"/>
              </w:rPr>
              <w:t>化粪池、</w:t>
            </w:r>
            <w:r>
              <w:rPr>
                <w:rFonts w:hint="default" w:ascii="Times New Roman" w:hAnsi="Times New Roman" w:cs="Times New Roman"/>
                <w:color w:val="auto"/>
                <w:sz w:val="24"/>
                <w:szCs w:val="24"/>
                <w:highlight w:val="none"/>
                <w:lang w:val="en-US" w:eastAsia="zh-CN"/>
              </w:rPr>
              <w:t>危废暂存间等，一般污染防治区包括除重点防渗区以外的其他生产车间区域。</w:t>
            </w:r>
          </w:p>
          <w:p w14:paraId="202B9A19">
            <w:pPr>
              <w:numPr>
                <w:ilvl w:val="0"/>
                <w:numId w:val="0"/>
              </w:num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w:t>
            </w:r>
            <w:r>
              <w:rPr>
                <w:rFonts w:hint="eastAsia" w:ascii="Times New Roman" w:hAnsi="Times New Roman" w:cs="Times New Roman"/>
                <w:color w:val="auto"/>
                <w:sz w:val="24"/>
                <w:szCs w:val="24"/>
                <w:highlight w:val="none"/>
                <w:lang w:val="zh-CN"/>
              </w:rPr>
              <w:t>《一般工业固体废物贮存和填埋污染控制标准》（GB18599-2020）</w:t>
            </w:r>
            <w:r>
              <w:rPr>
                <w:rFonts w:hint="default" w:ascii="Times New Roman" w:hAnsi="Times New Roman" w:cs="Times New Roman"/>
                <w:color w:val="auto"/>
                <w:sz w:val="24"/>
                <w:szCs w:val="24"/>
                <w:highlight w:val="none"/>
                <w:lang w:val="en-US" w:eastAsia="zh-CN"/>
              </w:rPr>
              <w:t>以及</w:t>
            </w:r>
            <w:r>
              <w:rPr>
                <w:rFonts w:hint="eastAsia" w:cs="Times New Roman"/>
                <w:color w:val="auto"/>
                <w:sz w:val="24"/>
                <w:szCs w:val="24"/>
                <w:highlight w:val="none"/>
                <w:lang w:val="en-US" w:eastAsia="zh-CN"/>
              </w:rPr>
              <w:t>《危险废物贮存污染控制标准》（GB18597-2023）</w:t>
            </w:r>
            <w:r>
              <w:rPr>
                <w:rFonts w:hint="default" w:ascii="Times New Roman" w:hAnsi="Times New Roman" w:cs="Times New Roman"/>
                <w:color w:val="auto"/>
                <w:sz w:val="24"/>
                <w:szCs w:val="24"/>
                <w:highlight w:val="none"/>
                <w:lang w:val="en-US" w:eastAsia="zh-CN"/>
              </w:rPr>
              <w:t>标准要求，对污染防治区设置防渗层，项目各单元防渗措施具体见下表。</w:t>
            </w:r>
          </w:p>
          <w:p w14:paraId="04EF033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表4-</w:t>
            </w:r>
            <w:r>
              <w:rPr>
                <w:rFonts w:hint="eastAsia" w:ascii="Times New Roman" w:hAnsi="Times New Roman"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lang w:val="en-US" w:eastAsia="zh-CN"/>
              </w:rPr>
              <w:t xml:space="preserve"> 项目各单元污染防治分区</w:t>
            </w:r>
          </w:p>
          <w:tbl>
            <w:tblPr>
              <w:tblStyle w:val="37"/>
              <w:tblW w:w="87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329"/>
              <w:gridCol w:w="3105"/>
              <w:gridCol w:w="3574"/>
            </w:tblGrid>
            <w:tr w14:paraId="1E53B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2" w:type="dxa"/>
                  <w:tcBorders>
                    <w:tl2br w:val="nil"/>
                    <w:tr2bl w:val="nil"/>
                  </w:tcBorders>
                  <w:noWrap w:val="0"/>
                  <w:vAlign w:val="center"/>
                </w:tcPr>
                <w:p w14:paraId="2B383974">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序号</w:t>
                  </w:r>
                </w:p>
              </w:tc>
              <w:tc>
                <w:tcPr>
                  <w:tcW w:w="1329" w:type="dxa"/>
                  <w:tcBorders>
                    <w:tl2br w:val="nil"/>
                    <w:tr2bl w:val="nil"/>
                  </w:tcBorders>
                  <w:noWrap w:val="0"/>
                  <w:vAlign w:val="center"/>
                </w:tcPr>
                <w:p w14:paraId="54D24494">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分区类别</w:t>
                  </w:r>
                </w:p>
              </w:tc>
              <w:tc>
                <w:tcPr>
                  <w:tcW w:w="3105" w:type="dxa"/>
                  <w:tcBorders>
                    <w:tl2br w:val="nil"/>
                    <w:tr2bl w:val="nil"/>
                  </w:tcBorders>
                  <w:noWrap w:val="0"/>
                  <w:vAlign w:val="center"/>
                </w:tcPr>
                <w:p w14:paraId="2F2A4C01">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污染防治区域及部位</w:t>
                  </w:r>
                </w:p>
              </w:tc>
              <w:tc>
                <w:tcPr>
                  <w:tcW w:w="3574" w:type="dxa"/>
                  <w:tcBorders>
                    <w:tl2br w:val="nil"/>
                    <w:tr2bl w:val="nil"/>
                  </w:tcBorders>
                  <w:noWrap w:val="0"/>
                  <w:vAlign w:val="center"/>
                </w:tcPr>
                <w:p w14:paraId="0B4E8404">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防渗技术要求</w:t>
                  </w:r>
                </w:p>
              </w:tc>
            </w:tr>
            <w:tr w14:paraId="1C0B8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 w:type="dxa"/>
                  <w:tcBorders>
                    <w:tl2br w:val="nil"/>
                    <w:tr2bl w:val="nil"/>
                  </w:tcBorders>
                  <w:noWrap w:val="0"/>
                  <w:vAlign w:val="center"/>
                </w:tcPr>
                <w:p w14:paraId="4C4886DE">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1</w:t>
                  </w:r>
                </w:p>
              </w:tc>
              <w:tc>
                <w:tcPr>
                  <w:tcW w:w="1329" w:type="dxa"/>
                  <w:tcBorders>
                    <w:tl2br w:val="nil"/>
                    <w:tr2bl w:val="nil"/>
                  </w:tcBorders>
                  <w:noWrap w:val="0"/>
                  <w:vAlign w:val="center"/>
                </w:tcPr>
                <w:p w14:paraId="2D67CA3D">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重点</w:t>
                  </w:r>
                  <w:r>
                    <w:rPr>
                      <w:rFonts w:hint="default" w:ascii="Times New Roman" w:hAnsi="Times New Roman" w:cs="Times New Roman"/>
                      <w:b w:val="0"/>
                      <w:bCs w:val="0"/>
                      <w:snapToGrid w:val="0"/>
                      <w:color w:val="auto"/>
                      <w:sz w:val="21"/>
                      <w:szCs w:val="21"/>
                      <w:highlight w:val="none"/>
                    </w:rPr>
                    <w:t>防渗</w:t>
                  </w:r>
                  <w:r>
                    <w:rPr>
                      <w:rFonts w:hint="default" w:ascii="Times New Roman" w:hAnsi="Times New Roman" w:cs="Times New Roman"/>
                      <w:b w:val="0"/>
                      <w:bCs w:val="0"/>
                      <w:color w:val="auto"/>
                      <w:kern w:val="2"/>
                      <w:sz w:val="21"/>
                      <w:szCs w:val="21"/>
                      <w:highlight w:val="none"/>
                    </w:rPr>
                    <w:t>区</w:t>
                  </w:r>
                </w:p>
              </w:tc>
              <w:tc>
                <w:tcPr>
                  <w:tcW w:w="3105" w:type="dxa"/>
                  <w:tcBorders>
                    <w:tl2br w:val="nil"/>
                    <w:tr2bl w:val="nil"/>
                  </w:tcBorders>
                  <w:noWrap w:val="0"/>
                  <w:vAlign w:val="center"/>
                </w:tcPr>
                <w:p w14:paraId="723ED2D1">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kern w:val="2"/>
                      <w:sz w:val="21"/>
                      <w:szCs w:val="21"/>
                      <w:highlight w:val="none"/>
                    </w:rPr>
                  </w:pPr>
                  <w:r>
                    <w:rPr>
                      <w:rFonts w:hint="eastAsia" w:cs="Times New Roman"/>
                      <w:b w:val="0"/>
                      <w:bCs w:val="0"/>
                      <w:color w:val="auto"/>
                      <w:sz w:val="21"/>
                      <w:szCs w:val="21"/>
                      <w:highlight w:val="none"/>
                      <w:lang w:val="en-US" w:eastAsia="zh-CN"/>
                    </w:rPr>
                    <w:t>化粪池、</w:t>
                  </w:r>
                  <w:r>
                    <w:rPr>
                      <w:rFonts w:hint="default" w:ascii="Times New Roman" w:hAnsi="Times New Roman" w:cs="Times New Roman"/>
                      <w:b w:val="0"/>
                      <w:bCs w:val="0"/>
                      <w:color w:val="auto"/>
                      <w:sz w:val="21"/>
                      <w:szCs w:val="21"/>
                      <w:highlight w:val="none"/>
                      <w:lang w:val="en-US" w:eastAsia="zh-CN"/>
                    </w:rPr>
                    <w:t>危废暂存间等</w:t>
                  </w:r>
                </w:p>
              </w:tc>
              <w:tc>
                <w:tcPr>
                  <w:tcW w:w="3574" w:type="dxa"/>
                  <w:tcBorders>
                    <w:tl2br w:val="nil"/>
                    <w:tr2bl w:val="nil"/>
                  </w:tcBorders>
                  <w:noWrap w:val="0"/>
                  <w:vAlign w:val="center"/>
                </w:tcPr>
                <w:p w14:paraId="670BDEDB">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等效黏土防渗层 Mb≥6.0m，K≤1×10</w:t>
                  </w:r>
                  <w:r>
                    <w:rPr>
                      <w:rFonts w:hint="default" w:ascii="Times New Roman" w:hAnsi="Times New Roman" w:cs="Times New Roman"/>
                      <w:b w:val="0"/>
                      <w:bCs w:val="0"/>
                      <w:color w:val="auto"/>
                      <w:kern w:val="2"/>
                      <w:sz w:val="21"/>
                      <w:szCs w:val="21"/>
                      <w:highlight w:val="none"/>
                      <w:vertAlign w:val="superscript"/>
                    </w:rPr>
                    <w:t xml:space="preserve">-7 </w:t>
                  </w:r>
                  <w:r>
                    <w:rPr>
                      <w:rFonts w:hint="default" w:ascii="Times New Roman" w:hAnsi="Times New Roman" w:cs="Times New Roman"/>
                      <w:b w:val="0"/>
                      <w:bCs w:val="0"/>
                      <w:color w:val="auto"/>
                      <w:kern w:val="2"/>
                      <w:sz w:val="21"/>
                      <w:szCs w:val="21"/>
                      <w:highlight w:val="none"/>
                    </w:rPr>
                    <w:t>cm/s；或参照GB18598 执行</w:t>
                  </w:r>
                </w:p>
              </w:tc>
            </w:tr>
            <w:tr w14:paraId="41C17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 w:type="dxa"/>
                  <w:tcBorders>
                    <w:tl2br w:val="nil"/>
                    <w:tr2bl w:val="nil"/>
                  </w:tcBorders>
                  <w:noWrap w:val="0"/>
                  <w:vAlign w:val="center"/>
                </w:tcPr>
                <w:p w14:paraId="02A2256E">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w:t>
                  </w:r>
                </w:p>
              </w:tc>
              <w:tc>
                <w:tcPr>
                  <w:tcW w:w="1329" w:type="dxa"/>
                  <w:tcBorders>
                    <w:tl2br w:val="nil"/>
                    <w:tr2bl w:val="nil"/>
                  </w:tcBorders>
                  <w:noWrap w:val="0"/>
                  <w:vAlign w:val="center"/>
                </w:tcPr>
                <w:p w14:paraId="1C5D9253">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一般</w:t>
                  </w:r>
                  <w:r>
                    <w:rPr>
                      <w:rFonts w:hint="default" w:ascii="Times New Roman" w:hAnsi="Times New Roman" w:cs="Times New Roman"/>
                      <w:snapToGrid w:val="0"/>
                      <w:color w:val="auto"/>
                      <w:sz w:val="21"/>
                      <w:szCs w:val="21"/>
                      <w:highlight w:val="none"/>
                    </w:rPr>
                    <w:t>防渗</w:t>
                  </w:r>
                  <w:r>
                    <w:rPr>
                      <w:rFonts w:hint="default" w:ascii="Times New Roman" w:hAnsi="Times New Roman" w:cs="Times New Roman"/>
                      <w:color w:val="auto"/>
                      <w:kern w:val="2"/>
                      <w:sz w:val="21"/>
                      <w:szCs w:val="21"/>
                      <w:highlight w:val="none"/>
                    </w:rPr>
                    <w:t>区</w:t>
                  </w:r>
                </w:p>
              </w:tc>
              <w:tc>
                <w:tcPr>
                  <w:tcW w:w="3105" w:type="dxa"/>
                  <w:tcBorders>
                    <w:tl2br w:val="nil"/>
                    <w:tr2bl w:val="nil"/>
                  </w:tcBorders>
                  <w:noWrap w:val="0"/>
                  <w:vAlign w:val="center"/>
                </w:tcPr>
                <w:p w14:paraId="363A455A">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lang w:val="en-US" w:eastAsia="zh-CN"/>
                    </w:rPr>
                    <w:t>除重点防渗区以外的其他生产车间区域</w:t>
                  </w:r>
                </w:p>
              </w:tc>
              <w:tc>
                <w:tcPr>
                  <w:tcW w:w="3574" w:type="dxa"/>
                  <w:tcBorders>
                    <w:tl2br w:val="nil"/>
                    <w:tr2bl w:val="nil"/>
                  </w:tcBorders>
                  <w:noWrap w:val="0"/>
                  <w:vAlign w:val="center"/>
                </w:tcPr>
                <w:p w14:paraId="7BA3CE91">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等效黏土防渗层 Mb≥1.5m，K≤1×10</w:t>
                  </w:r>
                  <w:r>
                    <w:rPr>
                      <w:rFonts w:hint="default" w:ascii="Times New Roman" w:hAnsi="Times New Roman" w:cs="Times New Roman"/>
                      <w:color w:val="auto"/>
                      <w:kern w:val="2"/>
                      <w:sz w:val="21"/>
                      <w:szCs w:val="21"/>
                      <w:highlight w:val="none"/>
                      <w:vertAlign w:val="superscript"/>
                    </w:rPr>
                    <w:t>-7</w:t>
                  </w:r>
                  <w:r>
                    <w:rPr>
                      <w:rFonts w:hint="default" w:ascii="Times New Roman" w:hAnsi="Times New Roman" w:cs="Times New Roman"/>
                      <w:color w:val="auto"/>
                      <w:kern w:val="2"/>
                      <w:sz w:val="21"/>
                      <w:szCs w:val="21"/>
                      <w:highlight w:val="none"/>
                    </w:rPr>
                    <w:t>cm/s；或参照GB16889执行</w:t>
                  </w:r>
                </w:p>
              </w:tc>
            </w:tr>
            <w:tr w14:paraId="31246D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 w:type="dxa"/>
                  <w:tcBorders>
                    <w:tl2br w:val="nil"/>
                    <w:tr2bl w:val="nil"/>
                  </w:tcBorders>
                  <w:noWrap w:val="0"/>
                  <w:vAlign w:val="center"/>
                </w:tcPr>
                <w:p w14:paraId="6ACABFDF">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3</w:t>
                  </w:r>
                </w:p>
              </w:tc>
              <w:tc>
                <w:tcPr>
                  <w:tcW w:w="1329" w:type="dxa"/>
                  <w:tcBorders>
                    <w:tl2br w:val="nil"/>
                    <w:tr2bl w:val="nil"/>
                  </w:tcBorders>
                  <w:shd w:val="clear" w:color="auto" w:fill="auto"/>
                  <w:noWrap w:val="0"/>
                  <w:vAlign w:val="center"/>
                </w:tcPr>
                <w:p w14:paraId="099C4E36">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简单防渗区</w:t>
                  </w:r>
                </w:p>
              </w:tc>
              <w:tc>
                <w:tcPr>
                  <w:tcW w:w="3105" w:type="dxa"/>
                  <w:tcBorders>
                    <w:tl2br w:val="nil"/>
                    <w:tr2bl w:val="nil"/>
                  </w:tcBorders>
                  <w:shd w:val="clear" w:color="auto" w:fill="auto"/>
                  <w:noWrap w:val="0"/>
                  <w:vAlign w:val="center"/>
                </w:tcPr>
                <w:p w14:paraId="6E836F9D">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办公室</w:t>
                  </w:r>
                </w:p>
              </w:tc>
              <w:tc>
                <w:tcPr>
                  <w:tcW w:w="3574" w:type="dxa"/>
                  <w:tcBorders>
                    <w:tl2br w:val="nil"/>
                    <w:tr2bl w:val="nil"/>
                  </w:tcBorders>
                  <w:shd w:val="clear" w:color="auto" w:fill="auto"/>
                  <w:noWrap w:val="0"/>
                  <w:vAlign w:val="center"/>
                </w:tcPr>
                <w:p w14:paraId="515309AB">
                  <w:pPr>
                    <w:pStyle w:val="105"/>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一般硬化</w:t>
                  </w:r>
                </w:p>
              </w:tc>
            </w:tr>
          </w:tbl>
          <w:p w14:paraId="13ADC098">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综上，本项目在完善项目区防渗防漏措施下，对周围地下水和土壤的环境影响较小，从环境角度是可行的，项目运营过程对其附近区域地下水和土壤不会造成较大影响。</w:t>
            </w:r>
          </w:p>
          <w:p w14:paraId="5534521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pacing w:val="0"/>
                <w:w w:val="100"/>
                <w:position w:val="0"/>
                <w:sz w:val="24"/>
                <w:szCs w:val="24"/>
                <w:lang w:val="en-US" w:eastAsia="zh-CN"/>
              </w:rPr>
            </w:pPr>
            <w:r>
              <w:rPr>
                <w:rFonts w:hint="default" w:ascii="Times New Roman" w:hAnsi="Times New Roman" w:cs="Times New Roman"/>
                <w:b w:val="0"/>
                <w:bCs w:val="0"/>
                <w:color w:val="auto"/>
                <w:spacing w:val="0"/>
                <w:w w:val="100"/>
                <w:position w:val="0"/>
                <w:sz w:val="24"/>
                <w:szCs w:val="24"/>
                <w:lang w:val="en-US" w:eastAsia="zh-CN"/>
              </w:rPr>
              <w:t>本项目厂界外500m范围内无地下水环境保护目标，根据《环境影响评价技术导则 地下水环境》（HJ610-2016）、《环境影响评价技术导则 土壤环境（试行）》（HJ964-2018）、《排污单位自行监测技术指南 总则》（HJ819-2017）</w:t>
            </w:r>
            <w:r>
              <w:rPr>
                <w:rFonts w:hint="eastAsia" w:ascii="Times New Roman" w:hAnsi="Times New Roman" w:cs="Times New Roman"/>
                <w:b w:val="0"/>
                <w:bCs w:val="0"/>
                <w:color w:val="auto"/>
                <w:spacing w:val="0"/>
                <w:w w:val="100"/>
                <w:position w:val="0"/>
                <w:sz w:val="24"/>
                <w:szCs w:val="24"/>
                <w:lang w:val="en-US" w:eastAsia="zh-CN"/>
              </w:rPr>
              <w:t>及参照</w:t>
            </w:r>
            <w:r>
              <w:rPr>
                <w:rFonts w:hint="default" w:ascii="Times New Roman" w:hAnsi="Times New Roman" w:eastAsia="宋体" w:cs="Times New Roman"/>
                <w:color w:val="auto"/>
                <w:sz w:val="24"/>
                <w:szCs w:val="24"/>
                <w:highlight w:val="none"/>
                <w:lang w:val="en-US" w:eastAsia="zh-CN"/>
              </w:rPr>
              <w:t>《排污许可证申请与核发技术规范 橡胶和塑料制品工业》（HJ1122-2020）</w:t>
            </w:r>
            <w:r>
              <w:rPr>
                <w:rFonts w:hint="eastAsia" w:cs="Times New Roman"/>
                <w:color w:val="auto"/>
                <w:sz w:val="24"/>
                <w:szCs w:val="24"/>
                <w:lang w:val="en-US" w:eastAsia="zh-CN"/>
              </w:rPr>
              <w:t>、《</w:t>
            </w:r>
            <w:r>
              <w:rPr>
                <w:rFonts w:hint="eastAsia" w:cs="Times New Roman"/>
                <w:color w:val="auto"/>
                <w:sz w:val="24"/>
                <w:szCs w:val="24"/>
                <w:lang w:val="en-US" w:eastAsia="zh-CN"/>
              </w:rPr>
              <w:fldChar w:fldCharType="begin"/>
            </w:r>
            <w:r>
              <w:rPr>
                <w:rFonts w:hint="eastAsia" w:cs="Times New Roman"/>
                <w:color w:val="auto"/>
                <w:sz w:val="24"/>
                <w:szCs w:val="24"/>
                <w:lang w:val="en-US" w:eastAsia="zh-CN"/>
              </w:rPr>
              <w:instrText xml:space="preserve"> HYPERLINK "https://www.mee.gov.cn/ywgz/fgbz/bz/bzwb/shjbh/xgbzh/201705/W020170511331854489935.pdf" </w:instrText>
            </w:r>
            <w:r>
              <w:rPr>
                <w:rFonts w:hint="eastAsia" w:cs="Times New Roman"/>
                <w:color w:val="auto"/>
                <w:sz w:val="24"/>
                <w:szCs w:val="24"/>
                <w:lang w:val="en-US" w:eastAsia="zh-CN"/>
              </w:rPr>
              <w:fldChar w:fldCharType="separate"/>
            </w:r>
            <w:r>
              <w:rPr>
                <w:rFonts w:hint="eastAsia" w:cs="Times New Roman"/>
                <w:color w:val="auto"/>
                <w:sz w:val="24"/>
                <w:szCs w:val="24"/>
                <w:lang w:val="en-US" w:eastAsia="zh-CN"/>
              </w:rPr>
              <w:t xml:space="preserve">排污单位自行监测技术指南 </w:t>
            </w:r>
            <w:r>
              <w:rPr>
                <w:rFonts w:hint="default" w:ascii="Times New Roman" w:hAnsi="Times New Roman" w:eastAsia="宋体" w:cs="Times New Roman"/>
                <w:color w:val="auto"/>
                <w:sz w:val="24"/>
                <w:szCs w:val="24"/>
                <w:highlight w:val="none"/>
                <w:lang w:val="en-US" w:eastAsia="zh-CN"/>
              </w:rPr>
              <w:t>橡胶和塑料制品</w:t>
            </w:r>
            <w:r>
              <w:rPr>
                <w:rFonts w:hint="eastAsia" w:cs="Times New Roman"/>
                <w:color w:val="auto"/>
                <w:sz w:val="24"/>
                <w:szCs w:val="24"/>
                <w:lang w:val="en-US" w:eastAsia="zh-CN"/>
              </w:rPr>
              <w:t>》（HJ 1207-2021）</w:t>
            </w:r>
            <w:r>
              <w:rPr>
                <w:rFonts w:hint="eastAsia" w:cs="Times New Roman"/>
                <w:color w:val="auto"/>
                <w:sz w:val="24"/>
                <w:szCs w:val="24"/>
                <w:lang w:val="en-US" w:eastAsia="zh-CN"/>
              </w:rPr>
              <w:fldChar w:fldCharType="end"/>
            </w:r>
            <w:r>
              <w:rPr>
                <w:rFonts w:hint="default" w:ascii="Times New Roman" w:hAnsi="Times New Roman" w:cs="Times New Roman"/>
                <w:b w:val="0"/>
                <w:bCs w:val="0"/>
                <w:color w:val="auto"/>
                <w:spacing w:val="0"/>
                <w:w w:val="100"/>
                <w:position w:val="0"/>
                <w:sz w:val="24"/>
                <w:szCs w:val="24"/>
                <w:lang w:val="en-US" w:eastAsia="zh-CN"/>
              </w:rPr>
              <w:t>等文件要求，本项目不需要设置地下水、土壤环境跟踪监测。</w:t>
            </w:r>
          </w:p>
          <w:p w14:paraId="451B1D1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六</w:t>
            </w:r>
            <w:r>
              <w:rPr>
                <w:rFonts w:hint="default" w:ascii="Times New Roman" w:hAnsi="Times New Roman" w:eastAsia="宋体" w:cs="Times New Roman"/>
                <w:b/>
                <w:bCs/>
                <w:color w:val="auto"/>
                <w:sz w:val="24"/>
                <w:szCs w:val="24"/>
                <w:highlight w:val="none"/>
                <w:lang w:val="en-US" w:eastAsia="zh-CN"/>
              </w:rPr>
              <w:t>、生态</w:t>
            </w:r>
          </w:p>
          <w:p w14:paraId="342428FF">
            <w:pPr>
              <w:pageBreakBefore w:val="0"/>
              <w:kinsoku/>
              <w:wordWrap/>
              <w:overflowPunct/>
              <w:bidi w:val="0"/>
              <w:adjustRightInd w:val="0"/>
              <w:snapToGrid w:val="0"/>
              <w:spacing w:line="360" w:lineRule="auto"/>
              <w:ind w:left="0"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本项目占地范围内不含生态环境保护目标，废气采用合理的处理措施，能够达标排放；项目</w:t>
            </w:r>
            <w:r>
              <w:rPr>
                <w:rFonts w:hint="eastAsia" w:cs="Times New Roman"/>
                <w:b w:val="0"/>
                <w:bCs w:val="0"/>
                <w:color w:val="auto"/>
                <w:sz w:val="24"/>
                <w:szCs w:val="24"/>
                <w:highlight w:val="none"/>
                <w:lang w:val="en-US" w:eastAsia="zh-CN"/>
              </w:rPr>
              <w:t>无废水产生及排放</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厂区内种植灌木、花草，减少裸露地面，能隔声、吸尘、吸收有害气体。能起到降低扬尘、净化空气、改善环境的作用。因此，本项目对周围生态环境影响较小。</w:t>
            </w:r>
          </w:p>
          <w:p w14:paraId="5C2F1B26">
            <w:pPr>
              <w:pageBreakBefore w:val="0"/>
              <w:kinsoku/>
              <w:wordWrap/>
              <w:overflowPunct/>
              <w:bidi w:val="0"/>
              <w:spacing w:line="360" w:lineRule="auto"/>
              <w:ind w:left="0"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七</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eastAsia="zh-CN"/>
              </w:rPr>
              <w:t>环境</w:t>
            </w:r>
            <w:r>
              <w:rPr>
                <w:rFonts w:hint="default" w:ascii="Times New Roman" w:hAnsi="Times New Roman" w:eastAsia="宋体" w:cs="Times New Roman"/>
                <w:b/>
                <w:bCs/>
                <w:color w:val="auto"/>
                <w:sz w:val="24"/>
                <w:szCs w:val="24"/>
                <w:highlight w:val="none"/>
              </w:rPr>
              <w:t>风险</w:t>
            </w:r>
          </w:p>
          <w:p w14:paraId="1052B1DE">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1、危险物质和风险源分布</w:t>
            </w:r>
          </w:p>
          <w:p w14:paraId="05C35ADD">
            <w:pPr>
              <w:spacing w:line="360" w:lineRule="auto"/>
              <w:ind w:firstLine="480" w:firstLineChars="200"/>
              <w:rPr>
                <w:color w:val="FF0000"/>
                <w:sz w:val="24"/>
                <w:szCs w:val="24"/>
              </w:rPr>
            </w:pPr>
            <w:r>
              <w:rPr>
                <w:rFonts w:ascii="Times New Roman" w:hAnsi="Times New Roman" w:eastAsia="宋体" w:cs="Times New Roman"/>
                <w:color w:val="FF0000"/>
                <w:sz w:val="24"/>
                <w:szCs w:val="24"/>
              </w:rPr>
              <w:t>根据《危险化学品重大危险源辨识》（GB18218-20</w:t>
            </w:r>
            <w:r>
              <w:rPr>
                <w:rFonts w:hint="eastAsia" w:ascii="Times New Roman" w:hAnsi="Times New Roman" w:eastAsia="宋体" w:cs="Times New Roman"/>
                <w:color w:val="FF0000"/>
                <w:sz w:val="24"/>
                <w:szCs w:val="24"/>
              </w:rPr>
              <w:t>18</w:t>
            </w:r>
            <w:r>
              <w:rPr>
                <w:rFonts w:ascii="Times New Roman" w:hAnsi="Times New Roman" w:eastAsia="宋体" w:cs="Times New Roman"/>
                <w:color w:val="FF0000"/>
                <w:sz w:val="24"/>
                <w:szCs w:val="24"/>
              </w:rPr>
              <w:t>）规定：长期地或临时地生产、加工、使用或储存危险化学品数量等于或超过该数量，则该单元定为重大危险源。对照《建设项目环境风险评价技术导则》（HJ 169-2018）附录B，项目运营过程中涉及</w:t>
            </w:r>
            <w:r>
              <w:rPr>
                <w:rFonts w:hint="eastAsia" w:cs="Times New Roman"/>
                <w:color w:val="FF0000"/>
                <w:sz w:val="24"/>
                <w:szCs w:val="24"/>
                <w:lang w:val="en-US" w:eastAsia="zh-CN"/>
              </w:rPr>
              <w:t>的</w:t>
            </w:r>
            <w:r>
              <w:rPr>
                <w:rFonts w:ascii="Times New Roman" w:hAnsi="Times New Roman" w:eastAsia="宋体" w:cs="Times New Roman"/>
                <w:color w:val="FF0000"/>
                <w:sz w:val="24"/>
                <w:szCs w:val="24"/>
              </w:rPr>
              <w:t>危险物质</w:t>
            </w:r>
            <w:r>
              <w:rPr>
                <w:rFonts w:hint="eastAsia" w:ascii="Times New Roman" w:hAnsi="Times New Roman" w:eastAsia="宋体" w:cs="Times New Roman"/>
                <w:color w:val="FF0000"/>
                <w:kern w:val="2"/>
                <w:sz w:val="24"/>
                <w:szCs w:val="24"/>
                <w:lang w:val="en-US" w:eastAsia="zh-CN" w:bidi="ar-SA"/>
              </w:rPr>
              <w:t>主要是</w:t>
            </w:r>
            <w:r>
              <w:rPr>
                <w:rFonts w:hint="eastAsia" w:cs="Times New Roman"/>
                <w:color w:val="FF0000"/>
                <w:sz w:val="24"/>
                <w:szCs w:val="24"/>
                <w:highlight w:val="none"/>
                <w:lang w:val="en-US" w:eastAsia="zh-CN"/>
              </w:rPr>
              <w:t>废过滤棉、废活性炭、废矿物油、废油桶等</w:t>
            </w:r>
            <w:r>
              <w:rPr>
                <w:rFonts w:ascii="Times New Roman" w:hAnsi="Times New Roman" w:eastAsia="宋体" w:cs="Times New Roman"/>
                <w:color w:val="FF0000"/>
                <w:sz w:val="24"/>
                <w:szCs w:val="24"/>
              </w:rPr>
              <w:t>。</w:t>
            </w:r>
          </w:p>
          <w:p w14:paraId="7BD7D0D1">
            <w:pPr>
              <w:topLinePunct/>
              <w:spacing w:line="520" w:lineRule="exact"/>
              <w:ind w:firstLine="482" w:firstLineChars="200"/>
              <w:jc w:val="center"/>
              <w:rPr>
                <w:rFonts w:hint="default" w:ascii="Times New Roman" w:hAnsi="Times New Roman" w:cs="Times New Roman"/>
                <w:b/>
                <w:color w:val="FF0000"/>
                <w:sz w:val="24"/>
                <w:szCs w:val="24"/>
              </w:rPr>
            </w:pPr>
            <w:r>
              <w:rPr>
                <w:rFonts w:hint="default" w:ascii="Times New Roman" w:hAnsi="Times New Roman" w:cs="Times New Roman"/>
                <w:b/>
                <w:color w:val="FF0000"/>
                <w:sz w:val="24"/>
                <w:szCs w:val="24"/>
              </w:rPr>
              <w:t>表</w:t>
            </w:r>
            <w:r>
              <w:rPr>
                <w:rFonts w:hint="eastAsia" w:ascii="Times New Roman" w:hAnsi="Times New Roman" w:cs="Times New Roman"/>
                <w:b/>
                <w:color w:val="FF0000"/>
                <w:sz w:val="24"/>
                <w:szCs w:val="24"/>
                <w:lang w:val="en-US" w:eastAsia="zh-CN"/>
              </w:rPr>
              <w:t>4-1</w:t>
            </w:r>
            <w:r>
              <w:rPr>
                <w:rFonts w:hint="eastAsia" w:cs="Times New Roman"/>
                <w:b/>
                <w:color w:val="FF0000"/>
                <w:sz w:val="24"/>
                <w:szCs w:val="24"/>
                <w:lang w:val="en-US" w:eastAsia="zh-CN"/>
              </w:rPr>
              <w:t>6</w:t>
            </w:r>
            <w:r>
              <w:rPr>
                <w:rFonts w:hint="default" w:ascii="Times New Roman" w:hAnsi="Times New Roman" w:cs="Times New Roman"/>
                <w:b/>
                <w:color w:val="FF0000"/>
                <w:sz w:val="24"/>
                <w:szCs w:val="24"/>
              </w:rPr>
              <w:t xml:space="preserve"> 危险物质数量与临界量比值</w:t>
            </w:r>
            <w:r>
              <w:rPr>
                <w:rFonts w:hint="eastAsia" w:cs="Times New Roman"/>
                <w:b/>
                <w:color w:val="FF0000"/>
                <w:sz w:val="24"/>
                <w:szCs w:val="24"/>
                <w:lang w:eastAsia="zh-CN"/>
              </w:rPr>
              <w:t>（</w:t>
            </w:r>
            <w:r>
              <w:rPr>
                <w:rFonts w:hint="default" w:ascii="Times New Roman" w:hAnsi="Times New Roman" w:cs="Times New Roman"/>
                <w:b/>
                <w:color w:val="FF0000"/>
                <w:sz w:val="24"/>
                <w:szCs w:val="24"/>
              </w:rPr>
              <w:t>Q</w:t>
            </w:r>
            <w:r>
              <w:rPr>
                <w:rFonts w:hint="eastAsia" w:cs="Times New Roman"/>
                <w:b/>
                <w:color w:val="FF0000"/>
                <w:sz w:val="24"/>
                <w:szCs w:val="24"/>
                <w:lang w:eastAsia="zh-CN"/>
              </w:rPr>
              <w:t>）</w:t>
            </w:r>
            <w:r>
              <w:rPr>
                <w:rFonts w:hint="default" w:ascii="Times New Roman" w:hAnsi="Times New Roman" w:cs="Times New Roman"/>
                <w:b/>
                <w:color w:val="FF0000"/>
                <w:sz w:val="24"/>
                <w:szCs w:val="24"/>
              </w:rPr>
              <w:t>计算结果一览表</w:t>
            </w:r>
          </w:p>
          <w:tbl>
            <w:tblPr>
              <w:tblStyle w:val="37"/>
              <w:tblW w:w="86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49"/>
              <w:gridCol w:w="1652"/>
              <w:gridCol w:w="1997"/>
              <w:gridCol w:w="1604"/>
              <w:gridCol w:w="1120"/>
              <w:gridCol w:w="1335"/>
            </w:tblGrid>
            <w:tr w14:paraId="219B66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70" w:hRule="atLeast"/>
                <w:jc w:val="center"/>
              </w:trPr>
              <w:tc>
                <w:tcPr>
                  <w:tcW w:w="949" w:type="dxa"/>
                  <w:noWrap w:val="0"/>
                  <w:vAlign w:val="center"/>
                </w:tcPr>
                <w:p w14:paraId="09F18780">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序号</w:t>
                  </w:r>
                </w:p>
              </w:tc>
              <w:tc>
                <w:tcPr>
                  <w:tcW w:w="1652" w:type="dxa"/>
                  <w:noWrap w:val="0"/>
                  <w:vAlign w:val="center"/>
                </w:tcPr>
                <w:p w14:paraId="73BC89FC">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危险物质</w:t>
                  </w:r>
                </w:p>
              </w:tc>
              <w:tc>
                <w:tcPr>
                  <w:tcW w:w="1997" w:type="dxa"/>
                  <w:noWrap w:val="0"/>
                  <w:vAlign w:val="center"/>
                </w:tcPr>
                <w:p w14:paraId="50591703">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最大存在量q</w:t>
                  </w:r>
                  <w:r>
                    <w:rPr>
                      <w:rFonts w:hint="default" w:ascii="Times New Roman" w:hAnsi="Times New Roman" w:cs="Times New Roman"/>
                      <w:b/>
                      <w:bCs/>
                      <w:color w:val="FF0000"/>
                      <w:sz w:val="21"/>
                      <w:szCs w:val="21"/>
                      <w:vertAlign w:val="subscript"/>
                    </w:rPr>
                    <w:t>n</w:t>
                  </w:r>
                  <w:r>
                    <w:rPr>
                      <w:rFonts w:hint="default" w:ascii="Times New Roman" w:hAnsi="Times New Roman" w:cs="Times New Roman"/>
                      <w:b/>
                      <w:bCs/>
                      <w:color w:val="FF0000"/>
                      <w:sz w:val="21"/>
                      <w:szCs w:val="21"/>
                    </w:rPr>
                    <w:t>（t）</w:t>
                  </w:r>
                </w:p>
              </w:tc>
              <w:tc>
                <w:tcPr>
                  <w:tcW w:w="1604" w:type="dxa"/>
                  <w:noWrap w:val="0"/>
                  <w:vAlign w:val="center"/>
                </w:tcPr>
                <w:p w14:paraId="658233F8">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临界量Q</w:t>
                  </w:r>
                  <w:r>
                    <w:rPr>
                      <w:rFonts w:hint="default" w:ascii="Times New Roman" w:hAnsi="Times New Roman" w:cs="Times New Roman"/>
                      <w:b/>
                      <w:bCs/>
                      <w:color w:val="FF0000"/>
                      <w:sz w:val="21"/>
                      <w:szCs w:val="21"/>
                      <w:vertAlign w:val="subscript"/>
                    </w:rPr>
                    <w:t>n</w:t>
                  </w:r>
                  <w:r>
                    <w:rPr>
                      <w:rFonts w:hint="default" w:ascii="Times New Roman" w:hAnsi="Times New Roman" w:cs="Times New Roman"/>
                      <w:b/>
                      <w:bCs/>
                      <w:color w:val="FF0000"/>
                      <w:sz w:val="21"/>
                      <w:szCs w:val="21"/>
                    </w:rPr>
                    <w:t>（t）</w:t>
                  </w:r>
                </w:p>
              </w:tc>
              <w:tc>
                <w:tcPr>
                  <w:tcW w:w="1120" w:type="dxa"/>
                  <w:noWrap w:val="0"/>
                  <w:vAlign w:val="center"/>
                </w:tcPr>
                <w:p w14:paraId="137646CF">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q</w:t>
                  </w:r>
                  <w:r>
                    <w:rPr>
                      <w:rFonts w:hint="default" w:ascii="Times New Roman" w:hAnsi="Times New Roman" w:cs="Times New Roman"/>
                      <w:b/>
                      <w:bCs/>
                      <w:color w:val="FF0000"/>
                      <w:sz w:val="21"/>
                      <w:szCs w:val="21"/>
                      <w:vertAlign w:val="subscript"/>
                    </w:rPr>
                    <w:t>n</w:t>
                  </w:r>
                  <w:r>
                    <w:rPr>
                      <w:rFonts w:hint="default" w:ascii="Times New Roman" w:hAnsi="Times New Roman" w:cs="Times New Roman"/>
                      <w:b/>
                      <w:bCs/>
                      <w:color w:val="FF0000"/>
                      <w:sz w:val="21"/>
                      <w:szCs w:val="21"/>
                    </w:rPr>
                    <w:t>/Q</w:t>
                  </w:r>
                  <w:r>
                    <w:rPr>
                      <w:rFonts w:hint="default" w:ascii="Times New Roman" w:hAnsi="Times New Roman" w:cs="Times New Roman"/>
                      <w:b/>
                      <w:bCs/>
                      <w:color w:val="FF0000"/>
                      <w:sz w:val="21"/>
                      <w:szCs w:val="21"/>
                      <w:vertAlign w:val="subscript"/>
                    </w:rPr>
                    <w:t>n</w:t>
                  </w:r>
                </w:p>
              </w:tc>
              <w:tc>
                <w:tcPr>
                  <w:tcW w:w="1335" w:type="dxa"/>
                  <w:noWrap w:val="0"/>
                  <w:vAlign w:val="center"/>
                </w:tcPr>
                <w:p w14:paraId="43F5887D">
                  <w:pPr>
                    <w:tabs>
                      <w:tab w:val="left" w:pos="1995"/>
                    </w:tabs>
                    <w:adjustRightInd w:val="0"/>
                    <w:snapToGrid w:val="0"/>
                    <w:spacing w:line="24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Q</w:t>
                  </w:r>
                </w:p>
              </w:tc>
            </w:tr>
            <w:tr w14:paraId="227368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949" w:type="dxa"/>
                  <w:shd w:val="clear" w:color="auto" w:fill="auto"/>
                  <w:noWrap w:val="0"/>
                  <w:vAlign w:val="center"/>
                </w:tcPr>
                <w:p w14:paraId="2E897B63">
                  <w:pPr>
                    <w:adjustRightInd w:val="0"/>
                    <w:snapToGrid w:val="0"/>
                    <w:spacing w:line="240" w:lineRule="auto"/>
                    <w:jc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1</w:t>
                  </w:r>
                </w:p>
              </w:tc>
              <w:tc>
                <w:tcPr>
                  <w:tcW w:w="1652" w:type="dxa"/>
                  <w:noWrap w:val="0"/>
                  <w:vAlign w:val="center"/>
                </w:tcPr>
                <w:p w14:paraId="610FEA2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FF0000"/>
                      <w:szCs w:val="21"/>
                      <w:highlight w:val="none"/>
                      <w:lang w:val="en-US" w:eastAsia="zh-CN"/>
                    </w:rPr>
                  </w:pPr>
                  <w:r>
                    <w:rPr>
                      <w:rFonts w:hint="eastAsia" w:cs="Times New Roman"/>
                      <w:color w:val="FF0000"/>
                      <w:szCs w:val="21"/>
                      <w:highlight w:val="none"/>
                      <w:lang w:val="en-US" w:eastAsia="zh-CN"/>
                    </w:rPr>
                    <w:t>矿物油</w:t>
                  </w:r>
                </w:p>
              </w:tc>
              <w:tc>
                <w:tcPr>
                  <w:tcW w:w="1997" w:type="dxa"/>
                  <w:noWrap w:val="0"/>
                  <w:vAlign w:val="center"/>
                </w:tcPr>
                <w:p w14:paraId="6171F51B">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0.2</w:t>
                  </w:r>
                </w:p>
              </w:tc>
              <w:tc>
                <w:tcPr>
                  <w:tcW w:w="1604" w:type="dxa"/>
                  <w:noWrap w:val="0"/>
                  <w:vAlign w:val="center"/>
                </w:tcPr>
                <w:p w14:paraId="2A642944">
                  <w:pPr>
                    <w:widowControl/>
                    <w:adjustRightInd w:val="0"/>
                    <w:snapToGrid w:val="0"/>
                    <w:spacing w:line="240" w:lineRule="auto"/>
                    <w:jc w:val="center"/>
                    <w:textAlignment w:val="center"/>
                    <w:rPr>
                      <w:rFonts w:hint="default" w:ascii="Times New Roman" w:hAnsi="Times New Roman" w:cs="Times New Roman"/>
                      <w:color w:val="FF0000"/>
                      <w:kern w:val="0"/>
                      <w:sz w:val="21"/>
                      <w:szCs w:val="21"/>
                      <w:lang w:val="en-US" w:eastAsia="zh-CN" w:bidi="ar"/>
                    </w:rPr>
                  </w:pPr>
                  <w:r>
                    <w:rPr>
                      <w:rFonts w:hint="eastAsia" w:cs="Times New Roman"/>
                      <w:color w:val="FF0000"/>
                      <w:kern w:val="0"/>
                      <w:sz w:val="21"/>
                      <w:szCs w:val="21"/>
                      <w:lang w:val="en-US" w:eastAsia="zh-CN" w:bidi="ar"/>
                    </w:rPr>
                    <w:t>2500</w:t>
                  </w:r>
                </w:p>
              </w:tc>
              <w:tc>
                <w:tcPr>
                  <w:tcW w:w="1120" w:type="dxa"/>
                  <w:noWrap w:val="0"/>
                  <w:vAlign w:val="center"/>
                </w:tcPr>
                <w:p w14:paraId="0532FB54">
                  <w:pPr>
                    <w:widowControl/>
                    <w:adjustRightInd w:val="0"/>
                    <w:snapToGrid w:val="0"/>
                    <w:spacing w:line="240" w:lineRule="auto"/>
                    <w:jc w:val="center"/>
                    <w:textAlignment w:val="center"/>
                    <w:rPr>
                      <w:rFonts w:hint="default" w:ascii="Times New Roman" w:hAnsi="Times New Roman" w:cs="Times New Roman"/>
                      <w:color w:val="FF0000"/>
                      <w:kern w:val="0"/>
                      <w:sz w:val="21"/>
                      <w:szCs w:val="21"/>
                      <w:lang w:val="en-US" w:eastAsia="zh-CN" w:bidi="ar"/>
                    </w:rPr>
                  </w:pPr>
                  <w:r>
                    <w:rPr>
                      <w:rFonts w:hint="eastAsia" w:cs="Times New Roman"/>
                      <w:color w:val="FF0000"/>
                      <w:kern w:val="0"/>
                      <w:sz w:val="21"/>
                      <w:szCs w:val="21"/>
                      <w:lang w:val="en-US" w:eastAsia="zh-CN" w:bidi="ar"/>
                    </w:rPr>
                    <w:t>0.00008</w:t>
                  </w:r>
                </w:p>
              </w:tc>
              <w:tc>
                <w:tcPr>
                  <w:tcW w:w="1335" w:type="dxa"/>
                  <w:vMerge w:val="restart"/>
                  <w:noWrap w:val="0"/>
                  <w:vAlign w:val="center"/>
                </w:tcPr>
                <w:p w14:paraId="733B295D">
                  <w:pPr>
                    <w:widowControl/>
                    <w:adjustRightInd w:val="0"/>
                    <w:snapToGrid w:val="0"/>
                    <w:spacing w:line="240" w:lineRule="auto"/>
                    <w:jc w:val="center"/>
                    <w:textAlignment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0.028188</w:t>
                  </w:r>
                </w:p>
              </w:tc>
            </w:tr>
            <w:tr w14:paraId="3AB268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949" w:type="dxa"/>
                  <w:shd w:val="clear" w:color="auto" w:fill="auto"/>
                  <w:noWrap w:val="0"/>
                  <w:vAlign w:val="center"/>
                </w:tcPr>
                <w:p w14:paraId="038D14E4">
                  <w:pPr>
                    <w:adjustRightInd w:val="0"/>
                    <w:snapToGrid w:val="0"/>
                    <w:spacing w:line="240" w:lineRule="auto"/>
                    <w:jc w:val="center"/>
                    <w:rPr>
                      <w:rFonts w:hint="eastAsia"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2</w:t>
                  </w:r>
                </w:p>
              </w:tc>
              <w:tc>
                <w:tcPr>
                  <w:tcW w:w="1652" w:type="dxa"/>
                  <w:shd w:val="clear" w:color="auto" w:fill="auto"/>
                  <w:noWrap w:val="0"/>
                  <w:vAlign w:val="center"/>
                </w:tcPr>
                <w:p w14:paraId="550991FA">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废活性炭</w:t>
                  </w:r>
                </w:p>
              </w:tc>
              <w:tc>
                <w:tcPr>
                  <w:tcW w:w="1997" w:type="dxa"/>
                  <w:shd w:val="clear" w:color="auto" w:fill="auto"/>
                  <w:noWrap w:val="0"/>
                  <w:vAlign w:val="center"/>
                </w:tcPr>
                <w:p w14:paraId="7EDF1E17">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lang w:val="en-US" w:eastAsia="zh-CN" w:bidi="ar"/>
                    </w:rPr>
                  </w:pPr>
                  <w:r>
                    <w:rPr>
                      <w:rFonts w:hint="eastAsia" w:cs="Times New Roman"/>
                      <w:color w:val="FF0000"/>
                      <w:sz w:val="21"/>
                      <w:szCs w:val="21"/>
                      <w:highlight w:val="none"/>
                      <w:lang w:val="en-US" w:eastAsia="zh-CN"/>
                    </w:rPr>
                    <w:t>1.365</w:t>
                  </w:r>
                </w:p>
              </w:tc>
              <w:tc>
                <w:tcPr>
                  <w:tcW w:w="1604" w:type="dxa"/>
                  <w:shd w:val="clear" w:color="auto" w:fill="auto"/>
                  <w:noWrap w:val="0"/>
                  <w:vAlign w:val="center"/>
                </w:tcPr>
                <w:p w14:paraId="52453D58">
                  <w:pPr>
                    <w:widowControl/>
                    <w:adjustRightInd w:val="0"/>
                    <w:snapToGrid w:val="0"/>
                    <w:spacing w:line="240" w:lineRule="auto"/>
                    <w:jc w:val="center"/>
                    <w:textAlignment w:val="center"/>
                    <w:rPr>
                      <w:rFonts w:hint="eastAsia"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50</w:t>
                  </w:r>
                </w:p>
              </w:tc>
              <w:tc>
                <w:tcPr>
                  <w:tcW w:w="1120" w:type="dxa"/>
                  <w:shd w:val="clear" w:color="auto" w:fill="auto"/>
                  <w:noWrap w:val="0"/>
                  <w:vAlign w:val="center"/>
                </w:tcPr>
                <w:p w14:paraId="76F119A4">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0.0273</w:t>
                  </w:r>
                </w:p>
              </w:tc>
              <w:tc>
                <w:tcPr>
                  <w:tcW w:w="1335" w:type="dxa"/>
                  <w:vMerge w:val="continue"/>
                  <w:noWrap w:val="0"/>
                  <w:vAlign w:val="center"/>
                </w:tcPr>
                <w:p w14:paraId="00035C34">
                  <w:pPr>
                    <w:widowControl/>
                    <w:adjustRightInd w:val="0"/>
                    <w:snapToGrid w:val="0"/>
                    <w:spacing w:line="240" w:lineRule="auto"/>
                    <w:jc w:val="center"/>
                    <w:textAlignment w:val="center"/>
                    <w:rPr>
                      <w:rFonts w:hint="default" w:ascii="Times New Roman" w:hAnsi="Times New Roman" w:cs="Times New Roman"/>
                      <w:color w:val="FF0000"/>
                      <w:sz w:val="21"/>
                      <w:szCs w:val="21"/>
                    </w:rPr>
                  </w:pPr>
                </w:p>
              </w:tc>
            </w:tr>
            <w:tr w14:paraId="5D975B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949" w:type="dxa"/>
                  <w:shd w:val="clear" w:color="auto" w:fill="auto"/>
                  <w:noWrap w:val="0"/>
                  <w:vAlign w:val="center"/>
                </w:tcPr>
                <w:p w14:paraId="1CE66421">
                  <w:pPr>
                    <w:adjustRightInd w:val="0"/>
                    <w:snapToGrid w:val="0"/>
                    <w:spacing w:line="240" w:lineRule="auto"/>
                    <w:jc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sz w:val="21"/>
                      <w:szCs w:val="21"/>
                      <w:lang w:val="en-US" w:eastAsia="zh-CN"/>
                    </w:rPr>
                    <w:t>3</w:t>
                  </w:r>
                </w:p>
              </w:tc>
              <w:tc>
                <w:tcPr>
                  <w:tcW w:w="1652" w:type="dxa"/>
                  <w:shd w:val="clear" w:color="auto" w:fill="auto"/>
                  <w:noWrap w:val="0"/>
                  <w:vAlign w:val="center"/>
                </w:tcPr>
                <w:p w14:paraId="0E996AB8">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4"/>
                      <w:lang w:val="en-US" w:eastAsia="zh-CN" w:bidi="ar-SA"/>
                    </w:rPr>
                  </w:pPr>
                  <w:r>
                    <w:rPr>
                      <w:rFonts w:hint="eastAsia" w:ascii="Times New Roman" w:hAnsi="Times New Roman" w:eastAsia="宋体" w:cs="Times New Roman"/>
                      <w:color w:val="FF0000"/>
                      <w:sz w:val="21"/>
                      <w:szCs w:val="21"/>
                      <w:highlight w:val="none"/>
                      <w:lang w:val="en-US" w:eastAsia="zh-CN"/>
                    </w:rPr>
                    <w:t>废过滤棉</w:t>
                  </w:r>
                </w:p>
              </w:tc>
              <w:tc>
                <w:tcPr>
                  <w:tcW w:w="1997" w:type="dxa"/>
                  <w:shd w:val="clear" w:color="auto" w:fill="auto"/>
                  <w:noWrap w:val="0"/>
                  <w:vAlign w:val="center"/>
                </w:tcPr>
                <w:p w14:paraId="443B424C">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lang w:val="en-US" w:eastAsia="zh-CN" w:bidi="ar"/>
                    </w:rPr>
                  </w:pPr>
                  <w:r>
                    <w:rPr>
                      <w:rFonts w:hint="eastAsia" w:cs="Times New Roman"/>
                      <w:color w:val="FF0000"/>
                      <w:sz w:val="21"/>
                      <w:szCs w:val="21"/>
                      <w:highlight w:val="none"/>
                      <w:lang w:val="en-US" w:eastAsia="zh-CN"/>
                    </w:rPr>
                    <w:t>0.02</w:t>
                  </w:r>
                </w:p>
              </w:tc>
              <w:tc>
                <w:tcPr>
                  <w:tcW w:w="1604" w:type="dxa"/>
                  <w:shd w:val="clear" w:color="auto" w:fill="auto"/>
                  <w:noWrap w:val="0"/>
                  <w:vAlign w:val="center"/>
                </w:tcPr>
                <w:p w14:paraId="440EF22C">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50</w:t>
                  </w:r>
                </w:p>
              </w:tc>
              <w:tc>
                <w:tcPr>
                  <w:tcW w:w="1120" w:type="dxa"/>
                  <w:shd w:val="clear" w:color="auto" w:fill="auto"/>
                  <w:noWrap w:val="0"/>
                  <w:vAlign w:val="center"/>
                </w:tcPr>
                <w:p w14:paraId="6CAF16F0">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0.0004</w:t>
                  </w:r>
                </w:p>
              </w:tc>
              <w:tc>
                <w:tcPr>
                  <w:tcW w:w="1335" w:type="dxa"/>
                  <w:vMerge w:val="continue"/>
                  <w:noWrap w:val="0"/>
                  <w:vAlign w:val="center"/>
                </w:tcPr>
                <w:p w14:paraId="170A817E">
                  <w:pPr>
                    <w:widowControl/>
                    <w:adjustRightInd w:val="0"/>
                    <w:snapToGrid w:val="0"/>
                    <w:spacing w:line="240" w:lineRule="auto"/>
                    <w:jc w:val="center"/>
                    <w:textAlignment w:val="center"/>
                    <w:rPr>
                      <w:rFonts w:hint="default" w:ascii="Times New Roman" w:hAnsi="Times New Roman" w:cs="Times New Roman"/>
                      <w:color w:val="FF0000"/>
                      <w:sz w:val="21"/>
                      <w:szCs w:val="21"/>
                    </w:rPr>
                  </w:pPr>
                </w:p>
              </w:tc>
            </w:tr>
            <w:tr w14:paraId="005A6F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9" w:hRule="atLeast"/>
                <w:jc w:val="center"/>
              </w:trPr>
              <w:tc>
                <w:tcPr>
                  <w:tcW w:w="949" w:type="dxa"/>
                  <w:noWrap w:val="0"/>
                  <w:vAlign w:val="center"/>
                </w:tcPr>
                <w:p w14:paraId="0144F3A8">
                  <w:pPr>
                    <w:adjustRightInd w:val="0"/>
                    <w:snapToGrid w:val="0"/>
                    <w:spacing w:line="240" w:lineRule="auto"/>
                    <w:jc w:val="center"/>
                    <w:rPr>
                      <w:rFonts w:hint="default" w:cs="Times New Roman"/>
                      <w:color w:val="FF0000"/>
                      <w:sz w:val="21"/>
                      <w:szCs w:val="21"/>
                      <w:lang w:val="en-US" w:eastAsia="zh-CN"/>
                    </w:rPr>
                  </w:pPr>
                  <w:r>
                    <w:rPr>
                      <w:rFonts w:hint="eastAsia" w:cs="Times New Roman"/>
                      <w:color w:val="FF0000"/>
                      <w:sz w:val="21"/>
                      <w:szCs w:val="21"/>
                      <w:lang w:val="en-US" w:eastAsia="zh-CN"/>
                    </w:rPr>
                    <w:t>4</w:t>
                  </w:r>
                </w:p>
              </w:tc>
              <w:tc>
                <w:tcPr>
                  <w:tcW w:w="1652" w:type="dxa"/>
                  <w:shd w:val="clear" w:color="auto" w:fill="auto"/>
                  <w:noWrap w:val="0"/>
                  <w:vAlign w:val="center"/>
                </w:tcPr>
                <w:p w14:paraId="5187610D">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cs="Times New Roman"/>
                      <w:color w:val="FF0000"/>
                      <w:sz w:val="21"/>
                      <w:szCs w:val="21"/>
                      <w:highlight w:val="none"/>
                      <w:lang w:val="en-US" w:eastAsia="zh-CN"/>
                    </w:rPr>
                    <w:t>废</w:t>
                  </w:r>
                  <w:r>
                    <w:rPr>
                      <w:rFonts w:hint="eastAsia" w:cs="Times New Roman"/>
                      <w:color w:val="FF0000"/>
                      <w:sz w:val="21"/>
                      <w:szCs w:val="21"/>
                      <w:highlight w:val="none"/>
                      <w:lang w:val="en-US" w:eastAsia="zh-CN"/>
                    </w:rPr>
                    <w:t>矿物</w:t>
                  </w:r>
                  <w:r>
                    <w:rPr>
                      <w:rFonts w:hint="default" w:ascii="Times New Roman" w:hAnsi="Times New Roman" w:cs="Times New Roman"/>
                      <w:color w:val="FF0000"/>
                      <w:sz w:val="21"/>
                      <w:szCs w:val="21"/>
                      <w:highlight w:val="none"/>
                      <w:lang w:val="en-US" w:eastAsia="zh-CN"/>
                    </w:rPr>
                    <w:t>油</w:t>
                  </w:r>
                </w:p>
              </w:tc>
              <w:tc>
                <w:tcPr>
                  <w:tcW w:w="1997" w:type="dxa"/>
                  <w:shd w:val="clear" w:color="auto" w:fill="auto"/>
                  <w:noWrap w:val="0"/>
                  <w:vAlign w:val="center"/>
                </w:tcPr>
                <w:p w14:paraId="2C76AB1F">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lang w:val="en-US" w:eastAsia="zh-CN" w:bidi="ar"/>
                    </w:rPr>
                  </w:pPr>
                  <w:r>
                    <w:rPr>
                      <w:rFonts w:hint="eastAsia" w:cs="Times New Roman"/>
                      <w:color w:val="FF0000"/>
                      <w:sz w:val="21"/>
                      <w:szCs w:val="21"/>
                      <w:highlight w:val="none"/>
                      <w:lang w:val="en-US" w:eastAsia="zh-CN"/>
                    </w:rPr>
                    <w:t>0.02</w:t>
                  </w:r>
                </w:p>
              </w:tc>
              <w:tc>
                <w:tcPr>
                  <w:tcW w:w="1604" w:type="dxa"/>
                  <w:shd w:val="clear" w:color="auto" w:fill="auto"/>
                  <w:noWrap w:val="0"/>
                  <w:vAlign w:val="center"/>
                </w:tcPr>
                <w:p w14:paraId="6A1C775F">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2500</w:t>
                  </w:r>
                </w:p>
              </w:tc>
              <w:tc>
                <w:tcPr>
                  <w:tcW w:w="1120" w:type="dxa"/>
                  <w:shd w:val="clear" w:color="auto" w:fill="auto"/>
                  <w:noWrap w:val="0"/>
                  <w:vAlign w:val="center"/>
                </w:tcPr>
                <w:p w14:paraId="6AF12190">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0.000008</w:t>
                  </w:r>
                </w:p>
              </w:tc>
              <w:tc>
                <w:tcPr>
                  <w:tcW w:w="1335" w:type="dxa"/>
                  <w:vMerge w:val="continue"/>
                  <w:noWrap w:val="0"/>
                  <w:vAlign w:val="center"/>
                </w:tcPr>
                <w:p w14:paraId="600E56FA">
                  <w:pPr>
                    <w:widowControl/>
                    <w:adjustRightInd w:val="0"/>
                    <w:snapToGrid w:val="0"/>
                    <w:spacing w:line="240" w:lineRule="auto"/>
                    <w:jc w:val="center"/>
                    <w:textAlignment w:val="center"/>
                    <w:rPr>
                      <w:rFonts w:hint="default" w:ascii="Times New Roman" w:hAnsi="Times New Roman" w:cs="Times New Roman"/>
                      <w:color w:val="FF0000"/>
                      <w:sz w:val="21"/>
                      <w:szCs w:val="21"/>
                    </w:rPr>
                  </w:pPr>
                </w:p>
              </w:tc>
            </w:tr>
            <w:tr w14:paraId="0F8668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949" w:type="dxa"/>
                  <w:noWrap w:val="0"/>
                  <w:vAlign w:val="center"/>
                </w:tcPr>
                <w:p w14:paraId="5AC13A25">
                  <w:pPr>
                    <w:adjustRightInd w:val="0"/>
                    <w:snapToGrid w:val="0"/>
                    <w:spacing w:line="240" w:lineRule="auto"/>
                    <w:jc w:val="center"/>
                    <w:rPr>
                      <w:rFonts w:hint="default" w:cs="Times New Roman"/>
                      <w:color w:val="FF0000"/>
                      <w:sz w:val="21"/>
                      <w:szCs w:val="21"/>
                      <w:lang w:val="en-US" w:eastAsia="zh-CN"/>
                    </w:rPr>
                  </w:pPr>
                  <w:r>
                    <w:rPr>
                      <w:rFonts w:hint="eastAsia" w:cs="Times New Roman"/>
                      <w:color w:val="FF0000"/>
                      <w:sz w:val="21"/>
                      <w:szCs w:val="21"/>
                      <w:lang w:val="en-US" w:eastAsia="zh-CN"/>
                    </w:rPr>
                    <w:t>5</w:t>
                  </w:r>
                </w:p>
              </w:tc>
              <w:tc>
                <w:tcPr>
                  <w:tcW w:w="1652" w:type="dxa"/>
                  <w:shd w:val="clear" w:color="auto" w:fill="auto"/>
                  <w:noWrap w:val="0"/>
                  <w:vAlign w:val="center"/>
                </w:tcPr>
                <w:p w14:paraId="4A39F231">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cs="Times New Roman"/>
                      <w:color w:val="FF0000"/>
                      <w:sz w:val="21"/>
                      <w:szCs w:val="21"/>
                      <w:highlight w:val="none"/>
                      <w:lang w:val="en-US" w:eastAsia="zh-CN"/>
                    </w:rPr>
                    <w:t>废油桶</w:t>
                  </w:r>
                </w:p>
              </w:tc>
              <w:tc>
                <w:tcPr>
                  <w:tcW w:w="1997" w:type="dxa"/>
                  <w:shd w:val="clear" w:color="auto" w:fill="auto"/>
                  <w:noWrap w:val="0"/>
                  <w:vAlign w:val="center"/>
                </w:tcPr>
                <w:p w14:paraId="2D162983">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cs="Times New Roman"/>
                      <w:color w:val="FF0000"/>
                      <w:sz w:val="21"/>
                      <w:szCs w:val="21"/>
                      <w:highlight w:val="none"/>
                      <w:lang w:val="en-US" w:eastAsia="zh-CN"/>
                    </w:rPr>
                    <w:t>0.0</w:t>
                  </w:r>
                  <w:r>
                    <w:rPr>
                      <w:rFonts w:hint="eastAsia" w:cs="Times New Roman"/>
                      <w:color w:val="FF0000"/>
                      <w:sz w:val="21"/>
                      <w:szCs w:val="21"/>
                      <w:highlight w:val="none"/>
                      <w:lang w:val="en-US" w:eastAsia="zh-CN"/>
                    </w:rPr>
                    <w:t>2</w:t>
                  </w:r>
                </w:p>
              </w:tc>
              <w:tc>
                <w:tcPr>
                  <w:tcW w:w="1604" w:type="dxa"/>
                  <w:shd w:val="clear" w:color="auto" w:fill="auto"/>
                  <w:noWrap w:val="0"/>
                  <w:vAlign w:val="center"/>
                </w:tcPr>
                <w:p w14:paraId="55A50053">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50</w:t>
                  </w:r>
                </w:p>
              </w:tc>
              <w:tc>
                <w:tcPr>
                  <w:tcW w:w="1120" w:type="dxa"/>
                  <w:shd w:val="clear" w:color="auto" w:fill="auto"/>
                  <w:noWrap w:val="0"/>
                  <w:vAlign w:val="center"/>
                </w:tcPr>
                <w:p w14:paraId="1AEE1CE2">
                  <w:pPr>
                    <w:widowControl/>
                    <w:adjustRightInd w:val="0"/>
                    <w:snapToGrid w:val="0"/>
                    <w:spacing w:line="240" w:lineRule="auto"/>
                    <w:jc w:val="center"/>
                    <w:textAlignment w:val="center"/>
                    <w:rPr>
                      <w:rFonts w:hint="default" w:ascii="Times New Roman" w:hAnsi="Times New Roman" w:eastAsia="宋体" w:cs="Times New Roman"/>
                      <w:color w:val="FF0000"/>
                      <w:kern w:val="0"/>
                      <w:sz w:val="21"/>
                      <w:szCs w:val="21"/>
                      <w:lang w:val="en-US" w:eastAsia="zh-CN" w:bidi="ar"/>
                    </w:rPr>
                  </w:pPr>
                  <w:r>
                    <w:rPr>
                      <w:rFonts w:hint="eastAsia" w:cs="Times New Roman"/>
                      <w:color w:val="FF0000"/>
                      <w:kern w:val="0"/>
                      <w:sz w:val="21"/>
                      <w:szCs w:val="21"/>
                      <w:lang w:val="en-US" w:eastAsia="zh-CN" w:bidi="ar"/>
                    </w:rPr>
                    <w:t>0.0004</w:t>
                  </w:r>
                </w:p>
              </w:tc>
              <w:tc>
                <w:tcPr>
                  <w:tcW w:w="1335" w:type="dxa"/>
                  <w:vMerge w:val="continue"/>
                  <w:noWrap w:val="0"/>
                  <w:vAlign w:val="center"/>
                </w:tcPr>
                <w:p w14:paraId="507959F2">
                  <w:pPr>
                    <w:widowControl/>
                    <w:adjustRightInd w:val="0"/>
                    <w:snapToGrid w:val="0"/>
                    <w:spacing w:line="240" w:lineRule="auto"/>
                    <w:jc w:val="center"/>
                    <w:textAlignment w:val="center"/>
                    <w:rPr>
                      <w:rFonts w:hint="default" w:ascii="Times New Roman" w:hAnsi="Times New Roman" w:cs="Times New Roman"/>
                      <w:color w:val="FF0000"/>
                      <w:sz w:val="21"/>
                      <w:szCs w:val="21"/>
                    </w:rPr>
                  </w:pPr>
                </w:p>
              </w:tc>
            </w:tr>
          </w:tbl>
          <w:p w14:paraId="5696E66E">
            <w:pPr>
              <w:spacing w:before="120" w:beforeLines="50" w:line="360" w:lineRule="auto"/>
              <w:ind w:firstLine="480" w:firstLineChars="200"/>
              <w:rPr>
                <w:rFonts w:ascii="Times New Roman" w:hAnsi="Times New Roman" w:eastAsia="宋体" w:cs="Times New Roman"/>
                <w:color w:val="auto"/>
                <w:sz w:val="24"/>
                <w:szCs w:val="24"/>
              </w:rPr>
            </w:pPr>
            <w:r>
              <w:rPr>
                <w:rFonts w:hint="default" w:ascii="Times New Roman" w:hAnsi="Times New Roman" w:cs="Times New Roman"/>
                <w:bCs/>
                <w:color w:val="auto"/>
                <w:sz w:val="24"/>
                <w:szCs w:val="24"/>
              </w:rPr>
              <w:t>由上表可知，</w:t>
            </w:r>
            <w:r>
              <w:rPr>
                <w:rFonts w:hint="eastAsia" w:ascii="Times New Roman" w:hAnsi="Times New Roman" w:cs="Times New Roman"/>
                <w:bCs/>
                <w:color w:val="auto"/>
                <w:sz w:val="24"/>
                <w:szCs w:val="24"/>
                <w:lang w:eastAsia="zh-CN"/>
              </w:rPr>
              <w:t>本项目风险物质总量与其临界量</w:t>
            </w:r>
            <w:r>
              <w:rPr>
                <w:rFonts w:hint="eastAsia" w:cs="Times New Roman"/>
                <w:bCs/>
                <w:color w:val="auto"/>
                <w:sz w:val="24"/>
                <w:szCs w:val="24"/>
                <w:lang w:eastAsia="zh-CN"/>
              </w:rPr>
              <w:t>比值为</w:t>
            </w:r>
            <w:r>
              <w:rPr>
                <w:rFonts w:hint="eastAsia" w:cs="Times New Roman"/>
                <w:color w:val="auto"/>
                <w:sz w:val="24"/>
                <w:szCs w:val="24"/>
                <w:lang w:val="en-US" w:eastAsia="zh-CN"/>
              </w:rPr>
              <w:t>0.028188</w:t>
            </w:r>
            <w:r>
              <w:rPr>
                <w:rFonts w:hint="default" w:ascii="Times New Roman" w:hAnsi="Times New Roman" w:cs="Times New Roman"/>
                <w:bCs/>
                <w:color w:val="auto"/>
                <w:sz w:val="24"/>
                <w:szCs w:val="24"/>
              </w:rPr>
              <w:t>，</w:t>
            </w:r>
            <w:r>
              <w:rPr>
                <w:rFonts w:hint="default" w:ascii="Times New Roman" w:hAnsi="Times New Roman" w:eastAsia="宋体" w:cs="Times New Roman"/>
                <w:color w:val="auto"/>
                <w:kern w:val="2"/>
                <w:sz w:val="24"/>
                <w:szCs w:val="24"/>
                <w:lang w:val="en-US" w:eastAsia="zh-CN" w:bidi="ar-SA"/>
              </w:rPr>
              <w:t>Q</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1</w:t>
            </w:r>
            <w:r>
              <w:rPr>
                <w:rFonts w:hint="eastAsia" w:ascii="Times New Roman" w:hAnsi="Times New Roman" w:eastAsia="宋体" w:cs="Times New Roman"/>
                <w:color w:val="auto"/>
                <w:kern w:val="2"/>
                <w:sz w:val="24"/>
                <w:szCs w:val="24"/>
                <w:lang w:val="en-US" w:eastAsia="zh-CN" w:bidi="ar-SA"/>
              </w:rPr>
              <w:t xml:space="preserve">， 环境风险潜势为 </w:t>
            </w:r>
            <w:r>
              <w:rPr>
                <w:rFonts w:hint="default" w:ascii="Times New Roman" w:hAnsi="Times New Roman" w:eastAsia="宋体" w:cs="Times New Roman"/>
                <w:color w:val="auto"/>
                <w:kern w:val="2"/>
                <w:sz w:val="24"/>
                <w:szCs w:val="24"/>
                <w:lang w:val="en-US" w:eastAsia="zh-CN" w:bidi="ar-SA"/>
              </w:rPr>
              <w:t>I</w:t>
            </w:r>
            <w:r>
              <w:rPr>
                <w:rFonts w:hint="eastAsia" w:ascii="Times New Roman" w:hAnsi="Times New Roman" w:eastAsia="宋体" w:cs="Times New Roman"/>
                <w:color w:val="auto"/>
                <w:kern w:val="2"/>
                <w:sz w:val="24"/>
                <w:szCs w:val="24"/>
                <w:lang w:val="en-US" w:eastAsia="zh-CN" w:bidi="ar-SA"/>
              </w:rPr>
              <w:t>，只需对评价工作等级进行简单分析。</w:t>
            </w:r>
          </w:p>
          <w:p w14:paraId="0FE0C519">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2、可能影响途径</w:t>
            </w:r>
          </w:p>
          <w:p w14:paraId="2544D702">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项目危废暂存间和化粪池存在泄漏风险，可能污染地下水及土壤环境</w:t>
            </w:r>
            <w:r>
              <w:rPr>
                <w:rFonts w:ascii="Times New Roman" w:hAnsi="Times New Roman" w:eastAsia="宋体" w:cs="Times New Roman"/>
                <w:color w:val="auto"/>
                <w:sz w:val="24"/>
                <w:szCs w:val="24"/>
              </w:rPr>
              <w:t>；项目原材料为</w:t>
            </w:r>
            <w:r>
              <w:rPr>
                <w:rFonts w:hint="eastAsia" w:ascii="Times New Roman" w:hAnsi="Times New Roman" w:eastAsia="宋体" w:cs="Times New Roman"/>
                <w:color w:val="auto"/>
                <w:sz w:val="24"/>
                <w:szCs w:val="24"/>
                <w:highlight w:val="none"/>
                <w:lang w:val="en-US" w:eastAsia="zh-CN"/>
              </w:rPr>
              <w:t>塑料</w:t>
            </w:r>
            <w:r>
              <w:rPr>
                <w:rFonts w:hint="eastAsia" w:cs="Times New Roman"/>
                <w:color w:val="auto"/>
                <w:sz w:val="24"/>
                <w:szCs w:val="24"/>
                <w:highlight w:val="none"/>
                <w:lang w:val="en-US" w:eastAsia="zh-CN"/>
              </w:rPr>
              <w:t>及矿物油</w:t>
            </w:r>
            <w:r>
              <w:rPr>
                <w:rFonts w:hint="eastAsia" w:cs="Times New Roman"/>
                <w:b w:val="0"/>
                <w:bCs w:val="0"/>
                <w:color w:val="auto"/>
                <w:sz w:val="24"/>
                <w:szCs w:val="24"/>
                <w:highlight w:val="none"/>
                <w:lang w:val="en-US" w:eastAsia="zh-CN"/>
              </w:rPr>
              <w:t>等</w:t>
            </w:r>
            <w:r>
              <w:rPr>
                <w:rFonts w:ascii="Times New Roman" w:hAnsi="Times New Roman" w:eastAsia="宋体" w:cs="Times New Roman"/>
                <w:color w:val="auto"/>
                <w:sz w:val="24"/>
                <w:szCs w:val="24"/>
              </w:rPr>
              <w:t>，存在火灾隐患。</w:t>
            </w:r>
          </w:p>
          <w:p w14:paraId="453B942C">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3、环境风险防范措施</w:t>
            </w:r>
          </w:p>
          <w:p w14:paraId="0DDE05CB">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（1）危废间应急防范措施。</w:t>
            </w:r>
          </w:p>
          <w:p w14:paraId="1C32FB3D">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①危废间按要求做好防渗处理，危废间分区存放，并粘贴危险废物名称、性质。</w:t>
            </w:r>
          </w:p>
          <w:p w14:paraId="1127803E">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②危废间应设置配备通信装置、照明设施、安全防护服装及工具，并设置警示标志。</w:t>
            </w:r>
          </w:p>
          <w:p w14:paraId="35A5B447">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③由专人进行管理，做好危险废物排放量及处置记录，并在危险废物转移管理过程中严格执行《危险废物转移管理办法》（2022年1月1日施行），委托有资质单位处理。</w:t>
            </w:r>
          </w:p>
          <w:p w14:paraId="12E8BF49">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④将危险废物装入密闭的容器内，容器上必须粘贴符合标准要求的标签。</w:t>
            </w:r>
          </w:p>
          <w:p w14:paraId="202E23EC">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⑤装载危险废物的容器及材质要满足相应的强度要求，装载危险废物的容器必须完好无损。</w:t>
            </w:r>
          </w:p>
          <w:p w14:paraId="42166E40">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⑥定期对所贮存的危险废物包装容器及贮存设施进行检查，发现破损，应及时采取措施清理更换。</w:t>
            </w:r>
          </w:p>
          <w:p w14:paraId="06FD471C">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（2）废气处理装置应急防范措施</w:t>
            </w:r>
          </w:p>
          <w:p w14:paraId="4C3D0978">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①正确安装废气处理装置，避免造成机械性破坏，关键构件有备用件；完善设备的操作规程，对设备操作人员进行定期培训，保证设备的正常运行；定期清理</w:t>
            </w:r>
            <w:r>
              <w:rPr>
                <w:rFonts w:hint="eastAsia" w:cs="Times New Roman"/>
                <w:color w:val="auto"/>
                <w:sz w:val="24"/>
                <w:szCs w:val="24"/>
                <w:lang w:val="en-US" w:eastAsia="zh-CN"/>
              </w:rPr>
              <w:t>废气处理装置</w:t>
            </w:r>
            <w:r>
              <w:rPr>
                <w:rFonts w:hint="eastAsia" w:ascii="Times New Roman" w:hAnsi="Times New Roman" w:eastAsia="宋体" w:cs="Times New Roman"/>
                <w:color w:val="auto"/>
                <w:sz w:val="24"/>
                <w:szCs w:val="24"/>
              </w:rPr>
              <w:t>，保证正常去除效率。</w:t>
            </w:r>
          </w:p>
          <w:p w14:paraId="19148CDA">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②当废气处理装置（</w:t>
            </w:r>
            <w:r>
              <w:rPr>
                <w:rFonts w:hint="eastAsia" w:cs="Times New Roman"/>
                <w:color w:val="auto"/>
                <w:sz w:val="24"/>
                <w:szCs w:val="24"/>
                <w:lang w:val="en-US" w:eastAsia="zh-CN"/>
              </w:rPr>
              <w:t>过滤棉+二级活性炭</w:t>
            </w:r>
            <w:r>
              <w:rPr>
                <w:rFonts w:hint="eastAsia" w:ascii="Times New Roman" w:hAnsi="Times New Roman" w:eastAsia="宋体" w:cs="Times New Roman"/>
                <w:color w:val="auto"/>
                <w:sz w:val="24"/>
                <w:szCs w:val="24"/>
              </w:rPr>
              <w:t>）发生故障，相关操作人员应立即停止相应生产工序的运行，上报并联系设备维修人员，设备维修完成并检测废气处理效率达标前禁止生产。</w:t>
            </w:r>
          </w:p>
          <w:p w14:paraId="13161181">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③按照规范例行监测，确保废气达标排放。</w:t>
            </w:r>
          </w:p>
          <w:p w14:paraId="37E019FD">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4、应急预案</w:t>
            </w:r>
          </w:p>
          <w:p w14:paraId="6CFFB6A8">
            <w:pPr>
              <w:tabs>
                <w:tab w:val="left" w:pos="1650"/>
              </w:tabs>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根据《国家突发公众事件总体应急预案</w:t>
            </w:r>
            <w:r>
              <w:rPr>
                <w:rFonts w:hint="eastAsia" w:cs="Times New Roman"/>
                <w:color w:val="auto"/>
                <w:sz w:val="24"/>
                <w:szCs w:val="24"/>
                <w:lang w:eastAsia="zh-CN"/>
              </w:rPr>
              <w:t>》《</w:t>
            </w:r>
            <w:r>
              <w:rPr>
                <w:rFonts w:ascii="Times New Roman" w:hAnsi="Times New Roman" w:eastAsia="宋体" w:cs="Times New Roman"/>
                <w:color w:val="auto"/>
                <w:sz w:val="24"/>
                <w:szCs w:val="24"/>
              </w:rPr>
              <w:t>国家安全事故灾难应急预案</w:t>
            </w:r>
            <w:r>
              <w:rPr>
                <w:rFonts w:hint="eastAsia" w:cs="Times New Roman"/>
                <w:color w:val="auto"/>
                <w:sz w:val="24"/>
                <w:szCs w:val="24"/>
                <w:lang w:eastAsia="zh-CN"/>
              </w:rPr>
              <w:t>》《</w:t>
            </w:r>
            <w:r>
              <w:rPr>
                <w:rFonts w:ascii="Times New Roman" w:hAnsi="Times New Roman" w:eastAsia="宋体" w:cs="Times New Roman"/>
                <w:color w:val="auto"/>
                <w:sz w:val="24"/>
                <w:szCs w:val="24"/>
              </w:rPr>
              <w:t>国务院关于进一步加强安全生产工作的决定》以及最新环境风险控制的要求，通过污染事故的风险评价，该项目应制定重大事故发生的工作计划、事故隐患的消除及突发性事故应急方法等，并定期进行演练。具体应急预案内容可参考表</w:t>
            </w:r>
            <w:r>
              <w:rPr>
                <w:rFonts w:hint="eastAsia" w:ascii="Times New Roman" w:hAnsi="Times New Roman" w:eastAsia="宋体" w:cs="Times New Roman"/>
                <w:color w:val="auto"/>
                <w:sz w:val="24"/>
                <w:szCs w:val="24"/>
              </w:rPr>
              <w:t>4-1</w:t>
            </w:r>
            <w:r>
              <w:rPr>
                <w:rFonts w:hint="eastAsia" w:cs="Times New Roman"/>
                <w:color w:val="auto"/>
                <w:sz w:val="24"/>
                <w:szCs w:val="24"/>
                <w:lang w:val="en-US" w:eastAsia="zh-CN"/>
              </w:rPr>
              <w:t>7</w:t>
            </w:r>
            <w:r>
              <w:rPr>
                <w:rFonts w:ascii="Times New Roman" w:hAnsi="Times New Roman" w:eastAsia="宋体" w:cs="Times New Roman"/>
                <w:color w:val="auto"/>
                <w:sz w:val="24"/>
                <w:szCs w:val="24"/>
              </w:rPr>
              <w:t>。</w:t>
            </w:r>
          </w:p>
          <w:p w14:paraId="3D09C5E0">
            <w:pPr>
              <w:jc w:val="center"/>
              <w:rPr>
                <w:rFonts w:ascii="Times New Roman" w:hAnsi="Times New Roman" w:eastAsia="宋体" w:cs="Times New Roman"/>
                <w:b/>
                <w:bCs/>
                <w:color w:val="auto"/>
                <w:sz w:val="24"/>
                <w:szCs w:val="24"/>
              </w:rPr>
            </w:pPr>
          </w:p>
          <w:p w14:paraId="076E13C1">
            <w:pPr>
              <w:jc w:val="center"/>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rPr>
              <w:t>4-</w:t>
            </w:r>
            <w:r>
              <w:rPr>
                <w:rFonts w:hint="eastAsia" w:cs="Times New Roman"/>
                <w:b/>
                <w:bCs/>
                <w:color w:val="auto"/>
                <w:sz w:val="24"/>
                <w:szCs w:val="24"/>
                <w:lang w:val="en-US" w:eastAsia="zh-CN"/>
              </w:rPr>
              <w:t>17</w:t>
            </w:r>
            <w:r>
              <w:rPr>
                <w:rFonts w:hint="eastAsia"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rPr>
              <w:t>应急预案</w:t>
            </w:r>
          </w:p>
          <w:tbl>
            <w:tblPr>
              <w:tblStyle w:val="37"/>
              <w:tblW w:w="840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82"/>
              <w:gridCol w:w="2508"/>
              <w:gridCol w:w="5118"/>
            </w:tblGrid>
            <w:tr w14:paraId="4919A6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1CDA055F">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2508" w:type="dxa"/>
                  <w:tcBorders>
                    <w:tl2br w:val="nil"/>
                    <w:tr2bl w:val="nil"/>
                  </w:tcBorders>
                  <w:noWrap w:val="0"/>
                  <w:vAlign w:val="center"/>
                </w:tcPr>
                <w:p w14:paraId="3AAD6877">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项目</w:t>
                  </w:r>
                </w:p>
              </w:tc>
              <w:tc>
                <w:tcPr>
                  <w:tcW w:w="5118" w:type="dxa"/>
                  <w:tcBorders>
                    <w:tl2br w:val="nil"/>
                    <w:tr2bl w:val="nil"/>
                  </w:tcBorders>
                  <w:noWrap w:val="0"/>
                  <w:vAlign w:val="center"/>
                </w:tcPr>
                <w:p w14:paraId="1ED772CF">
                  <w:pPr>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内容及要求</w:t>
                  </w:r>
                </w:p>
              </w:tc>
            </w:tr>
            <w:tr w14:paraId="475290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66AADE3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2508" w:type="dxa"/>
                  <w:tcBorders>
                    <w:tl2br w:val="nil"/>
                    <w:tr2bl w:val="nil"/>
                  </w:tcBorders>
                  <w:noWrap w:val="0"/>
                  <w:vAlign w:val="center"/>
                </w:tcPr>
                <w:p w14:paraId="09562373">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应急计划区</w:t>
                  </w:r>
                </w:p>
              </w:tc>
              <w:tc>
                <w:tcPr>
                  <w:tcW w:w="5118" w:type="dxa"/>
                  <w:tcBorders>
                    <w:tl2br w:val="nil"/>
                    <w:tr2bl w:val="nil"/>
                  </w:tcBorders>
                  <w:noWrap w:val="0"/>
                  <w:vAlign w:val="center"/>
                </w:tcPr>
                <w:p w14:paraId="1FE4C9E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确定危险目标：风险保护目标</w:t>
                  </w:r>
                </w:p>
              </w:tc>
            </w:tr>
            <w:tr w14:paraId="2B015D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057F17F7">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2508" w:type="dxa"/>
                  <w:tcBorders>
                    <w:tl2br w:val="nil"/>
                    <w:tr2bl w:val="nil"/>
                  </w:tcBorders>
                  <w:noWrap w:val="0"/>
                  <w:vAlign w:val="center"/>
                </w:tcPr>
                <w:p w14:paraId="2E60F017">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应急组织机构、人员</w:t>
                  </w:r>
                </w:p>
              </w:tc>
              <w:tc>
                <w:tcPr>
                  <w:tcW w:w="5118" w:type="dxa"/>
                  <w:tcBorders>
                    <w:tl2br w:val="nil"/>
                    <w:tr2bl w:val="nil"/>
                  </w:tcBorders>
                  <w:noWrap w:val="0"/>
                  <w:vAlign w:val="center"/>
                </w:tcPr>
                <w:p w14:paraId="736F56E9">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当地应急组织机构、人员</w:t>
                  </w:r>
                </w:p>
              </w:tc>
            </w:tr>
            <w:tr w14:paraId="51F417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01A88CB2">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2508" w:type="dxa"/>
                  <w:tcBorders>
                    <w:tl2br w:val="nil"/>
                    <w:tr2bl w:val="nil"/>
                  </w:tcBorders>
                  <w:noWrap w:val="0"/>
                  <w:vAlign w:val="center"/>
                </w:tcPr>
                <w:p w14:paraId="4831BFF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预案分级</w:t>
                  </w:r>
                  <w:r>
                    <w:rPr>
                      <w:rFonts w:hint="eastAsia" w:cs="Times New Roman"/>
                      <w:color w:val="auto"/>
                      <w:sz w:val="21"/>
                      <w:szCs w:val="21"/>
                      <w:lang w:eastAsia="zh-CN"/>
                    </w:rPr>
                    <w:t>响应</w:t>
                  </w:r>
                  <w:r>
                    <w:rPr>
                      <w:rFonts w:ascii="Times New Roman" w:hAnsi="Times New Roman" w:eastAsia="宋体" w:cs="Times New Roman"/>
                      <w:color w:val="auto"/>
                      <w:sz w:val="21"/>
                      <w:szCs w:val="21"/>
                    </w:rPr>
                    <w:t>条件</w:t>
                  </w:r>
                </w:p>
              </w:tc>
              <w:tc>
                <w:tcPr>
                  <w:tcW w:w="5118" w:type="dxa"/>
                  <w:tcBorders>
                    <w:tl2br w:val="nil"/>
                    <w:tr2bl w:val="nil"/>
                  </w:tcBorders>
                  <w:noWrap w:val="0"/>
                  <w:vAlign w:val="center"/>
                </w:tcPr>
                <w:p w14:paraId="318BA9A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规定预案的级别及分级响应程序</w:t>
                  </w:r>
                </w:p>
              </w:tc>
            </w:tr>
            <w:tr w14:paraId="6EAD08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5605D4C3">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2508" w:type="dxa"/>
                  <w:tcBorders>
                    <w:tl2br w:val="nil"/>
                    <w:tr2bl w:val="nil"/>
                  </w:tcBorders>
                  <w:noWrap w:val="0"/>
                  <w:vAlign w:val="center"/>
                </w:tcPr>
                <w:p w14:paraId="0CD7183C">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应急救援保障</w:t>
                  </w:r>
                </w:p>
              </w:tc>
              <w:tc>
                <w:tcPr>
                  <w:tcW w:w="5118" w:type="dxa"/>
                  <w:tcBorders>
                    <w:tl2br w:val="nil"/>
                    <w:tr2bl w:val="nil"/>
                  </w:tcBorders>
                  <w:noWrap w:val="0"/>
                  <w:vAlign w:val="center"/>
                </w:tcPr>
                <w:p w14:paraId="4411B391">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应急设施，设备与器材等</w:t>
                  </w:r>
                </w:p>
              </w:tc>
            </w:tr>
            <w:tr w14:paraId="462B7E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635186DB">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2508" w:type="dxa"/>
                  <w:tcBorders>
                    <w:tl2br w:val="nil"/>
                    <w:tr2bl w:val="nil"/>
                  </w:tcBorders>
                  <w:noWrap w:val="0"/>
                  <w:vAlign w:val="center"/>
                </w:tcPr>
                <w:p w14:paraId="777AE84E">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报警、通讯联络方式</w:t>
                  </w:r>
                </w:p>
              </w:tc>
              <w:tc>
                <w:tcPr>
                  <w:tcW w:w="5118" w:type="dxa"/>
                  <w:tcBorders>
                    <w:tl2br w:val="nil"/>
                    <w:tr2bl w:val="nil"/>
                  </w:tcBorders>
                  <w:noWrap w:val="0"/>
                  <w:vAlign w:val="center"/>
                </w:tcPr>
                <w:p w14:paraId="1C7C765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应急状态下的报警方式、通知方式、交通管制</w:t>
                  </w:r>
                </w:p>
              </w:tc>
            </w:tr>
            <w:tr w14:paraId="5354C1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547CE5E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2508" w:type="dxa"/>
                  <w:tcBorders>
                    <w:tl2br w:val="nil"/>
                    <w:tr2bl w:val="nil"/>
                  </w:tcBorders>
                  <w:noWrap w:val="0"/>
                  <w:vAlign w:val="center"/>
                </w:tcPr>
                <w:p w14:paraId="70309331">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应急环境监测、抢险、救援及控制措施</w:t>
                  </w:r>
                </w:p>
              </w:tc>
              <w:tc>
                <w:tcPr>
                  <w:tcW w:w="5118" w:type="dxa"/>
                  <w:tcBorders>
                    <w:tl2br w:val="nil"/>
                    <w:tr2bl w:val="nil"/>
                  </w:tcBorders>
                  <w:noWrap w:val="0"/>
                  <w:vAlign w:val="center"/>
                </w:tcPr>
                <w:p w14:paraId="31EF4A77">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有专业队伍对事故现场进行现状监测，对事故性质与后果进行评估，为指挥部门提供决策依据</w:t>
                  </w:r>
                </w:p>
              </w:tc>
            </w:tr>
            <w:tr w14:paraId="08F0B5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6AA8C03C">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2508" w:type="dxa"/>
                  <w:tcBorders>
                    <w:tl2br w:val="nil"/>
                    <w:tr2bl w:val="nil"/>
                  </w:tcBorders>
                  <w:noWrap w:val="0"/>
                  <w:vAlign w:val="center"/>
                </w:tcPr>
                <w:p w14:paraId="06BB1238">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应急监测、防护措施、清除泄漏措施和器材</w:t>
                  </w:r>
                </w:p>
              </w:tc>
              <w:tc>
                <w:tcPr>
                  <w:tcW w:w="5118" w:type="dxa"/>
                  <w:tcBorders>
                    <w:tl2br w:val="nil"/>
                    <w:tr2bl w:val="nil"/>
                  </w:tcBorders>
                  <w:noWrap w:val="0"/>
                  <w:vAlign w:val="center"/>
                </w:tcPr>
                <w:p w14:paraId="28C259C0">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事故现场、邻近区域、控制防火区域，控制和清除污染措施及相应设备</w:t>
                  </w:r>
                </w:p>
              </w:tc>
            </w:tr>
            <w:tr w14:paraId="141DE4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66F60AD9">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2508" w:type="dxa"/>
                  <w:tcBorders>
                    <w:tl2br w:val="nil"/>
                    <w:tr2bl w:val="nil"/>
                  </w:tcBorders>
                  <w:noWrap w:val="0"/>
                  <w:vAlign w:val="center"/>
                </w:tcPr>
                <w:p w14:paraId="33640DF8">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人员紧急撤离、疏散，应急计量控制、撤离组织计划</w:t>
                  </w:r>
                </w:p>
              </w:tc>
              <w:tc>
                <w:tcPr>
                  <w:tcW w:w="5118" w:type="dxa"/>
                  <w:tcBorders>
                    <w:tl2br w:val="nil"/>
                    <w:tr2bl w:val="nil"/>
                  </w:tcBorders>
                  <w:noWrap w:val="0"/>
                  <w:vAlign w:val="center"/>
                </w:tcPr>
                <w:p w14:paraId="6B69E7E6">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事故现场、受事故影响区域的人群撤离组织计划及救护，医疗救护与公众健康</w:t>
                  </w:r>
                </w:p>
              </w:tc>
            </w:tr>
            <w:tr w14:paraId="1891CF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1C61FE47">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2508" w:type="dxa"/>
                  <w:tcBorders>
                    <w:tl2br w:val="nil"/>
                    <w:tr2bl w:val="nil"/>
                  </w:tcBorders>
                  <w:noWrap w:val="0"/>
                  <w:vAlign w:val="center"/>
                </w:tcPr>
                <w:p w14:paraId="7C2312EA">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事故应急救援关闭程序与恢复措施</w:t>
                  </w:r>
                </w:p>
              </w:tc>
              <w:tc>
                <w:tcPr>
                  <w:tcW w:w="5118" w:type="dxa"/>
                  <w:tcBorders>
                    <w:tl2br w:val="nil"/>
                    <w:tr2bl w:val="nil"/>
                  </w:tcBorders>
                  <w:noWrap w:val="0"/>
                  <w:vAlign w:val="center"/>
                </w:tcPr>
                <w:p w14:paraId="2C144971">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规定应急状态终止程序、事故现场善后处理，恢复措施邻近区域解除事故警戒及善后恢复措施</w:t>
                  </w:r>
                </w:p>
              </w:tc>
            </w:tr>
            <w:tr w14:paraId="67B5CC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2A3A3B0E">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w:t>
                  </w:r>
                </w:p>
              </w:tc>
              <w:tc>
                <w:tcPr>
                  <w:tcW w:w="2508" w:type="dxa"/>
                  <w:tcBorders>
                    <w:tl2br w:val="nil"/>
                    <w:tr2bl w:val="nil"/>
                  </w:tcBorders>
                  <w:noWrap w:val="0"/>
                  <w:vAlign w:val="center"/>
                </w:tcPr>
                <w:p w14:paraId="419A86D6">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应急培训计划</w:t>
                  </w:r>
                </w:p>
              </w:tc>
              <w:tc>
                <w:tcPr>
                  <w:tcW w:w="5118" w:type="dxa"/>
                  <w:tcBorders>
                    <w:tl2br w:val="nil"/>
                    <w:tr2bl w:val="nil"/>
                  </w:tcBorders>
                  <w:noWrap w:val="0"/>
                  <w:vAlign w:val="center"/>
                </w:tcPr>
                <w:p w14:paraId="4B779044">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依托当地政府应急培训计划安排人员培训与演练</w:t>
                  </w:r>
                </w:p>
              </w:tc>
            </w:tr>
            <w:tr w14:paraId="272DF0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82" w:type="dxa"/>
                  <w:tcBorders>
                    <w:tl2br w:val="nil"/>
                    <w:tr2bl w:val="nil"/>
                  </w:tcBorders>
                  <w:noWrap w:val="0"/>
                  <w:vAlign w:val="center"/>
                </w:tcPr>
                <w:p w14:paraId="0846B13F">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11</w:t>
                  </w:r>
                </w:p>
              </w:tc>
              <w:tc>
                <w:tcPr>
                  <w:tcW w:w="2508" w:type="dxa"/>
                  <w:tcBorders>
                    <w:tl2br w:val="nil"/>
                    <w:tr2bl w:val="nil"/>
                  </w:tcBorders>
                  <w:noWrap w:val="0"/>
                  <w:vAlign w:val="center"/>
                </w:tcPr>
                <w:p w14:paraId="01FEEE3A">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公众教育和信息</w:t>
                  </w:r>
                </w:p>
              </w:tc>
              <w:tc>
                <w:tcPr>
                  <w:tcW w:w="5118" w:type="dxa"/>
                  <w:tcBorders>
                    <w:tl2br w:val="nil"/>
                    <w:tr2bl w:val="nil"/>
                  </w:tcBorders>
                  <w:noWrap w:val="0"/>
                  <w:vAlign w:val="center"/>
                </w:tcPr>
                <w:p w14:paraId="382AAA63">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对邻近地区开展公众教育、培训和发布有关安全自救知识</w:t>
                  </w:r>
                </w:p>
              </w:tc>
            </w:tr>
          </w:tbl>
          <w:p w14:paraId="4E86EDEC">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 xml:space="preserve">环保设施安全风险生产要求 </w:t>
            </w:r>
          </w:p>
          <w:p w14:paraId="0603E68E">
            <w:p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 xml:space="preserve">根据《国务院安委会办公室 生态环境部 应急管理部关于进一步加强环保设备设施安全生产工作的通知》（安委办明电〔2022〕17 号）要求，建设项目需开展环保设备设施安全风险辨识评估和隐患排查治理，落实安全生产各项责任措施。 </w:t>
            </w:r>
          </w:p>
          <w:p w14:paraId="2DC86482">
            <w:p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拟建</w:t>
            </w:r>
            <w:r>
              <w:rPr>
                <w:rFonts w:hint="eastAsia" w:cs="Times New Roman"/>
                <w:color w:val="auto"/>
                <w:sz w:val="24"/>
                <w:szCs w:val="24"/>
                <w:lang w:val="en-US" w:eastAsia="zh-CN"/>
              </w:rPr>
              <w:t>过滤棉+</w:t>
            </w:r>
            <w:r>
              <w:rPr>
                <w:rFonts w:hint="eastAsia" w:ascii="Times New Roman" w:hAnsi="Times New Roman" w:eastAsia="宋体" w:cs="Times New Roman"/>
                <w:color w:val="auto"/>
                <w:sz w:val="24"/>
                <w:szCs w:val="24"/>
                <w:lang w:val="en-US" w:eastAsia="zh-CN"/>
              </w:rPr>
              <w:t>二级活性炭吸附装置</w:t>
            </w:r>
            <w:r>
              <w:rPr>
                <w:rFonts w:ascii="Times New Roman" w:hAnsi="Times New Roman" w:eastAsia="宋体" w:cs="Times New Roman"/>
                <w:color w:val="auto"/>
                <w:sz w:val="24"/>
                <w:szCs w:val="24"/>
              </w:rPr>
              <w:t>。</w:t>
            </w:r>
          </w:p>
          <w:p w14:paraId="6A8DB161">
            <w:pPr>
              <w:numPr>
                <w:ilvl w:val="0"/>
                <w:numId w:val="8"/>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 xml:space="preserve">安全风险辨识 </w:t>
            </w:r>
          </w:p>
          <w:p w14:paraId="6E3FEC5E">
            <w:pPr>
              <w:numPr>
                <w:ilvl w:val="0"/>
                <w:numId w:val="0"/>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配套废气处理装置按规定进行定期清理，避免因毛积、油灰积聚导致的火灾事故的发生；按时更换活性炭避免引发废气排放超标事故的发生。</w:t>
            </w:r>
          </w:p>
          <w:p w14:paraId="42D786D5">
            <w:pPr>
              <w:numPr>
                <w:ilvl w:val="0"/>
                <w:numId w:val="8"/>
              </w:numPr>
              <w:spacing w:line="360" w:lineRule="auto"/>
              <w:ind w:left="0" w:leftChars="0"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 xml:space="preserve">隐患排查治理措施 </w:t>
            </w:r>
          </w:p>
          <w:p w14:paraId="6573441A">
            <w:pPr>
              <w:numPr>
                <w:ilvl w:val="0"/>
                <w:numId w:val="0"/>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①环保设施及时进行维护保养，定期检查，避免设备疲劳运行防范事故发生。</w:t>
            </w:r>
          </w:p>
          <w:p w14:paraId="3E9318EC">
            <w:pPr>
              <w:numPr>
                <w:ilvl w:val="0"/>
                <w:numId w:val="0"/>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②建立隐患整改台账，明确整改责任人、措施、资金、时限和应急救援预案，及时消除隐患。</w:t>
            </w:r>
          </w:p>
          <w:p w14:paraId="0938FCF4">
            <w:pPr>
              <w:numPr>
                <w:ilvl w:val="0"/>
                <w:numId w:val="8"/>
              </w:numPr>
              <w:spacing w:line="360" w:lineRule="auto"/>
              <w:ind w:left="0" w:leftChars="0"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 xml:space="preserve">安全管理制度 </w:t>
            </w:r>
          </w:p>
          <w:p w14:paraId="1E1D60C0">
            <w:pPr>
              <w:numPr>
                <w:ilvl w:val="0"/>
                <w:numId w:val="0"/>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①明确企业主要负责人为安全生产第一责任人，将环保设备设施安全作为企业安全管理的重要组成部分，全面负责落实本单位的环保设备设施安全生产工作。</w:t>
            </w:r>
          </w:p>
          <w:p w14:paraId="3C6271E7">
            <w:pPr>
              <w:numPr>
                <w:ilvl w:val="0"/>
                <w:numId w:val="0"/>
              </w:num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 xml:space="preserve">②对涉环保设施相关岗位人员进行操作规程、风险管控、应急处置、典型事故警示等专项安全培、教育。 </w:t>
            </w:r>
          </w:p>
          <w:p w14:paraId="052699CC">
            <w:pPr>
              <w:numPr>
                <w:ilvl w:val="-1"/>
                <w:numId w:val="0"/>
              </w:numPr>
              <w:spacing w:line="360" w:lineRule="auto"/>
              <w:ind w:left="420" w:leftChars="200" w:firstLine="0" w:firstLineChars="0"/>
              <w:rPr>
                <w:rFonts w:ascii="Times New Roman" w:hAnsi="Times New Roman" w:eastAsia="宋体" w:cs="Times New Roman"/>
                <w:color w:val="auto"/>
                <w:sz w:val="24"/>
                <w:szCs w:val="24"/>
              </w:rPr>
            </w:pPr>
            <w:r>
              <w:rPr>
                <w:rFonts w:hint="eastAsia" w:cs="Times New Roman"/>
                <w:color w:val="auto"/>
                <w:sz w:val="24"/>
                <w:szCs w:val="24"/>
                <w:lang w:val="en-US" w:eastAsia="zh-CN"/>
              </w:rPr>
              <w:t>6、</w:t>
            </w:r>
            <w:r>
              <w:rPr>
                <w:rFonts w:ascii="Times New Roman" w:hAnsi="Times New Roman" w:eastAsia="宋体" w:cs="Times New Roman"/>
                <w:color w:val="auto"/>
                <w:sz w:val="24"/>
                <w:szCs w:val="24"/>
              </w:rPr>
              <w:t xml:space="preserve">环境风险分析结论 </w:t>
            </w:r>
          </w:p>
          <w:p w14:paraId="62231FCF">
            <w:pPr>
              <w:numPr>
                <w:ilvl w:val="-1"/>
                <w:numId w:val="0"/>
              </w:numPr>
              <w:spacing w:line="360" w:lineRule="auto"/>
              <w:ind w:left="0" w:leftChars="0"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采取以上环境风险防范措施后，可大大降低风险事故发生的</w:t>
            </w:r>
            <w:r>
              <w:rPr>
                <w:rFonts w:hint="eastAsia" w:ascii="Times New Roman" w:hAnsi="Times New Roman" w:eastAsia="宋体" w:cs="Times New Roman"/>
                <w:color w:val="auto"/>
                <w:sz w:val="24"/>
                <w:szCs w:val="24"/>
                <w:lang w:eastAsia="zh-CN"/>
              </w:rPr>
              <w:t>几率</w:t>
            </w:r>
            <w:r>
              <w:rPr>
                <w:rFonts w:ascii="Times New Roman" w:hAnsi="Times New Roman" w:eastAsia="宋体" w:cs="Times New Roman"/>
                <w:color w:val="auto"/>
                <w:sz w:val="24"/>
                <w:szCs w:val="24"/>
              </w:rPr>
              <w:t>，减缓风险事故对环境的影响，本项目所存在的环境风险是可以接受的。</w:t>
            </w:r>
          </w:p>
          <w:p w14:paraId="6DA1D58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八</w:t>
            </w:r>
            <w:r>
              <w:rPr>
                <w:rFonts w:hint="default" w:ascii="Times New Roman" w:hAnsi="Times New Roman" w:eastAsia="宋体" w:cs="Times New Roman"/>
                <w:b/>
                <w:bCs/>
                <w:color w:val="auto"/>
                <w:sz w:val="24"/>
                <w:szCs w:val="24"/>
                <w:highlight w:val="none"/>
                <w:lang w:val="en-US" w:eastAsia="zh-CN"/>
              </w:rPr>
              <w:t>、电磁辐射</w:t>
            </w:r>
          </w:p>
          <w:p w14:paraId="4FEC23F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本项目不涉及电磁辐射。</w:t>
            </w:r>
          </w:p>
          <w:p w14:paraId="0ECEC974">
            <w:pPr>
              <w:rPr>
                <w:rFonts w:hint="default"/>
                <w:color w:val="auto"/>
                <w:lang w:val="en-US" w:eastAsia="zh-CN"/>
              </w:rPr>
            </w:pPr>
          </w:p>
          <w:p w14:paraId="4A4A70EE">
            <w:pPr>
              <w:rPr>
                <w:rFonts w:hint="default"/>
                <w:color w:val="auto"/>
                <w:lang w:val="en-US" w:eastAsia="zh-CN"/>
              </w:rPr>
            </w:pPr>
          </w:p>
          <w:p w14:paraId="53CADC90">
            <w:pPr>
              <w:rPr>
                <w:rFonts w:hint="default"/>
                <w:color w:val="auto"/>
                <w:lang w:val="en-US" w:eastAsia="zh-CN"/>
              </w:rPr>
            </w:pPr>
          </w:p>
          <w:p w14:paraId="17CD9BEA">
            <w:pPr>
              <w:rPr>
                <w:rFonts w:hint="default"/>
                <w:color w:val="auto"/>
                <w:lang w:val="en-US" w:eastAsia="zh-CN"/>
              </w:rPr>
            </w:pPr>
          </w:p>
          <w:p w14:paraId="0212FB30">
            <w:pPr>
              <w:rPr>
                <w:rFonts w:hint="default"/>
                <w:color w:val="auto"/>
                <w:lang w:val="en-US" w:eastAsia="zh-CN"/>
              </w:rPr>
            </w:pPr>
          </w:p>
          <w:p w14:paraId="2391AE6D">
            <w:pPr>
              <w:rPr>
                <w:rFonts w:hint="default"/>
                <w:color w:val="auto"/>
                <w:lang w:val="en-US" w:eastAsia="zh-CN"/>
              </w:rPr>
            </w:pPr>
          </w:p>
          <w:p w14:paraId="6A647F2F">
            <w:pPr>
              <w:rPr>
                <w:rFonts w:hint="default"/>
                <w:color w:val="auto"/>
                <w:lang w:val="en-US" w:eastAsia="zh-CN"/>
              </w:rPr>
            </w:pPr>
          </w:p>
          <w:p w14:paraId="381D85F3">
            <w:pPr>
              <w:rPr>
                <w:rFonts w:hint="default"/>
                <w:color w:val="auto"/>
                <w:lang w:val="en-US" w:eastAsia="zh-CN"/>
              </w:rPr>
            </w:pPr>
          </w:p>
          <w:p w14:paraId="6D6BACD9">
            <w:pPr>
              <w:rPr>
                <w:rFonts w:hint="default"/>
                <w:color w:val="auto"/>
                <w:lang w:val="en-US" w:eastAsia="zh-CN"/>
              </w:rPr>
            </w:pPr>
          </w:p>
          <w:p w14:paraId="32C31B3E">
            <w:pPr>
              <w:rPr>
                <w:rFonts w:hint="default"/>
                <w:color w:val="auto"/>
                <w:lang w:val="en-US" w:eastAsia="zh-CN"/>
              </w:rPr>
            </w:pPr>
          </w:p>
          <w:p w14:paraId="1B8D2033">
            <w:pPr>
              <w:rPr>
                <w:rFonts w:hint="default"/>
                <w:color w:val="auto"/>
                <w:lang w:val="en-US" w:eastAsia="zh-CN"/>
              </w:rPr>
            </w:pPr>
          </w:p>
          <w:p w14:paraId="35E580A2">
            <w:pPr>
              <w:rPr>
                <w:rFonts w:hint="default"/>
                <w:color w:val="auto"/>
                <w:lang w:val="en-US" w:eastAsia="zh-CN"/>
              </w:rPr>
            </w:pPr>
          </w:p>
          <w:p w14:paraId="5056D506">
            <w:pPr>
              <w:rPr>
                <w:rFonts w:hint="default"/>
                <w:color w:val="auto"/>
                <w:lang w:val="en-US" w:eastAsia="zh-CN"/>
              </w:rPr>
            </w:pPr>
          </w:p>
          <w:p w14:paraId="733A35C1">
            <w:pPr>
              <w:rPr>
                <w:rFonts w:hint="default"/>
                <w:color w:val="auto"/>
                <w:lang w:val="en-US" w:eastAsia="zh-CN"/>
              </w:rPr>
            </w:pPr>
          </w:p>
          <w:p w14:paraId="601A8C1F">
            <w:pPr>
              <w:rPr>
                <w:rFonts w:hint="default"/>
                <w:color w:val="auto"/>
                <w:lang w:val="en-US" w:eastAsia="zh-CN"/>
              </w:rPr>
            </w:pPr>
          </w:p>
          <w:p w14:paraId="4FABA885">
            <w:pPr>
              <w:rPr>
                <w:rFonts w:hint="default"/>
                <w:color w:val="auto"/>
                <w:lang w:val="en-US" w:eastAsia="zh-CN"/>
              </w:rPr>
            </w:pPr>
          </w:p>
          <w:p w14:paraId="74287BE8">
            <w:pPr>
              <w:rPr>
                <w:rFonts w:hint="default"/>
                <w:color w:val="auto"/>
                <w:lang w:val="en-US" w:eastAsia="zh-CN"/>
              </w:rPr>
            </w:pPr>
          </w:p>
          <w:p w14:paraId="2FC1F942">
            <w:pPr>
              <w:rPr>
                <w:rFonts w:hint="default"/>
                <w:color w:val="auto"/>
                <w:lang w:val="en-US" w:eastAsia="zh-CN"/>
              </w:rPr>
            </w:pPr>
          </w:p>
          <w:p w14:paraId="79471504">
            <w:pPr>
              <w:rPr>
                <w:rFonts w:hint="default"/>
                <w:color w:val="auto"/>
                <w:lang w:val="en-US" w:eastAsia="zh-CN"/>
              </w:rPr>
            </w:pPr>
          </w:p>
          <w:p w14:paraId="3B57CA91">
            <w:pPr>
              <w:rPr>
                <w:rFonts w:hint="default"/>
                <w:color w:val="auto"/>
                <w:lang w:val="en-US" w:eastAsia="zh-CN"/>
              </w:rPr>
            </w:pPr>
          </w:p>
          <w:p w14:paraId="7C65E695">
            <w:pPr>
              <w:rPr>
                <w:rFonts w:hint="default"/>
                <w:color w:val="auto"/>
                <w:lang w:val="en-US" w:eastAsia="zh-CN"/>
              </w:rPr>
            </w:pPr>
          </w:p>
          <w:p w14:paraId="420825A4">
            <w:pPr>
              <w:rPr>
                <w:rFonts w:hint="default"/>
                <w:color w:val="auto"/>
                <w:lang w:val="en-US" w:eastAsia="zh-CN"/>
              </w:rPr>
            </w:pPr>
          </w:p>
          <w:p w14:paraId="280DD99F">
            <w:pPr>
              <w:rPr>
                <w:rFonts w:hint="default"/>
                <w:color w:val="auto"/>
                <w:lang w:val="en-US" w:eastAsia="zh-CN"/>
              </w:rPr>
            </w:pPr>
          </w:p>
          <w:p w14:paraId="2414B2EE">
            <w:pPr>
              <w:rPr>
                <w:rFonts w:hint="default"/>
                <w:color w:val="auto"/>
                <w:lang w:val="en-US" w:eastAsia="zh-CN"/>
              </w:rPr>
            </w:pPr>
          </w:p>
          <w:p w14:paraId="7283E639">
            <w:pPr>
              <w:rPr>
                <w:rFonts w:hint="default"/>
                <w:color w:val="auto"/>
                <w:lang w:val="en-US" w:eastAsia="zh-CN"/>
              </w:rPr>
            </w:pPr>
          </w:p>
          <w:p w14:paraId="3C69AD02">
            <w:pPr>
              <w:rPr>
                <w:rFonts w:hint="default"/>
                <w:color w:val="auto"/>
                <w:lang w:val="en-US" w:eastAsia="zh-CN"/>
              </w:rPr>
            </w:pPr>
          </w:p>
          <w:p w14:paraId="69747AF2">
            <w:pPr>
              <w:rPr>
                <w:rFonts w:hint="default"/>
                <w:color w:val="auto"/>
                <w:lang w:val="en-US" w:eastAsia="zh-CN"/>
              </w:rPr>
            </w:pPr>
          </w:p>
          <w:p w14:paraId="64E4D77D">
            <w:pPr>
              <w:rPr>
                <w:rFonts w:hint="default"/>
                <w:color w:val="auto"/>
                <w:lang w:val="en-US" w:eastAsia="zh-CN"/>
              </w:rPr>
            </w:pPr>
          </w:p>
          <w:p w14:paraId="34509429">
            <w:pPr>
              <w:rPr>
                <w:rFonts w:hint="default"/>
                <w:color w:val="auto"/>
                <w:lang w:val="en-US" w:eastAsia="zh-CN"/>
              </w:rPr>
            </w:pPr>
          </w:p>
          <w:p w14:paraId="4A8F85AC">
            <w:pPr>
              <w:rPr>
                <w:rFonts w:hint="default"/>
                <w:color w:val="auto"/>
                <w:lang w:val="en-US" w:eastAsia="zh-CN"/>
              </w:rPr>
            </w:pPr>
          </w:p>
          <w:p w14:paraId="1B1F380B">
            <w:pPr>
              <w:rPr>
                <w:rFonts w:hint="default"/>
                <w:color w:val="auto"/>
                <w:lang w:val="en-US" w:eastAsia="zh-CN"/>
              </w:rPr>
            </w:pPr>
          </w:p>
          <w:p w14:paraId="7C5BDB5D">
            <w:pPr>
              <w:rPr>
                <w:rFonts w:hint="default"/>
                <w:color w:val="auto"/>
                <w:lang w:val="en-US" w:eastAsia="zh-CN"/>
              </w:rPr>
            </w:pPr>
          </w:p>
          <w:p w14:paraId="117EE712">
            <w:pPr>
              <w:rPr>
                <w:rFonts w:hint="default"/>
                <w:color w:val="auto"/>
                <w:lang w:val="en-US" w:eastAsia="zh-CN"/>
              </w:rPr>
            </w:pPr>
          </w:p>
        </w:tc>
      </w:tr>
    </w:tbl>
    <w:p w14:paraId="52EC776E">
      <w:pPr>
        <w:pStyle w:val="36"/>
        <w:ind w:left="0" w:leftChars="0" w:firstLine="0" w:firstLineChars="0"/>
        <w:rPr>
          <w:rFonts w:hint="default"/>
          <w:color w:val="auto"/>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p w14:paraId="1B2998BB">
      <w:pPr>
        <w:spacing w:after="240" w:afterLines="100"/>
        <w:jc w:val="center"/>
        <w:outlineLvl w:val="0"/>
        <w:rPr>
          <w:rFonts w:hint="default" w:ascii="Times New Roman" w:hAnsi="Times New Roman" w:eastAsia="宋体" w:cs="Times New Roman"/>
          <w:b/>
          <w:color w:val="auto"/>
          <w:sz w:val="30"/>
          <w:szCs w:val="30"/>
          <w:lang w:val="en-US" w:eastAsia="zh-CN"/>
        </w:rPr>
      </w:pPr>
      <w:r>
        <w:rPr>
          <w:rFonts w:hint="eastAsia" w:ascii="Times New Roman" w:hAnsi="Times New Roman" w:cs="Times New Roman"/>
          <w:b/>
          <w:color w:val="auto"/>
          <w:sz w:val="30"/>
          <w:szCs w:val="30"/>
          <w:lang w:val="en-US" w:eastAsia="zh-CN"/>
        </w:rPr>
        <w:t>五</w:t>
      </w:r>
      <w:r>
        <w:rPr>
          <w:rFonts w:hint="default" w:ascii="Times New Roman" w:hAnsi="Times New Roman" w:cs="Times New Roman"/>
          <w:b/>
          <w:color w:val="auto"/>
          <w:sz w:val="30"/>
          <w:szCs w:val="30"/>
        </w:rPr>
        <w:t>、</w:t>
      </w:r>
      <w:r>
        <w:rPr>
          <w:rFonts w:hint="eastAsia" w:ascii="Times New Roman" w:hAnsi="Times New Roman" w:cs="Times New Roman"/>
          <w:b/>
          <w:color w:val="auto"/>
          <w:sz w:val="30"/>
          <w:szCs w:val="30"/>
          <w:lang w:val="en-US" w:eastAsia="zh-CN"/>
        </w:rPr>
        <w:t>环境保护措施监督检查清单</w:t>
      </w:r>
    </w:p>
    <w:tbl>
      <w:tblPr>
        <w:tblStyle w:val="37"/>
        <w:tblW w:w="94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85" w:type="dxa"/>
          <w:bottom w:w="0" w:type="dxa"/>
          <w:right w:w="85" w:type="dxa"/>
        </w:tblCellMar>
      </w:tblPr>
      <w:tblGrid>
        <w:gridCol w:w="1253"/>
        <w:gridCol w:w="1489"/>
        <w:gridCol w:w="1479"/>
        <w:gridCol w:w="2411"/>
        <w:gridCol w:w="2807"/>
      </w:tblGrid>
      <w:tr w14:paraId="09E3C7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168E0FA5">
            <w:pPr>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0288" behindDoc="0" locked="0" layoutInCell="1" allowOverlap="1">
                      <wp:simplePos x="0" y="0"/>
                      <wp:positionH relativeFrom="column">
                        <wp:posOffset>-22225</wp:posOffset>
                      </wp:positionH>
                      <wp:positionV relativeFrom="paragraph">
                        <wp:posOffset>10160</wp:posOffset>
                      </wp:positionV>
                      <wp:extent cx="750570" cy="485140"/>
                      <wp:effectExtent l="2540" t="3810" r="8890" b="6350"/>
                      <wp:wrapNone/>
                      <wp:docPr id="1" name="直线 3844"/>
                      <wp:cNvGraphicFramePr/>
                      <a:graphic xmlns:a="http://schemas.openxmlformats.org/drawingml/2006/main">
                        <a:graphicData uri="http://schemas.microsoft.com/office/word/2010/wordprocessingShape">
                          <wps:wsp>
                            <wps:cNvCnPr/>
                            <wps:spPr>
                              <a:xfrm>
                                <a:off x="0" y="0"/>
                                <a:ext cx="750570" cy="4851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3844" o:spid="_x0000_s1026" o:spt="20" style="position:absolute;left:0pt;margin-left:-1.75pt;margin-top:0.8pt;height:38.2pt;width:59.1pt;z-index:251660288;mso-width-relative:page;mso-height-relative:page;" filled="f" stroked="t" coordsize="21600,21600" o:gfxdata="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OBL57VAAAABwEAAA8AAAAAAAAAAQAgAAAAIgAAAGRycy9kb3ducmV2LnhtbFBLAQIUABQAAAAI&#10;AIdO4kAvKJc48AEAAOIDAAAOAAAAAAAAAAEAIAAAACQBAABkcnMvZTJvRG9jLnhtbFBLBQYAAAAA&#10;BgAGAFkBAACGBQAAAAA=&#10;">
                      <v:fill on="f" focussize="0,0"/>
                      <v:stroke color="#000000" joinstyle="round"/>
                      <v:imagedata o:title=""/>
                      <o:lock v:ext="edit" aspectratio="f"/>
                    </v:line>
                  </w:pict>
                </mc:Fallback>
              </mc:AlternateContent>
            </w:r>
            <w:r>
              <w:rPr>
                <w:rFonts w:hint="default"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内容</w:t>
            </w:r>
          </w:p>
          <w:p w14:paraId="17C055B1">
            <w:pPr>
              <w:snapToGrid w:val="0"/>
              <w:jc w:val="center"/>
              <w:rPr>
                <w:rFonts w:hint="default" w:ascii="Times New Roman" w:hAnsi="Times New Roman" w:eastAsia="宋体" w:cs="Times New Roman"/>
                <w:b/>
                <w:color w:val="auto"/>
                <w:sz w:val="21"/>
                <w:szCs w:val="21"/>
                <w:highlight w:val="none"/>
              </w:rPr>
            </w:pPr>
          </w:p>
          <w:p w14:paraId="2656D064">
            <w:pPr>
              <w:snapToGrid w:val="0"/>
              <w:jc w:val="both"/>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val="en-US" w:eastAsia="zh-CN"/>
              </w:rPr>
              <w:t>要素</w:t>
            </w:r>
          </w:p>
        </w:tc>
        <w:tc>
          <w:tcPr>
            <w:tcW w:w="1489" w:type="dxa"/>
            <w:tcBorders>
              <w:tl2br w:val="nil"/>
              <w:tr2bl w:val="nil"/>
            </w:tcBorders>
            <w:noWrap w:val="0"/>
            <w:vAlign w:val="center"/>
          </w:tcPr>
          <w:p w14:paraId="6C9D2995">
            <w:pPr>
              <w:snapToGrid w:val="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排放</w:t>
            </w:r>
            <w:r>
              <w:rPr>
                <w:rFonts w:hint="default" w:ascii="Times New Roman" w:hAnsi="Times New Roman" w:eastAsia="宋体" w:cs="Times New Roman"/>
                <w:b/>
                <w:color w:val="auto"/>
                <w:sz w:val="21"/>
                <w:szCs w:val="21"/>
                <w:highlight w:val="none"/>
                <w:lang w:val="en-US" w:eastAsia="zh-CN"/>
              </w:rPr>
              <w:t>口</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编号</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lang w:val="en-US" w:eastAsia="zh-CN"/>
              </w:rPr>
              <w:t>名称</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lang w:val="en-US" w:eastAsia="zh-CN"/>
              </w:rPr>
              <w:t>/污染源</w:t>
            </w:r>
          </w:p>
        </w:tc>
        <w:tc>
          <w:tcPr>
            <w:tcW w:w="1479" w:type="dxa"/>
            <w:tcBorders>
              <w:tl2br w:val="nil"/>
              <w:tr2bl w:val="nil"/>
            </w:tcBorders>
            <w:noWrap w:val="0"/>
            <w:vAlign w:val="center"/>
          </w:tcPr>
          <w:p w14:paraId="7E36AF32">
            <w:pPr>
              <w:snapToGrid w:val="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污染物</w:t>
            </w:r>
            <w:r>
              <w:rPr>
                <w:rFonts w:hint="default" w:ascii="Times New Roman" w:hAnsi="Times New Roman" w:eastAsia="宋体" w:cs="Times New Roman"/>
                <w:b/>
                <w:color w:val="auto"/>
                <w:sz w:val="21"/>
                <w:szCs w:val="21"/>
                <w:highlight w:val="none"/>
                <w:lang w:val="en-US" w:eastAsia="zh-CN"/>
              </w:rPr>
              <w:t>项目</w:t>
            </w:r>
          </w:p>
        </w:tc>
        <w:tc>
          <w:tcPr>
            <w:tcW w:w="2411" w:type="dxa"/>
            <w:tcBorders>
              <w:tl2br w:val="nil"/>
              <w:tr2bl w:val="nil"/>
            </w:tcBorders>
            <w:noWrap w:val="0"/>
            <w:vAlign w:val="center"/>
          </w:tcPr>
          <w:p w14:paraId="4525B141">
            <w:pPr>
              <w:snapToGrid w:val="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环境保护措施</w:t>
            </w:r>
          </w:p>
        </w:tc>
        <w:tc>
          <w:tcPr>
            <w:tcW w:w="2807" w:type="dxa"/>
            <w:tcBorders>
              <w:tl2br w:val="nil"/>
              <w:tr2bl w:val="nil"/>
            </w:tcBorders>
            <w:noWrap w:val="0"/>
            <w:vAlign w:val="center"/>
          </w:tcPr>
          <w:p w14:paraId="6B534DF7">
            <w:pPr>
              <w:snapToGrid w:val="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执行标准</w:t>
            </w:r>
          </w:p>
        </w:tc>
      </w:tr>
      <w:tr w14:paraId="37A64B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591" w:hRule="atLeast"/>
          <w:jc w:val="center"/>
        </w:trPr>
        <w:tc>
          <w:tcPr>
            <w:tcW w:w="1253" w:type="dxa"/>
            <w:vMerge w:val="restart"/>
            <w:tcBorders>
              <w:tl2br w:val="nil"/>
              <w:tr2bl w:val="nil"/>
            </w:tcBorders>
            <w:noWrap w:val="0"/>
            <w:vAlign w:val="center"/>
          </w:tcPr>
          <w:p w14:paraId="327CA609">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r>
              <w:rPr>
                <w:rFonts w:hint="default" w:ascii="Times New Roman" w:hAnsi="Times New Roman" w:eastAsia="宋体" w:cs="Times New Roman"/>
                <w:color w:val="auto"/>
                <w:sz w:val="21"/>
                <w:szCs w:val="21"/>
                <w:highlight w:val="none"/>
                <w:lang w:val="en-US" w:eastAsia="zh-CN"/>
              </w:rPr>
              <w:t>环境</w:t>
            </w:r>
          </w:p>
        </w:tc>
        <w:tc>
          <w:tcPr>
            <w:tcW w:w="1489" w:type="dxa"/>
            <w:tcBorders>
              <w:tl2br w:val="nil"/>
              <w:tr2bl w:val="nil"/>
            </w:tcBorders>
            <w:noWrap w:val="0"/>
            <w:vAlign w:val="center"/>
          </w:tcPr>
          <w:p w14:paraId="314CF487">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吹塑</w:t>
            </w:r>
            <w:r>
              <w:rPr>
                <w:rFonts w:hint="eastAsia" w:ascii="Times New Roman" w:hAnsi="Times New Roman" w:eastAsia="宋体" w:cs="Times New Roman"/>
                <w:color w:val="auto"/>
                <w:sz w:val="21"/>
                <w:szCs w:val="21"/>
                <w:highlight w:val="none"/>
                <w:lang w:val="en-US" w:eastAsia="zh-CN"/>
              </w:rPr>
              <w:t>工序</w:t>
            </w:r>
          </w:p>
        </w:tc>
        <w:tc>
          <w:tcPr>
            <w:tcW w:w="1479" w:type="dxa"/>
            <w:tcBorders>
              <w:tl2br w:val="nil"/>
              <w:tr2bl w:val="nil"/>
            </w:tcBorders>
            <w:noWrap w:val="0"/>
            <w:vAlign w:val="center"/>
          </w:tcPr>
          <w:p w14:paraId="64E2370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val="en-US" w:eastAsia="zh-CN"/>
              </w:rPr>
              <w:t>VOCs、</w:t>
            </w:r>
            <w:r>
              <w:rPr>
                <w:rFonts w:hint="eastAsia" w:eastAsia="宋体" w:cs="Times New Roman"/>
                <w:color w:val="auto"/>
                <w:sz w:val="21"/>
                <w:szCs w:val="21"/>
                <w:lang w:val="en-US" w:eastAsia="zh-CN"/>
              </w:rPr>
              <w:t>颗粒物、臭气浓度</w:t>
            </w:r>
          </w:p>
        </w:tc>
        <w:tc>
          <w:tcPr>
            <w:tcW w:w="2411" w:type="dxa"/>
            <w:tcBorders>
              <w:tl2br w:val="nil"/>
              <w:tr2bl w:val="nil"/>
            </w:tcBorders>
            <w:noWrap w:val="0"/>
            <w:vAlign w:val="center"/>
          </w:tcPr>
          <w:p w14:paraId="7F82A0FF">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分别经集气罩收集后进入过滤棉+二级活性炭吸附装置处理后通过1根15m高的排气筒（DA001）排放</w:t>
            </w:r>
          </w:p>
        </w:tc>
        <w:tc>
          <w:tcPr>
            <w:tcW w:w="2807" w:type="dxa"/>
            <w:tcBorders>
              <w:tl2br w:val="nil"/>
              <w:tr2bl w:val="nil"/>
            </w:tcBorders>
            <w:noWrap w:val="0"/>
            <w:vAlign w:val="center"/>
          </w:tcPr>
          <w:p w14:paraId="1B3217D5">
            <w:pPr>
              <w:pStyle w:val="19"/>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有组织</w:t>
            </w:r>
            <w:r>
              <w:rPr>
                <w:rFonts w:hint="default" w:ascii="Times New Roman" w:hAnsi="Times New Roman" w:eastAsia="宋体"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val="en-US" w:eastAsia="zh-CN"/>
              </w:rPr>
              <w:t>排放</w:t>
            </w:r>
            <w:r>
              <w:rPr>
                <w:rFonts w:hint="eastAsia" w:cs="Times New Roman"/>
                <w:color w:val="auto"/>
                <w:sz w:val="21"/>
                <w:szCs w:val="21"/>
                <w:highlight w:val="none"/>
                <w:lang w:val="en-US" w:eastAsia="zh-CN"/>
              </w:rPr>
              <w:t>能够满足</w:t>
            </w:r>
            <w:r>
              <w:rPr>
                <w:rFonts w:hint="default" w:ascii="Times New Roman" w:hAnsi="Times New Roman" w:eastAsia="宋体" w:cs="Times New Roman"/>
                <w:color w:val="auto"/>
                <w:sz w:val="21"/>
                <w:szCs w:val="21"/>
                <w:highlight w:val="none"/>
                <w:lang w:val="en-US" w:eastAsia="zh-CN"/>
              </w:rPr>
              <w:t>《区域性大气污染物综合排放标准》（DB37/2376-2</w:t>
            </w:r>
            <w:r>
              <w:rPr>
                <w:rFonts w:hint="eastAsia" w:cs="Times New Roman"/>
                <w:color w:val="auto"/>
                <w:sz w:val="21"/>
                <w:szCs w:val="21"/>
                <w:highlight w:val="none"/>
                <w:lang w:val="en-US" w:eastAsia="zh-CN"/>
              </w:rPr>
              <w:t>019）表1一般控制区</w:t>
            </w:r>
            <w:r>
              <w:rPr>
                <w:rFonts w:hint="default" w:ascii="Times New Roman" w:hAnsi="Times New Roman" w:eastAsia="宋体" w:cs="Times New Roman"/>
                <w:color w:val="auto"/>
                <w:sz w:val="21"/>
                <w:szCs w:val="21"/>
                <w:highlight w:val="none"/>
                <w:lang w:val="en-US" w:eastAsia="zh-CN"/>
              </w:rPr>
              <w:t>要求</w:t>
            </w:r>
            <w:r>
              <w:rPr>
                <w:rFonts w:hint="eastAsia" w:cs="Times New Roman"/>
                <w:color w:val="auto"/>
                <w:sz w:val="21"/>
                <w:szCs w:val="21"/>
                <w:highlight w:val="none"/>
                <w:lang w:val="en-US" w:eastAsia="zh-CN"/>
              </w:rPr>
              <w:t>，排放速率</w:t>
            </w:r>
            <w:r>
              <w:rPr>
                <w:rFonts w:hint="eastAsia" w:ascii="Times New Roman" w:hAnsi="Times New Roman" w:cs="Times New Roman"/>
                <w:color w:val="auto"/>
                <w:sz w:val="21"/>
                <w:szCs w:val="21"/>
                <w:highlight w:val="none"/>
                <w:lang w:val="en-US" w:eastAsia="zh-CN"/>
              </w:rPr>
              <w:t>参照执行</w:t>
            </w:r>
            <w:r>
              <w:rPr>
                <w:rFonts w:hint="default" w:ascii="Times New Roman" w:hAnsi="Times New Roman" w:eastAsia="宋体" w:cs="Times New Roman"/>
                <w:color w:val="auto"/>
                <w:sz w:val="21"/>
                <w:szCs w:val="21"/>
                <w:highlight w:val="none"/>
                <w:lang w:val="en-US" w:eastAsia="zh-CN"/>
              </w:rPr>
              <w:t>《大气污染物综合排放标准》</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GB16297-1996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表2二级标准要求</w:t>
            </w:r>
            <w:r>
              <w:rPr>
                <w:rFonts w:hint="eastAsia" w:ascii="Times New Roman" w:hAnsi="Times New Roman" w:eastAsia="宋体" w:cs="Times New Roman"/>
                <w:color w:val="auto"/>
                <w:sz w:val="21"/>
                <w:szCs w:val="21"/>
                <w:highlight w:val="none"/>
                <w:lang w:val="en-US" w:eastAsia="zh-CN"/>
              </w:rPr>
              <w:t>；有组织</w:t>
            </w:r>
            <w:r>
              <w:rPr>
                <w:rFonts w:hint="default" w:ascii="Times New Roman" w:hAnsi="Times New Roman" w:eastAsia="宋体" w:cs="Times New Roman"/>
                <w:b w:val="0"/>
                <w:bCs w:val="0"/>
                <w:color w:val="auto"/>
                <w:sz w:val="21"/>
                <w:szCs w:val="21"/>
                <w:highlight w:val="none"/>
                <w:lang w:val="en-US" w:eastAsia="zh-CN"/>
              </w:rPr>
              <w:t>VOCs排放</w:t>
            </w:r>
            <w:r>
              <w:rPr>
                <w:rFonts w:hint="eastAsia" w:cs="Times New Roman"/>
                <w:color w:val="auto"/>
                <w:sz w:val="21"/>
                <w:szCs w:val="21"/>
                <w:highlight w:val="none"/>
                <w:lang w:val="en-US" w:eastAsia="zh-CN"/>
              </w:rPr>
              <w:t>能够满足</w:t>
            </w:r>
            <w:r>
              <w:rPr>
                <w:rFonts w:hint="default" w:ascii="Times New Roman" w:hAnsi="Times New Roman" w:eastAsia="宋体" w:cs="Times New Roman"/>
                <w:b w:val="0"/>
                <w:bCs w:val="0"/>
                <w:color w:val="auto"/>
                <w:sz w:val="21"/>
                <w:szCs w:val="21"/>
                <w:highlight w:val="none"/>
                <w:lang w:val="en-US" w:eastAsia="zh-CN"/>
              </w:rPr>
              <w:t>《挥发性有机物排放标准 第6部分</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有机化工行业》（DB37/ 2801.6-2018）表1II时段标准要求</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其他行业</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和表2废气中有机特征污染物及排放限值要求</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有组织</w:t>
            </w:r>
            <w:r>
              <w:rPr>
                <w:rFonts w:hint="default" w:ascii="Times New Roman" w:hAnsi="Times New Roman" w:eastAsia="宋体" w:cs="Times New Roman"/>
                <w:color w:val="auto"/>
                <w:sz w:val="21"/>
                <w:szCs w:val="21"/>
                <w:highlight w:val="none"/>
                <w:lang w:val="en-US" w:eastAsia="zh-CN"/>
              </w:rPr>
              <w:t>臭气浓度</w:t>
            </w:r>
            <w:r>
              <w:rPr>
                <w:rFonts w:hint="eastAsia" w:ascii="Times New Roman" w:hAnsi="Times New Roman" w:eastAsia="宋体" w:cs="Times New Roman"/>
                <w:color w:val="auto"/>
                <w:sz w:val="21"/>
                <w:szCs w:val="21"/>
                <w:highlight w:val="none"/>
                <w:lang w:val="en-US" w:eastAsia="zh-CN"/>
              </w:rPr>
              <w:t>排</w:t>
            </w:r>
            <w:r>
              <w:rPr>
                <w:rFonts w:hint="eastAsia" w:cs="Times New Roman"/>
                <w:color w:val="auto"/>
                <w:sz w:val="21"/>
                <w:szCs w:val="21"/>
                <w:highlight w:val="none"/>
                <w:lang w:val="en-US" w:eastAsia="zh-CN"/>
              </w:rPr>
              <w:t>能够满足</w:t>
            </w:r>
            <w:r>
              <w:rPr>
                <w:rFonts w:hint="default" w:ascii="Times New Roman" w:hAnsi="Times New Roman" w:eastAsia="宋体" w:cs="Times New Roman"/>
                <w:b w:val="0"/>
                <w:bCs w:val="0"/>
                <w:color w:val="auto"/>
                <w:sz w:val="21"/>
                <w:szCs w:val="21"/>
                <w:highlight w:val="none"/>
                <w:lang w:val="en-US" w:eastAsia="zh-CN"/>
              </w:rPr>
              <w:t>《恶臭污染物排放标准》</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GB 14554-93</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表</w:t>
            </w: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标准</w:t>
            </w:r>
          </w:p>
        </w:tc>
      </w:tr>
      <w:tr w14:paraId="7B3CD4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158" w:hRule="atLeast"/>
          <w:jc w:val="center"/>
        </w:trPr>
        <w:tc>
          <w:tcPr>
            <w:tcW w:w="1253" w:type="dxa"/>
            <w:vMerge w:val="continue"/>
            <w:tcBorders>
              <w:tl2br w:val="nil"/>
              <w:tr2bl w:val="nil"/>
            </w:tcBorders>
            <w:noWrap w:val="0"/>
            <w:vAlign w:val="center"/>
          </w:tcPr>
          <w:p w14:paraId="121C35C6">
            <w:pPr>
              <w:snapToGrid w:val="0"/>
              <w:jc w:val="center"/>
              <w:rPr>
                <w:rFonts w:hint="default" w:ascii="Times New Roman" w:hAnsi="Times New Roman" w:eastAsia="宋体" w:cs="Times New Roman"/>
                <w:color w:val="auto"/>
                <w:sz w:val="21"/>
                <w:szCs w:val="21"/>
                <w:highlight w:val="none"/>
              </w:rPr>
            </w:pPr>
          </w:p>
        </w:tc>
        <w:tc>
          <w:tcPr>
            <w:tcW w:w="1489" w:type="dxa"/>
            <w:vMerge w:val="restart"/>
            <w:tcBorders>
              <w:tl2br w:val="nil"/>
              <w:tr2bl w:val="nil"/>
            </w:tcBorders>
            <w:noWrap w:val="0"/>
            <w:vAlign w:val="center"/>
          </w:tcPr>
          <w:p w14:paraId="45316B0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cs="Times New Roman"/>
                <w:color w:val="auto"/>
                <w:lang w:val="en-US" w:eastAsia="zh-CN"/>
              </w:rPr>
              <w:t>厂界</w:t>
            </w:r>
          </w:p>
        </w:tc>
        <w:tc>
          <w:tcPr>
            <w:tcW w:w="1479" w:type="dxa"/>
            <w:tcBorders>
              <w:tl2br w:val="nil"/>
              <w:tr2bl w:val="nil"/>
            </w:tcBorders>
            <w:noWrap w:val="0"/>
            <w:vAlign w:val="center"/>
          </w:tcPr>
          <w:p w14:paraId="5EF8338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VOCs</w:t>
            </w:r>
          </w:p>
        </w:tc>
        <w:tc>
          <w:tcPr>
            <w:tcW w:w="2411" w:type="dxa"/>
            <w:tcBorders>
              <w:tl2br w:val="nil"/>
              <w:tr2bl w:val="nil"/>
            </w:tcBorders>
            <w:noWrap w:val="0"/>
            <w:vAlign w:val="center"/>
          </w:tcPr>
          <w:p w14:paraId="2A3FB6EE">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lang w:val="en-US" w:eastAsia="zh-CN"/>
              </w:rPr>
              <w:t>加强设备密闭，提高收集效率</w:t>
            </w:r>
          </w:p>
        </w:tc>
        <w:tc>
          <w:tcPr>
            <w:tcW w:w="2807" w:type="dxa"/>
            <w:tcBorders>
              <w:tl2br w:val="nil"/>
              <w:tr2bl w:val="nil"/>
            </w:tcBorders>
            <w:noWrap w:val="0"/>
            <w:vAlign w:val="center"/>
          </w:tcPr>
          <w:p w14:paraId="2074E7D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lang w:val="en-US" w:eastAsia="zh-CN" w:bidi="ar-SA"/>
              </w:rPr>
              <w:t>满足</w:t>
            </w:r>
            <w:r>
              <w:rPr>
                <w:rFonts w:hint="eastAsia" w:ascii="Times New Roman" w:hAnsi="Times New Roman" w:eastAsia="宋体" w:cs="Times New Roman"/>
                <w:color w:val="auto"/>
                <w:kern w:val="2"/>
                <w:sz w:val="21"/>
                <w:szCs w:val="21"/>
                <w:lang w:val="en-US" w:eastAsia="zh-CN" w:bidi="ar-SA"/>
              </w:rPr>
              <w:t>《挥发性有机物排放标准第6部分：有机化工行业》（DB37/2801.6-2018）表3的要求</w:t>
            </w:r>
          </w:p>
        </w:tc>
      </w:tr>
      <w:tr w14:paraId="746EF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158" w:hRule="atLeast"/>
          <w:jc w:val="center"/>
        </w:trPr>
        <w:tc>
          <w:tcPr>
            <w:tcW w:w="1253" w:type="dxa"/>
            <w:vMerge w:val="continue"/>
            <w:tcBorders>
              <w:tl2br w:val="nil"/>
              <w:tr2bl w:val="nil"/>
            </w:tcBorders>
            <w:noWrap w:val="0"/>
            <w:vAlign w:val="center"/>
          </w:tcPr>
          <w:p w14:paraId="79FBBDAE">
            <w:pPr>
              <w:snapToGrid w:val="0"/>
              <w:jc w:val="center"/>
              <w:rPr>
                <w:rFonts w:hint="default" w:ascii="Times New Roman" w:hAnsi="Times New Roman" w:eastAsia="宋体" w:cs="Times New Roman"/>
                <w:color w:val="auto"/>
                <w:sz w:val="21"/>
                <w:szCs w:val="21"/>
                <w:highlight w:val="none"/>
              </w:rPr>
            </w:pPr>
          </w:p>
        </w:tc>
        <w:tc>
          <w:tcPr>
            <w:tcW w:w="1489" w:type="dxa"/>
            <w:vMerge w:val="continue"/>
            <w:tcBorders>
              <w:tl2br w:val="nil"/>
              <w:tr2bl w:val="nil"/>
            </w:tcBorders>
            <w:noWrap w:val="0"/>
            <w:vAlign w:val="center"/>
          </w:tcPr>
          <w:p w14:paraId="19C3A6E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lang w:val="en-US" w:eastAsia="zh-CN"/>
              </w:rPr>
            </w:pPr>
          </w:p>
        </w:tc>
        <w:tc>
          <w:tcPr>
            <w:tcW w:w="1479" w:type="dxa"/>
            <w:tcBorders>
              <w:tl2br w:val="nil"/>
              <w:tr2bl w:val="nil"/>
            </w:tcBorders>
            <w:shd w:val="clear" w:color="auto" w:fill="auto"/>
            <w:noWrap w:val="0"/>
            <w:vAlign w:val="center"/>
          </w:tcPr>
          <w:p w14:paraId="253F25E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颗粒物</w:t>
            </w:r>
          </w:p>
        </w:tc>
        <w:tc>
          <w:tcPr>
            <w:tcW w:w="2411" w:type="dxa"/>
            <w:tcBorders>
              <w:tl2br w:val="nil"/>
              <w:tr2bl w:val="nil"/>
            </w:tcBorders>
            <w:shd w:val="clear" w:color="auto" w:fill="auto"/>
            <w:noWrap w:val="0"/>
            <w:vAlign w:val="center"/>
          </w:tcPr>
          <w:p w14:paraId="3A275519">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加强设备密闭，提高收集效率</w:t>
            </w:r>
          </w:p>
        </w:tc>
        <w:tc>
          <w:tcPr>
            <w:tcW w:w="2807" w:type="dxa"/>
            <w:tcBorders>
              <w:tl2br w:val="nil"/>
              <w:tr2bl w:val="nil"/>
            </w:tcBorders>
            <w:shd w:val="clear" w:color="auto" w:fill="auto"/>
            <w:noWrap w:val="0"/>
            <w:vAlign w:val="center"/>
          </w:tcPr>
          <w:p w14:paraId="2D224E2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lang w:val="en-US" w:eastAsia="zh-CN" w:bidi="ar-SA"/>
              </w:rPr>
              <w:t>满足</w:t>
            </w:r>
            <w:r>
              <w:rPr>
                <w:rFonts w:hint="eastAsia" w:ascii="Times New Roman" w:hAnsi="Times New Roman" w:eastAsia="宋体" w:cs="Times New Roman"/>
                <w:color w:val="auto"/>
                <w:kern w:val="2"/>
                <w:sz w:val="21"/>
                <w:szCs w:val="21"/>
                <w:lang w:val="en-US" w:eastAsia="zh-CN" w:bidi="ar-SA"/>
              </w:rPr>
              <w:t>《大气污染物综合排放标准》（GB16297-1996）表2厂界无组织排放监控浓度限值要求</w:t>
            </w:r>
          </w:p>
        </w:tc>
      </w:tr>
      <w:tr w14:paraId="73F7D3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169" w:hRule="atLeast"/>
          <w:jc w:val="center"/>
        </w:trPr>
        <w:tc>
          <w:tcPr>
            <w:tcW w:w="1253" w:type="dxa"/>
            <w:vMerge w:val="continue"/>
            <w:tcBorders>
              <w:tl2br w:val="nil"/>
              <w:tr2bl w:val="nil"/>
            </w:tcBorders>
            <w:noWrap w:val="0"/>
            <w:vAlign w:val="center"/>
          </w:tcPr>
          <w:p w14:paraId="48899023">
            <w:pPr>
              <w:snapToGrid w:val="0"/>
              <w:jc w:val="center"/>
              <w:rPr>
                <w:rFonts w:hint="default" w:ascii="Times New Roman" w:hAnsi="Times New Roman" w:eastAsia="宋体" w:cs="Times New Roman"/>
                <w:color w:val="auto"/>
                <w:sz w:val="21"/>
                <w:szCs w:val="21"/>
                <w:highlight w:val="none"/>
              </w:rPr>
            </w:pPr>
          </w:p>
        </w:tc>
        <w:tc>
          <w:tcPr>
            <w:tcW w:w="1489" w:type="dxa"/>
            <w:vMerge w:val="continue"/>
            <w:tcBorders>
              <w:tl2br w:val="nil"/>
              <w:tr2bl w:val="nil"/>
            </w:tcBorders>
            <w:noWrap w:val="0"/>
            <w:vAlign w:val="center"/>
          </w:tcPr>
          <w:p w14:paraId="2A020A3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highlight w:val="none"/>
                <w:lang w:val="en-US" w:eastAsia="zh-CN"/>
              </w:rPr>
            </w:pPr>
          </w:p>
        </w:tc>
        <w:tc>
          <w:tcPr>
            <w:tcW w:w="1479" w:type="dxa"/>
            <w:tcBorders>
              <w:tl2br w:val="nil"/>
              <w:tr2bl w:val="nil"/>
            </w:tcBorders>
            <w:noWrap w:val="0"/>
            <w:vAlign w:val="center"/>
          </w:tcPr>
          <w:p w14:paraId="4AE46F2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2411" w:type="dxa"/>
            <w:tcBorders>
              <w:tl2br w:val="nil"/>
              <w:tr2bl w:val="nil"/>
            </w:tcBorders>
            <w:noWrap w:val="0"/>
            <w:vAlign w:val="center"/>
          </w:tcPr>
          <w:p w14:paraId="27B5D7A7">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lang w:val="en-US" w:eastAsia="zh-CN"/>
              </w:rPr>
              <w:t>加强设备密闭，提高收集效率</w:t>
            </w:r>
          </w:p>
        </w:tc>
        <w:tc>
          <w:tcPr>
            <w:tcW w:w="2807" w:type="dxa"/>
            <w:tcBorders>
              <w:tl2br w:val="nil"/>
              <w:tr2bl w:val="nil"/>
            </w:tcBorders>
            <w:noWrap w:val="0"/>
            <w:vAlign w:val="center"/>
          </w:tcPr>
          <w:p w14:paraId="70D3678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lang w:val="en-US" w:eastAsia="zh-CN" w:bidi="ar-SA"/>
              </w:rPr>
              <w:t>满足《恶臭污染物排放标准》（GB14554-93）表1标准</w:t>
            </w:r>
            <w:r>
              <w:rPr>
                <w:rFonts w:hint="eastAsia" w:ascii="Times New Roman" w:hAnsi="Times New Roman" w:eastAsia="宋体" w:cs="Times New Roman"/>
                <w:color w:val="auto"/>
                <w:kern w:val="2"/>
                <w:sz w:val="21"/>
                <w:szCs w:val="21"/>
                <w:lang w:val="en-US" w:eastAsia="zh-CN" w:bidi="ar-SA"/>
              </w:rPr>
              <w:t>要求</w:t>
            </w:r>
          </w:p>
        </w:tc>
      </w:tr>
      <w:tr w14:paraId="11C03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82" w:hRule="atLeast"/>
          <w:jc w:val="center"/>
        </w:trPr>
        <w:tc>
          <w:tcPr>
            <w:tcW w:w="1253" w:type="dxa"/>
            <w:vMerge w:val="continue"/>
            <w:tcBorders>
              <w:tl2br w:val="nil"/>
              <w:tr2bl w:val="nil"/>
            </w:tcBorders>
            <w:noWrap w:val="0"/>
            <w:vAlign w:val="center"/>
          </w:tcPr>
          <w:p w14:paraId="7CD47DF0">
            <w:pPr>
              <w:snapToGrid w:val="0"/>
              <w:jc w:val="center"/>
              <w:rPr>
                <w:rFonts w:hint="default" w:ascii="Times New Roman" w:hAnsi="Times New Roman" w:eastAsia="宋体" w:cs="Times New Roman"/>
                <w:color w:val="auto"/>
                <w:sz w:val="21"/>
                <w:szCs w:val="21"/>
                <w:highlight w:val="none"/>
              </w:rPr>
            </w:pPr>
          </w:p>
        </w:tc>
        <w:tc>
          <w:tcPr>
            <w:tcW w:w="1489" w:type="dxa"/>
            <w:tcBorders>
              <w:tl2br w:val="nil"/>
              <w:tr2bl w:val="nil"/>
            </w:tcBorders>
            <w:noWrap w:val="0"/>
            <w:vAlign w:val="center"/>
          </w:tcPr>
          <w:p w14:paraId="1D00E33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cs="Times New Roman"/>
                <w:color w:val="auto"/>
                <w:lang w:val="en-US" w:eastAsia="zh-CN"/>
              </w:rPr>
              <w:t>厂内</w:t>
            </w:r>
          </w:p>
        </w:tc>
        <w:tc>
          <w:tcPr>
            <w:tcW w:w="1479" w:type="dxa"/>
            <w:tcBorders>
              <w:tl2br w:val="nil"/>
              <w:tr2bl w:val="nil"/>
            </w:tcBorders>
            <w:noWrap w:val="0"/>
            <w:vAlign w:val="center"/>
          </w:tcPr>
          <w:p w14:paraId="0315363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VOCs</w:t>
            </w:r>
          </w:p>
        </w:tc>
        <w:tc>
          <w:tcPr>
            <w:tcW w:w="2411" w:type="dxa"/>
            <w:tcBorders>
              <w:tl2br w:val="nil"/>
              <w:tr2bl w:val="nil"/>
            </w:tcBorders>
            <w:noWrap w:val="0"/>
            <w:vAlign w:val="center"/>
          </w:tcPr>
          <w:p w14:paraId="2243D308">
            <w:pPr>
              <w:adjustRightInd w:val="0"/>
              <w:snapToGrid w:val="0"/>
              <w:jc w:val="center"/>
              <w:rPr>
                <w:rFonts w:hint="eastAsia"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通风</w:t>
            </w:r>
          </w:p>
        </w:tc>
        <w:tc>
          <w:tcPr>
            <w:tcW w:w="2807" w:type="dxa"/>
            <w:tcBorders>
              <w:tl2br w:val="nil"/>
              <w:tr2bl w:val="nil"/>
            </w:tcBorders>
            <w:noWrap w:val="0"/>
            <w:vAlign w:val="center"/>
          </w:tcPr>
          <w:p w14:paraId="79AD8C6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《挥发性有机物无组织排放控制标准》（GB 37822-2019）表A.1特别排放</w:t>
            </w:r>
            <w:r>
              <w:rPr>
                <w:rFonts w:hint="eastAsia" w:cs="Times New Roman"/>
                <w:color w:val="auto"/>
                <w:sz w:val="21"/>
                <w:szCs w:val="21"/>
                <w:lang w:val="en-US" w:eastAsia="zh-CN"/>
              </w:rPr>
              <w:t>限值</w:t>
            </w:r>
          </w:p>
        </w:tc>
      </w:tr>
      <w:tr w14:paraId="13858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37EE3869">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w:t>
            </w:r>
          </w:p>
        </w:tc>
        <w:tc>
          <w:tcPr>
            <w:tcW w:w="1489" w:type="dxa"/>
            <w:tcBorders>
              <w:tl2br w:val="nil"/>
              <w:tr2bl w:val="nil"/>
            </w:tcBorders>
            <w:noWrap w:val="0"/>
            <w:vAlign w:val="center"/>
          </w:tcPr>
          <w:p w14:paraId="5D23ACC7">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生活污水</w:t>
            </w:r>
          </w:p>
        </w:tc>
        <w:tc>
          <w:tcPr>
            <w:tcW w:w="1479" w:type="dxa"/>
            <w:tcBorders>
              <w:tl2br w:val="nil"/>
              <w:tr2bl w:val="nil"/>
            </w:tcBorders>
            <w:noWrap w:val="0"/>
            <w:vAlign w:val="center"/>
          </w:tcPr>
          <w:p w14:paraId="7BFEDC6E">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pH、CODcr、</w:t>
            </w:r>
          </w:p>
          <w:p w14:paraId="7F41DB67">
            <w:pPr>
              <w:autoSpaceDE w:val="0"/>
              <w:autoSpaceDN w:val="0"/>
              <w:adjustRightInd w:val="0"/>
              <w:snapToGrid w:val="0"/>
              <w:jc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氨氮、BOD</w:t>
            </w:r>
            <w:r>
              <w:rPr>
                <w:rFonts w:hint="eastAsia" w:cs="Times New Roman"/>
                <w:b w:val="0"/>
                <w:bCs w:val="0"/>
                <w:color w:val="auto"/>
                <w:sz w:val="21"/>
                <w:szCs w:val="21"/>
                <w:highlight w:val="none"/>
                <w:vertAlign w:val="subscript"/>
                <w:lang w:val="en-US" w:eastAsia="zh-CN"/>
              </w:rPr>
              <w:t>5</w:t>
            </w:r>
          </w:p>
          <w:p w14:paraId="2E6E91F2">
            <w:pPr>
              <w:autoSpaceDE w:val="0"/>
              <w:autoSpaceDN w:val="0"/>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、SS、总氮、总磷等</w:t>
            </w:r>
          </w:p>
        </w:tc>
        <w:tc>
          <w:tcPr>
            <w:tcW w:w="2411" w:type="dxa"/>
            <w:tcBorders>
              <w:tl2br w:val="nil"/>
              <w:tr2bl w:val="nil"/>
            </w:tcBorders>
            <w:noWrap w:val="0"/>
            <w:vAlign w:val="center"/>
          </w:tcPr>
          <w:p w14:paraId="51BBCFE9">
            <w:pPr>
              <w:keepNext w:val="0"/>
              <w:keepLines w:val="0"/>
              <w:pageBreakBefore w:val="0"/>
              <w:kinsoku/>
              <w:wordWrap/>
              <w:overflowPunct/>
              <w:topLinePunct w:val="0"/>
              <w:bidi w:val="0"/>
              <w:adjustRightInd w:val="0"/>
              <w:snapToGrid w:val="0"/>
              <w:spacing w:line="240" w:lineRule="auto"/>
              <w:ind w:firstLine="210" w:firstLineChars="10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委托环卫部门定期清运，不外排</w:t>
            </w:r>
          </w:p>
        </w:tc>
        <w:tc>
          <w:tcPr>
            <w:tcW w:w="2807" w:type="dxa"/>
            <w:tcBorders>
              <w:tl2br w:val="nil"/>
              <w:tr2bl w:val="nil"/>
            </w:tcBorders>
            <w:noWrap w:val="0"/>
            <w:vAlign w:val="center"/>
          </w:tcPr>
          <w:p w14:paraId="49683DC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r w14:paraId="17528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51DFA26B">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声环境</w:t>
            </w:r>
          </w:p>
        </w:tc>
        <w:tc>
          <w:tcPr>
            <w:tcW w:w="1489" w:type="dxa"/>
            <w:tcBorders>
              <w:tl2br w:val="nil"/>
              <w:tr2bl w:val="nil"/>
            </w:tcBorders>
            <w:noWrap w:val="0"/>
            <w:vAlign w:val="center"/>
          </w:tcPr>
          <w:p w14:paraId="4BDBBED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rPr>
              <w:t>机械设备</w:t>
            </w:r>
          </w:p>
        </w:tc>
        <w:tc>
          <w:tcPr>
            <w:tcW w:w="1479" w:type="dxa"/>
            <w:tcBorders>
              <w:tl2br w:val="nil"/>
              <w:tr2bl w:val="nil"/>
            </w:tcBorders>
            <w:noWrap w:val="0"/>
            <w:vAlign w:val="center"/>
          </w:tcPr>
          <w:p w14:paraId="02514BD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噪声</w:t>
            </w:r>
          </w:p>
        </w:tc>
        <w:tc>
          <w:tcPr>
            <w:tcW w:w="2411" w:type="dxa"/>
            <w:tcBorders>
              <w:tl2br w:val="nil"/>
              <w:tr2bl w:val="nil"/>
            </w:tcBorders>
            <w:noWrap w:val="0"/>
            <w:vAlign w:val="center"/>
          </w:tcPr>
          <w:p w14:paraId="73B548E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vertAlign w:val="baseline"/>
                <w:lang w:val="en-US" w:eastAsia="zh-CN"/>
              </w:rPr>
              <w:t>减震、隔声等措施</w:t>
            </w:r>
          </w:p>
        </w:tc>
        <w:tc>
          <w:tcPr>
            <w:tcW w:w="2807" w:type="dxa"/>
            <w:tcBorders>
              <w:tl2br w:val="nil"/>
              <w:tr2bl w:val="nil"/>
            </w:tcBorders>
            <w:noWrap w:val="0"/>
            <w:vAlign w:val="center"/>
          </w:tcPr>
          <w:p w14:paraId="7A2D928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eastAsia" w:cs="Times New Roman"/>
                <w:color w:val="auto"/>
                <w:sz w:val="21"/>
                <w:szCs w:val="21"/>
                <w:highlight w:val="none"/>
                <w:lang w:val="en-US" w:eastAsia="zh-CN"/>
              </w:rPr>
              <w:t>2类</w:t>
            </w:r>
            <w:r>
              <w:rPr>
                <w:rFonts w:hint="default" w:ascii="Times New Roman" w:hAnsi="Times New Roman" w:eastAsia="宋体" w:cs="Times New Roman"/>
                <w:color w:val="auto"/>
                <w:sz w:val="21"/>
                <w:szCs w:val="21"/>
                <w:highlight w:val="none"/>
              </w:rPr>
              <w:t>标准</w:t>
            </w:r>
          </w:p>
        </w:tc>
      </w:tr>
      <w:tr w14:paraId="23C545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67D02F3A">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电磁辐射</w:t>
            </w:r>
          </w:p>
        </w:tc>
        <w:tc>
          <w:tcPr>
            <w:tcW w:w="1489" w:type="dxa"/>
            <w:tcBorders>
              <w:tl2br w:val="nil"/>
              <w:tr2bl w:val="nil"/>
            </w:tcBorders>
            <w:noWrap w:val="0"/>
            <w:vAlign w:val="center"/>
          </w:tcPr>
          <w:p w14:paraId="52C9158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无</w:t>
            </w:r>
          </w:p>
        </w:tc>
        <w:tc>
          <w:tcPr>
            <w:tcW w:w="1479" w:type="dxa"/>
            <w:tcBorders>
              <w:tl2br w:val="nil"/>
              <w:tr2bl w:val="nil"/>
            </w:tcBorders>
            <w:noWrap w:val="0"/>
            <w:vAlign w:val="center"/>
          </w:tcPr>
          <w:p w14:paraId="1063D5A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2411" w:type="dxa"/>
            <w:tcBorders>
              <w:tl2br w:val="nil"/>
              <w:tr2bl w:val="nil"/>
            </w:tcBorders>
            <w:noWrap w:val="0"/>
            <w:vAlign w:val="center"/>
          </w:tcPr>
          <w:p w14:paraId="4EB0CE2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2807" w:type="dxa"/>
            <w:tcBorders>
              <w:tl2br w:val="nil"/>
              <w:tr2bl w:val="nil"/>
            </w:tcBorders>
            <w:noWrap w:val="0"/>
            <w:vAlign w:val="center"/>
          </w:tcPr>
          <w:p w14:paraId="3EB2629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4E567B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restart"/>
            <w:tcBorders>
              <w:tl2br w:val="nil"/>
              <w:tr2bl w:val="nil"/>
            </w:tcBorders>
            <w:noWrap w:val="0"/>
            <w:vAlign w:val="center"/>
          </w:tcPr>
          <w:p w14:paraId="7CA67AB4">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1489" w:type="dxa"/>
            <w:tcBorders>
              <w:tl2br w:val="nil"/>
              <w:tr2bl w:val="nil"/>
            </w:tcBorders>
            <w:noWrap w:val="0"/>
            <w:vAlign w:val="center"/>
          </w:tcPr>
          <w:p w14:paraId="798F23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废气处理</w:t>
            </w:r>
          </w:p>
        </w:tc>
        <w:tc>
          <w:tcPr>
            <w:tcW w:w="1479" w:type="dxa"/>
            <w:tcBorders>
              <w:tl2br w:val="nil"/>
              <w:tr2bl w:val="nil"/>
            </w:tcBorders>
            <w:noWrap w:val="0"/>
            <w:vAlign w:val="center"/>
          </w:tcPr>
          <w:p w14:paraId="75AA89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塑料下脚料</w:t>
            </w:r>
          </w:p>
        </w:tc>
        <w:tc>
          <w:tcPr>
            <w:tcW w:w="2411" w:type="dxa"/>
            <w:tcBorders>
              <w:tl2br w:val="nil"/>
              <w:tr2bl w:val="nil"/>
            </w:tcBorders>
            <w:noWrap w:val="0"/>
            <w:vAlign w:val="center"/>
          </w:tcPr>
          <w:p w14:paraId="59C1738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粉碎后回用于生产</w:t>
            </w:r>
          </w:p>
        </w:tc>
        <w:tc>
          <w:tcPr>
            <w:tcW w:w="2807" w:type="dxa"/>
            <w:vMerge w:val="restart"/>
            <w:tcBorders>
              <w:tl2br w:val="nil"/>
              <w:tr2bl w:val="nil"/>
            </w:tcBorders>
            <w:noWrap w:val="0"/>
            <w:vAlign w:val="center"/>
          </w:tcPr>
          <w:p w14:paraId="3ED5904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一般工业固体废物执行《中华人民共和国固体废物污染环境防治法》</w:t>
            </w:r>
            <w:r>
              <w:rPr>
                <w:rFonts w:hint="default" w:ascii="Times New Roman" w:hAnsi="Times New Roman" w:eastAsia="宋体" w:cs="Times New Roman"/>
                <w:color w:val="auto"/>
                <w:sz w:val="21"/>
                <w:szCs w:val="21"/>
                <w:highlight w:val="none"/>
              </w:rPr>
              <w:t>中关于一般工业固体废物贮存相关要求</w:t>
            </w:r>
            <w:r>
              <w:rPr>
                <w:rFonts w:hint="eastAsia" w:ascii="宋体" w:hAnsi="宋体" w:eastAsia="宋体" w:cs="宋体"/>
                <w:color w:val="auto"/>
                <w:kern w:val="0"/>
                <w:sz w:val="21"/>
                <w:szCs w:val="21"/>
                <w:highlight w:val="none"/>
                <w:lang w:val="en-US" w:eastAsia="zh-CN" w:bidi="ar"/>
              </w:rPr>
              <w:t>，参照执行</w:t>
            </w:r>
            <w:r>
              <w:rPr>
                <w:rFonts w:hint="default" w:ascii="Times New Roman" w:hAnsi="Times New Roman" w:eastAsia="宋体" w:cs="Times New Roman"/>
                <w:color w:val="auto"/>
                <w:sz w:val="21"/>
                <w:szCs w:val="21"/>
                <w:highlight w:val="none"/>
                <w:lang w:val="zh-CN"/>
              </w:rPr>
              <w:t>《一般工业固体废物贮存和填埋污染控制标准》（GB18599-20</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zh-CN"/>
              </w:rPr>
              <w:t>）</w:t>
            </w:r>
          </w:p>
        </w:tc>
      </w:tr>
      <w:tr w14:paraId="24C3B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continue"/>
            <w:tcBorders>
              <w:tl2br w:val="nil"/>
              <w:tr2bl w:val="nil"/>
            </w:tcBorders>
            <w:noWrap w:val="0"/>
            <w:vAlign w:val="center"/>
          </w:tcPr>
          <w:p w14:paraId="693DA095">
            <w:pPr>
              <w:snapToGrid w:val="0"/>
              <w:jc w:val="center"/>
              <w:rPr>
                <w:rFonts w:hint="default" w:ascii="Times New Roman" w:hAnsi="Times New Roman" w:eastAsia="宋体" w:cs="Times New Roman"/>
                <w:color w:val="auto"/>
                <w:sz w:val="21"/>
                <w:szCs w:val="21"/>
                <w:highlight w:val="none"/>
                <w:lang w:val="en-US" w:eastAsia="zh-CN"/>
              </w:rPr>
            </w:pPr>
          </w:p>
        </w:tc>
        <w:tc>
          <w:tcPr>
            <w:tcW w:w="1489" w:type="dxa"/>
            <w:tcBorders>
              <w:tl2br w:val="nil"/>
              <w:tr2bl w:val="nil"/>
            </w:tcBorders>
            <w:noWrap w:val="0"/>
            <w:vAlign w:val="center"/>
          </w:tcPr>
          <w:p w14:paraId="63EE03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废气处理</w:t>
            </w:r>
          </w:p>
        </w:tc>
        <w:tc>
          <w:tcPr>
            <w:tcW w:w="1479" w:type="dxa"/>
            <w:tcBorders>
              <w:bottom w:val="single" w:color="000000" w:sz="2" w:space="0"/>
              <w:tl2br w:val="nil"/>
              <w:tr2bl w:val="nil"/>
            </w:tcBorders>
            <w:noWrap w:val="0"/>
            <w:vAlign w:val="center"/>
          </w:tcPr>
          <w:p w14:paraId="6BB516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一般废旧包装材料</w:t>
            </w:r>
          </w:p>
        </w:tc>
        <w:tc>
          <w:tcPr>
            <w:tcW w:w="2411" w:type="dxa"/>
            <w:tcBorders>
              <w:tl2br w:val="nil"/>
              <w:tr2bl w:val="nil"/>
            </w:tcBorders>
            <w:noWrap w:val="0"/>
            <w:vAlign w:val="center"/>
          </w:tcPr>
          <w:p w14:paraId="6B375D8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外售具有相应处理能力或经营范围的单位利用或处置</w:t>
            </w:r>
          </w:p>
        </w:tc>
        <w:tc>
          <w:tcPr>
            <w:tcW w:w="2807" w:type="dxa"/>
            <w:vMerge w:val="continue"/>
            <w:tcBorders>
              <w:tl2br w:val="nil"/>
              <w:tr2bl w:val="nil"/>
            </w:tcBorders>
            <w:noWrap w:val="0"/>
            <w:vAlign w:val="center"/>
          </w:tcPr>
          <w:p w14:paraId="2B2B7671">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974B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continue"/>
            <w:tcBorders>
              <w:tl2br w:val="nil"/>
              <w:tr2bl w:val="nil"/>
            </w:tcBorders>
            <w:noWrap w:val="0"/>
            <w:vAlign w:val="center"/>
          </w:tcPr>
          <w:p w14:paraId="1D7FF775">
            <w:pPr>
              <w:snapToGrid w:val="0"/>
              <w:jc w:val="center"/>
              <w:rPr>
                <w:rFonts w:hint="default" w:ascii="Times New Roman" w:hAnsi="Times New Roman" w:eastAsia="宋体" w:cs="Times New Roman"/>
                <w:color w:val="auto"/>
                <w:sz w:val="21"/>
                <w:szCs w:val="21"/>
                <w:highlight w:val="none"/>
                <w:lang w:val="en-US" w:eastAsia="zh-CN"/>
              </w:rPr>
            </w:pPr>
          </w:p>
        </w:tc>
        <w:tc>
          <w:tcPr>
            <w:tcW w:w="1489" w:type="dxa"/>
            <w:vMerge w:val="restart"/>
            <w:tcBorders>
              <w:tl2br w:val="nil"/>
              <w:tr2bl w:val="nil"/>
            </w:tcBorders>
            <w:noWrap w:val="0"/>
            <w:vAlign w:val="center"/>
          </w:tcPr>
          <w:p w14:paraId="211991E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废气处理装置</w:t>
            </w:r>
          </w:p>
        </w:tc>
        <w:tc>
          <w:tcPr>
            <w:tcW w:w="1479" w:type="dxa"/>
            <w:tcBorders>
              <w:tl2br w:val="nil"/>
              <w:tr2bl w:val="nil"/>
            </w:tcBorders>
            <w:noWrap w:val="0"/>
            <w:vAlign w:val="center"/>
          </w:tcPr>
          <w:p w14:paraId="5F7F4903">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废活性炭</w:t>
            </w:r>
          </w:p>
        </w:tc>
        <w:tc>
          <w:tcPr>
            <w:tcW w:w="2411" w:type="dxa"/>
            <w:vMerge w:val="restart"/>
            <w:tcBorders>
              <w:tl2br w:val="nil"/>
              <w:tr2bl w:val="nil"/>
            </w:tcBorders>
            <w:noWrap w:val="0"/>
            <w:vAlign w:val="center"/>
          </w:tcPr>
          <w:p w14:paraId="39F9031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分类暂存于危废暂存间，委托有资质单位进行处置</w:t>
            </w:r>
          </w:p>
        </w:tc>
        <w:tc>
          <w:tcPr>
            <w:tcW w:w="2807" w:type="dxa"/>
            <w:vMerge w:val="restart"/>
            <w:tcBorders>
              <w:tl2br w:val="nil"/>
              <w:tr2bl w:val="nil"/>
            </w:tcBorders>
            <w:noWrap w:val="0"/>
            <w:vAlign w:val="center"/>
          </w:tcPr>
          <w:p w14:paraId="16C7889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rPr>
              <w:t>《危险废物贮存污染控制标准》（GB18597-2023）</w:t>
            </w:r>
          </w:p>
        </w:tc>
      </w:tr>
      <w:tr w14:paraId="77665B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continue"/>
            <w:tcBorders>
              <w:tl2br w:val="nil"/>
              <w:tr2bl w:val="nil"/>
            </w:tcBorders>
            <w:noWrap w:val="0"/>
            <w:vAlign w:val="center"/>
          </w:tcPr>
          <w:p w14:paraId="492319C5">
            <w:pPr>
              <w:snapToGrid w:val="0"/>
              <w:jc w:val="center"/>
              <w:rPr>
                <w:rFonts w:hint="default" w:ascii="Times New Roman" w:hAnsi="Times New Roman" w:eastAsia="宋体" w:cs="Times New Roman"/>
                <w:color w:val="auto"/>
                <w:sz w:val="21"/>
                <w:szCs w:val="21"/>
                <w:highlight w:val="none"/>
                <w:lang w:val="en-US" w:eastAsia="zh-CN"/>
              </w:rPr>
            </w:pPr>
          </w:p>
        </w:tc>
        <w:tc>
          <w:tcPr>
            <w:tcW w:w="1489" w:type="dxa"/>
            <w:vMerge w:val="continue"/>
            <w:tcBorders>
              <w:tl2br w:val="nil"/>
              <w:tr2bl w:val="nil"/>
            </w:tcBorders>
            <w:noWrap w:val="0"/>
            <w:vAlign w:val="center"/>
          </w:tcPr>
          <w:p w14:paraId="1BC49B6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479" w:type="dxa"/>
            <w:tcBorders>
              <w:tl2br w:val="nil"/>
              <w:tr2bl w:val="nil"/>
            </w:tcBorders>
            <w:noWrap w:val="0"/>
            <w:vAlign w:val="center"/>
          </w:tcPr>
          <w:p w14:paraId="39D6A13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废过滤棉</w:t>
            </w:r>
          </w:p>
        </w:tc>
        <w:tc>
          <w:tcPr>
            <w:tcW w:w="2411" w:type="dxa"/>
            <w:vMerge w:val="continue"/>
            <w:tcBorders>
              <w:tl2br w:val="nil"/>
              <w:tr2bl w:val="nil"/>
            </w:tcBorders>
            <w:noWrap w:val="0"/>
            <w:vAlign w:val="center"/>
          </w:tcPr>
          <w:p w14:paraId="32EF7B78">
            <w:pPr>
              <w:adjustRightInd w:val="0"/>
              <w:snapToGrid w:val="0"/>
              <w:jc w:val="center"/>
              <w:rPr>
                <w:rFonts w:hint="eastAsia" w:cs="Times New Roman"/>
                <w:color w:val="auto"/>
                <w:sz w:val="21"/>
                <w:szCs w:val="21"/>
                <w:highlight w:val="none"/>
                <w:lang w:val="en-US" w:eastAsia="zh-CN"/>
              </w:rPr>
            </w:pPr>
          </w:p>
        </w:tc>
        <w:tc>
          <w:tcPr>
            <w:tcW w:w="2807" w:type="dxa"/>
            <w:vMerge w:val="continue"/>
            <w:tcBorders>
              <w:tl2br w:val="nil"/>
              <w:tr2bl w:val="nil"/>
            </w:tcBorders>
            <w:noWrap w:val="0"/>
            <w:vAlign w:val="center"/>
          </w:tcPr>
          <w:p w14:paraId="06B10E48">
            <w:pPr>
              <w:adjustRightInd w:val="0"/>
              <w:snapToGrid w:val="0"/>
              <w:jc w:val="center"/>
              <w:rPr>
                <w:rFonts w:hint="default" w:ascii="Times New Roman" w:hAnsi="Times New Roman" w:eastAsia="宋体" w:cs="Times New Roman"/>
                <w:snapToGrid w:val="0"/>
                <w:color w:val="auto"/>
                <w:kern w:val="21"/>
                <w:sz w:val="21"/>
                <w:szCs w:val="21"/>
                <w:highlight w:val="none"/>
              </w:rPr>
            </w:pPr>
          </w:p>
        </w:tc>
      </w:tr>
      <w:tr w14:paraId="119D5F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continue"/>
            <w:tcBorders>
              <w:tl2br w:val="nil"/>
              <w:tr2bl w:val="nil"/>
            </w:tcBorders>
            <w:noWrap w:val="0"/>
            <w:vAlign w:val="center"/>
          </w:tcPr>
          <w:p w14:paraId="0D32C63C">
            <w:pPr>
              <w:adjustRightInd w:val="0"/>
              <w:snapToGrid w:val="0"/>
              <w:jc w:val="center"/>
              <w:rPr>
                <w:color w:val="auto"/>
                <w:highlight w:val="none"/>
              </w:rPr>
            </w:pPr>
          </w:p>
        </w:tc>
        <w:tc>
          <w:tcPr>
            <w:tcW w:w="1489" w:type="dxa"/>
            <w:vMerge w:val="restart"/>
            <w:tcBorders>
              <w:tl2br w:val="nil"/>
              <w:tr2bl w:val="nil"/>
            </w:tcBorders>
            <w:noWrap w:val="0"/>
            <w:vAlign w:val="center"/>
          </w:tcPr>
          <w:p w14:paraId="5A2CEBD2">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设备维修</w:t>
            </w:r>
          </w:p>
        </w:tc>
        <w:tc>
          <w:tcPr>
            <w:tcW w:w="1479" w:type="dxa"/>
            <w:tcBorders>
              <w:tl2br w:val="nil"/>
              <w:tr2bl w:val="nil"/>
            </w:tcBorders>
            <w:noWrap w:val="0"/>
            <w:vAlign w:val="center"/>
          </w:tcPr>
          <w:p w14:paraId="6202E3F8">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w:t>
            </w:r>
            <w:r>
              <w:rPr>
                <w:rFonts w:hint="eastAsia" w:cs="Times New Roman"/>
                <w:color w:val="auto"/>
                <w:sz w:val="21"/>
                <w:szCs w:val="21"/>
                <w:highlight w:val="none"/>
                <w:lang w:val="en-US" w:eastAsia="zh-CN"/>
              </w:rPr>
              <w:t>矿物</w:t>
            </w:r>
            <w:r>
              <w:rPr>
                <w:rFonts w:hint="default" w:ascii="Times New Roman" w:hAnsi="Times New Roman" w:cs="Times New Roman"/>
                <w:color w:val="auto"/>
                <w:sz w:val="21"/>
                <w:szCs w:val="21"/>
                <w:highlight w:val="none"/>
                <w:lang w:val="en-US" w:eastAsia="zh-CN"/>
              </w:rPr>
              <w:t>油</w:t>
            </w:r>
          </w:p>
        </w:tc>
        <w:tc>
          <w:tcPr>
            <w:tcW w:w="2411" w:type="dxa"/>
            <w:vMerge w:val="continue"/>
            <w:tcBorders>
              <w:tl2br w:val="nil"/>
              <w:tr2bl w:val="nil"/>
            </w:tcBorders>
            <w:noWrap w:val="0"/>
            <w:vAlign w:val="center"/>
          </w:tcPr>
          <w:p w14:paraId="0754BEDA">
            <w:pPr>
              <w:adjustRightInd w:val="0"/>
              <w:snapToGrid w:val="0"/>
              <w:jc w:val="center"/>
              <w:rPr>
                <w:rFonts w:hint="eastAsia" w:cs="Times New Roman"/>
                <w:color w:val="auto"/>
                <w:sz w:val="21"/>
                <w:szCs w:val="21"/>
                <w:highlight w:val="none"/>
                <w:lang w:val="en-US" w:eastAsia="zh-CN"/>
              </w:rPr>
            </w:pPr>
          </w:p>
        </w:tc>
        <w:tc>
          <w:tcPr>
            <w:tcW w:w="2807" w:type="dxa"/>
            <w:vMerge w:val="continue"/>
            <w:tcBorders>
              <w:tl2br w:val="nil"/>
              <w:tr2bl w:val="nil"/>
            </w:tcBorders>
            <w:noWrap w:val="0"/>
            <w:vAlign w:val="center"/>
          </w:tcPr>
          <w:p w14:paraId="7422545D">
            <w:pPr>
              <w:adjustRightInd w:val="0"/>
              <w:snapToGrid w:val="0"/>
              <w:jc w:val="center"/>
              <w:rPr>
                <w:rFonts w:hint="eastAsia" w:cs="Times New Roman"/>
                <w:color w:val="auto"/>
                <w:sz w:val="21"/>
                <w:szCs w:val="21"/>
                <w:highlight w:val="none"/>
                <w:lang w:val="en-US" w:eastAsia="zh-CN"/>
              </w:rPr>
            </w:pPr>
          </w:p>
        </w:tc>
      </w:tr>
      <w:tr w14:paraId="7E4A7E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vMerge w:val="continue"/>
            <w:tcBorders>
              <w:tl2br w:val="nil"/>
              <w:tr2bl w:val="nil"/>
            </w:tcBorders>
            <w:noWrap w:val="0"/>
            <w:vAlign w:val="center"/>
          </w:tcPr>
          <w:p w14:paraId="09719516">
            <w:pPr>
              <w:adjustRightInd w:val="0"/>
              <w:snapToGrid w:val="0"/>
              <w:jc w:val="center"/>
              <w:rPr>
                <w:rFonts w:hint="eastAsia" w:cs="Times New Roman"/>
                <w:color w:val="auto"/>
                <w:sz w:val="21"/>
                <w:szCs w:val="21"/>
                <w:highlight w:val="none"/>
                <w:lang w:val="en-US" w:eastAsia="zh-CN"/>
              </w:rPr>
            </w:pPr>
          </w:p>
        </w:tc>
        <w:tc>
          <w:tcPr>
            <w:tcW w:w="1489" w:type="dxa"/>
            <w:vMerge w:val="continue"/>
            <w:tcBorders>
              <w:tl2br w:val="nil"/>
              <w:tr2bl w:val="nil"/>
            </w:tcBorders>
            <w:noWrap w:val="0"/>
            <w:vAlign w:val="center"/>
          </w:tcPr>
          <w:p w14:paraId="1F5B7D39">
            <w:pPr>
              <w:adjustRightInd w:val="0"/>
              <w:snapToGrid w:val="0"/>
              <w:jc w:val="center"/>
              <w:rPr>
                <w:rFonts w:hint="eastAsia" w:cs="Times New Roman"/>
                <w:color w:val="auto"/>
                <w:sz w:val="21"/>
                <w:szCs w:val="21"/>
                <w:highlight w:val="none"/>
                <w:lang w:val="en-US" w:eastAsia="zh-CN"/>
              </w:rPr>
            </w:pPr>
          </w:p>
        </w:tc>
        <w:tc>
          <w:tcPr>
            <w:tcW w:w="1479" w:type="dxa"/>
            <w:tcBorders>
              <w:tl2br w:val="nil"/>
              <w:tr2bl w:val="nil"/>
            </w:tcBorders>
            <w:noWrap w:val="0"/>
            <w:vAlign w:val="center"/>
          </w:tcPr>
          <w:p w14:paraId="6FE162B7">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废油桶</w:t>
            </w:r>
          </w:p>
        </w:tc>
        <w:tc>
          <w:tcPr>
            <w:tcW w:w="2411" w:type="dxa"/>
            <w:vMerge w:val="continue"/>
            <w:tcBorders>
              <w:tl2br w:val="nil"/>
              <w:tr2bl w:val="nil"/>
            </w:tcBorders>
            <w:noWrap w:val="0"/>
            <w:vAlign w:val="center"/>
          </w:tcPr>
          <w:p w14:paraId="7EBDAB73">
            <w:pPr>
              <w:adjustRightInd w:val="0"/>
              <w:snapToGrid w:val="0"/>
              <w:jc w:val="center"/>
              <w:rPr>
                <w:rFonts w:hint="eastAsia" w:cs="Times New Roman"/>
                <w:color w:val="auto"/>
                <w:sz w:val="21"/>
                <w:szCs w:val="21"/>
                <w:highlight w:val="none"/>
                <w:lang w:val="en-US" w:eastAsia="zh-CN"/>
              </w:rPr>
            </w:pPr>
          </w:p>
        </w:tc>
        <w:tc>
          <w:tcPr>
            <w:tcW w:w="2807" w:type="dxa"/>
            <w:vMerge w:val="continue"/>
            <w:tcBorders>
              <w:tl2br w:val="nil"/>
              <w:tr2bl w:val="nil"/>
            </w:tcBorders>
            <w:noWrap w:val="0"/>
            <w:vAlign w:val="center"/>
          </w:tcPr>
          <w:p w14:paraId="5C439E1C">
            <w:pPr>
              <w:adjustRightInd w:val="0"/>
              <w:snapToGrid w:val="0"/>
              <w:jc w:val="center"/>
              <w:rPr>
                <w:rFonts w:hint="eastAsia" w:cs="Times New Roman"/>
                <w:color w:val="auto"/>
                <w:sz w:val="21"/>
                <w:szCs w:val="21"/>
                <w:highlight w:val="none"/>
                <w:lang w:val="en-US" w:eastAsia="zh-CN"/>
              </w:rPr>
            </w:pPr>
          </w:p>
        </w:tc>
      </w:tr>
      <w:tr w14:paraId="63ED0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205" w:hRule="atLeast"/>
          <w:jc w:val="center"/>
        </w:trPr>
        <w:tc>
          <w:tcPr>
            <w:tcW w:w="1253" w:type="dxa"/>
            <w:vMerge w:val="continue"/>
            <w:tcBorders>
              <w:tl2br w:val="nil"/>
              <w:tr2bl w:val="nil"/>
            </w:tcBorders>
            <w:noWrap w:val="0"/>
            <w:vAlign w:val="center"/>
          </w:tcPr>
          <w:p w14:paraId="2D73C5DC">
            <w:pPr>
              <w:adjustRightInd w:val="0"/>
              <w:snapToGrid w:val="0"/>
              <w:jc w:val="center"/>
              <w:rPr>
                <w:rFonts w:hint="eastAsia" w:cs="Times New Roman"/>
                <w:color w:val="auto"/>
                <w:sz w:val="21"/>
                <w:szCs w:val="21"/>
                <w:highlight w:val="none"/>
                <w:lang w:val="en-US" w:eastAsia="zh-CN"/>
              </w:rPr>
            </w:pPr>
          </w:p>
        </w:tc>
        <w:tc>
          <w:tcPr>
            <w:tcW w:w="1489" w:type="dxa"/>
            <w:tcBorders>
              <w:tl2br w:val="nil"/>
              <w:tr2bl w:val="nil"/>
            </w:tcBorders>
            <w:noWrap w:val="0"/>
            <w:vAlign w:val="center"/>
          </w:tcPr>
          <w:p w14:paraId="03F5D2AE">
            <w:pPr>
              <w:keepNext w:val="0"/>
              <w:keepLines w:val="0"/>
              <w:pageBreakBefore w:val="0"/>
              <w:kinsoku/>
              <w:wordWrap/>
              <w:overflowPunct/>
              <w:topLinePunct w:val="0"/>
              <w:bidi w:val="0"/>
              <w:adjustRightInd w:val="0"/>
              <w:snapToGrid w:val="0"/>
              <w:spacing w:line="240" w:lineRule="auto"/>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职工生活</w:t>
            </w:r>
          </w:p>
        </w:tc>
        <w:tc>
          <w:tcPr>
            <w:tcW w:w="1479" w:type="dxa"/>
            <w:tcBorders>
              <w:tl2br w:val="nil"/>
              <w:tr2bl w:val="nil"/>
            </w:tcBorders>
            <w:noWrap w:val="0"/>
            <w:vAlign w:val="center"/>
          </w:tcPr>
          <w:p w14:paraId="0BF8DC94">
            <w:pPr>
              <w:keepNext w:val="0"/>
              <w:keepLines w:val="0"/>
              <w:pageBreakBefore w:val="0"/>
              <w:kinsoku/>
              <w:wordWrap/>
              <w:overflowPunct/>
              <w:topLinePunct w:val="0"/>
              <w:bidi w:val="0"/>
              <w:adjustRightInd w:val="0"/>
              <w:snapToGrid w:val="0"/>
              <w:spacing w:line="240" w:lineRule="auto"/>
              <w:jc w:val="center"/>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生活垃圾</w:t>
            </w:r>
          </w:p>
        </w:tc>
        <w:tc>
          <w:tcPr>
            <w:tcW w:w="2411" w:type="dxa"/>
            <w:tcBorders>
              <w:tl2br w:val="nil"/>
              <w:tr2bl w:val="nil"/>
            </w:tcBorders>
            <w:noWrap w:val="0"/>
            <w:vAlign w:val="center"/>
          </w:tcPr>
          <w:p w14:paraId="1EF02D34">
            <w:pPr>
              <w:adjustRightInd w:val="0"/>
              <w:snapToGrid w:val="0"/>
              <w:jc w:val="center"/>
              <w:rPr>
                <w:rFonts w:hint="eastAsia"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委托环卫部门清运</w:t>
            </w:r>
          </w:p>
        </w:tc>
        <w:tc>
          <w:tcPr>
            <w:tcW w:w="2807" w:type="dxa"/>
            <w:tcBorders>
              <w:tl2br w:val="nil"/>
              <w:tr2bl w:val="nil"/>
            </w:tcBorders>
            <w:noWrap w:val="0"/>
            <w:vAlign w:val="center"/>
          </w:tcPr>
          <w:p w14:paraId="785B5A90">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FBD73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72E0CBF5">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土壤及地下水污染防治措施</w:t>
            </w:r>
          </w:p>
        </w:tc>
        <w:tc>
          <w:tcPr>
            <w:tcW w:w="8186" w:type="dxa"/>
            <w:gridSpan w:val="4"/>
            <w:tcBorders>
              <w:tl2br w:val="nil"/>
              <w:tr2bl w:val="nil"/>
            </w:tcBorders>
            <w:noWrap w:val="0"/>
            <w:vAlign w:val="center"/>
          </w:tcPr>
          <w:p w14:paraId="2C4FA24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1、源头控制；2、分区防渗</w:t>
            </w:r>
          </w:p>
        </w:tc>
      </w:tr>
      <w:tr w14:paraId="18D791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4E0FCF84">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生态保护措施</w:t>
            </w:r>
          </w:p>
        </w:tc>
        <w:tc>
          <w:tcPr>
            <w:tcW w:w="8186" w:type="dxa"/>
            <w:gridSpan w:val="4"/>
            <w:tcBorders>
              <w:tl2br w:val="nil"/>
              <w:tr2bl w:val="nil"/>
            </w:tcBorders>
            <w:noWrap w:val="0"/>
            <w:vAlign w:val="center"/>
          </w:tcPr>
          <w:p w14:paraId="2CB4B75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本</w:t>
            </w:r>
            <w:r>
              <w:rPr>
                <w:rFonts w:hint="default" w:ascii="Times New Roman" w:hAnsi="Times New Roman" w:eastAsia="宋体" w:cs="Times New Roman"/>
                <w:color w:val="auto"/>
                <w:sz w:val="21"/>
                <w:szCs w:val="21"/>
                <w:highlight w:val="none"/>
              </w:rPr>
              <w:t>厂区内种植灌木、花草，减少裸露地面，能隔声、吸尘、吸收有害气体。</w:t>
            </w:r>
            <w:r>
              <w:rPr>
                <w:rFonts w:hint="default" w:ascii="Times New Roman" w:hAnsi="Times New Roman" w:eastAsia="宋体" w:cs="Times New Roman"/>
                <w:b w:val="0"/>
                <w:bCs w:val="0"/>
                <w:color w:val="auto"/>
                <w:kern w:val="0"/>
                <w:sz w:val="21"/>
                <w:szCs w:val="21"/>
                <w:highlight w:val="none"/>
                <w:lang w:val="en-US" w:eastAsia="zh-CN" w:bidi="ar"/>
              </w:rPr>
              <w:t>能起到降低扬尘、净化空气、改善环境的作用。</w:t>
            </w:r>
          </w:p>
        </w:tc>
      </w:tr>
      <w:tr w14:paraId="202C3D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296DF947">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环境风险防范措施</w:t>
            </w:r>
          </w:p>
        </w:tc>
        <w:tc>
          <w:tcPr>
            <w:tcW w:w="8186" w:type="dxa"/>
            <w:gridSpan w:val="4"/>
            <w:tcBorders>
              <w:tl2br w:val="nil"/>
              <w:tr2bl w:val="nil"/>
            </w:tcBorders>
            <w:noWrap w:val="0"/>
            <w:vAlign w:val="center"/>
          </w:tcPr>
          <w:p w14:paraId="69FCE057">
            <w:pPr>
              <w:adjustRightInd w:val="0"/>
              <w:snapToGrid w:val="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严格落实报告表提出的各项环境风险防范措施，配备必要的应急设备（例如灭火器、沙箱等）并对员工进行消防培训，将事故风险环境影响降到最低</w:t>
            </w:r>
            <w:r>
              <w:rPr>
                <w:rFonts w:hint="eastAsia" w:cs="Times New Roman"/>
                <w:color w:val="auto"/>
                <w:sz w:val="21"/>
                <w:szCs w:val="21"/>
                <w:highlight w:val="none"/>
                <w:lang w:eastAsia="zh-CN"/>
              </w:rPr>
              <w:t>。</w:t>
            </w:r>
          </w:p>
        </w:tc>
      </w:tr>
      <w:tr w14:paraId="2B0A4F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3" w:type="dxa"/>
            <w:tcBorders>
              <w:tl2br w:val="nil"/>
              <w:tr2bl w:val="nil"/>
            </w:tcBorders>
            <w:noWrap w:val="0"/>
            <w:vAlign w:val="center"/>
          </w:tcPr>
          <w:p w14:paraId="56B71D63">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lang w:val="en-US" w:eastAsia="zh-CN"/>
              </w:rPr>
              <w:t>环境管理要求</w:t>
            </w:r>
          </w:p>
        </w:tc>
        <w:tc>
          <w:tcPr>
            <w:tcW w:w="8186" w:type="dxa"/>
            <w:gridSpan w:val="4"/>
            <w:tcBorders>
              <w:tl2br w:val="nil"/>
              <w:tr2bl w:val="nil"/>
            </w:tcBorders>
            <w:noWrap w:val="0"/>
            <w:vAlign w:val="center"/>
          </w:tcPr>
          <w:p w14:paraId="5AF4B8E5">
            <w:pPr>
              <w:snapToGrid w:val="0"/>
              <w:jc w:val="both"/>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根据《固定污染源排污许可分类管理名录》（2019年版），办理排污许可证管理手续。</w:t>
            </w:r>
          </w:p>
        </w:tc>
      </w:tr>
    </w:tbl>
    <w:p w14:paraId="495341D0">
      <w:pPr>
        <w:spacing w:after="240" w:afterLines="100"/>
        <w:outlineLvl w:val="0"/>
        <w:rPr>
          <w:rFonts w:hint="default" w:ascii="Times New Roman" w:hAnsi="Times New Roman" w:cs="Times New Roman"/>
          <w:b/>
          <w:color w:val="auto"/>
          <w:sz w:val="30"/>
          <w:szCs w:val="30"/>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p w14:paraId="1A8CBEC8">
      <w:pPr>
        <w:spacing w:after="240" w:afterLines="100"/>
        <w:jc w:val="center"/>
        <w:outlineLvl w:val="0"/>
        <w:rPr>
          <w:rFonts w:hint="default" w:ascii="Times New Roman" w:hAnsi="Times New Roman" w:cs="Times New Roman"/>
          <w:b/>
          <w:color w:val="auto"/>
          <w:sz w:val="30"/>
          <w:szCs w:val="30"/>
        </w:rPr>
      </w:pPr>
      <w:r>
        <w:rPr>
          <w:rFonts w:hint="eastAsia" w:ascii="Times New Roman" w:hAnsi="Times New Roman" w:cs="Times New Roman"/>
          <w:b/>
          <w:color w:val="auto"/>
          <w:sz w:val="30"/>
          <w:szCs w:val="30"/>
          <w:lang w:val="en-US" w:eastAsia="zh-CN"/>
        </w:rPr>
        <w:t>六</w:t>
      </w:r>
      <w:r>
        <w:rPr>
          <w:rFonts w:hint="default" w:ascii="Times New Roman" w:hAnsi="Times New Roman" w:cs="Times New Roman"/>
          <w:b/>
          <w:color w:val="auto"/>
          <w:sz w:val="30"/>
          <w:szCs w:val="30"/>
        </w:rPr>
        <w:t>、结论</w:t>
      </w:r>
    </w:p>
    <w:tbl>
      <w:tblPr>
        <w:tblStyle w:val="37"/>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8779"/>
      </w:tblGrid>
      <w:tr w14:paraId="76109FE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1536" w:hRule="atLeast"/>
          <w:jc w:val="center"/>
        </w:trPr>
        <w:tc>
          <w:tcPr>
            <w:tcW w:w="8779" w:type="dxa"/>
            <w:tcBorders>
              <w:top w:val="single" w:color="auto" w:sz="12" w:space="0"/>
              <w:bottom w:val="single" w:color="auto" w:sz="12" w:space="0"/>
            </w:tcBorders>
            <w:noWrap w:val="0"/>
            <w:vAlign w:val="center"/>
          </w:tcPr>
          <w:p w14:paraId="4130DF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综上所述，</w:t>
            </w:r>
            <w:r>
              <w:rPr>
                <w:rFonts w:hint="default" w:ascii="Times New Roman" w:hAnsi="Times New Roman" w:cs="Times New Roman"/>
                <w:color w:val="auto"/>
                <w:sz w:val="24"/>
                <w:szCs w:val="24"/>
                <w:lang w:val="en-GB" w:eastAsia="zh-CN"/>
              </w:rPr>
              <w:t>本项目符合国家产业政策，符合相关环保政策，选址符合当地规划。在严格加强管理、落实各项污染防治措施后，项目污染物排放可以满足国家规定的相应排放标准要求，对周围环境影响较小。从环境保护的角度分析，本项目是可行的。</w:t>
            </w:r>
            <w:r>
              <w:rPr>
                <w:rFonts w:hint="default" w:ascii="Times New Roman" w:hAnsi="Times New Roman" w:cs="Times New Roman"/>
                <w:color w:val="auto"/>
                <w:sz w:val="24"/>
                <w:szCs w:val="24"/>
              </w:rPr>
              <w:t xml:space="preserve"> </w:t>
            </w:r>
          </w:p>
        </w:tc>
      </w:tr>
    </w:tbl>
    <w:p w14:paraId="26892BFF">
      <w:pPr>
        <w:spacing w:before="240"/>
        <w:rPr>
          <w:rFonts w:hint="default" w:ascii="Times New Roman" w:hAnsi="Times New Roman" w:cs="Times New Roman"/>
          <w:color w:val="auto"/>
          <w:sz w:val="24"/>
        </w:rPr>
        <w:sectPr>
          <w:pgSz w:w="11907" w:h="16840"/>
          <w:pgMar w:top="1440" w:right="1797" w:bottom="1440" w:left="1797" w:header="851" w:footer="851" w:gutter="0"/>
          <w:pgBorders>
            <w:top w:val="none" w:sz="0" w:space="0"/>
            <w:left w:val="none" w:sz="0" w:space="0"/>
            <w:bottom w:val="none" w:sz="0" w:space="0"/>
            <w:right w:val="none" w:sz="0" w:space="0"/>
          </w:pgBorders>
          <w:cols w:space="720" w:num="1"/>
          <w:docGrid w:linePitch="312" w:charSpace="0"/>
        </w:sectPr>
      </w:pPr>
    </w:p>
    <w:p w14:paraId="36619390">
      <w:pPr>
        <w:keepNext w:val="0"/>
        <w:keepLines w:val="0"/>
        <w:pageBreakBefore w:val="0"/>
        <w:widowControl w:val="0"/>
        <w:kinsoku/>
        <w:wordWrap/>
        <w:overflowPunct/>
        <w:topLinePunct w:val="0"/>
        <w:autoSpaceDE/>
        <w:autoSpaceDN/>
        <w:bidi w:val="0"/>
        <w:adjustRightInd w:val="0"/>
        <w:snapToGrid w:val="0"/>
        <w:spacing w:after="240" w:afterLines="100"/>
        <w:jc w:val="center"/>
        <w:textAlignment w:val="auto"/>
        <w:outlineLvl w:val="0"/>
        <w:rPr>
          <w:rFonts w:hint="default" w:ascii="Times New Roman" w:hAnsi="Times New Roman" w:cs="Times New Roman"/>
          <w:b/>
          <w:color w:val="auto"/>
          <w:sz w:val="30"/>
          <w:szCs w:val="30"/>
          <w:lang w:val="en-US" w:eastAsia="zh-CN"/>
        </w:rPr>
      </w:pPr>
      <w:r>
        <w:rPr>
          <w:rFonts w:hint="eastAsia" w:ascii="Times New Roman" w:hAnsi="Times New Roman" w:cs="Times New Roman"/>
          <w:b/>
          <w:color w:val="auto"/>
          <w:sz w:val="30"/>
          <w:szCs w:val="30"/>
          <w:lang w:val="en-US" w:eastAsia="zh-CN"/>
        </w:rPr>
        <w:t>建设项目污染物排放量汇总表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1852"/>
        <w:gridCol w:w="1599"/>
        <w:gridCol w:w="1560"/>
        <w:gridCol w:w="1574"/>
        <w:gridCol w:w="1599"/>
        <w:gridCol w:w="1574"/>
        <w:gridCol w:w="1574"/>
        <w:gridCol w:w="1560"/>
      </w:tblGrid>
      <w:tr w14:paraId="21FBF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noWrap w:val="0"/>
            <w:vAlign w:val="center"/>
          </w:tcPr>
          <w:p w14:paraId="615CE9C0">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w:t>
            </w:r>
          </w:p>
          <w:p w14:paraId="037F8719">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p>
          <w:p w14:paraId="574256A4">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分类</w:t>
            </w:r>
          </w:p>
        </w:tc>
        <w:tc>
          <w:tcPr>
            <w:tcW w:w="1852" w:type="dxa"/>
            <w:noWrap w:val="0"/>
            <w:vAlign w:val="center"/>
          </w:tcPr>
          <w:p w14:paraId="0501356D">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污染物名称</w:t>
            </w:r>
          </w:p>
        </w:tc>
        <w:tc>
          <w:tcPr>
            <w:tcW w:w="1599" w:type="dxa"/>
            <w:noWrap w:val="0"/>
            <w:vAlign w:val="center"/>
          </w:tcPr>
          <w:p w14:paraId="1D7498CE">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现有工程排放量（固体废物产生量）</w:t>
            </w:r>
            <w:r>
              <w:rPr>
                <w:rFonts w:hint="default" w:ascii="Times New Roman" w:hAnsi="Times New Roman" w:eastAsia="宋体" w:cs="Times New Roman"/>
                <w:b/>
                <w:color w:val="auto"/>
                <w:sz w:val="21"/>
                <w:szCs w:val="21"/>
                <w:lang w:val="en-US" w:eastAsia="zh-CN"/>
              </w:rPr>
              <w:fldChar w:fldCharType="begin"/>
            </w:r>
            <w:r>
              <w:rPr>
                <w:rFonts w:hint="default" w:ascii="Times New Roman" w:hAnsi="Times New Roman" w:eastAsia="宋体" w:cs="Times New Roman"/>
                <w:b/>
                <w:color w:val="auto"/>
                <w:sz w:val="21"/>
                <w:szCs w:val="21"/>
                <w:lang w:val="en-US" w:eastAsia="zh-CN"/>
              </w:rPr>
              <w:instrText xml:space="preserve"> = 1 \* GB3 \* MERGEFORMAT </w:instrText>
            </w:r>
            <w:r>
              <w:rPr>
                <w:rFonts w:hint="default" w:ascii="Times New Roman" w:hAnsi="Times New Roman" w:eastAsia="宋体" w:cs="Times New Roman"/>
                <w:b/>
                <w:color w:val="auto"/>
                <w:sz w:val="21"/>
                <w:szCs w:val="21"/>
                <w:lang w:val="en-US" w:eastAsia="zh-CN"/>
              </w:rPr>
              <w:fldChar w:fldCharType="separate"/>
            </w:r>
            <w:r>
              <w:rPr>
                <w:rFonts w:hint="default" w:ascii="Times New Roman" w:hAnsi="Times New Roman" w:eastAsia="宋体" w:cs="Times New Roman"/>
                <w:color w:val="auto"/>
                <w:sz w:val="21"/>
                <w:szCs w:val="21"/>
              </w:rPr>
              <w:t>①</w:t>
            </w:r>
            <w:r>
              <w:rPr>
                <w:rFonts w:hint="default" w:ascii="Times New Roman" w:hAnsi="Times New Roman" w:eastAsia="宋体" w:cs="Times New Roman"/>
                <w:b/>
                <w:color w:val="auto"/>
                <w:sz w:val="21"/>
                <w:szCs w:val="21"/>
                <w:lang w:val="en-US" w:eastAsia="zh-CN"/>
              </w:rPr>
              <w:fldChar w:fldCharType="end"/>
            </w:r>
          </w:p>
        </w:tc>
        <w:tc>
          <w:tcPr>
            <w:tcW w:w="1560" w:type="dxa"/>
            <w:noWrap w:val="0"/>
            <w:vAlign w:val="center"/>
          </w:tcPr>
          <w:p w14:paraId="0C94D0CD">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现有工程许可排放量</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2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②</w:t>
            </w:r>
            <w:r>
              <w:rPr>
                <w:rFonts w:hint="default" w:ascii="Times New Roman" w:hAnsi="Times New Roman" w:eastAsia="宋体" w:cs="Times New Roman"/>
                <w:color w:val="auto"/>
                <w:sz w:val="21"/>
                <w:szCs w:val="21"/>
                <w:vertAlign w:val="baseline"/>
                <w:lang w:val="en-US" w:eastAsia="zh-CN"/>
              </w:rPr>
              <w:fldChar w:fldCharType="end"/>
            </w:r>
          </w:p>
        </w:tc>
        <w:tc>
          <w:tcPr>
            <w:tcW w:w="1574" w:type="dxa"/>
            <w:noWrap w:val="0"/>
            <w:vAlign w:val="center"/>
          </w:tcPr>
          <w:p w14:paraId="6BE6C4A2">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在建工程排放量（固体废物产生量）</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3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③</w:t>
            </w:r>
            <w:r>
              <w:rPr>
                <w:rFonts w:hint="default" w:ascii="Times New Roman" w:hAnsi="Times New Roman" w:eastAsia="宋体" w:cs="Times New Roman"/>
                <w:color w:val="auto"/>
                <w:sz w:val="21"/>
                <w:szCs w:val="21"/>
                <w:vertAlign w:val="baseline"/>
                <w:lang w:val="en-US" w:eastAsia="zh-CN"/>
              </w:rPr>
              <w:fldChar w:fldCharType="end"/>
            </w:r>
          </w:p>
        </w:tc>
        <w:tc>
          <w:tcPr>
            <w:tcW w:w="1599" w:type="dxa"/>
            <w:noWrap w:val="0"/>
            <w:vAlign w:val="center"/>
          </w:tcPr>
          <w:p w14:paraId="7A9B6BB6">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本项目排放量（固体废物产生量）</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4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④</w:t>
            </w:r>
            <w:r>
              <w:rPr>
                <w:rFonts w:hint="default" w:ascii="Times New Roman" w:hAnsi="Times New Roman" w:eastAsia="宋体" w:cs="Times New Roman"/>
                <w:color w:val="auto"/>
                <w:sz w:val="21"/>
                <w:szCs w:val="21"/>
                <w:vertAlign w:val="baseline"/>
                <w:lang w:val="en-US" w:eastAsia="zh-CN"/>
              </w:rPr>
              <w:fldChar w:fldCharType="end"/>
            </w:r>
          </w:p>
        </w:tc>
        <w:tc>
          <w:tcPr>
            <w:tcW w:w="1574" w:type="dxa"/>
            <w:noWrap w:val="0"/>
            <w:vAlign w:val="center"/>
          </w:tcPr>
          <w:p w14:paraId="39C590C6">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以新带老削减量（新建项目不填）</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5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vertAlign w:val="baseline"/>
                <w:lang w:val="en-US" w:eastAsia="zh-CN"/>
              </w:rPr>
              <w:fldChar w:fldCharType="end"/>
            </w:r>
          </w:p>
        </w:tc>
        <w:tc>
          <w:tcPr>
            <w:tcW w:w="1574" w:type="dxa"/>
            <w:noWrap w:val="0"/>
            <w:vAlign w:val="center"/>
          </w:tcPr>
          <w:p w14:paraId="1A077EF9">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本项目建成后全厂排放量（固体废物产生量）</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6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⑥</w:t>
            </w:r>
            <w:r>
              <w:rPr>
                <w:rFonts w:hint="default" w:ascii="Times New Roman" w:hAnsi="Times New Roman" w:eastAsia="宋体" w:cs="Times New Roman"/>
                <w:color w:val="auto"/>
                <w:sz w:val="21"/>
                <w:szCs w:val="21"/>
                <w:vertAlign w:val="baseline"/>
                <w:lang w:val="en-US" w:eastAsia="zh-CN"/>
              </w:rPr>
              <w:fldChar w:fldCharType="end"/>
            </w:r>
          </w:p>
        </w:tc>
        <w:tc>
          <w:tcPr>
            <w:tcW w:w="1560" w:type="dxa"/>
            <w:noWrap w:val="0"/>
            <w:vAlign w:val="center"/>
          </w:tcPr>
          <w:p w14:paraId="04A1A0DB">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变化量</w:t>
            </w:r>
            <w:r>
              <w:rPr>
                <w:rFonts w:hint="default" w:ascii="Times New Roman" w:hAnsi="Times New Roman" w:eastAsia="宋体" w:cs="Times New Roman"/>
                <w:color w:val="auto"/>
                <w:sz w:val="21"/>
                <w:szCs w:val="21"/>
                <w:vertAlign w:val="baseline"/>
                <w:lang w:val="en-US" w:eastAsia="zh-CN"/>
              </w:rPr>
              <w:fldChar w:fldCharType="begin"/>
            </w:r>
            <w:r>
              <w:rPr>
                <w:rFonts w:hint="default" w:ascii="Times New Roman" w:hAnsi="Times New Roman" w:eastAsia="宋体" w:cs="Times New Roman"/>
                <w:color w:val="auto"/>
                <w:sz w:val="21"/>
                <w:szCs w:val="21"/>
                <w:vertAlign w:val="baseline"/>
                <w:lang w:val="en-US" w:eastAsia="zh-CN"/>
              </w:rPr>
              <w:instrText xml:space="preserve"> = 7 \* GB3 \* MERGEFORMAT </w:instrText>
            </w:r>
            <w:r>
              <w:rPr>
                <w:rFonts w:hint="default" w:ascii="Times New Roman" w:hAnsi="Times New Roman" w:eastAsia="宋体" w:cs="Times New Roman"/>
                <w:color w:val="auto"/>
                <w:sz w:val="21"/>
                <w:szCs w:val="21"/>
                <w:vertAlign w:val="baseline"/>
                <w:lang w:val="en-US" w:eastAsia="zh-CN"/>
              </w:rPr>
              <w:fldChar w:fldCharType="separate"/>
            </w:r>
            <w:r>
              <w:rPr>
                <w:rFonts w:hint="default" w:ascii="Times New Roman" w:hAnsi="Times New Roman" w:eastAsia="宋体" w:cs="Times New Roman"/>
                <w:color w:val="auto"/>
                <w:sz w:val="21"/>
                <w:szCs w:val="21"/>
              </w:rPr>
              <w:t>⑦</w:t>
            </w:r>
            <w:r>
              <w:rPr>
                <w:rFonts w:hint="default" w:ascii="Times New Roman" w:hAnsi="Times New Roman" w:eastAsia="宋体" w:cs="Times New Roman"/>
                <w:color w:val="auto"/>
                <w:sz w:val="21"/>
                <w:szCs w:val="21"/>
                <w:vertAlign w:val="baseline"/>
                <w:lang w:val="en-US" w:eastAsia="zh-CN"/>
              </w:rPr>
              <w:fldChar w:fldCharType="end"/>
            </w:r>
          </w:p>
        </w:tc>
      </w:tr>
      <w:tr w14:paraId="2A5D4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82" w:type="dxa"/>
            <w:vMerge w:val="restart"/>
            <w:noWrap w:val="0"/>
            <w:vAlign w:val="center"/>
          </w:tcPr>
          <w:p w14:paraId="5EDB4645">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废水</w:t>
            </w:r>
          </w:p>
        </w:tc>
        <w:tc>
          <w:tcPr>
            <w:tcW w:w="1852" w:type="dxa"/>
            <w:noWrap w:val="0"/>
            <w:vAlign w:val="center"/>
          </w:tcPr>
          <w:p w14:paraId="768FD329">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废水量</w:t>
            </w:r>
          </w:p>
        </w:tc>
        <w:tc>
          <w:tcPr>
            <w:tcW w:w="1599" w:type="dxa"/>
            <w:noWrap w:val="0"/>
            <w:vAlign w:val="center"/>
          </w:tcPr>
          <w:p w14:paraId="0BAFA1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493251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6BF90C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45716F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610C29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1A04EA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60" w:type="dxa"/>
            <w:shd w:val="clear" w:color="auto" w:fill="auto"/>
            <w:noWrap w:val="0"/>
            <w:vAlign w:val="center"/>
          </w:tcPr>
          <w:p w14:paraId="544644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r>
      <w:tr w14:paraId="5764F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82" w:type="dxa"/>
            <w:vMerge w:val="continue"/>
            <w:noWrap w:val="0"/>
            <w:vAlign w:val="center"/>
          </w:tcPr>
          <w:p w14:paraId="3C65B9C4">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p>
        </w:tc>
        <w:tc>
          <w:tcPr>
            <w:tcW w:w="1852" w:type="dxa"/>
            <w:noWrap w:val="0"/>
            <w:vAlign w:val="center"/>
          </w:tcPr>
          <w:p w14:paraId="32364C88">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COD</w:t>
            </w:r>
          </w:p>
        </w:tc>
        <w:tc>
          <w:tcPr>
            <w:tcW w:w="1599" w:type="dxa"/>
            <w:noWrap w:val="0"/>
            <w:vAlign w:val="center"/>
          </w:tcPr>
          <w:p w14:paraId="4CA439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7CB6F6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2FA712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2E0073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55BB46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15FD1C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60" w:type="dxa"/>
            <w:shd w:val="clear" w:color="auto" w:fill="auto"/>
            <w:noWrap w:val="0"/>
            <w:vAlign w:val="center"/>
          </w:tcPr>
          <w:p w14:paraId="1F96CE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r>
      <w:tr w14:paraId="356CD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702D15B0">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p>
        </w:tc>
        <w:tc>
          <w:tcPr>
            <w:tcW w:w="1852" w:type="dxa"/>
            <w:noWrap w:val="0"/>
            <w:vAlign w:val="center"/>
          </w:tcPr>
          <w:p w14:paraId="482F5BB2">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氨氮</w:t>
            </w:r>
          </w:p>
        </w:tc>
        <w:tc>
          <w:tcPr>
            <w:tcW w:w="1599" w:type="dxa"/>
            <w:noWrap w:val="0"/>
            <w:vAlign w:val="center"/>
          </w:tcPr>
          <w:p w14:paraId="654FC8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6B4804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2FDD88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0C500B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14B703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511095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60" w:type="dxa"/>
            <w:shd w:val="clear" w:color="auto" w:fill="auto"/>
            <w:noWrap w:val="0"/>
            <w:vAlign w:val="center"/>
          </w:tcPr>
          <w:p w14:paraId="397530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r>
      <w:tr w14:paraId="2C582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restart"/>
            <w:noWrap w:val="0"/>
            <w:vAlign w:val="center"/>
          </w:tcPr>
          <w:p w14:paraId="5777C6E6">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废气</w:t>
            </w:r>
          </w:p>
        </w:tc>
        <w:tc>
          <w:tcPr>
            <w:tcW w:w="1852" w:type="dxa"/>
            <w:noWrap w:val="0"/>
            <w:vAlign w:val="center"/>
          </w:tcPr>
          <w:p w14:paraId="31B058FD">
            <w:pPr>
              <w:spacing w:line="320" w:lineRule="exact"/>
              <w:ind w:left="4" w:leftChars="-15" w:right="-141" w:rightChars="-67" w:hanging="35" w:hangingChars="17"/>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VOCs</w:t>
            </w:r>
          </w:p>
        </w:tc>
        <w:tc>
          <w:tcPr>
            <w:tcW w:w="1599" w:type="dxa"/>
            <w:noWrap w:val="0"/>
            <w:vAlign w:val="center"/>
          </w:tcPr>
          <w:p w14:paraId="6ABDFD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229E5B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42C9DA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4F7C42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41</w:t>
            </w:r>
            <w:r>
              <w:rPr>
                <w:rFonts w:hint="eastAsia" w:cs="Times New Roman"/>
                <w:color w:val="auto"/>
                <w:sz w:val="21"/>
                <w:szCs w:val="21"/>
                <w:lang w:val="en-US" w:eastAsia="zh-CN"/>
              </w:rPr>
              <w:t>t/a</w:t>
            </w:r>
          </w:p>
        </w:tc>
        <w:tc>
          <w:tcPr>
            <w:tcW w:w="1574" w:type="dxa"/>
            <w:shd w:val="clear" w:color="auto" w:fill="auto"/>
            <w:noWrap w:val="0"/>
            <w:vAlign w:val="center"/>
          </w:tcPr>
          <w:p w14:paraId="362EB7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02AD16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41</w:t>
            </w:r>
            <w:r>
              <w:rPr>
                <w:rFonts w:hint="eastAsia" w:cs="Times New Roman"/>
                <w:color w:val="auto"/>
                <w:sz w:val="21"/>
                <w:szCs w:val="21"/>
                <w:lang w:val="en-US" w:eastAsia="zh-CN"/>
              </w:rPr>
              <w:t>t/a</w:t>
            </w:r>
          </w:p>
        </w:tc>
        <w:tc>
          <w:tcPr>
            <w:tcW w:w="1560" w:type="dxa"/>
            <w:shd w:val="clear" w:color="auto" w:fill="auto"/>
            <w:noWrap w:val="0"/>
            <w:vAlign w:val="center"/>
          </w:tcPr>
          <w:p w14:paraId="391D35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41</w:t>
            </w:r>
            <w:r>
              <w:rPr>
                <w:rFonts w:hint="eastAsia" w:cs="Times New Roman"/>
                <w:color w:val="auto"/>
                <w:sz w:val="21"/>
                <w:szCs w:val="21"/>
                <w:lang w:val="en-US" w:eastAsia="zh-CN"/>
              </w:rPr>
              <w:t>t/a</w:t>
            </w:r>
          </w:p>
        </w:tc>
      </w:tr>
      <w:tr w14:paraId="39811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3165078D">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s="Times New Roman"/>
                <w:color w:val="auto"/>
                <w:sz w:val="21"/>
                <w:szCs w:val="21"/>
                <w:vertAlign w:val="baseline"/>
                <w:lang w:val="en-US" w:eastAsia="zh-CN"/>
              </w:rPr>
            </w:pPr>
          </w:p>
        </w:tc>
        <w:tc>
          <w:tcPr>
            <w:tcW w:w="1852" w:type="dxa"/>
            <w:noWrap w:val="0"/>
            <w:vAlign w:val="center"/>
          </w:tcPr>
          <w:p w14:paraId="4B426EC9">
            <w:pPr>
              <w:spacing w:line="320" w:lineRule="exact"/>
              <w:ind w:left="4" w:leftChars="-15" w:right="-141" w:rightChars="-67" w:hanging="35" w:hangingChars="17"/>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颗粒物</w:t>
            </w:r>
          </w:p>
        </w:tc>
        <w:tc>
          <w:tcPr>
            <w:tcW w:w="1599" w:type="dxa"/>
            <w:noWrap w:val="0"/>
            <w:vAlign w:val="center"/>
          </w:tcPr>
          <w:p w14:paraId="2CB336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2C9014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270979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7A0FB8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w:t>
            </w:r>
          </w:p>
        </w:tc>
        <w:tc>
          <w:tcPr>
            <w:tcW w:w="1574" w:type="dxa"/>
            <w:shd w:val="clear" w:color="auto" w:fill="auto"/>
            <w:noWrap w:val="0"/>
            <w:vAlign w:val="center"/>
          </w:tcPr>
          <w:p w14:paraId="568972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5FB06C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w:t>
            </w:r>
          </w:p>
        </w:tc>
        <w:tc>
          <w:tcPr>
            <w:tcW w:w="1560" w:type="dxa"/>
            <w:shd w:val="clear" w:color="auto" w:fill="auto"/>
            <w:noWrap w:val="0"/>
            <w:vAlign w:val="center"/>
          </w:tcPr>
          <w:p w14:paraId="13D2AC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w:t>
            </w:r>
          </w:p>
        </w:tc>
      </w:tr>
      <w:tr w14:paraId="6A5D2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7BB9F61E">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s="Times New Roman"/>
                <w:color w:val="auto"/>
                <w:sz w:val="21"/>
                <w:szCs w:val="21"/>
                <w:vertAlign w:val="baseline"/>
                <w:lang w:val="en-US" w:eastAsia="zh-CN"/>
              </w:rPr>
            </w:pPr>
          </w:p>
        </w:tc>
        <w:tc>
          <w:tcPr>
            <w:tcW w:w="1852" w:type="dxa"/>
            <w:noWrap w:val="0"/>
            <w:vAlign w:val="center"/>
          </w:tcPr>
          <w:p w14:paraId="4D744881">
            <w:pPr>
              <w:spacing w:line="320" w:lineRule="exact"/>
              <w:ind w:left="4" w:leftChars="-15" w:right="-141" w:rightChars="-67" w:hanging="35" w:hangingChars="17"/>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臭气浓度</w:t>
            </w:r>
          </w:p>
        </w:tc>
        <w:tc>
          <w:tcPr>
            <w:tcW w:w="1599" w:type="dxa"/>
            <w:noWrap w:val="0"/>
            <w:vAlign w:val="center"/>
          </w:tcPr>
          <w:p w14:paraId="1F9BC1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27D0BF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3CE8D7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1BC1CA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12（无量纲）</w:t>
            </w:r>
          </w:p>
        </w:tc>
        <w:tc>
          <w:tcPr>
            <w:tcW w:w="1574" w:type="dxa"/>
            <w:shd w:val="clear" w:color="auto" w:fill="auto"/>
            <w:noWrap w:val="0"/>
            <w:vAlign w:val="center"/>
          </w:tcPr>
          <w:p w14:paraId="511568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773B5B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12（无量纲）</w:t>
            </w:r>
          </w:p>
        </w:tc>
        <w:tc>
          <w:tcPr>
            <w:tcW w:w="1560" w:type="dxa"/>
            <w:shd w:val="clear" w:color="auto" w:fill="auto"/>
            <w:noWrap w:val="0"/>
            <w:vAlign w:val="center"/>
          </w:tcPr>
          <w:p w14:paraId="4BDF4F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12（无量纲）</w:t>
            </w:r>
          </w:p>
        </w:tc>
      </w:tr>
      <w:tr w14:paraId="49D8B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restart"/>
            <w:noWrap w:val="0"/>
            <w:vAlign w:val="center"/>
          </w:tcPr>
          <w:p w14:paraId="52CF9B36">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一般工业固体废物</w:t>
            </w:r>
          </w:p>
        </w:tc>
        <w:tc>
          <w:tcPr>
            <w:tcW w:w="1852" w:type="dxa"/>
            <w:shd w:val="clear" w:color="auto" w:fill="auto"/>
            <w:noWrap w:val="0"/>
            <w:vAlign w:val="center"/>
          </w:tcPr>
          <w:p w14:paraId="0BBA49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塑料下脚料</w:t>
            </w:r>
          </w:p>
        </w:tc>
        <w:tc>
          <w:tcPr>
            <w:tcW w:w="1599" w:type="dxa"/>
            <w:shd w:val="clear" w:color="auto" w:fill="auto"/>
            <w:noWrap w:val="0"/>
            <w:vAlign w:val="center"/>
          </w:tcPr>
          <w:p w14:paraId="5B14D9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0EEDDEC5">
            <w:pPr>
              <w:keepNext w:val="0"/>
              <w:keepLines w:val="0"/>
              <w:pageBreakBefore w:val="0"/>
              <w:kinsoku/>
              <w:wordWrap/>
              <w:overflowPunct/>
              <w:topLinePunct w:val="0"/>
              <w:bidi w:val="0"/>
              <w:adjustRightInd w:val="0"/>
              <w:snapToGrid w:val="0"/>
              <w:spacing w:line="240" w:lineRule="auto"/>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7B7169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35FF550E">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3</w:t>
            </w:r>
            <w:r>
              <w:rPr>
                <w:rFonts w:hint="eastAsia" w:cs="Times New Roman"/>
                <w:color w:val="auto"/>
                <w:sz w:val="21"/>
                <w:szCs w:val="21"/>
                <w:lang w:val="en-US" w:eastAsia="zh-CN"/>
              </w:rPr>
              <w:t>t/a</w:t>
            </w:r>
          </w:p>
        </w:tc>
        <w:tc>
          <w:tcPr>
            <w:tcW w:w="1574" w:type="dxa"/>
            <w:shd w:val="clear" w:color="auto" w:fill="auto"/>
            <w:noWrap w:val="0"/>
            <w:vAlign w:val="center"/>
          </w:tcPr>
          <w:p w14:paraId="184446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357AFFCC">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3</w:t>
            </w:r>
            <w:r>
              <w:rPr>
                <w:rFonts w:hint="eastAsia" w:cs="Times New Roman"/>
                <w:color w:val="auto"/>
                <w:sz w:val="21"/>
                <w:szCs w:val="21"/>
                <w:lang w:val="en-US" w:eastAsia="zh-CN"/>
              </w:rPr>
              <w:t>t/a</w:t>
            </w:r>
          </w:p>
        </w:tc>
        <w:tc>
          <w:tcPr>
            <w:tcW w:w="1560" w:type="dxa"/>
            <w:shd w:val="clear" w:color="auto" w:fill="auto"/>
            <w:noWrap w:val="0"/>
            <w:vAlign w:val="center"/>
          </w:tcPr>
          <w:p w14:paraId="4230C401">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+3</w:t>
            </w:r>
            <w:r>
              <w:rPr>
                <w:rFonts w:hint="eastAsia" w:cs="Times New Roman"/>
                <w:color w:val="auto"/>
                <w:sz w:val="21"/>
                <w:szCs w:val="21"/>
                <w:lang w:val="en-US" w:eastAsia="zh-CN"/>
              </w:rPr>
              <w:t>t/a</w:t>
            </w:r>
          </w:p>
        </w:tc>
      </w:tr>
      <w:tr w14:paraId="1D0EB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41C7B026">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s="Times New Roman"/>
                <w:color w:val="auto"/>
                <w:sz w:val="21"/>
                <w:szCs w:val="21"/>
                <w:vertAlign w:val="baseline"/>
                <w:lang w:val="en-US" w:eastAsia="zh-CN"/>
              </w:rPr>
            </w:pPr>
          </w:p>
        </w:tc>
        <w:tc>
          <w:tcPr>
            <w:tcW w:w="1852" w:type="dxa"/>
            <w:shd w:val="clear" w:color="auto" w:fill="auto"/>
            <w:noWrap w:val="0"/>
            <w:vAlign w:val="center"/>
          </w:tcPr>
          <w:p w14:paraId="34FA2B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1"/>
                <w:szCs w:val="21"/>
                <w:highlight w:val="none"/>
                <w:lang w:val="en-US" w:eastAsia="zh-CN"/>
              </w:rPr>
              <w:t>一般废旧包装材料</w:t>
            </w:r>
          </w:p>
        </w:tc>
        <w:tc>
          <w:tcPr>
            <w:tcW w:w="1599" w:type="dxa"/>
            <w:shd w:val="clear" w:color="auto" w:fill="auto"/>
            <w:noWrap w:val="0"/>
            <w:vAlign w:val="center"/>
          </w:tcPr>
          <w:p w14:paraId="61F551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7962FA0F">
            <w:pPr>
              <w:keepNext w:val="0"/>
              <w:keepLines w:val="0"/>
              <w:pageBreakBefore w:val="0"/>
              <w:kinsoku/>
              <w:wordWrap/>
              <w:overflowPunct/>
              <w:topLinePunct w:val="0"/>
              <w:bidi w:val="0"/>
              <w:adjustRightInd w:val="0"/>
              <w:snapToGrid w:val="0"/>
              <w:spacing w:line="240" w:lineRule="auto"/>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1D98B8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475D2AD3">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0.3</w:t>
            </w:r>
            <w:r>
              <w:rPr>
                <w:rFonts w:hint="eastAsia" w:cs="Times New Roman"/>
                <w:color w:val="auto"/>
                <w:sz w:val="21"/>
                <w:szCs w:val="21"/>
                <w:lang w:val="en-US" w:eastAsia="zh-CN"/>
              </w:rPr>
              <w:t>t/a</w:t>
            </w:r>
          </w:p>
        </w:tc>
        <w:tc>
          <w:tcPr>
            <w:tcW w:w="1574" w:type="dxa"/>
            <w:shd w:val="clear" w:color="auto" w:fill="auto"/>
            <w:noWrap w:val="0"/>
            <w:vAlign w:val="center"/>
          </w:tcPr>
          <w:p w14:paraId="2BD17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62DA33F7">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0.3</w:t>
            </w:r>
            <w:r>
              <w:rPr>
                <w:rFonts w:hint="eastAsia" w:cs="Times New Roman"/>
                <w:color w:val="auto"/>
                <w:sz w:val="21"/>
                <w:szCs w:val="21"/>
                <w:lang w:val="en-US" w:eastAsia="zh-CN"/>
              </w:rPr>
              <w:t>t/a</w:t>
            </w:r>
          </w:p>
        </w:tc>
        <w:tc>
          <w:tcPr>
            <w:tcW w:w="1560" w:type="dxa"/>
            <w:shd w:val="clear" w:color="auto" w:fill="auto"/>
            <w:noWrap w:val="0"/>
            <w:vAlign w:val="center"/>
          </w:tcPr>
          <w:p w14:paraId="6AEFA9A1">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+0.3</w:t>
            </w:r>
            <w:r>
              <w:rPr>
                <w:rFonts w:hint="eastAsia" w:cs="Times New Roman"/>
                <w:color w:val="auto"/>
                <w:sz w:val="21"/>
                <w:szCs w:val="21"/>
                <w:lang w:val="en-US" w:eastAsia="zh-CN"/>
              </w:rPr>
              <w:t>t/a</w:t>
            </w:r>
          </w:p>
        </w:tc>
      </w:tr>
      <w:tr w14:paraId="7E9AE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restart"/>
            <w:noWrap w:val="0"/>
            <w:vAlign w:val="center"/>
          </w:tcPr>
          <w:p w14:paraId="57990B0C">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危险废物</w:t>
            </w:r>
          </w:p>
        </w:tc>
        <w:tc>
          <w:tcPr>
            <w:tcW w:w="1852" w:type="dxa"/>
            <w:shd w:val="clear" w:color="auto" w:fill="auto"/>
            <w:noWrap w:val="0"/>
            <w:vAlign w:val="center"/>
          </w:tcPr>
          <w:p w14:paraId="4FC0652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废活性炭</w:t>
            </w:r>
          </w:p>
        </w:tc>
        <w:tc>
          <w:tcPr>
            <w:tcW w:w="1599" w:type="dxa"/>
            <w:noWrap w:val="0"/>
            <w:vAlign w:val="center"/>
          </w:tcPr>
          <w:p w14:paraId="18E375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2530E0B4">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4FC8AE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7B928648">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1.365</w:t>
            </w:r>
            <w:r>
              <w:rPr>
                <w:rFonts w:hint="eastAsia" w:cs="Times New Roman"/>
                <w:color w:val="auto"/>
                <w:sz w:val="21"/>
                <w:szCs w:val="21"/>
                <w:lang w:val="en-US" w:eastAsia="zh-CN"/>
              </w:rPr>
              <w:t>t/a</w:t>
            </w:r>
          </w:p>
        </w:tc>
        <w:tc>
          <w:tcPr>
            <w:tcW w:w="1574" w:type="dxa"/>
            <w:shd w:val="clear" w:color="auto" w:fill="auto"/>
            <w:noWrap w:val="0"/>
            <w:vAlign w:val="center"/>
          </w:tcPr>
          <w:p w14:paraId="255205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791127F5">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1.365</w:t>
            </w:r>
            <w:r>
              <w:rPr>
                <w:rFonts w:hint="eastAsia" w:cs="Times New Roman"/>
                <w:color w:val="auto"/>
                <w:sz w:val="21"/>
                <w:szCs w:val="21"/>
                <w:lang w:val="en-US" w:eastAsia="zh-CN"/>
              </w:rPr>
              <w:t>t/a</w:t>
            </w:r>
          </w:p>
        </w:tc>
        <w:tc>
          <w:tcPr>
            <w:tcW w:w="1560" w:type="dxa"/>
            <w:shd w:val="clear" w:color="auto" w:fill="auto"/>
            <w:noWrap w:val="0"/>
            <w:vAlign w:val="center"/>
          </w:tcPr>
          <w:p w14:paraId="485C00C8">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+1.365</w:t>
            </w:r>
            <w:r>
              <w:rPr>
                <w:rFonts w:hint="eastAsia" w:cs="Times New Roman"/>
                <w:color w:val="auto"/>
                <w:sz w:val="21"/>
                <w:szCs w:val="21"/>
                <w:lang w:val="en-US" w:eastAsia="zh-CN"/>
              </w:rPr>
              <w:t>t/a</w:t>
            </w:r>
          </w:p>
        </w:tc>
      </w:tr>
      <w:tr w14:paraId="7F13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282" w:type="dxa"/>
            <w:vMerge w:val="continue"/>
            <w:noWrap w:val="0"/>
            <w:vAlign w:val="center"/>
          </w:tcPr>
          <w:p w14:paraId="1ED0FE2F">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baseline"/>
              <w:rPr>
                <w:rFonts w:hint="eastAsia" w:cs="Times New Roman"/>
                <w:color w:val="auto"/>
                <w:sz w:val="21"/>
                <w:szCs w:val="21"/>
                <w:vertAlign w:val="baseline"/>
                <w:lang w:val="en-US" w:eastAsia="zh-CN"/>
              </w:rPr>
            </w:pPr>
          </w:p>
        </w:tc>
        <w:tc>
          <w:tcPr>
            <w:tcW w:w="1852" w:type="dxa"/>
            <w:shd w:val="clear" w:color="auto" w:fill="auto"/>
            <w:noWrap w:val="0"/>
            <w:vAlign w:val="center"/>
          </w:tcPr>
          <w:p w14:paraId="697750F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废过滤棉</w:t>
            </w:r>
          </w:p>
        </w:tc>
        <w:tc>
          <w:tcPr>
            <w:tcW w:w="1599" w:type="dxa"/>
            <w:noWrap w:val="0"/>
            <w:vAlign w:val="center"/>
          </w:tcPr>
          <w:p w14:paraId="671344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0E7F198C">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rPr>
            </w:pPr>
            <w:r>
              <w:rPr>
                <w:rFonts w:hint="eastAsia" w:cs="Times New Roman"/>
                <w:color w:val="auto"/>
                <w:sz w:val="21"/>
                <w:szCs w:val="21"/>
                <w:vertAlign w:val="baseline"/>
                <w:lang w:val="en-US" w:eastAsia="zh-CN"/>
              </w:rPr>
              <w:t>0</w:t>
            </w:r>
          </w:p>
        </w:tc>
        <w:tc>
          <w:tcPr>
            <w:tcW w:w="1574" w:type="dxa"/>
            <w:noWrap w:val="0"/>
            <w:vAlign w:val="center"/>
          </w:tcPr>
          <w:p w14:paraId="1AECE4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73B7E0D4">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c>
          <w:tcPr>
            <w:tcW w:w="1574" w:type="dxa"/>
            <w:shd w:val="clear" w:color="auto" w:fill="auto"/>
            <w:noWrap w:val="0"/>
            <w:vAlign w:val="center"/>
          </w:tcPr>
          <w:p w14:paraId="123A51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68894CB2">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c>
          <w:tcPr>
            <w:tcW w:w="1560" w:type="dxa"/>
            <w:shd w:val="clear" w:color="auto" w:fill="auto"/>
            <w:noWrap w:val="0"/>
            <w:vAlign w:val="center"/>
          </w:tcPr>
          <w:p w14:paraId="4AA6260A">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r>
      <w:tr w14:paraId="31970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43E86714">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baseline"/>
              <w:rPr>
                <w:rFonts w:hint="eastAsia" w:cs="Times New Roman"/>
                <w:color w:val="auto"/>
                <w:sz w:val="21"/>
                <w:szCs w:val="21"/>
                <w:vertAlign w:val="baseline"/>
                <w:lang w:val="en-US" w:eastAsia="zh-CN"/>
              </w:rPr>
            </w:pPr>
          </w:p>
        </w:tc>
        <w:tc>
          <w:tcPr>
            <w:tcW w:w="1852" w:type="dxa"/>
            <w:shd w:val="clear" w:color="auto" w:fill="auto"/>
            <w:noWrap w:val="0"/>
            <w:vAlign w:val="center"/>
          </w:tcPr>
          <w:p w14:paraId="3DE868F6">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w:t>
            </w:r>
            <w:r>
              <w:rPr>
                <w:rFonts w:hint="eastAsia" w:cs="Times New Roman"/>
                <w:color w:val="auto"/>
                <w:sz w:val="21"/>
                <w:szCs w:val="21"/>
                <w:highlight w:val="none"/>
                <w:lang w:val="en-US" w:eastAsia="zh-CN"/>
              </w:rPr>
              <w:t>矿物</w:t>
            </w:r>
            <w:r>
              <w:rPr>
                <w:rFonts w:hint="default" w:ascii="Times New Roman" w:hAnsi="Times New Roman" w:cs="Times New Roman"/>
                <w:color w:val="auto"/>
                <w:sz w:val="21"/>
                <w:szCs w:val="21"/>
                <w:highlight w:val="none"/>
                <w:lang w:val="en-US" w:eastAsia="zh-CN"/>
              </w:rPr>
              <w:t>油</w:t>
            </w:r>
          </w:p>
        </w:tc>
        <w:tc>
          <w:tcPr>
            <w:tcW w:w="1599" w:type="dxa"/>
            <w:noWrap w:val="0"/>
            <w:vAlign w:val="center"/>
          </w:tcPr>
          <w:p w14:paraId="697AFA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388C9B06">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38B29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667D317C">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c>
          <w:tcPr>
            <w:tcW w:w="1574" w:type="dxa"/>
            <w:shd w:val="clear" w:color="auto" w:fill="auto"/>
            <w:noWrap w:val="0"/>
            <w:vAlign w:val="center"/>
          </w:tcPr>
          <w:p w14:paraId="462417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0BBE20DB">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c>
          <w:tcPr>
            <w:tcW w:w="1560" w:type="dxa"/>
            <w:shd w:val="clear" w:color="auto" w:fill="auto"/>
            <w:noWrap w:val="0"/>
            <w:vAlign w:val="center"/>
          </w:tcPr>
          <w:p w14:paraId="5013A234">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highlight w:val="none"/>
                <w:lang w:val="en-US" w:eastAsia="zh-CN"/>
              </w:rPr>
              <w:t>+0.02</w:t>
            </w:r>
            <w:r>
              <w:rPr>
                <w:rFonts w:hint="eastAsia" w:cs="Times New Roman"/>
                <w:color w:val="auto"/>
                <w:sz w:val="21"/>
                <w:szCs w:val="21"/>
                <w:lang w:val="en-US" w:eastAsia="zh-CN"/>
              </w:rPr>
              <w:t>t/a</w:t>
            </w:r>
          </w:p>
        </w:tc>
      </w:tr>
      <w:tr w14:paraId="68E4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2" w:type="dxa"/>
            <w:vMerge w:val="continue"/>
            <w:noWrap w:val="0"/>
            <w:vAlign w:val="center"/>
          </w:tcPr>
          <w:p w14:paraId="09825C15">
            <w:pPr>
              <w:pStyle w:val="6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baseline"/>
              <w:rPr>
                <w:rFonts w:hint="eastAsia" w:cs="Times New Roman"/>
                <w:color w:val="auto"/>
                <w:sz w:val="21"/>
                <w:szCs w:val="21"/>
                <w:vertAlign w:val="baseline"/>
                <w:lang w:val="en-US" w:eastAsia="zh-CN"/>
              </w:rPr>
            </w:pPr>
          </w:p>
        </w:tc>
        <w:tc>
          <w:tcPr>
            <w:tcW w:w="1852" w:type="dxa"/>
            <w:shd w:val="clear" w:color="auto" w:fill="auto"/>
            <w:noWrap w:val="0"/>
            <w:vAlign w:val="center"/>
          </w:tcPr>
          <w:p w14:paraId="57DF31CC">
            <w:pPr>
              <w:keepNext w:val="0"/>
              <w:keepLines w:val="0"/>
              <w:pageBreakBefore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废油桶</w:t>
            </w:r>
          </w:p>
        </w:tc>
        <w:tc>
          <w:tcPr>
            <w:tcW w:w="1599" w:type="dxa"/>
            <w:noWrap w:val="0"/>
            <w:vAlign w:val="center"/>
          </w:tcPr>
          <w:p w14:paraId="14331C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c>
          <w:tcPr>
            <w:tcW w:w="1560" w:type="dxa"/>
            <w:noWrap w:val="0"/>
            <w:vAlign w:val="center"/>
          </w:tcPr>
          <w:p w14:paraId="6C996536">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74" w:type="dxa"/>
            <w:noWrap w:val="0"/>
            <w:vAlign w:val="center"/>
          </w:tcPr>
          <w:p w14:paraId="75CD07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0</w:t>
            </w:r>
          </w:p>
        </w:tc>
        <w:tc>
          <w:tcPr>
            <w:tcW w:w="1599" w:type="dxa"/>
            <w:shd w:val="clear" w:color="auto" w:fill="auto"/>
            <w:noWrap w:val="0"/>
            <w:vAlign w:val="center"/>
          </w:tcPr>
          <w:p w14:paraId="6D4D2700">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w:t>
            </w:r>
            <w:r>
              <w:rPr>
                <w:rFonts w:hint="eastAsia" w:cs="Times New Roman"/>
                <w:color w:val="auto"/>
                <w:sz w:val="21"/>
                <w:szCs w:val="21"/>
                <w:lang w:val="en-US" w:eastAsia="zh-CN"/>
              </w:rPr>
              <w:t>t/a</w:t>
            </w:r>
          </w:p>
        </w:tc>
        <w:tc>
          <w:tcPr>
            <w:tcW w:w="1574" w:type="dxa"/>
            <w:shd w:val="clear" w:color="auto" w:fill="auto"/>
            <w:noWrap w:val="0"/>
            <w:vAlign w:val="center"/>
          </w:tcPr>
          <w:p w14:paraId="611397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sz w:val="21"/>
                <w:szCs w:val="21"/>
                <w:vertAlign w:val="baseline"/>
                <w:lang w:val="en-US" w:eastAsia="zh-CN"/>
              </w:rPr>
              <w:t>0</w:t>
            </w:r>
          </w:p>
        </w:tc>
        <w:tc>
          <w:tcPr>
            <w:tcW w:w="1574" w:type="dxa"/>
            <w:shd w:val="clear" w:color="auto" w:fill="auto"/>
            <w:noWrap w:val="0"/>
            <w:vAlign w:val="center"/>
          </w:tcPr>
          <w:p w14:paraId="5267C3A9">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w:t>
            </w:r>
            <w:r>
              <w:rPr>
                <w:rFonts w:hint="eastAsia" w:cs="Times New Roman"/>
                <w:color w:val="auto"/>
                <w:sz w:val="21"/>
                <w:szCs w:val="21"/>
                <w:lang w:val="en-US" w:eastAsia="zh-CN"/>
              </w:rPr>
              <w:t>t/a</w:t>
            </w:r>
          </w:p>
        </w:tc>
        <w:tc>
          <w:tcPr>
            <w:tcW w:w="1560" w:type="dxa"/>
            <w:shd w:val="clear" w:color="auto" w:fill="auto"/>
            <w:noWrap w:val="0"/>
            <w:vAlign w:val="center"/>
          </w:tcPr>
          <w:p w14:paraId="1A210974">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0.0</w:t>
            </w:r>
            <w:r>
              <w:rPr>
                <w:rFonts w:hint="eastAsia" w:cs="Times New Roman"/>
                <w:color w:val="auto"/>
                <w:sz w:val="21"/>
                <w:szCs w:val="21"/>
                <w:highlight w:val="none"/>
                <w:lang w:val="en-US" w:eastAsia="zh-CN"/>
              </w:rPr>
              <w:t>2</w:t>
            </w:r>
            <w:r>
              <w:rPr>
                <w:rFonts w:hint="eastAsia" w:cs="Times New Roman"/>
                <w:color w:val="auto"/>
                <w:sz w:val="21"/>
                <w:szCs w:val="21"/>
                <w:lang w:val="en-US" w:eastAsia="zh-CN"/>
              </w:rPr>
              <w:t>t/a</w:t>
            </w:r>
          </w:p>
        </w:tc>
      </w:tr>
    </w:tbl>
    <w:p w14:paraId="38B457DE">
      <w:pPr>
        <w:pStyle w:val="61"/>
        <w:rPr>
          <w:rFonts w:hint="eastAsia"/>
          <w:color w:val="auto"/>
          <w:lang w:val="en-US" w:eastAsia="zh-CN"/>
        </w:rPr>
        <w:sectPr>
          <w:headerReference r:id="rId6" w:type="default"/>
          <w:footerReference r:id="rId7" w:type="default"/>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eastAsia"/>
          <w:color w:val="auto"/>
          <w:lang w:val="en-US" w:eastAsia="zh-CN"/>
        </w:rPr>
        <w:t>注：⑥=①+③+④-⑤；⑦=⑥-①</w:t>
      </w:r>
    </w:p>
    <w:p w14:paraId="0D3BFCB6">
      <w:pPr>
        <w:pStyle w:val="61"/>
        <w:ind w:left="0" w:leftChars="0" w:firstLine="0" w:firstLineChars="0"/>
        <w:rPr>
          <w:rFonts w:hint="eastAsia"/>
          <w:color w:val="auto"/>
          <w:lang w:val="en-US" w:eastAsia="zh-CN"/>
        </w:rPr>
      </w:pPr>
      <w:r>
        <w:rPr>
          <w:rFonts w:hint="eastAsia"/>
          <w:color w:val="auto"/>
          <w:lang w:val="en-US" w:eastAsia="zh-CN"/>
        </w:rPr>
        <w:t>附件1 环评委托书</w:t>
      </w:r>
    </w:p>
    <w:p w14:paraId="6DAC6DDF">
      <w:pPr>
        <w:pStyle w:val="61"/>
        <w:ind w:left="0" w:leftChars="0" w:firstLine="0" w:firstLineChars="0"/>
        <w:rPr>
          <w:color w:val="auto"/>
        </w:rPr>
      </w:pPr>
      <w:r>
        <w:rPr>
          <w:color w:val="auto"/>
        </w:rPr>
        <w:drawing>
          <wp:anchor distT="0" distB="0" distL="114300" distR="114300" simplePos="0" relativeHeight="251715584" behindDoc="0" locked="0" layoutInCell="1" allowOverlap="1">
            <wp:simplePos x="0" y="0"/>
            <wp:positionH relativeFrom="column">
              <wp:posOffset>-37465</wp:posOffset>
            </wp:positionH>
            <wp:positionV relativeFrom="paragraph">
              <wp:posOffset>41910</wp:posOffset>
            </wp:positionV>
            <wp:extent cx="6270625" cy="8182610"/>
            <wp:effectExtent l="0" t="0" r="15875" b="8890"/>
            <wp:wrapNone/>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6">
                      <a:lum bright="-6000"/>
                    </a:blip>
                    <a:stretch>
                      <a:fillRect/>
                    </a:stretch>
                  </pic:blipFill>
                  <pic:spPr>
                    <a:xfrm>
                      <a:off x="0" y="0"/>
                      <a:ext cx="6270625" cy="8182610"/>
                    </a:xfrm>
                    <a:prstGeom prst="rect">
                      <a:avLst/>
                    </a:prstGeom>
                    <a:noFill/>
                    <a:ln>
                      <a:noFill/>
                    </a:ln>
                  </pic:spPr>
                </pic:pic>
              </a:graphicData>
            </a:graphic>
          </wp:anchor>
        </w:drawing>
      </w:r>
    </w:p>
    <w:p w14:paraId="2CCC9545">
      <w:pPr>
        <w:pStyle w:val="61"/>
        <w:ind w:left="0" w:leftChars="0" w:firstLine="0" w:firstLineChars="0"/>
        <w:rPr>
          <w:color w:val="auto"/>
        </w:rPr>
      </w:pPr>
    </w:p>
    <w:p w14:paraId="0018B626">
      <w:pPr>
        <w:pStyle w:val="61"/>
        <w:ind w:left="0" w:leftChars="0" w:firstLine="0" w:firstLineChars="0"/>
        <w:rPr>
          <w:color w:val="auto"/>
        </w:rPr>
      </w:pPr>
    </w:p>
    <w:p w14:paraId="3A637998">
      <w:pPr>
        <w:pStyle w:val="61"/>
        <w:ind w:left="0" w:leftChars="0" w:firstLine="0" w:firstLineChars="0"/>
        <w:rPr>
          <w:color w:val="auto"/>
        </w:rPr>
      </w:pPr>
    </w:p>
    <w:p w14:paraId="5C68AD88">
      <w:pPr>
        <w:pStyle w:val="61"/>
        <w:ind w:left="0" w:leftChars="0" w:firstLine="0" w:firstLineChars="0"/>
        <w:rPr>
          <w:color w:val="auto"/>
        </w:rPr>
      </w:pPr>
    </w:p>
    <w:p w14:paraId="60FA7C10">
      <w:pPr>
        <w:pStyle w:val="61"/>
        <w:ind w:left="0" w:leftChars="0" w:firstLine="0" w:firstLineChars="0"/>
        <w:rPr>
          <w:color w:val="auto"/>
        </w:rPr>
      </w:pPr>
    </w:p>
    <w:p w14:paraId="6A4694FE">
      <w:pPr>
        <w:pStyle w:val="61"/>
        <w:ind w:left="0" w:leftChars="0" w:firstLine="0" w:firstLineChars="0"/>
        <w:rPr>
          <w:color w:val="auto"/>
        </w:rPr>
      </w:pPr>
    </w:p>
    <w:p w14:paraId="3AD89047">
      <w:pPr>
        <w:pStyle w:val="61"/>
        <w:ind w:left="0" w:leftChars="0" w:firstLine="0" w:firstLineChars="0"/>
        <w:rPr>
          <w:color w:val="auto"/>
        </w:rPr>
      </w:pPr>
    </w:p>
    <w:p w14:paraId="10290A78">
      <w:pPr>
        <w:pStyle w:val="61"/>
        <w:ind w:left="0" w:leftChars="0" w:firstLine="0" w:firstLineChars="0"/>
        <w:rPr>
          <w:color w:val="auto"/>
        </w:rPr>
      </w:pPr>
    </w:p>
    <w:p w14:paraId="1B37766F">
      <w:pPr>
        <w:pStyle w:val="61"/>
        <w:ind w:left="0" w:leftChars="0" w:firstLine="0" w:firstLineChars="0"/>
        <w:rPr>
          <w:color w:val="auto"/>
        </w:rPr>
      </w:pPr>
    </w:p>
    <w:p w14:paraId="11DD9AF0">
      <w:pPr>
        <w:pStyle w:val="61"/>
        <w:ind w:left="0" w:leftChars="0" w:firstLine="0" w:firstLineChars="0"/>
        <w:rPr>
          <w:color w:val="auto"/>
        </w:rPr>
      </w:pPr>
    </w:p>
    <w:p w14:paraId="3EAF3F84">
      <w:pPr>
        <w:pStyle w:val="61"/>
        <w:ind w:left="0" w:leftChars="0" w:firstLine="0" w:firstLineChars="0"/>
        <w:rPr>
          <w:color w:val="auto"/>
        </w:rPr>
      </w:pPr>
    </w:p>
    <w:p w14:paraId="252877F5">
      <w:pPr>
        <w:pStyle w:val="61"/>
        <w:ind w:left="0" w:leftChars="0" w:firstLine="0" w:firstLineChars="0"/>
        <w:rPr>
          <w:color w:val="auto"/>
        </w:rPr>
      </w:pPr>
    </w:p>
    <w:p w14:paraId="0A689C5F">
      <w:pPr>
        <w:pStyle w:val="61"/>
        <w:ind w:left="0" w:leftChars="0" w:firstLine="0" w:firstLineChars="0"/>
        <w:rPr>
          <w:color w:val="auto"/>
        </w:rPr>
      </w:pPr>
    </w:p>
    <w:p w14:paraId="093A8298">
      <w:pPr>
        <w:pStyle w:val="61"/>
        <w:ind w:left="0" w:leftChars="0" w:firstLine="0" w:firstLineChars="0"/>
        <w:rPr>
          <w:color w:val="auto"/>
        </w:rPr>
      </w:pPr>
    </w:p>
    <w:p w14:paraId="381F7E26">
      <w:pPr>
        <w:pStyle w:val="61"/>
        <w:ind w:left="0" w:leftChars="0" w:firstLine="0" w:firstLineChars="0"/>
        <w:rPr>
          <w:color w:val="auto"/>
        </w:rPr>
      </w:pPr>
    </w:p>
    <w:p w14:paraId="682BAA7D">
      <w:pPr>
        <w:pStyle w:val="61"/>
        <w:ind w:left="0" w:leftChars="0" w:firstLine="0" w:firstLineChars="0"/>
        <w:rPr>
          <w:color w:val="auto"/>
        </w:rPr>
      </w:pPr>
    </w:p>
    <w:p w14:paraId="75416F5A">
      <w:pPr>
        <w:pStyle w:val="61"/>
        <w:ind w:left="0" w:leftChars="0" w:firstLine="0" w:firstLineChars="0"/>
        <w:rPr>
          <w:color w:val="auto"/>
        </w:rPr>
      </w:pPr>
    </w:p>
    <w:p w14:paraId="57A19A6D">
      <w:pPr>
        <w:pStyle w:val="61"/>
        <w:ind w:left="0" w:leftChars="0" w:firstLine="0" w:firstLineChars="0"/>
        <w:rPr>
          <w:color w:val="auto"/>
        </w:rPr>
      </w:pPr>
    </w:p>
    <w:p w14:paraId="1876C935">
      <w:pPr>
        <w:pStyle w:val="61"/>
        <w:ind w:left="0" w:leftChars="0" w:firstLine="0" w:firstLineChars="0"/>
        <w:rPr>
          <w:color w:val="auto"/>
        </w:rPr>
      </w:pPr>
    </w:p>
    <w:p w14:paraId="29EFE365">
      <w:pPr>
        <w:pStyle w:val="61"/>
        <w:ind w:left="0" w:leftChars="0" w:firstLine="0" w:firstLineChars="0"/>
        <w:rPr>
          <w:color w:val="auto"/>
        </w:rPr>
      </w:pPr>
    </w:p>
    <w:p w14:paraId="35E6A065">
      <w:pPr>
        <w:pStyle w:val="61"/>
        <w:ind w:left="0" w:leftChars="0" w:firstLine="0" w:firstLineChars="0"/>
        <w:rPr>
          <w:color w:val="auto"/>
        </w:rPr>
      </w:pPr>
    </w:p>
    <w:p w14:paraId="6368C700">
      <w:pPr>
        <w:pStyle w:val="61"/>
        <w:ind w:left="0" w:leftChars="0" w:firstLine="0" w:firstLineChars="0"/>
        <w:rPr>
          <w:color w:val="auto"/>
        </w:rPr>
      </w:pPr>
    </w:p>
    <w:p w14:paraId="0F237ADB">
      <w:pPr>
        <w:pStyle w:val="61"/>
        <w:ind w:left="0" w:leftChars="0" w:firstLine="0" w:firstLineChars="0"/>
        <w:rPr>
          <w:color w:val="auto"/>
        </w:rPr>
      </w:pPr>
    </w:p>
    <w:p w14:paraId="4D11B3DC">
      <w:pPr>
        <w:pStyle w:val="61"/>
        <w:ind w:left="0" w:leftChars="0" w:firstLine="0" w:firstLineChars="0"/>
        <w:rPr>
          <w:color w:val="auto"/>
        </w:rPr>
      </w:pPr>
    </w:p>
    <w:p w14:paraId="5859F009">
      <w:pPr>
        <w:pStyle w:val="61"/>
        <w:ind w:left="0" w:leftChars="0" w:firstLine="0" w:firstLineChars="0"/>
        <w:rPr>
          <w:color w:val="auto"/>
        </w:rPr>
      </w:pPr>
    </w:p>
    <w:p w14:paraId="33ECE474">
      <w:pPr>
        <w:pStyle w:val="61"/>
        <w:ind w:left="0" w:leftChars="0" w:firstLine="0" w:firstLineChars="0"/>
        <w:rPr>
          <w:color w:val="auto"/>
        </w:rPr>
      </w:pPr>
    </w:p>
    <w:p w14:paraId="596DAC5F">
      <w:pPr>
        <w:pStyle w:val="61"/>
        <w:ind w:left="0" w:leftChars="0" w:firstLine="0" w:firstLineChars="0"/>
        <w:rPr>
          <w:color w:val="auto"/>
        </w:rPr>
      </w:pPr>
    </w:p>
    <w:p w14:paraId="5C6DFD6F">
      <w:pPr>
        <w:pStyle w:val="61"/>
        <w:ind w:left="0" w:leftChars="0" w:firstLine="0" w:firstLineChars="0"/>
        <w:rPr>
          <w:color w:val="auto"/>
        </w:rPr>
      </w:pPr>
    </w:p>
    <w:p w14:paraId="4EA35283">
      <w:pPr>
        <w:pStyle w:val="61"/>
        <w:ind w:left="0" w:leftChars="0" w:firstLine="0" w:firstLineChars="0"/>
        <w:rPr>
          <w:rFonts w:hint="eastAsia"/>
          <w:color w:val="auto"/>
          <w:lang w:val="en-US" w:eastAsia="zh-CN"/>
        </w:rPr>
      </w:pPr>
      <w:r>
        <w:rPr>
          <w:rFonts w:hint="eastAsia"/>
          <w:color w:val="auto"/>
          <w:lang w:val="en-US" w:eastAsia="zh-CN"/>
        </w:rPr>
        <w:t>附件2 承诺书</w:t>
      </w:r>
    </w:p>
    <w:p w14:paraId="2EFE5DC5">
      <w:pPr>
        <w:adjustRightInd w:val="0"/>
        <w:snapToGrid w:val="0"/>
        <w:spacing w:line="360" w:lineRule="auto"/>
        <w:jc w:val="center"/>
        <w:rPr>
          <w:rFonts w:hint="eastAsia"/>
          <w:b/>
          <w:bCs/>
          <w:snapToGrid w:val="0"/>
          <w:color w:val="auto"/>
          <w:kern w:val="21"/>
          <w:sz w:val="40"/>
          <w:szCs w:val="40"/>
          <w:lang w:val="en-US" w:eastAsia="zh-CN"/>
        </w:rPr>
      </w:pPr>
      <w:r>
        <w:rPr>
          <w:color w:val="auto"/>
        </w:rPr>
        <w:drawing>
          <wp:anchor distT="0" distB="0" distL="114300" distR="114300" simplePos="0" relativeHeight="251716608" behindDoc="0" locked="0" layoutInCell="1" allowOverlap="1">
            <wp:simplePos x="0" y="0"/>
            <wp:positionH relativeFrom="column">
              <wp:posOffset>-111125</wp:posOffset>
            </wp:positionH>
            <wp:positionV relativeFrom="paragraph">
              <wp:posOffset>37465</wp:posOffset>
            </wp:positionV>
            <wp:extent cx="6235065" cy="8088630"/>
            <wp:effectExtent l="0" t="0" r="13335" b="7620"/>
            <wp:wrapNone/>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7"/>
                    <a:stretch>
                      <a:fillRect/>
                    </a:stretch>
                  </pic:blipFill>
                  <pic:spPr>
                    <a:xfrm>
                      <a:off x="0" y="0"/>
                      <a:ext cx="6235065" cy="8088630"/>
                    </a:xfrm>
                    <a:prstGeom prst="rect">
                      <a:avLst/>
                    </a:prstGeom>
                    <a:noFill/>
                    <a:ln>
                      <a:noFill/>
                    </a:ln>
                  </pic:spPr>
                </pic:pic>
              </a:graphicData>
            </a:graphic>
          </wp:anchor>
        </w:drawing>
      </w:r>
    </w:p>
    <w:p w14:paraId="02C24269">
      <w:pPr>
        <w:pStyle w:val="61"/>
        <w:ind w:left="0" w:leftChars="0" w:firstLine="0" w:firstLineChars="0"/>
        <w:rPr>
          <w:rFonts w:hint="default"/>
          <w:color w:val="auto"/>
          <w:lang w:val="en-US" w:eastAsia="zh-CN"/>
        </w:rPr>
      </w:pPr>
    </w:p>
    <w:p w14:paraId="66CEDD92">
      <w:pPr>
        <w:pStyle w:val="61"/>
        <w:ind w:left="0" w:leftChars="0" w:firstLine="0" w:firstLineChars="0"/>
        <w:rPr>
          <w:rFonts w:hint="default"/>
          <w:color w:val="auto"/>
          <w:lang w:val="en-US" w:eastAsia="zh-CN"/>
        </w:rPr>
      </w:pPr>
    </w:p>
    <w:p w14:paraId="1BBD9F61">
      <w:pPr>
        <w:pStyle w:val="61"/>
        <w:ind w:left="0" w:leftChars="0" w:firstLine="0" w:firstLineChars="0"/>
        <w:rPr>
          <w:rFonts w:hint="default"/>
          <w:color w:val="auto"/>
          <w:lang w:val="en-US" w:eastAsia="zh-CN"/>
        </w:rPr>
      </w:pPr>
    </w:p>
    <w:p w14:paraId="578810AC">
      <w:pPr>
        <w:pStyle w:val="61"/>
        <w:ind w:left="0" w:leftChars="0" w:firstLine="0" w:firstLineChars="0"/>
        <w:rPr>
          <w:rFonts w:hint="default"/>
          <w:color w:val="auto"/>
          <w:lang w:val="en-US" w:eastAsia="zh-CN"/>
        </w:rPr>
      </w:pPr>
    </w:p>
    <w:p w14:paraId="1FFB6032">
      <w:pPr>
        <w:pStyle w:val="61"/>
        <w:ind w:left="0" w:leftChars="0" w:firstLine="0" w:firstLineChars="0"/>
        <w:rPr>
          <w:rFonts w:hint="default"/>
          <w:color w:val="auto"/>
          <w:lang w:val="en-US" w:eastAsia="zh-CN"/>
        </w:rPr>
      </w:pPr>
    </w:p>
    <w:p w14:paraId="1BD16DCD">
      <w:pPr>
        <w:pStyle w:val="61"/>
        <w:ind w:left="0" w:leftChars="0" w:firstLine="0" w:firstLineChars="0"/>
        <w:rPr>
          <w:rFonts w:hint="default"/>
          <w:color w:val="auto"/>
          <w:lang w:val="en-US" w:eastAsia="zh-CN"/>
        </w:rPr>
      </w:pPr>
    </w:p>
    <w:p w14:paraId="30AF5673">
      <w:pPr>
        <w:pStyle w:val="61"/>
        <w:ind w:left="0" w:leftChars="0" w:firstLine="0" w:firstLineChars="0"/>
        <w:rPr>
          <w:rFonts w:hint="default"/>
          <w:color w:val="auto"/>
          <w:lang w:val="en-US" w:eastAsia="zh-CN"/>
        </w:rPr>
      </w:pPr>
    </w:p>
    <w:p w14:paraId="5D7A39B1">
      <w:pPr>
        <w:pStyle w:val="61"/>
        <w:ind w:left="0" w:leftChars="0" w:firstLine="0" w:firstLineChars="0"/>
        <w:rPr>
          <w:rFonts w:hint="default"/>
          <w:color w:val="auto"/>
          <w:lang w:val="en-US" w:eastAsia="zh-CN"/>
        </w:rPr>
      </w:pPr>
    </w:p>
    <w:p w14:paraId="174B26A0">
      <w:pPr>
        <w:pStyle w:val="61"/>
        <w:ind w:left="0" w:leftChars="0" w:firstLine="0" w:firstLineChars="0"/>
        <w:rPr>
          <w:rFonts w:hint="default"/>
          <w:color w:val="auto"/>
          <w:lang w:val="en-US" w:eastAsia="zh-CN"/>
        </w:rPr>
      </w:pPr>
    </w:p>
    <w:p w14:paraId="2D746697">
      <w:pPr>
        <w:pStyle w:val="61"/>
        <w:ind w:left="0" w:leftChars="0" w:firstLine="0" w:firstLineChars="0"/>
        <w:rPr>
          <w:rFonts w:hint="default"/>
          <w:color w:val="auto"/>
          <w:lang w:val="en-US" w:eastAsia="zh-CN"/>
        </w:rPr>
      </w:pPr>
    </w:p>
    <w:p w14:paraId="7E74EABF">
      <w:pPr>
        <w:pStyle w:val="61"/>
        <w:ind w:left="0" w:leftChars="0" w:firstLine="0" w:firstLineChars="0"/>
        <w:rPr>
          <w:rFonts w:hint="default"/>
          <w:color w:val="auto"/>
          <w:lang w:val="en-US" w:eastAsia="zh-CN"/>
        </w:rPr>
      </w:pPr>
    </w:p>
    <w:p w14:paraId="0C096164">
      <w:pPr>
        <w:pStyle w:val="61"/>
        <w:ind w:left="0" w:leftChars="0" w:firstLine="0" w:firstLineChars="0"/>
        <w:rPr>
          <w:rFonts w:hint="default"/>
          <w:color w:val="auto"/>
          <w:lang w:val="en-US" w:eastAsia="zh-CN"/>
        </w:rPr>
      </w:pPr>
    </w:p>
    <w:p w14:paraId="68CCA2D6">
      <w:pPr>
        <w:pStyle w:val="61"/>
        <w:ind w:left="0" w:leftChars="0" w:firstLine="0" w:firstLineChars="0"/>
        <w:rPr>
          <w:rFonts w:hint="default"/>
          <w:color w:val="auto"/>
          <w:lang w:val="en-US" w:eastAsia="zh-CN"/>
        </w:rPr>
      </w:pPr>
    </w:p>
    <w:p w14:paraId="25804515">
      <w:pPr>
        <w:pStyle w:val="61"/>
        <w:ind w:left="0" w:leftChars="0" w:firstLine="0" w:firstLineChars="0"/>
        <w:rPr>
          <w:rFonts w:hint="default"/>
          <w:color w:val="auto"/>
          <w:lang w:val="en-US" w:eastAsia="zh-CN"/>
        </w:rPr>
      </w:pPr>
    </w:p>
    <w:p w14:paraId="04717529">
      <w:pPr>
        <w:pStyle w:val="61"/>
        <w:ind w:left="0" w:leftChars="0" w:firstLine="0" w:firstLineChars="0"/>
        <w:rPr>
          <w:rFonts w:hint="default"/>
          <w:color w:val="auto"/>
          <w:lang w:val="en-US" w:eastAsia="zh-CN"/>
        </w:rPr>
      </w:pPr>
    </w:p>
    <w:p w14:paraId="17C30392">
      <w:pPr>
        <w:pStyle w:val="61"/>
        <w:ind w:left="0" w:leftChars="0" w:firstLine="0" w:firstLineChars="0"/>
        <w:rPr>
          <w:rFonts w:hint="default"/>
          <w:color w:val="auto"/>
          <w:lang w:val="en-US" w:eastAsia="zh-CN"/>
        </w:rPr>
      </w:pPr>
    </w:p>
    <w:p w14:paraId="78A5E2FB">
      <w:pPr>
        <w:pStyle w:val="61"/>
        <w:ind w:left="0" w:leftChars="0" w:firstLine="0" w:firstLineChars="0"/>
        <w:rPr>
          <w:rFonts w:hint="default"/>
          <w:color w:val="auto"/>
          <w:lang w:val="en-US" w:eastAsia="zh-CN"/>
        </w:rPr>
      </w:pPr>
    </w:p>
    <w:p w14:paraId="000C34F3">
      <w:pPr>
        <w:pStyle w:val="61"/>
        <w:ind w:left="0" w:leftChars="0" w:firstLine="0" w:firstLineChars="0"/>
        <w:rPr>
          <w:rFonts w:hint="default"/>
          <w:color w:val="auto"/>
          <w:lang w:val="en-US" w:eastAsia="zh-CN"/>
        </w:rPr>
      </w:pPr>
    </w:p>
    <w:p w14:paraId="14B5FFDB">
      <w:pPr>
        <w:pStyle w:val="61"/>
        <w:ind w:left="0" w:leftChars="0" w:firstLine="0" w:firstLineChars="0"/>
        <w:rPr>
          <w:rFonts w:hint="default"/>
          <w:color w:val="auto"/>
          <w:lang w:val="en-US" w:eastAsia="zh-CN"/>
        </w:rPr>
      </w:pPr>
    </w:p>
    <w:p w14:paraId="11B823E4">
      <w:pPr>
        <w:pStyle w:val="61"/>
        <w:ind w:left="0" w:leftChars="0" w:firstLine="0" w:firstLineChars="0"/>
        <w:rPr>
          <w:rFonts w:hint="default"/>
          <w:color w:val="auto"/>
          <w:lang w:val="en-US" w:eastAsia="zh-CN"/>
        </w:rPr>
      </w:pPr>
    </w:p>
    <w:p w14:paraId="0C70D21F">
      <w:pPr>
        <w:pStyle w:val="61"/>
        <w:ind w:left="0" w:leftChars="0" w:firstLine="0" w:firstLineChars="0"/>
        <w:rPr>
          <w:rFonts w:hint="default"/>
          <w:color w:val="auto"/>
          <w:lang w:val="en-US" w:eastAsia="zh-CN"/>
        </w:rPr>
      </w:pPr>
    </w:p>
    <w:p w14:paraId="034FE425">
      <w:pPr>
        <w:pStyle w:val="61"/>
        <w:ind w:left="0" w:leftChars="0" w:firstLine="0" w:firstLineChars="0"/>
        <w:rPr>
          <w:rFonts w:hint="default"/>
          <w:color w:val="auto"/>
          <w:lang w:val="en-US" w:eastAsia="zh-CN"/>
        </w:rPr>
      </w:pPr>
    </w:p>
    <w:p w14:paraId="4890B670">
      <w:pPr>
        <w:pStyle w:val="61"/>
        <w:ind w:left="0" w:leftChars="0" w:firstLine="0" w:firstLineChars="0"/>
        <w:rPr>
          <w:rFonts w:hint="default"/>
          <w:color w:val="auto"/>
          <w:lang w:val="en-US" w:eastAsia="zh-CN"/>
        </w:rPr>
      </w:pPr>
    </w:p>
    <w:p w14:paraId="22793AA3">
      <w:pPr>
        <w:pStyle w:val="61"/>
        <w:ind w:left="0" w:leftChars="0" w:firstLine="0" w:firstLineChars="0"/>
        <w:rPr>
          <w:rFonts w:hint="default"/>
          <w:color w:val="auto"/>
          <w:lang w:val="en-US" w:eastAsia="zh-CN"/>
        </w:rPr>
      </w:pPr>
    </w:p>
    <w:p w14:paraId="153F3468">
      <w:pPr>
        <w:pStyle w:val="61"/>
        <w:ind w:left="0" w:leftChars="0" w:firstLine="0" w:firstLineChars="0"/>
        <w:rPr>
          <w:rFonts w:hint="default"/>
          <w:color w:val="auto"/>
          <w:lang w:val="en-US" w:eastAsia="zh-CN"/>
        </w:rPr>
      </w:pPr>
    </w:p>
    <w:p w14:paraId="312B9F36">
      <w:pPr>
        <w:pStyle w:val="61"/>
        <w:ind w:left="0" w:leftChars="0" w:firstLine="0" w:firstLineChars="0"/>
        <w:rPr>
          <w:rFonts w:hint="default"/>
          <w:color w:val="auto"/>
          <w:lang w:val="en-US" w:eastAsia="zh-CN"/>
        </w:rPr>
      </w:pPr>
    </w:p>
    <w:p w14:paraId="3B4CAC2B">
      <w:pPr>
        <w:pStyle w:val="61"/>
        <w:ind w:left="0" w:leftChars="0" w:firstLine="0" w:firstLineChars="0"/>
        <w:rPr>
          <w:rFonts w:hint="default"/>
          <w:color w:val="auto"/>
          <w:lang w:val="en-US" w:eastAsia="zh-CN"/>
        </w:rPr>
      </w:pPr>
    </w:p>
    <w:p w14:paraId="5728EE42">
      <w:pPr>
        <w:pStyle w:val="61"/>
        <w:ind w:left="0" w:leftChars="0" w:firstLine="0" w:firstLineChars="0"/>
        <w:rPr>
          <w:rFonts w:hint="eastAsia"/>
          <w:color w:val="auto"/>
          <w:lang w:val="en-US" w:eastAsia="zh-CN"/>
        </w:rPr>
      </w:pPr>
      <w:r>
        <w:rPr>
          <w:rFonts w:hint="eastAsia"/>
          <w:color w:val="auto"/>
          <w:lang w:val="en-US" w:eastAsia="zh-CN"/>
        </w:rPr>
        <w:t>附件3 备案证明</w:t>
      </w:r>
    </w:p>
    <w:p w14:paraId="24D5A7E1">
      <w:pPr>
        <w:pStyle w:val="61"/>
        <w:ind w:left="0" w:leftChars="0" w:firstLine="0" w:firstLineChars="0"/>
        <w:rPr>
          <w:color w:val="auto"/>
        </w:rPr>
      </w:pPr>
      <w:r>
        <w:rPr>
          <w:color w:val="auto"/>
        </w:rPr>
        <w:drawing>
          <wp:anchor distT="0" distB="0" distL="114300" distR="114300" simplePos="0" relativeHeight="251717632" behindDoc="0" locked="0" layoutInCell="1" allowOverlap="1">
            <wp:simplePos x="0" y="0"/>
            <wp:positionH relativeFrom="column">
              <wp:posOffset>0</wp:posOffset>
            </wp:positionH>
            <wp:positionV relativeFrom="paragraph">
              <wp:posOffset>0</wp:posOffset>
            </wp:positionV>
            <wp:extent cx="5591175" cy="7839075"/>
            <wp:effectExtent l="0" t="0" r="9525" b="9525"/>
            <wp:wrapNone/>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18"/>
                    <a:stretch>
                      <a:fillRect/>
                    </a:stretch>
                  </pic:blipFill>
                  <pic:spPr>
                    <a:xfrm>
                      <a:off x="0" y="0"/>
                      <a:ext cx="5591175" cy="7839075"/>
                    </a:xfrm>
                    <a:prstGeom prst="rect">
                      <a:avLst/>
                    </a:prstGeom>
                    <a:noFill/>
                    <a:ln>
                      <a:noFill/>
                    </a:ln>
                  </pic:spPr>
                </pic:pic>
              </a:graphicData>
            </a:graphic>
          </wp:anchor>
        </w:drawing>
      </w:r>
    </w:p>
    <w:p w14:paraId="7D2979AD">
      <w:pPr>
        <w:pStyle w:val="61"/>
        <w:ind w:left="0" w:leftChars="0" w:firstLine="0" w:firstLineChars="0"/>
        <w:rPr>
          <w:color w:val="auto"/>
        </w:rPr>
      </w:pPr>
    </w:p>
    <w:p w14:paraId="3E024292">
      <w:pPr>
        <w:pStyle w:val="61"/>
        <w:ind w:left="0" w:leftChars="0" w:firstLine="0" w:firstLineChars="0"/>
        <w:rPr>
          <w:color w:val="auto"/>
        </w:rPr>
      </w:pPr>
    </w:p>
    <w:p w14:paraId="4BB45EA0">
      <w:pPr>
        <w:pStyle w:val="61"/>
        <w:ind w:left="0" w:leftChars="0" w:firstLine="0" w:firstLineChars="0"/>
        <w:rPr>
          <w:color w:val="auto"/>
        </w:rPr>
      </w:pPr>
    </w:p>
    <w:p w14:paraId="632E8523">
      <w:pPr>
        <w:pStyle w:val="61"/>
        <w:ind w:left="0" w:leftChars="0" w:firstLine="0" w:firstLineChars="0"/>
        <w:rPr>
          <w:color w:val="auto"/>
        </w:rPr>
      </w:pPr>
    </w:p>
    <w:p w14:paraId="3F3C2E97">
      <w:pPr>
        <w:pStyle w:val="61"/>
        <w:ind w:left="0" w:leftChars="0" w:firstLine="0" w:firstLineChars="0"/>
        <w:rPr>
          <w:color w:val="auto"/>
        </w:rPr>
      </w:pPr>
    </w:p>
    <w:p w14:paraId="74621788">
      <w:pPr>
        <w:pStyle w:val="61"/>
        <w:ind w:left="0" w:leftChars="0" w:firstLine="0" w:firstLineChars="0"/>
        <w:rPr>
          <w:color w:val="auto"/>
        </w:rPr>
      </w:pPr>
    </w:p>
    <w:p w14:paraId="3B81673C">
      <w:pPr>
        <w:pStyle w:val="61"/>
        <w:ind w:left="0" w:leftChars="0" w:firstLine="0" w:firstLineChars="0"/>
        <w:rPr>
          <w:color w:val="auto"/>
        </w:rPr>
      </w:pPr>
    </w:p>
    <w:p w14:paraId="50701797">
      <w:pPr>
        <w:pStyle w:val="61"/>
        <w:ind w:left="0" w:leftChars="0" w:firstLine="0" w:firstLineChars="0"/>
        <w:rPr>
          <w:color w:val="auto"/>
        </w:rPr>
      </w:pPr>
    </w:p>
    <w:p w14:paraId="54183D9A">
      <w:pPr>
        <w:pStyle w:val="61"/>
        <w:ind w:left="0" w:leftChars="0" w:firstLine="0" w:firstLineChars="0"/>
        <w:rPr>
          <w:color w:val="auto"/>
        </w:rPr>
      </w:pPr>
    </w:p>
    <w:p w14:paraId="5CF5FEC1">
      <w:pPr>
        <w:pStyle w:val="61"/>
        <w:ind w:left="0" w:leftChars="0" w:firstLine="0" w:firstLineChars="0"/>
        <w:rPr>
          <w:color w:val="auto"/>
        </w:rPr>
      </w:pPr>
    </w:p>
    <w:p w14:paraId="0F475560">
      <w:pPr>
        <w:pStyle w:val="61"/>
        <w:ind w:left="0" w:leftChars="0" w:firstLine="0" w:firstLineChars="0"/>
        <w:rPr>
          <w:color w:val="auto"/>
        </w:rPr>
      </w:pPr>
    </w:p>
    <w:p w14:paraId="4F5721FB">
      <w:pPr>
        <w:pStyle w:val="61"/>
        <w:ind w:left="0" w:leftChars="0" w:firstLine="0" w:firstLineChars="0"/>
        <w:rPr>
          <w:color w:val="auto"/>
        </w:rPr>
      </w:pPr>
    </w:p>
    <w:p w14:paraId="62597C5F">
      <w:pPr>
        <w:pStyle w:val="61"/>
        <w:ind w:left="0" w:leftChars="0" w:firstLine="0" w:firstLineChars="0"/>
        <w:rPr>
          <w:color w:val="auto"/>
        </w:rPr>
      </w:pPr>
    </w:p>
    <w:p w14:paraId="0DF4D1D9">
      <w:pPr>
        <w:pStyle w:val="61"/>
        <w:ind w:left="0" w:leftChars="0" w:firstLine="0" w:firstLineChars="0"/>
        <w:rPr>
          <w:color w:val="auto"/>
        </w:rPr>
      </w:pPr>
    </w:p>
    <w:p w14:paraId="46D02E98">
      <w:pPr>
        <w:pStyle w:val="61"/>
        <w:ind w:left="0" w:leftChars="0" w:firstLine="0" w:firstLineChars="0"/>
        <w:rPr>
          <w:color w:val="auto"/>
        </w:rPr>
      </w:pPr>
    </w:p>
    <w:p w14:paraId="088203DF">
      <w:pPr>
        <w:pStyle w:val="61"/>
        <w:ind w:left="0" w:leftChars="0" w:firstLine="0" w:firstLineChars="0"/>
        <w:rPr>
          <w:color w:val="auto"/>
        </w:rPr>
      </w:pPr>
    </w:p>
    <w:p w14:paraId="0F09D146">
      <w:pPr>
        <w:pStyle w:val="61"/>
        <w:ind w:left="0" w:leftChars="0" w:firstLine="0" w:firstLineChars="0"/>
        <w:rPr>
          <w:color w:val="auto"/>
        </w:rPr>
      </w:pPr>
    </w:p>
    <w:p w14:paraId="19DCE5CE">
      <w:pPr>
        <w:pStyle w:val="61"/>
        <w:ind w:left="0" w:leftChars="0" w:firstLine="0" w:firstLineChars="0"/>
        <w:rPr>
          <w:color w:val="auto"/>
        </w:rPr>
      </w:pPr>
    </w:p>
    <w:p w14:paraId="0F2646D0">
      <w:pPr>
        <w:pStyle w:val="61"/>
        <w:ind w:left="0" w:leftChars="0" w:firstLine="0" w:firstLineChars="0"/>
        <w:rPr>
          <w:color w:val="auto"/>
        </w:rPr>
      </w:pPr>
    </w:p>
    <w:p w14:paraId="637DA3CE">
      <w:pPr>
        <w:pStyle w:val="61"/>
        <w:ind w:left="0" w:leftChars="0" w:firstLine="0" w:firstLineChars="0"/>
        <w:rPr>
          <w:color w:val="auto"/>
        </w:rPr>
      </w:pPr>
    </w:p>
    <w:p w14:paraId="727630DB">
      <w:pPr>
        <w:pStyle w:val="61"/>
        <w:ind w:left="0" w:leftChars="0" w:firstLine="0" w:firstLineChars="0"/>
        <w:rPr>
          <w:color w:val="auto"/>
        </w:rPr>
      </w:pPr>
    </w:p>
    <w:p w14:paraId="1F4D3BCD">
      <w:pPr>
        <w:pStyle w:val="61"/>
        <w:ind w:left="0" w:leftChars="0" w:firstLine="0" w:firstLineChars="0"/>
        <w:rPr>
          <w:color w:val="auto"/>
        </w:rPr>
      </w:pPr>
    </w:p>
    <w:p w14:paraId="3124D882">
      <w:pPr>
        <w:pStyle w:val="61"/>
        <w:ind w:left="0" w:leftChars="0" w:firstLine="0" w:firstLineChars="0"/>
        <w:rPr>
          <w:color w:val="auto"/>
        </w:rPr>
      </w:pPr>
    </w:p>
    <w:p w14:paraId="582AC099">
      <w:pPr>
        <w:pStyle w:val="61"/>
        <w:ind w:left="0" w:leftChars="0" w:firstLine="0" w:firstLineChars="0"/>
        <w:rPr>
          <w:color w:val="auto"/>
        </w:rPr>
      </w:pPr>
    </w:p>
    <w:p w14:paraId="5DBFB2D4">
      <w:pPr>
        <w:pStyle w:val="61"/>
        <w:ind w:left="0" w:leftChars="0" w:firstLine="0" w:firstLineChars="0"/>
        <w:rPr>
          <w:color w:val="auto"/>
        </w:rPr>
      </w:pPr>
    </w:p>
    <w:p w14:paraId="0B35A3A6">
      <w:pPr>
        <w:pStyle w:val="61"/>
        <w:ind w:left="0" w:leftChars="0" w:firstLine="0" w:firstLineChars="0"/>
        <w:rPr>
          <w:color w:val="auto"/>
        </w:rPr>
      </w:pPr>
    </w:p>
    <w:p w14:paraId="1577E5BC">
      <w:pPr>
        <w:pStyle w:val="61"/>
        <w:ind w:left="0" w:leftChars="0" w:firstLine="0" w:firstLineChars="0"/>
        <w:rPr>
          <w:color w:val="auto"/>
        </w:rPr>
      </w:pPr>
    </w:p>
    <w:p w14:paraId="745F8E4C">
      <w:pPr>
        <w:pStyle w:val="61"/>
        <w:ind w:left="0" w:leftChars="0" w:firstLine="0" w:firstLineChars="0"/>
        <w:rPr>
          <w:rFonts w:hint="default"/>
          <w:color w:val="auto"/>
          <w:lang w:val="en-US" w:eastAsia="zh-CN"/>
        </w:rPr>
      </w:pPr>
      <w:r>
        <w:rPr>
          <w:rFonts w:hint="eastAsia"/>
          <w:color w:val="auto"/>
          <w:lang w:val="en-US" w:eastAsia="zh-CN"/>
        </w:rPr>
        <w:t>附件4  营业执照</w:t>
      </w:r>
    </w:p>
    <w:p w14:paraId="2CC08995">
      <w:pPr>
        <w:pStyle w:val="61"/>
        <w:ind w:left="0" w:leftChars="0" w:firstLine="0" w:firstLineChars="0"/>
        <w:rPr>
          <w:rFonts w:hint="default"/>
          <w:color w:val="auto"/>
          <w:lang w:val="en-US" w:eastAsia="zh-CN"/>
        </w:rPr>
      </w:pPr>
      <w:r>
        <w:rPr>
          <w:color w:val="auto"/>
        </w:rPr>
        <w:drawing>
          <wp:anchor distT="0" distB="0" distL="114300" distR="114300" simplePos="0" relativeHeight="251718656" behindDoc="0" locked="0" layoutInCell="1" allowOverlap="1">
            <wp:simplePos x="0" y="0"/>
            <wp:positionH relativeFrom="column">
              <wp:posOffset>-1432560</wp:posOffset>
            </wp:positionH>
            <wp:positionV relativeFrom="paragraph">
              <wp:posOffset>1307465</wp:posOffset>
            </wp:positionV>
            <wp:extent cx="8472805" cy="5908675"/>
            <wp:effectExtent l="0" t="0" r="15875" b="4445"/>
            <wp:wrapNone/>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9"/>
                    <a:stretch>
                      <a:fillRect/>
                    </a:stretch>
                  </pic:blipFill>
                  <pic:spPr>
                    <a:xfrm rot="16200000">
                      <a:off x="0" y="0"/>
                      <a:ext cx="8472805" cy="5908675"/>
                    </a:xfrm>
                    <a:prstGeom prst="rect">
                      <a:avLst/>
                    </a:prstGeom>
                    <a:noFill/>
                    <a:ln>
                      <a:noFill/>
                    </a:ln>
                  </pic:spPr>
                </pic:pic>
              </a:graphicData>
            </a:graphic>
          </wp:anchor>
        </w:drawing>
      </w:r>
    </w:p>
    <w:p w14:paraId="512533E9">
      <w:pPr>
        <w:pStyle w:val="61"/>
        <w:ind w:left="0" w:leftChars="0" w:firstLine="0" w:firstLineChars="0"/>
        <w:rPr>
          <w:rFonts w:hint="default"/>
          <w:color w:val="auto"/>
          <w:lang w:val="en-US" w:eastAsia="zh-CN"/>
        </w:rPr>
      </w:pPr>
    </w:p>
    <w:p w14:paraId="522F0FA7">
      <w:pPr>
        <w:pStyle w:val="61"/>
        <w:ind w:left="0" w:leftChars="0" w:firstLine="0" w:firstLineChars="0"/>
        <w:rPr>
          <w:rFonts w:hint="default"/>
          <w:color w:val="auto"/>
          <w:lang w:val="en-US" w:eastAsia="zh-CN"/>
        </w:rPr>
      </w:pPr>
    </w:p>
    <w:p w14:paraId="4421D5F3">
      <w:pPr>
        <w:pStyle w:val="61"/>
        <w:ind w:left="0" w:leftChars="0" w:firstLine="0" w:firstLineChars="0"/>
        <w:rPr>
          <w:rFonts w:hint="default"/>
          <w:color w:val="auto"/>
          <w:lang w:val="en-US" w:eastAsia="zh-CN"/>
        </w:rPr>
      </w:pPr>
    </w:p>
    <w:p w14:paraId="047468D2">
      <w:pPr>
        <w:pStyle w:val="61"/>
        <w:ind w:left="0" w:leftChars="0" w:firstLine="0" w:firstLineChars="0"/>
        <w:rPr>
          <w:rFonts w:hint="default"/>
          <w:color w:val="auto"/>
          <w:lang w:val="en-US" w:eastAsia="zh-CN"/>
        </w:rPr>
      </w:pPr>
    </w:p>
    <w:p w14:paraId="721A1C57">
      <w:pPr>
        <w:pStyle w:val="61"/>
        <w:ind w:left="0" w:leftChars="0" w:firstLine="0" w:firstLineChars="0"/>
        <w:rPr>
          <w:rFonts w:hint="default"/>
          <w:color w:val="auto"/>
          <w:lang w:val="en-US" w:eastAsia="zh-CN"/>
        </w:rPr>
      </w:pPr>
    </w:p>
    <w:p w14:paraId="09BF3886">
      <w:pPr>
        <w:pStyle w:val="61"/>
        <w:ind w:left="0" w:leftChars="0" w:firstLine="0" w:firstLineChars="0"/>
        <w:rPr>
          <w:rFonts w:hint="default"/>
          <w:color w:val="auto"/>
          <w:lang w:val="en-US" w:eastAsia="zh-CN"/>
        </w:rPr>
      </w:pPr>
    </w:p>
    <w:p w14:paraId="1691724A">
      <w:pPr>
        <w:pStyle w:val="61"/>
        <w:ind w:left="0" w:leftChars="0" w:firstLine="0" w:firstLineChars="0"/>
        <w:rPr>
          <w:rFonts w:hint="default"/>
          <w:color w:val="auto"/>
          <w:lang w:val="en-US" w:eastAsia="zh-CN"/>
        </w:rPr>
      </w:pPr>
    </w:p>
    <w:p w14:paraId="45AE9798">
      <w:pPr>
        <w:pStyle w:val="61"/>
        <w:ind w:left="0" w:leftChars="0" w:firstLine="0" w:firstLineChars="0"/>
        <w:rPr>
          <w:rFonts w:hint="default"/>
          <w:color w:val="auto"/>
          <w:lang w:val="en-US" w:eastAsia="zh-CN"/>
        </w:rPr>
      </w:pPr>
    </w:p>
    <w:p w14:paraId="6C480B7F">
      <w:pPr>
        <w:pStyle w:val="61"/>
        <w:ind w:left="0" w:leftChars="0" w:firstLine="0" w:firstLineChars="0"/>
        <w:rPr>
          <w:rFonts w:hint="default"/>
          <w:color w:val="auto"/>
          <w:lang w:val="en-US" w:eastAsia="zh-CN"/>
        </w:rPr>
      </w:pPr>
    </w:p>
    <w:p w14:paraId="73643DA0">
      <w:pPr>
        <w:pStyle w:val="61"/>
        <w:ind w:left="0" w:leftChars="0" w:firstLine="0" w:firstLineChars="0"/>
        <w:rPr>
          <w:rFonts w:hint="default"/>
          <w:color w:val="auto"/>
          <w:lang w:val="en-US" w:eastAsia="zh-CN"/>
        </w:rPr>
      </w:pPr>
    </w:p>
    <w:p w14:paraId="7309B330">
      <w:pPr>
        <w:pStyle w:val="61"/>
        <w:ind w:left="0" w:leftChars="0" w:firstLine="0" w:firstLineChars="0"/>
        <w:rPr>
          <w:rFonts w:hint="default"/>
          <w:color w:val="auto"/>
          <w:lang w:val="en-US" w:eastAsia="zh-CN"/>
        </w:rPr>
      </w:pPr>
    </w:p>
    <w:p w14:paraId="41293C0D">
      <w:pPr>
        <w:pStyle w:val="61"/>
        <w:ind w:left="0" w:leftChars="0" w:firstLine="0" w:firstLineChars="0"/>
        <w:rPr>
          <w:rFonts w:hint="default"/>
          <w:color w:val="auto"/>
          <w:lang w:val="en-US" w:eastAsia="zh-CN"/>
        </w:rPr>
      </w:pPr>
    </w:p>
    <w:p w14:paraId="05D8DD08">
      <w:pPr>
        <w:pStyle w:val="61"/>
        <w:ind w:left="0" w:leftChars="0" w:firstLine="0" w:firstLineChars="0"/>
        <w:rPr>
          <w:rFonts w:hint="default"/>
          <w:color w:val="auto"/>
          <w:lang w:val="en-US" w:eastAsia="zh-CN"/>
        </w:rPr>
      </w:pPr>
    </w:p>
    <w:p w14:paraId="7CE9C235">
      <w:pPr>
        <w:pStyle w:val="61"/>
        <w:ind w:left="0" w:leftChars="0" w:firstLine="0" w:firstLineChars="0"/>
        <w:rPr>
          <w:rFonts w:hint="default"/>
          <w:color w:val="auto"/>
          <w:lang w:val="en-US" w:eastAsia="zh-CN"/>
        </w:rPr>
      </w:pPr>
    </w:p>
    <w:p w14:paraId="7C9DDE6B">
      <w:pPr>
        <w:pStyle w:val="61"/>
        <w:ind w:left="0" w:leftChars="0" w:firstLine="0" w:firstLineChars="0"/>
        <w:rPr>
          <w:rFonts w:hint="default"/>
          <w:color w:val="auto"/>
          <w:lang w:val="en-US" w:eastAsia="zh-CN"/>
        </w:rPr>
      </w:pPr>
    </w:p>
    <w:p w14:paraId="35E15D65">
      <w:pPr>
        <w:pStyle w:val="61"/>
        <w:ind w:left="0" w:leftChars="0" w:firstLine="0" w:firstLineChars="0"/>
        <w:rPr>
          <w:rFonts w:hint="default"/>
          <w:color w:val="auto"/>
          <w:lang w:val="en-US" w:eastAsia="zh-CN"/>
        </w:rPr>
      </w:pPr>
    </w:p>
    <w:p w14:paraId="5170A85D">
      <w:pPr>
        <w:pStyle w:val="61"/>
        <w:ind w:left="0" w:leftChars="0" w:firstLine="0" w:firstLineChars="0"/>
        <w:rPr>
          <w:rFonts w:hint="default"/>
          <w:color w:val="auto"/>
          <w:lang w:val="en-US" w:eastAsia="zh-CN"/>
        </w:rPr>
      </w:pPr>
    </w:p>
    <w:p w14:paraId="7E6F0817">
      <w:pPr>
        <w:pStyle w:val="61"/>
        <w:ind w:left="0" w:leftChars="0" w:firstLine="0" w:firstLineChars="0"/>
        <w:rPr>
          <w:rFonts w:hint="default"/>
          <w:color w:val="auto"/>
          <w:lang w:val="en-US" w:eastAsia="zh-CN"/>
        </w:rPr>
      </w:pPr>
    </w:p>
    <w:p w14:paraId="64308F74">
      <w:pPr>
        <w:pStyle w:val="61"/>
        <w:ind w:left="0" w:leftChars="0" w:firstLine="0" w:firstLineChars="0"/>
        <w:rPr>
          <w:rFonts w:hint="default"/>
          <w:color w:val="auto"/>
          <w:lang w:val="en-US" w:eastAsia="zh-CN"/>
        </w:rPr>
      </w:pPr>
    </w:p>
    <w:p w14:paraId="07446AED">
      <w:pPr>
        <w:pStyle w:val="61"/>
        <w:ind w:left="0" w:leftChars="0" w:firstLine="0" w:firstLineChars="0"/>
        <w:rPr>
          <w:rFonts w:hint="default"/>
          <w:color w:val="auto"/>
          <w:lang w:val="en-US" w:eastAsia="zh-CN"/>
        </w:rPr>
      </w:pPr>
    </w:p>
    <w:p w14:paraId="2057F7AF">
      <w:pPr>
        <w:pStyle w:val="61"/>
        <w:ind w:left="0" w:leftChars="0" w:firstLine="0" w:firstLineChars="0"/>
        <w:rPr>
          <w:rFonts w:hint="default"/>
          <w:color w:val="auto"/>
          <w:lang w:val="en-US" w:eastAsia="zh-CN"/>
        </w:rPr>
      </w:pPr>
    </w:p>
    <w:p w14:paraId="6108D2A0">
      <w:pPr>
        <w:pStyle w:val="61"/>
        <w:ind w:left="0" w:leftChars="0" w:firstLine="0" w:firstLineChars="0"/>
        <w:rPr>
          <w:rFonts w:hint="default"/>
          <w:color w:val="auto"/>
          <w:lang w:val="en-US" w:eastAsia="zh-CN"/>
        </w:rPr>
      </w:pPr>
    </w:p>
    <w:p w14:paraId="1D67AAF4">
      <w:pPr>
        <w:pStyle w:val="61"/>
        <w:ind w:left="0" w:leftChars="0" w:firstLine="0" w:firstLineChars="0"/>
        <w:rPr>
          <w:rFonts w:hint="default"/>
          <w:color w:val="auto"/>
          <w:lang w:val="en-US" w:eastAsia="zh-CN"/>
        </w:rPr>
      </w:pPr>
    </w:p>
    <w:p w14:paraId="5BA3981B">
      <w:pPr>
        <w:pStyle w:val="61"/>
        <w:ind w:left="0" w:leftChars="0" w:firstLine="0" w:firstLineChars="0"/>
        <w:rPr>
          <w:rFonts w:hint="default"/>
          <w:color w:val="auto"/>
          <w:lang w:val="en-US" w:eastAsia="zh-CN"/>
        </w:rPr>
      </w:pPr>
    </w:p>
    <w:p w14:paraId="64443605">
      <w:pPr>
        <w:pStyle w:val="61"/>
        <w:ind w:left="0" w:leftChars="0" w:firstLine="0" w:firstLineChars="0"/>
        <w:rPr>
          <w:rFonts w:hint="default"/>
          <w:color w:val="auto"/>
          <w:lang w:val="en-US" w:eastAsia="zh-CN"/>
        </w:rPr>
      </w:pPr>
    </w:p>
    <w:p w14:paraId="59396E3D">
      <w:pPr>
        <w:pStyle w:val="61"/>
        <w:ind w:left="0" w:leftChars="0" w:firstLine="0" w:firstLineChars="0"/>
        <w:rPr>
          <w:rFonts w:hint="default"/>
          <w:color w:val="auto"/>
          <w:lang w:val="en-US" w:eastAsia="zh-CN"/>
        </w:rPr>
      </w:pPr>
    </w:p>
    <w:p w14:paraId="4509A563">
      <w:pPr>
        <w:pStyle w:val="61"/>
        <w:ind w:left="0" w:leftChars="0" w:firstLine="0" w:firstLineChars="0"/>
        <w:rPr>
          <w:rFonts w:hint="default"/>
          <w:color w:val="auto"/>
          <w:lang w:val="en-US" w:eastAsia="zh-CN"/>
        </w:rPr>
      </w:pPr>
    </w:p>
    <w:p w14:paraId="03039EFD">
      <w:pPr>
        <w:pStyle w:val="61"/>
        <w:ind w:left="0" w:leftChars="0" w:firstLine="0" w:firstLineChars="0"/>
        <w:rPr>
          <w:rFonts w:hint="default"/>
          <w:color w:val="auto"/>
          <w:lang w:val="en-US" w:eastAsia="zh-CN"/>
        </w:rPr>
      </w:pPr>
    </w:p>
    <w:p w14:paraId="4CD542B9">
      <w:pPr>
        <w:pStyle w:val="61"/>
        <w:ind w:left="0" w:leftChars="0" w:firstLine="0" w:firstLineChars="0"/>
        <w:rPr>
          <w:rFonts w:hint="default"/>
          <w:color w:val="auto"/>
          <w:lang w:val="en-US" w:eastAsia="zh-CN"/>
        </w:rPr>
      </w:pPr>
      <w:r>
        <w:rPr>
          <w:rFonts w:hint="eastAsia"/>
          <w:color w:val="auto"/>
          <w:lang w:val="en-US" w:eastAsia="zh-CN"/>
        </w:rPr>
        <w:t>附件5 镇街意见</w:t>
      </w:r>
    </w:p>
    <w:p w14:paraId="7F1B72CE">
      <w:pPr>
        <w:jc w:val="center"/>
        <w:rPr>
          <w:rFonts w:hint="eastAsia" w:ascii="黑体" w:hAnsi="黑体" w:eastAsia="黑体" w:cs="黑体"/>
          <w:color w:val="auto"/>
          <w:sz w:val="44"/>
          <w:szCs w:val="44"/>
          <w:lang w:val="en-US" w:eastAsia="zh-CN"/>
        </w:rPr>
      </w:pPr>
    </w:p>
    <w:p w14:paraId="7DCBA685">
      <w:pPr>
        <w:jc w:val="center"/>
        <w:rPr>
          <w:rFonts w:hint="eastAsia" w:ascii="黑体" w:hAnsi="黑体" w:eastAsia="黑体" w:cs="黑体"/>
          <w:color w:val="auto"/>
          <w:sz w:val="44"/>
          <w:szCs w:val="44"/>
          <w:lang w:val="en-US" w:eastAsia="zh-CN"/>
        </w:rPr>
      </w:pPr>
      <w:r>
        <w:rPr>
          <w:rFonts w:hint="eastAsia" w:ascii="黑体" w:hAnsi="黑体" w:eastAsia="黑体" w:cs="黑体"/>
          <w:color w:val="auto"/>
          <w:sz w:val="44"/>
          <w:szCs w:val="44"/>
          <w:lang w:val="en-US" w:eastAsia="zh-CN"/>
        </w:rPr>
        <w:t>关于济宁凯漩包装制品有限公司年产450万套机床附件包装盒项目符合规划环评的承诺函</w:t>
      </w:r>
    </w:p>
    <w:p w14:paraId="0AC4FE68">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方正仿宋简体" w:hAnsi="方正仿宋简体" w:eastAsia="方正仿宋简体" w:cs="方正仿宋简体"/>
          <w:b/>
          <w:bCs/>
          <w:color w:val="auto"/>
          <w:sz w:val="32"/>
          <w:szCs w:val="32"/>
          <w:lang w:val="en-US" w:eastAsia="zh-CN"/>
        </w:rPr>
      </w:pPr>
    </w:p>
    <w:p w14:paraId="7D494B77">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方正仿宋简体" w:hAnsi="方正仿宋简体" w:eastAsia="方正仿宋简体" w:cs="方正仿宋简体"/>
          <w:b/>
          <w:bCs/>
          <w:color w:val="auto"/>
          <w:sz w:val="32"/>
          <w:szCs w:val="32"/>
          <w:lang w:val="en-US" w:eastAsia="zh-CN"/>
        </w:rPr>
      </w:pPr>
      <w:r>
        <w:rPr>
          <w:rFonts w:hint="eastAsia" w:ascii="方正仿宋简体" w:hAnsi="方正仿宋简体" w:eastAsia="方正仿宋简体" w:cs="方正仿宋简体"/>
          <w:b/>
          <w:bCs/>
          <w:color w:val="auto"/>
          <w:sz w:val="32"/>
          <w:szCs w:val="32"/>
          <w:lang w:val="en-US" w:eastAsia="zh-CN"/>
        </w:rPr>
        <w:t>为了保障经济高质量发展，我单位拟编制的园区规划环评包含济宁凯漩包装制品有限公司年产450万套机床附件包装盒项目，建设地点位于泗水县泉林镇泉林村原泗水县纺织厂院内。项目符合我单位拟编制的规划环评准入项目清单要求。</w:t>
      </w:r>
    </w:p>
    <w:p w14:paraId="7E24A507">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方正仿宋简体" w:hAnsi="方正仿宋简体" w:eastAsia="方正仿宋简体" w:cs="方正仿宋简体"/>
          <w:b/>
          <w:bCs/>
          <w:color w:val="auto"/>
          <w:sz w:val="32"/>
          <w:szCs w:val="32"/>
          <w:lang w:val="en-US" w:eastAsia="zh-CN"/>
        </w:rPr>
      </w:pPr>
    </w:p>
    <w:p w14:paraId="18278BFF">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方正仿宋简体" w:hAnsi="方正仿宋简体" w:eastAsia="方正仿宋简体" w:cs="方正仿宋简体"/>
          <w:b/>
          <w:bCs/>
          <w:color w:val="auto"/>
          <w:sz w:val="32"/>
          <w:szCs w:val="32"/>
          <w:lang w:val="en-US" w:eastAsia="zh-CN"/>
        </w:rPr>
      </w:pPr>
    </w:p>
    <w:p w14:paraId="65C142C5">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方正仿宋简体" w:hAnsi="方正仿宋简体" w:eastAsia="方正仿宋简体" w:cs="方正仿宋简体"/>
          <w:b/>
          <w:bCs/>
          <w:color w:val="auto"/>
          <w:sz w:val="32"/>
          <w:szCs w:val="32"/>
          <w:lang w:val="en-US" w:eastAsia="zh-CN"/>
        </w:rPr>
      </w:pPr>
    </w:p>
    <w:p w14:paraId="7344C157">
      <w:pPr>
        <w:keepNext w:val="0"/>
        <w:keepLines w:val="0"/>
        <w:pageBreakBefore w:val="0"/>
        <w:widowControl w:val="0"/>
        <w:kinsoku/>
        <w:wordWrap/>
        <w:overflowPunct/>
        <w:topLinePunct w:val="0"/>
        <w:autoSpaceDE/>
        <w:autoSpaceDN/>
        <w:bidi w:val="0"/>
        <w:adjustRightInd/>
        <w:snapToGrid/>
        <w:spacing w:line="600" w:lineRule="exact"/>
        <w:ind w:firstLine="4176" w:firstLineChars="1300"/>
        <w:textAlignment w:val="auto"/>
        <w:rPr>
          <w:rFonts w:hint="eastAsia" w:ascii="方正仿宋简体" w:hAnsi="方正仿宋简体" w:eastAsia="方正仿宋简体" w:cs="方正仿宋简体"/>
          <w:b/>
          <w:bCs/>
          <w:color w:val="auto"/>
          <w:sz w:val="32"/>
          <w:szCs w:val="32"/>
          <w:lang w:val="en-US" w:eastAsia="zh-CN"/>
        </w:rPr>
      </w:pPr>
      <w:r>
        <w:rPr>
          <w:rFonts w:hint="eastAsia" w:ascii="方正仿宋简体" w:hAnsi="方正仿宋简体" w:eastAsia="方正仿宋简体" w:cs="方正仿宋简体"/>
          <w:b/>
          <w:bCs/>
          <w:color w:val="auto"/>
          <w:sz w:val="32"/>
          <w:szCs w:val="32"/>
          <w:lang w:val="en-US" w:eastAsia="zh-CN"/>
        </w:rPr>
        <w:t>泗水县泉林镇人民政府</w:t>
      </w:r>
    </w:p>
    <w:p w14:paraId="50BBE681">
      <w:pPr>
        <w:keepNext w:val="0"/>
        <w:keepLines w:val="0"/>
        <w:pageBreakBefore w:val="0"/>
        <w:widowControl w:val="0"/>
        <w:kinsoku/>
        <w:wordWrap/>
        <w:overflowPunct/>
        <w:topLinePunct w:val="0"/>
        <w:autoSpaceDE/>
        <w:autoSpaceDN/>
        <w:bidi w:val="0"/>
        <w:adjustRightInd/>
        <w:snapToGrid/>
        <w:spacing w:line="600" w:lineRule="exact"/>
        <w:ind w:firstLine="4498" w:firstLineChars="1400"/>
        <w:textAlignment w:val="auto"/>
        <w:rPr>
          <w:rFonts w:hint="default" w:ascii="方正仿宋简体" w:hAnsi="方正仿宋简体" w:eastAsia="方正仿宋简体" w:cs="方正仿宋简体"/>
          <w:b/>
          <w:bCs/>
          <w:color w:val="auto"/>
          <w:sz w:val="32"/>
          <w:szCs w:val="32"/>
          <w:lang w:val="en-US" w:eastAsia="zh-CN"/>
        </w:rPr>
      </w:pPr>
      <w:r>
        <w:rPr>
          <w:rFonts w:hint="eastAsia" w:ascii="方正仿宋简体" w:hAnsi="方正仿宋简体" w:eastAsia="方正仿宋简体" w:cs="方正仿宋简体"/>
          <w:b/>
          <w:bCs/>
          <w:color w:val="auto"/>
          <w:sz w:val="32"/>
          <w:szCs w:val="32"/>
          <w:lang w:val="en-US" w:eastAsia="zh-CN"/>
        </w:rPr>
        <w:t>2026年1年15月</w:t>
      </w:r>
    </w:p>
    <w:p w14:paraId="0886CF5A">
      <w:pPr>
        <w:jc w:val="center"/>
        <w:rPr>
          <w:rFonts w:hint="eastAsia" w:ascii="Calibri" w:hAnsi="Calibri" w:eastAsia="宋体" w:cs="Times New Roman"/>
          <w:color w:val="auto"/>
          <w:szCs w:val="24"/>
          <w:lang w:eastAsia="zh-CN"/>
        </w:rPr>
      </w:pPr>
    </w:p>
    <w:p w14:paraId="598C7897">
      <w:pPr>
        <w:jc w:val="center"/>
        <w:rPr>
          <w:rFonts w:hint="eastAsia" w:ascii="Calibri" w:hAnsi="Calibri" w:eastAsia="宋体" w:cs="Times New Roman"/>
          <w:color w:val="auto"/>
          <w:szCs w:val="24"/>
          <w:lang w:eastAsia="zh-CN"/>
        </w:rPr>
      </w:pPr>
    </w:p>
    <w:p w14:paraId="2AF7B817">
      <w:pPr>
        <w:jc w:val="center"/>
        <w:rPr>
          <w:rFonts w:hint="eastAsia" w:ascii="Calibri" w:hAnsi="Calibri" w:eastAsia="宋体" w:cs="Times New Roman"/>
          <w:color w:val="auto"/>
          <w:szCs w:val="24"/>
          <w:lang w:eastAsia="zh-CN"/>
        </w:rPr>
      </w:pPr>
    </w:p>
    <w:p w14:paraId="045DD1DA">
      <w:pPr>
        <w:jc w:val="center"/>
        <w:rPr>
          <w:rFonts w:hint="eastAsia" w:ascii="Calibri" w:hAnsi="Calibri" w:eastAsia="宋体" w:cs="Times New Roman"/>
          <w:color w:val="auto"/>
          <w:szCs w:val="24"/>
          <w:lang w:eastAsia="zh-CN"/>
        </w:rPr>
      </w:pPr>
    </w:p>
    <w:p w14:paraId="7239C916">
      <w:pPr>
        <w:jc w:val="center"/>
        <w:rPr>
          <w:rFonts w:hint="eastAsia" w:ascii="Calibri" w:hAnsi="Calibri" w:eastAsia="宋体" w:cs="Times New Roman"/>
          <w:color w:val="auto"/>
          <w:szCs w:val="24"/>
          <w:lang w:eastAsia="zh-CN"/>
        </w:rPr>
      </w:pPr>
    </w:p>
    <w:p w14:paraId="2BE680EF">
      <w:pPr>
        <w:jc w:val="center"/>
        <w:rPr>
          <w:rFonts w:hint="eastAsia" w:ascii="Calibri" w:hAnsi="Calibri" w:eastAsia="宋体" w:cs="Times New Roman"/>
          <w:color w:val="auto"/>
          <w:szCs w:val="24"/>
          <w:lang w:eastAsia="zh-CN"/>
        </w:rPr>
      </w:pPr>
    </w:p>
    <w:p w14:paraId="548860C2">
      <w:pPr>
        <w:jc w:val="center"/>
        <w:rPr>
          <w:rFonts w:hint="eastAsia" w:ascii="Calibri" w:hAnsi="Calibri" w:eastAsia="宋体" w:cs="Times New Roman"/>
          <w:color w:val="auto"/>
          <w:szCs w:val="24"/>
          <w:lang w:eastAsia="zh-CN"/>
        </w:rPr>
      </w:pPr>
    </w:p>
    <w:p w14:paraId="3BC34611">
      <w:pPr>
        <w:jc w:val="center"/>
        <w:rPr>
          <w:rFonts w:hint="eastAsia" w:ascii="Calibri" w:hAnsi="Calibri" w:eastAsia="宋体" w:cs="Times New Roman"/>
          <w:color w:val="auto"/>
          <w:szCs w:val="24"/>
          <w:lang w:eastAsia="zh-CN"/>
        </w:rPr>
      </w:pPr>
    </w:p>
    <w:p w14:paraId="00ED9893">
      <w:pPr>
        <w:jc w:val="center"/>
        <w:rPr>
          <w:rFonts w:hint="eastAsia" w:ascii="Calibri" w:hAnsi="Calibri" w:eastAsia="宋体" w:cs="Times New Roman"/>
          <w:color w:val="auto"/>
          <w:szCs w:val="24"/>
          <w:lang w:eastAsia="zh-CN"/>
        </w:rPr>
      </w:pPr>
    </w:p>
    <w:p w14:paraId="785D892A">
      <w:pPr>
        <w:jc w:val="center"/>
        <w:rPr>
          <w:rFonts w:hint="eastAsia" w:ascii="Calibri" w:hAnsi="Calibri" w:eastAsia="宋体" w:cs="Times New Roman"/>
          <w:color w:val="auto"/>
          <w:szCs w:val="24"/>
          <w:lang w:eastAsia="zh-CN"/>
        </w:rPr>
      </w:pPr>
    </w:p>
    <w:p w14:paraId="37737B73">
      <w:pPr>
        <w:jc w:val="center"/>
        <w:rPr>
          <w:rFonts w:hint="eastAsia" w:ascii="Calibri" w:hAnsi="Calibri" w:eastAsia="宋体" w:cs="Times New Roman"/>
          <w:color w:val="auto"/>
          <w:szCs w:val="24"/>
          <w:lang w:eastAsia="zh-CN"/>
        </w:rPr>
      </w:pPr>
    </w:p>
    <w:p w14:paraId="30C10CAA">
      <w:pPr>
        <w:jc w:val="center"/>
        <w:rPr>
          <w:rFonts w:hint="eastAsia" w:ascii="Calibri" w:hAnsi="Calibri" w:eastAsia="宋体" w:cs="Times New Roman"/>
          <w:color w:val="auto"/>
          <w:szCs w:val="24"/>
          <w:lang w:eastAsia="zh-CN"/>
        </w:rPr>
      </w:pPr>
    </w:p>
    <w:p w14:paraId="5BFD8F76">
      <w:pPr>
        <w:jc w:val="center"/>
        <w:rPr>
          <w:rFonts w:hint="eastAsia" w:ascii="Calibri" w:hAnsi="Calibri" w:eastAsia="宋体" w:cs="Times New Roman"/>
          <w:color w:val="auto"/>
          <w:szCs w:val="24"/>
          <w:lang w:eastAsia="zh-CN"/>
        </w:rPr>
      </w:pPr>
    </w:p>
    <w:p w14:paraId="71566C44">
      <w:pPr>
        <w:jc w:val="center"/>
        <w:rPr>
          <w:rFonts w:hint="eastAsia" w:ascii="Calibri" w:hAnsi="Calibri" w:eastAsia="宋体" w:cs="Times New Roman"/>
          <w:color w:val="auto"/>
          <w:szCs w:val="24"/>
          <w:lang w:eastAsia="zh-CN"/>
        </w:rPr>
      </w:pPr>
    </w:p>
    <w:p w14:paraId="226E5713">
      <w:pPr>
        <w:jc w:val="center"/>
        <w:rPr>
          <w:rFonts w:hint="eastAsia" w:ascii="Calibri" w:hAnsi="Calibri" w:eastAsia="宋体" w:cs="Times New Roman"/>
          <w:color w:val="auto"/>
          <w:szCs w:val="24"/>
          <w:lang w:eastAsia="zh-CN"/>
        </w:rPr>
      </w:pPr>
    </w:p>
    <w:p w14:paraId="62FFBC4A">
      <w:pPr>
        <w:jc w:val="center"/>
        <w:rPr>
          <w:rFonts w:hint="eastAsia" w:ascii="黑体" w:hAnsi="黑体" w:eastAsia="黑体" w:cs="黑体"/>
          <w:b/>
          <w:bCs/>
          <w:color w:val="auto"/>
          <w:sz w:val="36"/>
          <w:szCs w:val="36"/>
        </w:rPr>
      </w:pPr>
    </w:p>
    <w:p w14:paraId="169F0E37">
      <w:pPr>
        <w:jc w:val="center"/>
        <w:rPr>
          <w:rFonts w:hint="eastAsia" w:ascii="黑体" w:hAnsi="黑体" w:eastAsia="黑体" w:cs="黑体"/>
          <w:b/>
          <w:bCs/>
          <w:color w:val="auto"/>
          <w:sz w:val="36"/>
          <w:szCs w:val="36"/>
        </w:rPr>
      </w:pPr>
      <w:r>
        <w:rPr>
          <w:rFonts w:hint="eastAsia" w:ascii="黑体" w:hAnsi="黑体" w:eastAsia="黑体" w:cs="黑体"/>
          <w:b/>
          <w:bCs/>
          <w:color w:val="auto"/>
          <w:sz w:val="36"/>
          <w:szCs w:val="36"/>
        </w:rPr>
        <w:t>关于</w:t>
      </w:r>
      <w:r>
        <w:rPr>
          <w:rFonts w:hint="eastAsia" w:ascii="黑体" w:hAnsi="黑体" w:eastAsia="黑体" w:cs="黑体"/>
          <w:b/>
          <w:bCs/>
          <w:color w:val="auto"/>
          <w:sz w:val="36"/>
          <w:szCs w:val="36"/>
          <w:lang w:val="en-US" w:eastAsia="zh-CN"/>
        </w:rPr>
        <w:t>济宁凯漩包装制品有限公司年产450万套机床附件包装盒项目</w:t>
      </w:r>
      <w:r>
        <w:rPr>
          <w:rFonts w:hint="eastAsia" w:ascii="黑体" w:hAnsi="黑体" w:eastAsia="黑体" w:cs="黑体"/>
          <w:b/>
          <w:bCs/>
          <w:color w:val="auto"/>
          <w:sz w:val="36"/>
          <w:szCs w:val="36"/>
        </w:rPr>
        <w:t>符合</w:t>
      </w:r>
      <w:r>
        <w:rPr>
          <w:rFonts w:hint="eastAsia" w:ascii="黑体" w:hAnsi="黑体" w:eastAsia="黑体" w:cs="黑体"/>
          <w:b/>
          <w:bCs/>
          <w:color w:val="auto"/>
          <w:sz w:val="36"/>
          <w:szCs w:val="36"/>
          <w:lang w:val="en-US" w:eastAsia="zh-CN"/>
        </w:rPr>
        <w:t>泗水县国土空间</w:t>
      </w:r>
      <w:r>
        <w:rPr>
          <w:rFonts w:hint="eastAsia" w:ascii="黑体" w:hAnsi="黑体" w:eastAsia="黑体" w:cs="黑体"/>
          <w:b/>
          <w:bCs/>
          <w:color w:val="auto"/>
          <w:sz w:val="36"/>
          <w:szCs w:val="36"/>
        </w:rPr>
        <w:t>规划的情况说明</w:t>
      </w:r>
    </w:p>
    <w:p w14:paraId="52FF4436">
      <w:pPr>
        <w:keepNext w:val="0"/>
        <w:keepLines w:val="0"/>
        <w:pageBreakBefore w:val="0"/>
        <w:widowControl w:val="0"/>
        <w:kinsoku/>
        <w:wordWrap/>
        <w:overflowPunct/>
        <w:topLinePunct w:val="0"/>
        <w:autoSpaceDE/>
        <w:autoSpaceDN/>
        <w:bidi w:val="0"/>
        <w:adjustRightInd/>
        <w:snapToGrid/>
        <w:spacing w:line="640" w:lineRule="exact"/>
        <w:ind w:firstLine="643" w:firstLineChars="200"/>
        <w:textAlignment w:val="auto"/>
        <w:rPr>
          <w:rFonts w:hint="eastAsia" w:ascii="方正仿宋简体" w:hAnsi="方正仿宋简体" w:eastAsia="方正仿宋简体" w:cs="方正仿宋简体"/>
          <w:b/>
          <w:bCs/>
          <w:color w:val="auto"/>
          <w:sz w:val="32"/>
          <w:szCs w:val="32"/>
        </w:rPr>
      </w:pPr>
      <w:r>
        <w:rPr>
          <w:rFonts w:hint="eastAsia" w:ascii="方正仿宋简体" w:hAnsi="方正仿宋简体" w:eastAsia="方正仿宋简体" w:cs="方正仿宋简体"/>
          <w:b/>
          <w:bCs/>
          <w:color w:val="auto"/>
          <w:sz w:val="32"/>
          <w:szCs w:val="32"/>
          <w:lang w:val="en-US" w:eastAsia="zh-CN"/>
        </w:rPr>
        <w:t>济宁凯漩包装制品有限公司年产450万套机床附件包装盒项目</w:t>
      </w:r>
      <w:r>
        <w:rPr>
          <w:rFonts w:hint="eastAsia" w:ascii="方正仿宋简体" w:hAnsi="方正仿宋简体" w:eastAsia="方正仿宋简体" w:cs="方正仿宋简体"/>
          <w:b/>
          <w:bCs/>
          <w:color w:val="auto"/>
          <w:sz w:val="32"/>
          <w:szCs w:val="32"/>
        </w:rPr>
        <w:t>，选址于</w:t>
      </w:r>
      <w:r>
        <w:rPr>
          <w:rFonts w:hint="eastAsia" w:ascii="方正仿宋简体" w:hAnsi="方正仿宋简体" w:eastAsia="方正仿宋简体" w:cs="方正仿宋简体"/>
          <w:b/>
          <w:bCs/>
          <w:color w:val="auto"/>
          <w:sz w:val="32"/>
          <w:szCs w:val="32"/>
          <w:lang w:val="en-US" w:eastAsia="zh-CN"/>
        </w:rPr>
        <w:t>泗水县泉林镇泉林村原泗水县纺织厂院内</w:t>
      </w:r>
      <w:r>
        <w:rPr>
          <w:rFonts w:hint="eastAsia" w:ascii="方正仿宋简体" w:hAnsi="方正仿宋简体" w:eastAsia="方正仿宋简体" w:cs="方正仿宋简体"/>
          <w:b/>
          <w:bCs/>
          <w:color w:val="auto"/>
          <w:sz w:val="32"/>
          <w:szCs w:val="32"/>
        </w:rPr>
        <w:t>，该项目</w:t>
      </w:r>
      <w:r>
        <w:rPr>
          <w:rFonts w:hint="eastAsia" w:ascii="方正仿宋简体" w:hAnsi="方正仿宋简体" w:eastAsia="方正仿宋简体" w:cs="方正仿宋简体"/>
          <w:b/>
          <w:bCs/>
          <w:color w:val="auto"/>
          <w:sz w:val="32"/>
          <w:szCs w:val="32"/>
          <w:lang w:val="en-US" w:eastAsia="zh-CN"/>
        </w:rPr>
        <w:t>选址</w:t>
      </w:r>
      <w:r>
        <w:rPr>
          <w:rFonts w:hint="eastAsia" w:ascii="方正仿宋简体" w:hAnsi="方正仿宋简体" w:eastAsia="方正仿宋简体" w:cs="方正仿宋简体"/>
          <w:b/>
          <w:bCs/>
          <w:color w:val="auto"/>
          <w:sz w:val="32"/>
          <w:szCs w:val="32"/>
        </w:rPr>
        <w:t>符合泗水县</w:t>
      </w:r>
      <w:r>
        <w:rPr>
          <w:rFonts w:hint="eastAsia" w:ascii="方正仿宋简体" w:hAnsi="方正仿宋简体" w:eastAsia="方正仿宋简体" w:cs="方正仿宋简体"/>
          <w:b/>
          <w:bCs/>
          <w:color w:val="auto"/>
          <w:sz w:val="32"/>
          <w:szCs w:val="32"/>
          <w:lang w:val="en-US" w:eastAsia="zh-CN"/>
        </w:rPr>
        <w:t>国土空间规划</w:t>
      </w:r>
      <w:r>
        <w:rPr>
          <w:rFonts w:hint="eastAsia" w:ascii="方正仿宋简体" w:hAnsi="方正仿宋简体" w:eastAsia="方正仿宋简体" w:cs="方正仿宋简体"/>
          <w:b/>
          <w:bCs/>
          <w:color w:val="auto"/>
          <w:sz w:val="32"/>
          <w:szCs w:val="32"/>
        </w:rPr>
        <w:t>要求，</w:t>
      </w:r>
      <w:r>
        <w:rPr>
          <w:rFonts w:hint="eastAsia" w:ascii="方正仿宋简体" w:hAnsi="方正仿宋简体" w:eastAsia="方正仿宋简体" w:cs="方正仿宋简体"/>
          <w:b/>
          <w:bCs/>
          <w:color w:val="auto"/>
          <w:sz w:val="32"/>
          <w:szCs w:val="32"/>
          <w:lang w:val="en-US" w:eastAsia="zh-CN"/>
        </w:rPr>
        <w:t>项目选址位于城镇开发边界范围内，符合</w:t>
      </w:r>
      <w:r>
        <w:rPr>
          <w:rFonts w:hint="eastAsia" w:ascii="方正仿宋简体" w:hAnsi="方正仿宋简体" w:eastAsia="方正仿宋简体" w:cs="方正仿宋简体"/>
          <w:b/>
          <w:bCs/>
          <w:color w:val="auto"/>
          <w:sz w:val="32"/>
          <w:szCs w:val="32"/>
          <w:lang w:eastAsia="zh-CN"/>
        </w:rPr>
        <w:t>泉林镇</w:t>
      </w:r>
      <w:r>
        <w:rPr>
          <w:rFonts w:hint="eastAsia" w:ascii="方正仿宋简体" w:hAnsi="方正仿宋简体" w:eastAsia="方正仿宋简体" w:cs="方正仿宋简体"/>
          <w:b/>
          <w:bCs/>
          <w:color w:val="auto"/>
          <w:sz w:val="32"/>
          <w:szCs w:val="32"/>
          <w:lang w:val="en-US" w:eastAsia="zh-CN"/>
        </w:rPr>
        <w:t>产业发展布局，同意项目建设</w:t>
      </w:r>
      <w:r>
        <w:rPr>
          <w:rFonts w:hint="eastAsia" w:ascii="方正仿宋简体" w:hAnsi="方正仿宋简体" w:eastAsia="方正仿宋简体" w:cs="方正仿宋简体"/>
          <w:b/>
          <w:bCs/>
          <w:color w:val="auto"/>
          <w:sz w:val="32"/>
          <w:szCs w:val="32"/>
        </w:rPr>
        <w:t>。</w:t>
      </w:r>
    </w:p>
    <w:p w14:paraId="392EFB12">
      <w:pPr>
        <w:keepNext w:val="0"/>
        <w:keepLines w:val="0"/>
        <w:pageBreakBefore w:val="0"/>
        <w:widowControl w:val="0"/>
        <w:kinsoku/>
        <w:wordWrap/>
        <w:overflowPunct/>
        <w:topLinePunct w:val="0"/>
        <w:autoSpaceDE/>
        <w:autoSpaceDN/>
        <w:bidi w:val="0"/>
        <w:adjustRightInd/>
        <w:snapToGrid/>
        <w:spacing w:line="640" w:lineRule="exact"/>
        <w:ind w:firstLine="643" w:firstLineChars="200"/>
        <w:textAlignment w:val="auto"/>
        <w:rPr>
          <w:rFonts w:hint="eastAsia" w:ascii="方正仿宋简体" w:hAnsi="方正仿宋简体" w:eastAsia="方正仿宋简体" w:cs="方正仿宋简体"/>
          <w:b/>
          <w:bCs/>
          <w:color w:val="auto"/>
          <w:sz w:val="32"/>
          <w:szCs w:val="32"/>
        </w:rPr>
      </w:pPr>
      <w:r>
        <w:rPr>
          <w:rFonts w:hint="eastAsia" w:ascii="方正仿宋简体" w:hAnsi="方正仿宋简体" w:eastAsia="方正仿宋简体" w:cs="方正仿宋简体"/>
          <w:b/>
          <w:bCs/>
          <w:color w:val="auto"/>
          <w:sz w:val="32"/>
          <w:szCs w:val="32"/>
        </w:rPr>
        <w:t>特此证明。</w:t>
      </w:r>
    </w:p>
    <w:p w14:paraId="03AEB157">
      <w:pPr>
        <w:keepNext w:val="0"/>
        <w:keepLines w:val="0"/>
        <w:pageBreakBefore w:val="0"/>
        <w:widowControl w:val="0"/>
        <w:kinsoku/>
        <w:wordWrap/>
        <w:overflowPunct/>
        <w:topLinePunct w:val="0"/>
        <w:autoSpaceDE/>
        <w:autoSpaceDN/>
        <w:bidi w:val="0"/>
        <w:adjustRightInd/>
        <w:snapToGrid/>
        <w:spacing w:line="640" w:lineRule="exact"/>
        <w:ind w:firstLine="643" w:firstLineChars="200"/>
        <w:textAlignment w:val="auto"/>
        <w:rPr>
          <w:rFonts w:hint="eastAsia" w:ascii="方正仿宋简体" w:hAnsi="方正仿宋简体" w:eastAsia="方正仿宋简体" w:cs="方正仿宋简体"/>
          <w:b/>
          <w:bCs/>
          <w:color w:val="auto"/>
          <w:sz w:val="32"/>
          <w:szCs w:val="32"/>
        </w:rPr>
      </w:pPr>
    </w:p>
    <w:p w14:paraId="2ABEBE12">
      <w:pPr>
        <w:keepNext w:val="0"/>
        <w:keepLines w:val="0"/>
        <w:pageBreakBefore w:val="0"/>
        <w:widowControl w:val="0"/>
        <w:kinsoku/>
        <w:wordWrap/>
        <w:overflowPunct/>
        <w:topLinePunct w:val="0"/>
        <w:autoSpaceDE/>
        <w:autoSpaceDN/>
        <w:bidi w:val="0"/>
        <w:adjustRightInd/>
        <w:snapToGrid/>
        <w:spacing w:line="640" w:lineRule="exact"/>
        <w:ind w:firstLine="643" w:firstLineChars="200"/>
        <w:textAlignment w:val="auto"/>
        <w:rPr>
          <w:rFonts w:hint="eastAsia" w:ascii="方正仿宋简体" w:hAnsi="方正仿宋简体" w:eastAsia="方正仿宋简体" w:cs="方正仿宋简体"/>
          <w:b/>
          <w:bCs/>
          <w:color w:val="auto"/>
          <w:sz w:val="32"/>
          <w:szCs w:val="32"/>
        </w:rPr>
      </w:pPr>
    </w:p>
    <w:p w14:paraId="0AF66524">
      <w:pPr>
        <w:keepNext w:val="0"/>
        <w:keepLines w:val="0"/>
        <w:pageBreakBefore w:val="0"/>
        <w:widowControl w:val="0"/>
        <w:kinsoku/>
        <w:wordWrap/>
        <w:overflowPunct/>
        <w:topLinePunct w:val="0"/>
        <w:autoSpaceDE/>
        <w:autoSpaceDN/>
        <w:bidi w:val="0"/>
        <w:adjustRightInd/>
        <w:snapToGrid/>
        <w:spacing w:line="640" w:lineRule="exact"/>
        <w:ind w:firstLine="3534" w:firstLineChars="1100"/>
        <w:textAlignment w:val="auto"/>
        <w:rPr>
          <w:rFonts w:hint="default" w:ascii="方正仿宋简体" w:hAnsi="方正仿宋简体" w:eastAsia="方正仿宋简体" w:cs="方正仿宋简体"/>
          <w:b/>
          <w:bCs/>
          <w:color w:val="auto"/>
          <w:sz w:val="32"/>
          <w:szCs w:val="32"/>
          <w:lang w:val="en-US" w:eastAsia="zh-CN"/>
        </w:rPr>
      </w:pPr>
      <w:r>
        <w:rPr>
          <w:rFonts w:hint="eastAsia" w:ascii="方正仿宋简体" w:hAnsi="方正仿宋简体" w:eastAsia="方正仿宋简体" w:cs="方正仿宋简体"/>
          <w:b/>
          <w:bCs/>
          <w:color w:val="auto"/>
          <w:sz w:val="32"/>
          <w:szCs w:val="32"/>
          <w:lang w:val="en-US" w:eastAsia="zh-CN"/>
        </w:rPr>
        <w:t>泗水县</w:t>
      </w:r>
      <w:r>
        <w:rPr>
          <w:rFonts w:hint="eastAsia" w:ascii="方正仿宋简体" w:hAnsi="方正仿宋简体" w:eastAsia="方正仿宋简体" w:cs="方正仿宋简体"/>
          <w:b/>
          <w:bCs/>
          <w:color w:val="auto"/>
          <w:sz w:val="32"/>
          <w:szCs w:val="32"/>
          <w:lang w:eastAsia="zh-CN"/>
        </w:rPr>
        <w:t>泉林镇</w:t>
      </w:r>
      <w:r>
        <w:rPr>
          <w:rFonts w:hint="eastAsia" w:ascii="方正仿宋简体" w:hAnsi="方正仿宋简体" w:eastAsia="方正仿宋简体" w:cs="方正仿宋简体"/>
          <w:b/>
          <w:bCs/>
          <w:color w:val="auto"/>
          <w:sz w:val="32"/>
          <w:szCs w:val="32"/>
          <w:lang w:val="en-US" w:eastAsia="zh-CN"/>
        </w:rPr>
        <w:t>人民政府（公章）</w:t>
      </w:r>
    </w:p>
    <w:p w14:paraId="7100501A">
      <w:pPr>
        <w:keepNext w:val="0"/>
        <w:keepLines w:val="0"/>
        <w:pageBreakBefore w:val="0"/>
        <w:widowControl w:val="0"/>
        <w:kinsoku/>
        <w:wordWrap/>
        <w:overflowPunct/>
        <w:topLinePunct w:val="0"/>
        <w:autoSpaceDE/>
        <w:autoSpaceDN/>
        <w:bidi w:val="0"/>
        <w:adjustRightInd/>
        <w:snapToGrid/>
        <w:spacing w:line="640" w:lineRule="exact"/>
        <w:ind w:firstLine="4176" w:firstLineChars="1300"/>
        <w:textAlignment w:val="auto"/>
        <w:rPr>
          <w:rFonts w:hint="default" w:ascii="方正仿宋简体" w:hAnsi="方正仿宋简体" w:eastAsia="方正仿宋简体" w:cs="方正仿宋简体"/>
          <w:b/>
          <w:bCs/>
          <w:color w:val="auto"/>
          <w:sz w:val="32"/>
          <w:szCs w:val="32"/>
          <w:lang w:val="en-US" w:eastAsia="zh-CN"/>
        </w:rPr>
      </w:pPr>
      <w:r>
        <w:rPr>
          <w:rFonts w:hint="eastAsia" w:ascii="方正仿宋简体" w:hAnsi="方正仿宋简体" w:eastAsia="方正仿宋简体" w:cs="方正仿宋简体"/>
          <w:b/>
          <w:bCs/>
          <w:color w:val="auto"/>
          <w:sz w:val="32"/>
          <w:szCs w:val="32"/>
          <w:lang w:val="en-US" w:eastAsia="zh-CN"/>
        </w:rPr>
        <w:t>2026年1月15日</w:t>
      </w:r>
    </w:p>
    <w:p w14:paraId="7CBFA0A6">
      <w:pPr>
        <w:pStyle w:val="61"/>
        <w:ind w:left="0" w:leftChars="0" w:firstLine="0" w:firstLineChars="0"/>
        <w:rPr>
          <w:rFonts w:hint="eastAsia"/>
          <w:color w:val="auto"/>
          <w:lang w:val="en-US" w:eastAsia="zh-CN"/>
        </w:rPr>
      </w:pPr>
    </w:p>
    <w:p w14:paraId="49984945">
      <w:pPr>
        <w:pStyle w:val="61"/>
        <w:ind w:left="0" w:leftChars="0" w:firstLine="0" w:firstLineChars="0"/>
        <w:rPr>
          <w:rFonts w:hint="eastAsia"/>
          <w:color w:val="auto"/>
          <w:lang w:val="en-US" w:eastAsia="zh-CN"/>
        </w:rPr>
      </w:pPr>
    </w:p>
    <w:p w14:paraId="502FA739">
      <w:pPr>
        <w:pStyle w:val="61"/>
        <w:ind w:left="0" w:leftChars="0" w:firstLine="0" w:firstLineChars="0"/>
        <w:rPr>
          <w:rFonts w:hint="eastAsia"/>
          <w:color w:val="auto"/>
          <w:lang w:val="en-US" w:eastAsia="zh-CN"/>
        </w:rPr>
      </w:pPr>
    </w:p>
    <w:p w14:paraId="1A0334A2">
      <w:pPr>
        <w:pStyle w:val="61"/>
        <w:ind w:left="0" w:leftChars="0" w:firstLine="0" w:firstLineChars="0"/>
        <w:rPr>
          <w:rFonts w:hint="eastAsia"/>
          <w:color w:val="auto"/>
          <w:lang w:val="en-US" w:eastAsia="zh-CN"/>
        </w:rPr>
      </w:pPr>
    </w:p>
    <w:p w14:paraId="14890FD9">
      <w:pPr>
        <w:pStyle w:val="61"/>
        <w:ind w:left="0" w:leftChars="0" w:firstLine="0" w:firstLineChars="0"/>
        <w:rPr>
          <w:rFonts w:hint="eastAsia"/>
          <w:color w:val="auto"/>
          <w:lang w:val="en-US" w:eastAsia="zh-CN"/>
        </w:rPr>
      </w:pPr>
    </w:p>
    <w:p w14:paraId="2EB3C1E9">
      <w:pPr>
        <w:pStyle w:val="61"/>
        <w:ind w:left="0" w:leftChars="0" w:firstLine="0" w:firstLineChars="0"/>
        <w:rPr>
          <w:rFonts w:hint="eastAsia"/>
          <w:color w:val="auto"/>
          <w:lang w:val="en-US" w:eastAsia="zh-CN"/>
        </w:rPr>
      </w:pPr>
    </w:p>
    <w:p w14:paraId="545FA76A">
      <w:pPr>
        <w:pStyle w:val="61"/>
        <w:ind w:left="0" w:leftChars="0" w:firstLine="0" w:firstLineChars="0"/>
        <w:rPr>
          <w:rFonts w:hint="eastAsia"/>
          <w:color w:val="auto"/>
          <w:lang w:val="en-US" w:eastAsia="zh-CN"/>
        </w:rPr>
      </w:pPr>
    </w:p>
    <w:p w14:paraId="74CEF02A">
      <w:pPr>
        <w:pStyle w:val="61"/>
        <w:ind w:left="0" w:leftChars="0" w:firstLine="0" w:firstLineChars="0"/>
        <w:rPr>
          <w:rFonts w:hint="eastAsia"/>
          <w:color w:val="auto"/>
          <w:lang w:val="en-US" w:eastAsia="zh-CN"/>
        </w:rPr>
      </w:pPr>
    </w:p>
    <w:p w14:paraId="3046678B">
      <w:pPr>
        <w:pStyle w:val="61"/>
        <w:ind w:left="0" w:leftChars="0" w:firstLine="0" w:firstLineChars="0"/>
        <w:rPr>
          <w:rFonts w:hint="eastAsia"/>
          <w:color w:val="auto"/>
          <w:lang w:val="en-US" w:eastAsia="zh-CN"/>
        </w:rPr>
      </w:pPr>
    </w:p>
    <w:p w14:paraId="7DA78533">
      <w:pPr>
        <w:pStyle w:val="61"/>
        <w:ind w:left="0" w:leftChars="0" w:firstLine="0" w:firstLineChars="0"/>
        <w:rPr>
          <w:rFonts w:hint="eastAsia"/>
          <w:color w:val="auto"/>
          <w:lang w:val="en-US" w:eastAsia="zh-CN"/>
        </w:rPr>
      </w:pPr>
    </w:p>
    <w:p w14:paraId="770A8C9F">
      <w:pPr>
        <w:pStyle w:val="61"/>
        <w:ind w:left="0" w:leftChars="0" w:firstLine="0" w:firstLineChars="0"/>
        <w:rPr>
          <w:rFonts w:hint="eastAsia"/>
          <w:color w:val="auto"/>
          <w:lang w:val="en-US" w:eastAsia="zh-CN"/>
        </w:rPr>
      </w:pPr>
    </w:p>
    <w:p w14:paraId="19304F1F">
      <w:pPr>
        <w:pStyle w:val="61"/>
        <w:ind w:left="0" w:leftChars="0" w:firstLine="0" w:firstLineChars="0"/>
        <w:rPr>
          <w:rFonts w:hint="eastAsia"/>
          <w:color w:val="auto"/>
          <w:lang w:val="en-US" w:eastAsia="zh-CN"/>
        </w:rPr>
      </w:pPr>
    </w:p>
    <w:p w14:paraId="790BB324">
      <w:pPr>
        <w:pStyle w:val="61"/>
        <w:ind w:left="0" w:leftChars="0" w:firstLine="0" w:firstLineChars="0"/>
        <w:rPr>
          <w:rFonts w:hint="eastAsia"/>
          <w:color w:val="auto"/>
          <w:lang w:val="en-US" w:eastAsia="zh-CN"/>
        </w:rPr>
      </w:pPr>
    </w:p>
    <w:p w14:paraId="602E0CF1">
      <w:pPr>
        <w:pStyle w:val="61"/>
        <w:ind w:left="0" w:leftChars="0" w:firstLine="0" w:firstLineChars="0"/>
        <w:rPr>
          <w:rFonts w:hint="eastAsia"/>
          <w:color w:val="auto"/>
          <w:lang w:val="en-US" w:eastAsia="zh-CN"/>
        </w:rPr>
      </w:pPr>
    </w:p>
    <w:p w14:paraId="5AE33063">
      <w:pPr>
        <w:pStyle w:val="61"/>
        <w:ind w:left="0" w:leftChars="0" w:firstLine="0" w:firstLineChars="0"/>
        <w:rPr>
          <w:rFonts w:hint="eastAsia"/>
          <w:color w:val="auto"/>
          <w:lang w:val="en-US" w:eastAsia="zh-CN"/>
        </w:rPr>
      </w:pPr>
    </w:p>
    <w:p w14:paraId="3D971459">
      <w:pPr>
        <w:pStyle w:val="61"/>
        <w:ind w:left="0" w:leftChars="0" w:firstLine="0" w:firstLineChars="0"/>
        <w:rPr>
          <w:rFonts w:hint="eastAsia"/>
          <w:color w:val="auto"/>
          <w:lang w:val="en-US" w:eastAsia="zh-CN"/>
        </w:rPr>
      </w:pPr>
      <w:r>
        <w:rPr>
          <w:rFonts w:hint="eastAsia"/>
          <w:color w:val="auto"/>
          <w:lang w:val="en-US" w:eastAsia="zh-CN"/>
        </w:rPr>
        <w:t>附件6 现状监测报告</w:t>
      </w:r>
    </w:p>
    <w:p w14:paraId="492B356A">
      <w:pPr>
        <w:pStyle w:val="61"/>
        <w:ind w:left="0" w:leftChars="0" w:firstLine="0" w:firstLineChars="0"/>
        <w:rPr>
          <w:rFonts w:hint="default"/>
          <w:color w:val="auto"/>
          <w:lang w:val="en-US" w:eastAsia="zh-CN"/>
        </w:rPr>
      </w:pPr>
      <w:r>
        <w:rPr>
          <w:color w:val="auto"/>
        </w:rPr>
        <w:drawing>
          <wp:inline distT="0" distB="0" distL="114300" distR="114300">
            <wp:extent cx="5562600" cy="7839075"/>
            <wp:effectExtent l="0" t="0" r="0" b="952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20"/>
                    <a:stretch>
                      <a:fillRect/>
                    </a:stretch>
                  </pic:blipFill>
                  <pic:spPr>
                    <a:xfrm>
                      <a:off x="0" y="0"/>
                      <a:ext cx="5562600" cy="7839075"/>
                    </a:xfrm>
                    <a:prstGeom prst="rect">
                      <a:avLst/>
                    </a:prstGeom>
                    <a:noFill/>
                    <a:ln>
                      <a:noFill/>
                    </a:ln>
                  </pic:spPr>
                </pic:pic>
              </a:graphicData>
            </a:graphic>
          </wp:inline>
        </w:drawing>
      </w:r>
      <w:r>
        <w:rPr>
          <w:color w:val="auto"/>
        </w:rPr>
        <w:drawing>
          <wp:inline distT="0" distB="0" distL="114300" distR="114300">
            <wp:extent cx="5591175" cy="7896225"/>
            <wp:effectExtent l="0" t="0" r="9525" b="952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1"/>
                    <a:stretch>
                      <a:fillRect/>
                    </a:stretch>
                  </pic:blipFill>
                  <pic:spPr>
                    <a:xfrm>
                      <a:off x="0" y="0"/>
                      <a:ext cx="5591175" cy="7896225"/>
                    </a:xfrm>
                    <a:prstGeom prst="rect">
                      <a:avLst/>
                    </a:prstGeom>
                    <a:noFill/>
                    <a:ln>
                      <a:noFill/>
                    </a:ln>
                  </pic:spPr>
                </pic:pic>
              </a:graphicData>
            </a:graphic>
          </wp:inline>
        </w:drawing>
      </w:r>
      <w:r>
        <w:rPr>
          <w:color w:val="auto"/>
        </w:rPr>
        <w:drawing>
          <wp:inline distT="0" distB="0" distL="114300" distR="114300">
            <wp:extent cx="5553075" cy="7820025"/>
            <wp:effectExtent l="0" t="0" r="9525" b="952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2"/>
                    <a:stretch>
                      <a:fillRect/>
                    </a:stretch>
                  </pic:blipFill>
                  <pic:spPr>
                    <a:xfrm>
                      <a:off x="0" y="0"/>
                      <a:ext cx="5553075" cy="7820025"/>
                    </a:xfrm>
                    <a:prstGeom prst="rect">
                      <a:avLst/>
                    </a:prstGeom>
                    <a:noFill/>
                    <a:ln>
                      <a:noFill/>
                    </a:ln>
                  </pic:spPr>
                </pic:pic>
              </a:graphicData>
            </a:graphic>
          </wp:inline>
        </w:drawing>
      </w:r>
      <w:r>
        <w:rPr>
          <w:color w:val="auto"/>
        </w:rPr>
        <w:drawing>
          <wp:inline distT="0" distB="0" distL="114300" distR="114300">
            <wp:extent cx="5572125" cy="7648575"/>
            <wp:effectExtent l="0" t="0" r="9525" b="952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23"/>
                    <a:stretch>
                      <a:fillRect/>
                    </a:stretch>
                  </pic:blipFill>
                  <pic:spPr>
                    <a:xfrm>
                      <a:off x="0" y="0"/>
                      <a:ext cx="5572125" cy="7648575"/>
                    </a:xfrm>
                    <a:prstGeom prst="rect">
                      <a:avLst/>
                    </a:prstGeom>
                    <a:noFill/>
                    <a:ln>
                      <a:noFill/>
                    </a:ln>
                  </pic:spPr>
                </pic:pic>
              </a:graphicData>
            </a:graphic>
          </wp:inline>
        </w:drawing>
      </w:r>
      <w:r>
        <w:rPr>
          <w:color w:val="auto"/>
        </w:rPr>
        <w:drawing>
          <wp:inline distT="0" distB="0" distL="114300" distR="114300">
            <wp:extent cx="5591175" cy="7610475"/>
            <wp:effectExtent l="0" t="0" r="9525" b="952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24"/>
                    <a:stretch>
                      <a:fillRect/>
                    </a:stretch>
                  </pic:blipFill>
                  <pic:spPr>
                    <a:xfrm>
                      <a:off x="0" y="0"/>
                      <a:ext cx="5591175" cy="7610475"/>
                    </a:xfrm>
                    <a:prstGeom prst="rect">
                      <a:avLst/>
                    </a:prstGeom>
                    <a:noFill/>
                    <a:ln>
                      <a:noFill/>
                    </a:ln>
                  </pic:spPr>
                </pic:pic>
              </a:graphicData>
            </a:graphic>
          </wp:inline>
        </w:drawing>
      </w:r>
      <w:r>
        <w:rPr>
          <w:color w:val="auto"/>
        </w:rPr>
        <w:drawing>
          <wp:inline distT="0" distB="0" distL="114300" distR="114300">
            <wp:extent cx="5505450" cy="7829550"/>
            <wp:effectExtent l="0" t="0" r="0" b="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25"/>
                    <a:stretch>
                      <a:fillRect/>
                    </a:stretch>
                  </pic:blipFill>
                  <pic:spPr>
                    <a:xfrm>
                      <a:off x="0" y="0"/>
                      <a:ext cx="5505450" cy="7829550"/>
                    </a:xfrm>
                    <a:prstGeom prst="rect">
                      <a:avLst/>
                    </a:prstGeom>
                    <a:noFill/>
                    <a:ln>
                      <a:noFill/>
                    </a:ln>
                  </pic:spPr>
                </pic:pic>
              </a:graphicData>
            </a:graphic>
          </wp:inline>
        </w:drawing>
      </w:r>
    </w:p>
    <w:p w14:paraId="6EE5F0FE">
      <w:pPr>
        <w:pStyle w:val="61"/>
        <w:ind w:left="0" w:leftChars="0" w:firstLine="0" w:firstLineChars="0"/>
        <w:rPr>
          <w:rFonts w:hint="default"/>
          <w:color w:val="auto"/>
          <w:lang w:val="en-US" w:eastAsia="zh-CN"/>
        </w:rPr>
      </w:pPr>
    </w:p>
    <w:p w14:paraId="7C1DF741">
      <w:pPr>
        <w:pStyle w:val="61"/>
        <w:ind w:left="0" w:leftChars="0" w:firstLine="0" w:firstLineChars="0"/>
        <w:rPr>
          <w:rFonts w:hint="default"/>
          <w:color w:val="auto"/>
          <w:lang w:val="en-US" w:eastAsia="zh-CN"/>
        </w:rPr>
      </w:pPr>
    </w:p>
    <w:p w14:paraId="0D17AC01">
      <w:pPr>
        <w:pStyle w:val="61"/>
        <w:ind w:left="0" w:leftChars="0" w:firstLine="0" w:firstLineChars="0"/>
        <w:rPr>
          <w:rFonts w:hint="default"/>
          <w:color w:val="auto"/>
          <w:lang w:val="en-US" w:eastAsia="zh-CN"/>
        </w:rPr>
      </w:pPr>
    </w:p>
    <w:p w14:paraId="09BA05DF">
      <w:pPr>
        <w:pStyle w:val="61"/>
        <w:ind w:left="0" w:leftChars="0" w:firstLine="0" w:firstLineChars="0"/>
        <w:rPr>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1B1AE084">
      <w:pPr>
        <w:pStyle w:val="61"/>
        <w:ind w:left="0" w:leftChars="0" w:firstLine="0" w:firstLineChars="0"/>
        <w:rPr>
          <w:rFonts w:hint="default"/>
          <w:color w:val="auto"/>
          <w:lang w:val="en-US" w:eastAsia="zh-CN"/>
        </w:rPr>
      </w:pPr>
      <w:r>
        <w:rPr>
          <w:color w:val="auto"/>
        </w:rPr>
        <w:drawing>
          <wp:anchor distT="0" distB="0" distL="114300" distR="114300" simplePos="0" relativeHeight="251723776" behindDoc="0" locked="0" layoutInCell="1" allowOverlap="1">
            <wp:simplePos x="0" y="0"/>
            <wp:positionH relativeFrom="column">
              <wp:posOffset>7879080</wp:posOffset>
            </wp:positionH>
            <wp:positionV relativeFrom="paragraph">
              <wp:posOffset>50165</wp:posOffset>
            </wp:positionV>
            <wp:extent cx="920115" cy="767080"/>
            <wp:effectExtent l="0" t="0" r="13335" b="13970"/>
            <wp:wrapNone/>
            <wp:docPr id="56" name="图片 132" descr="D:\Users\WeChat Files\zhuyanling4082\FileStorage\Temp\173261097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2" descr="D:\Users\WeChat Files\zhuyanling4082\FileStorage\Temp\1732610976857.png"/>
                    <pic:cNvPicPr>
                      <a:picLocks noChangeAspect="1"/>
                    </pic:cNvPicPr>
                  </pic:nvPicPr>
                  <pic:blipFill>
                    <a:blip r:embed="rId26"/>
                    <a:srcRect l="8499" t="7487" r="9625" b="3136"/>
                    <a:stretch>
                      <a:fillRect/>
                    </a:stretch>
                  </pic:blipFill>
                  <pic:spPr>
                    <a:xfrm>
                      <a:off x="8848090" y="1226185"/>
                      <a:ext cx="920115" cy="767080"/>
                    </a:xfrm>
                    <a:prstGeom prst="rect">
                      <a:avLst/>
                    </a:prstGeom>
                    <a:noFill/>
                    <a:ln>
                      <a:noFill/>
                    </a:ln>
                  </pic:spPr>
                </pic:pic>
              </a:graphicData>
            </a:graphic>
          </wp:anchor>
        </w:drawing>
      </w:r>
      <w:r>
        <w:rPr>
          <w:color w:val="auto"/>
        </w:rPr>
        <w:drawing>
          <wp:anchor distT="0" distB="0" distL="114300" distR="114300" simplePos="0" relativeHeight="251719680" behindDoc="1" locked="0" layoutInCell="1" allowOverlap="1">
            <wp:simplePos x="0" y="0"/>
            <wp:positionH relativeFrom="column">
              <wp:posOffset>0</wp:posOffset>
            </wp:positionH>
            <wp:positionV relativeFrom="paragraph">
              <wp:posOffset>48895</wp:posOffset>
            </wp:positionV>
            <wp:extent cx="8804275" cy="5793105"/>
            <wp:effectExtent l="19050" t="19050" r="34925" b="36195"/>
            <wp:wrapNone/>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27"/>
                    <a:stretch>
                      <a:fillRect/>
                    </a:stretch>
                  </pic:blipFill>
                  <pic:spPr>
                    <a:xfrm>
                      <a:off x="0" y="0"/>
                      <a:ext cx="8804275" cy="5793105"/>
                    </a:xfrm>
                    <a:prstGeom prst="rect">
                      <a:avLst/>
                    </a:prstGeom>
                    <a:noFill/>
                    <a:ln w="19050">
                      <a:solidFill>
                        <a:schemeClr val="tx1"/>
                      </a:solidFill>
                    </a:ln>
                  </pic:spPr>
                </pic:pic>
              </a:graphicData>
            </a:graphic>
          </wp:anchor>
        </w:drawing>
      </w:r>
    </w:p>
    <w:p w14:paraId="09D0BF4C">
      <w:pPr>
        <w:pStyle w:val="61"/>
        <w:ind w:left="0" w:leftChars="0" w:firstLine="0" w:firstLineChars="0"/>
        <w:rPr>
          <w:rFonts w:hint="default"/>
          <w:color w:val="auto"/>
          <w:lang w:val="en-US" w:eastAsia="zh-CN"/>
        </w:rPr>
      </w:pPr>
    </w:p>
    <w:p w14:paraId="276BF7FA">
      <w:pPr>
        <w:pStyle w:val="61"/>
        <w:ind w:left="0" w:leftChars="0" w:firstLine="0" w:firstLineChars="0"/>
        <w:rPr>
          <w:rFonts w:hint="default"/>
          <w:color w:val="auto"/>
          <w:lang w:val="en-US" w:eastAsia="zh-CN"/>
        </w:rPr>
      </w:pPr>
    </w:p>
    <w:p w14:paraId="4786B90C">
      <w:pPr>
        <w:pStyle w:val="61"/>
        <w:ind w:left="0" w:leftChars="0" w:firstLine="0" w:firstLineChars="0"/>
        <w:rPr>
          <w:rFonts w:hint="default"/>
          <w:color w:val="auto"/>
          <w:lang w:val="en-US" w:eastAsia="zh-CN"/>
        </w:rPr>
      </w:pPr>
    </w:p>
    <w:p w14:paraId="4CAED36C">
      <w:pPr>
        <w:pStyle w:val="61"/>
        <w:ind w:left="0" w:leftChars="0" w:firstLine="0" w:firstLineChars="0"/>
        <w:rPr>
          <w:rFonts w:hint="default"/>
          <w:color w:val="auto"/>
          <w:lang w:val="en-US" w:eastAsia="zh-CN"/>
        </w:rPr>
      </w:pPr>
    </w:p>
    <w:p w14:paraId="7C2D669A">
      <w:pPr>
        <w:pStyle w:val="61"/>
        <w:ind w:left="0" w:leftChars="0" w:firstLine="0" w:firstLineChars="0"/>
        <w:rPr>
          <w:rFonts w:hint="default"/>
          <w:color w:val="auto"/>
          <w:lang w:val="en-US" w:eastAsia="zh-CN"/>
        </w:rPr>
      </w:pPr>
    </w:p>
    <w:p w14:paraId="663E8CE4">
      <w:pPr>
        <w:pStyle w:val="61"/>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4594860</wp:posOffset>
                </wp:positionH>
                <wp:positionV relativeFrom="paragraph">
                  <wp:posOffset>248920</wp:posOffset>
                </wp:positionV>
                <wp:extent cx="969645" cy="352425"/>
                <wp:effectExtent l="9525" t="9525" r="11430" b="400050"/>
                <wp:wrapNone/>
                <wp:docPr id="126" name="圆角矩形标注 126"/>
                <wp:cNvGraphicFramePr/>
                <a:graphic xmlns:a="http://schemas.openxmlformats.org/drawingml/2006/main">
                  <a:graphicData uri="http://schemas.microsoft.com/office/word/2010/wordprocessingShape">
                    <wps:wsp>
                      <wps:cNvSpPr/>
                      <wps:spPr>
                        <a:xfrm>
                          <a:off x="5508625" y="2231390"/>
                          <a:ext cx="969645" cy="352425"/>
                        </a:xfrm>
                        <a:prstGeom prst="wedgeRoundRectCallout">
                          <a:avLst>
                            <a:gd name="adj1" fmla="val -36333"/>
                            <a:gd name="adj2" fmla="val 156738"/>
                            <a:gd name="adj3" fmla="val 16667"/>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D7CD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1.8pt;margin-top:19.6pt;height:27.75pt;width:76.35pt;z-index:251662336;v-text-anchor:middle;mso-width-relative:page;mso-height-relative:page;" filled="f" stroked="t" coordsize="21600,21600" o:gfxdata="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yAOV12QAAAAkBAAAP&#10;AAAAAAAAAAEAIAAAACIAAABkcnMvZG93bnJldi54bWxQSwECFAAUAAAACACHTuJAm/ErwsICAABi&#10;BQAADgAAAAAAAAABACAAAAAoAQAAZHJzL2Uyb0RvYy54bWxQSwUGAAAAAAYABgBZAQAAXAYAAAAA&#10;" adj="2952,44655,14400">
                <v:fill on="f" focussize="0,0"/>
                <v:stroke weight="1.5pt" color="#000000 [3213]" joinstyle="round"/>
                <v:imagedata o:title=""/>
                <o:lock v:ext="edit" aspectratio="f"/>
                <v:textbox>
                  <w:txbxContent>
                    <w:p w14:paraId="75D7CD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项目所在地</w:t>
                      </w:r>
                    </w:p>
                  </w:txbxContent>
                </v:textbox>
              </v:shape>
            </w:pict>
          </mc:Fallback>
        </mc:AlternateContent>
      </w:r>
    </w:p>
    <w:p w14:paraId="0A576764">
      <w:pPr>
        <w:pStyle w:val="61"/>
        <w:ind w:left="0" w:leftChars="0" w:firstLine="0" w:firstLineChars="0"/>
        <w:rPr>
          <w:rFonts w:hint="default"/>
          <w:color w:val="auto"/>
          <w:lang w:val="en-US" w:eastAsia="zh-CN"/>
        </w:rPr>
      </w:pPr>
    </w:p>
    <w:p w14:paraId="77A071C9">
      <w:pPr>
        <w:pStyle w:val="61"/>
        <w:ind w:left="0" w:leftChars="0" w:firstLine="0" w:firstLineChars="0"/>
        <w:rPr>
          <w:rFonts w:hint="default"/>
          <w:color w:val="auto"/>
          <w:lang w:val="en-US" w:eastAsia="zh-CN"/>
        </w:rPr>
      </w:pPr>
    </w:p>
    <w:p w14:paraId="42045BBF">
      <w:pPr>
        <w:pStyle w:val="61"/>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4631055</wp:posOffset>
                </wp:positionH>
                <wp:positionV relativeFrom="paragraph">
                  <wp:posOffset>24765</wp:posOffset>
                </wp:positionV>
                <wp:extent cx="111125" cy="101600"/>
                <wp:effectExtent l="12700" t="12700" r="28575" b="19050"/>
                <wp:wrapNone/>
                <wp:docPr id="125" name="五角星 125"/>
                <wp:cNvGraphicFramePr/>
                <a:graphic xmlns:a="http://schemas.openxmlformats.org/drawingml/2006/main">
                  <a:graphicData uri="http://schemas.microsoft.com/office/word/2010/wordprocessingShape">
                    <wps:wsp>
                      <wps:cNvSpPr/>
                      <wps:spPr>
                        <a:xfrm>
                          <a:off x="5407025" y="3340735"/>
                          <a:ext cx="111125" cy="101600"/>
                        </a:xfrm>
                        <a:prstGeom prst="star5">
                          <a:avLst/>
                        </a:prstGeom>
                        <a:solidFill>
                          <a:srgbClr val="FF0000">
                            <a:alpha val="59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64.65pt;margin-top:1.95pt;height:8pt;width:8.75pt;z-index:251661312;v-text-anchor:middle;mso-width-relative:page;mso-height-relative:page;" fillcolor="#FF0000" filled="t" stroked="t" coordsize="111125,101600" o:gfxdata="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vUTqhtgAAAAIAQAADwAAAAAA&#10;AAABACAAAAAiAAAAZHJzL2Rvd25yZXYueG1sUEsBAhQAFAAAAAgAh07iQBssxSyFAgAAEQUAAA4A&#10;AAAAAAAAAQAgAAAAJwEAAGRycy9lMm9Eb2MueG1sUEsFBgAAAAAGAAYAWQEAAB4GAAAAAA==&#10;" path="m0,38807l42446,38807,55562,0,68678,38807,111124,38807,76785,62791,89901,101599,55562,77614,21223,101599,34339,62791xe">
                <v:path o:connectlocs="55562,0;0,38807;21223,101599;89901,101599;111124,38807" o:connectangles="247,164,82,82,0"/>
                <v:fill on="t" opacity="38666f" focussize="0,0"/>
                <v:stroke weight="2pt" color="#FF0000 [2404]" joinstyle="round"/>
                <v:imagedata o:title=""/>
                <o:lock v:ext="edit" aspectratio="f"/>
              </v:shape>
            </w:pict>
          </mc:Fallback>
        </mc:AlternateContent>
      </w:r>
    </w:p>
    <w:p w14:paraId="064ABAAC">
      <w:pPr>
        <w:pStyle w:val="61"/>
        <w:ind w:left="0" w:leftChars="0" w:firstLine="0" w:firstLineChars="0"/>
        <w:rPr>
          <w:rFonts w:hint="default"/>
          <w:color w:val="auto"/>
          <w:lang w:val="en-US" w:eastAsia="zh-CN"/>
        </w:rPr>
      </w:pPr>
    </w:p>
    <w:p w14:paraId="19D8BB76">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664384" behindDoc="0" locked="0" layoutInCell="1" allowOverlap="1">
                <wp:simplePos x="0" y="0"/>
                <wp:positionH relativeFrom="column">
                  <wp:posOffset>4546600</wp:posOffset>
                </wp:positionH>
                <wp:positionV relativeFrom="paragraph">
                  <wp:posOffset>6537960</wp:posOffset>
                </wp:positionV>
                <wp:extent cx="3633470" cy="342265"/>
                <wp:effectExtent l="0" t="0" r="0" b="0"/>
                <wp:wrapNone/>
                <wp:docPr id="128" name="矩形 128"/>
                <wp:cNvGraphicFramePr/>
                <a:graphic xmlns:a="http://schemas.openxmlformats.org/drawingml/2006/main">
                  <a:graphicData uri="http://schemas.microsoft.com/office/word/2010/wordprocessingShape">
                    <wps:wsp>
                      <wps:cNvSpPr/>
                      <wps:spPr>
                        <a:xfrm>
                          <a:off x="0" y="0"/>
                          <a:ext cx="3633470" cy="342265"/>
                        </a:xfrm>
                        <a:prstGeom prst="rect">
                          <a:avLst/>
                        </a:prstGeom>
                        <a:noFill/>
                        <a:ln>
                          <a:noFill/>
                        </a:ln>
                      </wps:spPr>
                      <wps:txbx>
                        <w:txbxContent>
                          <w:p w14:paraId="53D15F81">
                            <w:pPr>
                              <w:rPr>
                                <w:rFonts w:hint="default" w:eastAsia="宋体"/>
                                <w:b/>
                                <w:bCs/>
                                <w:sz w:val="24"/>
                                <w:szCs w:val="32"/>
                                <w:lang w:val="en-US" w:eastAsia="zh-CN"/>
                              </w:rPr>
                            </w:pPr>
                            <w:r>
                              <w:rPr>
                                <w:rFonts w:hint="eastAsia"/>
                                <w:b/>
                                <w:bCs/>
                                <w:sz w:val="24"/>
                                <w:szCs w:val="32"/>
                                <w:lang w:val="en-US" w:eastAsia="zh-CN"/>
                              </w:rPr>
                              <w:t>附图1 项目地理位置图</w:t>
                            </w:r>
                          </w:p>
                        </w:txbxContent>
                      </wps:txbx>
                      <wps:bodyPr upright="1"/>
                    </wps:wsp>
                  </a:graphicData>
                </a:graphic>
              </wp:anchor>
            </w:drawing>
          </mc:Choice>
          <mc:Fallback>
            <w:pict>
              <v:rect id="_x0000_s1026" o:spid="_x0000_s1026" o:spt="1" style="position:absolute;left:0pt;margin-left:358pt;margin-top:514.8pt;height:26.95pt;width:286.1pt;z-index:251664384;mso-width-relative:page;mso-height-relative:page;" filled="f" stroked="f" coordsize="21600,21600" o:gfxdata="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um5St3QAAAA4B&#10;AAAPAAAAAAAAAAEAIAAAACIAAABkcnMvZG93bnJldi54bWxQSwECFAAUAAAACACHTuJAQGFb7KQB&#10;AABFAwAADgAAAAAAAAABACAAAAAsAQAAZHJzL2Uyb0RvYy54bWxQSwUGAAAAAAYABgBZAQAAQgUA&#10;AAAA&#10;">
                <v:fill on="f" focussize="0,0"/>
                <v:stroke on="f"/>
                <v:imagedata o:title=""/>
                <o:lock v:ext="edit" aspectratio="f"/>
                <v:textbox>
                  <w:txbxContent>
                    <w:p w14:paraId="53D15F81">
                      <w:pPr>
                        <w:rPr>
                          <w:rFonts w:hint="default" w:eastAsia="宋体"/>
                          <w:b/>
                          <w:bCs/>
                          <w:sz w:val="24"/>
                          <w:szCs w:val="32"/>
                          <w:lang w:val="en-US" w:eastAsia="zh-CN"/>
                        </w:rPr>
                      </w:pPr>
                      <w:r>
                        <w:rPr>
                          <w:rFonts w:hint="eastAsia"/>
                          <w:b/>
                          <w:bCs/>
                          <w:sz w:val="24"/>
                          <w:szCs w:val="32"/>
                          <w:lang w:val="en-US" w:eastAsia="zh-CN"/>
                        </w:rPr>
                        <w:t>附图1 项目地理位置图</w:t>
                      </w:r>
                    </w:p>
                  </w:txbxContent>
                </v:textbox>
              </v:rect>
            </w:pict>
          </mc:Fallback>
        </mc:AlternateContent>
      </w:r>
    </w:p>
    <w:p w14:paraId="15693B3B">
      <w:pPr>
        <w:pStyle w:val="61"/>
        <w:ind w:left="0" w:leftChars="0" w:firstLine="0" w:firstLineChars="0"/>
        <w:rPr>
          <w:rFonts w:hint="default"/>
          <w:color w:val="auto"/>
          <w:lang w:val="en-US" w:eastAsia="zh-CN"/>
        </w:rPr>
      </w:pPr>
    </w:p>
    <w:p w14:paraId="0096B781">
      <w:pPr>
        <w:pStyle w:val="61"/>
        <w:ind w:left="0" w:leftChars="0" w:firstLine="0" w:firstLineChars="0"/>
        <w:rPr>
          <w:rFonts w:hint="default"/>
          <w:color w:val="auto"/>
          <w:lang w:val="en-US" w:eastAsia="zh-CN"/>
        </w:rPr>
      </w:pPr>
    </w:p>
    <w:p w14:paraId="7C774FD9">
      <w:pPr>
        <w:pStyle w:val="61"/>
        <w:ind w:left="0" w:leftChars="0" w:firstLine="0" w:firstLineChars="0"/>
        <w:rPr>
          <w:rFonts w:hint="default"/>
          <w:color w:val="auto"/>
          <w:lang w:val="en-US" w:eastAsia="zh-CN"/>
        </w:rPr>
      </w:pPr>
    </w:p>
    <w:p w14:paraId="598F2D65">
      <w:pPr>
        <w:pStyle w:val="61"/>
        <w:ind w:left="0" w:leftChars="0" w:firstLine="0" w:firstLineChars="0"/>
        <w:rPr>
          <w:rFonts w:hint="default"/>
          <w:color w:val="auto"/>
          <w:lang w:val="en-US" w:eastAsia="zh-CN"/>
        </w:rPr>
      </w:pPr>
    </w:p>
    <w:p w14:paraId="05B017D1">
      <w:pPr>
        <w:pStyle w:val="61"/>
        <w:ind w:left="0" w:leftChars="0" w:firstLine="0" w:firstLineChars="0"/>
        <w:rPr>
          <w:rFonts w:hint="default"/>
          <w:color w:val="auto"/>
          <w:lang w:val="en-US" w:eastAsia="zh-CN"/>
        </w:rPr>
      </w:pPr>
    </w:p>
    <w:p w14:paraId="5D96B56A">
      <w:pPr>
        <w:pStyle w:val="61"/>
        <w:ind w:left="0" w:leftChars="0" w:firstLine="0" w:firstLineChars="0"/>
        <w:rPr>
          <w:rFonts w:hint="default"/>
          <w:color w:val="auto"/>
          <w:lang w:val="en-US" w:eastAsia="zh-CN"/>
        </w:rPr>
      </w:pPr>
    </w:p>
    <w:p w14:paraId="64CB462A">
      <w:pPr>
        <w:pStyle w:val="61"/>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2994025</wp:posOffset>
                </wp:positionH>
                <wp:positionV relativeFrom="paragraph">
                  <wp:posOffset>407035</wp:posOffset>
                </wp:positionV>
                <wp:extent cx="3162935" cy="415925"/>
                <wp:effectExtent l="0" t="0" r="0" b="0"/>
                <wp:wrapNone/>
                <wp:docPr id="129" name="矩形 129"/>
                <wp:cNvGraphicFramePr/>
                <a:graphic xmlns:a="http://schemas.openxmlformats.org/drawingml/2006/main">
                  <a:graphicData uri="http://schemas.microsoft.com/office/word/2010/wordprocessingShape">
                    <wps:wsp>
                      <wps:cNvSpPr/>
                      <wps:spPr>
                        <a:xfrm>
                          <a:off x="4075430" y="674878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F079CCB">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附图1 项目所在地理位置图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75pt;margin-top:32.05pt;height:32.75pt;width:249.05pt;z-index:251663360;v-text-anchor:middle;mso-width-relative:page;mso-height-relative:page;" filled="f" stroked="f" coordsize="21600,21600" o:gfxdata="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ouM79kAAAAKAQAADwAAAAAAAAABACAAAAAiAAAAZHJzL2Rvd25yZXYueG1sUEsBAhQA&#10;FAAAAAgAh07iQFYPWjxjAgAApgQAAA4AAAAAAAAAAQAgAAAAKAEAAGRycy9lMm9Eb2MueG1sUEsF&#10;BgAAAAAGAAYAWQEAAP0FAAAAAA==&#10;">
                <v:fill on="f" focussize="0,0"/>
                <v:stroke on="f" weight="2pt"/>
                <v:imagedata o:title=""/>
                <o:lock v:ext="edit" aspectratio="f"/>
                <v:textbox>
                  <w:txbxContent>
                    <w:p w14:paraId="2F079CCB">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附图1 项目所在地理位置图</w:t>
                      </w:r>
                    </w:p>
                  </w:txbxContent>
                </v:textbox>
              </v:rect>
            </w:pict>
          </mc:Fallback>
        </mc:AlternateContent>
      </w:r>
    </w:p>
    <w:p w14:paraId="6D15744B">
      <w:pPr>
        <w:pStyle w:val="61"/>
        <w:ind w:left="0" w:leftChars="0" w:firstLine="0" w:firstLineChars="0"/>
        <w:rPr>
          <w:rFonts w:hint="default"/>
          <w:color w:val="auto"/>
          <w:lang w:val="en-US" w:eastAsia="zh-CN"/>
        </w:rPr>
      </w:pPr>
      <w:r>
        <w:rPr>
          <w:color w:val="auto"/>
        </w:rPr>
        <w:drawing>
          <wp:anchor distT="0" distB="0" distL="114300" distR="114300" simplePos="0" relativeHeight="251724800" behindDoc="0" locked="0" layoutInCell="1" allowOverlap="1">
            <wp:simplePos x="0" y="0"/>
            <wp:positionH relativeFrom="column">
              <wp:posOffset>7999730</wp:posOffset>
            </wp:positionH>
            <wp:positionV relativeFrom="paragraph">
              <wp:posOffset>-21590</wp:posOffset>
            </wp:positionV>
            <wp:extent cx="920115" cy="767080"/>
            <wp:effectExtent l="0" t="0" r="13335" b="13970"/>
            <wp:wrapNone/>
            <wp:docPr id="58" name="图片 132" descr="D:\Users\WeChat Files\zhuyanling4082\FileStorage\Temp\173261097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2" descr="D:\Users\WeChat Files\zhuyanling4082\FileStorage\Temp\1732610976857.png"/>
                    <pic:cNvPicPr>
                      <a:picLocks noChangeAspect="1"/>
                    </pic:cNvPicPr>
                  </pic:nvPicPr>
                  <pic:blipFill>
                    <a:blip r:embed="rId26"/>
                    <a:srcRect l="8499" t="7487" r="9625" b="3136"/>
                    <a:stretch>
                      <a:fillRect/>
                    </a:stretch>
                  </pic:blipFill>
                  <pic:spPr>
                    <a:xfrm>
                      <a:off x="8793480" y="949960"/>
                      <a:ext cx="920115" cy="767080"/>
                    </a:xfrm>
                    <a:prstGeom prst="rect">
                      <a:avLst/>
                    </a:prstGeom>
                    <a:noFill/>
                    <a:ln>
                      <a:noFill/>
                    </a:ln>
                  </pic:spPr>
                </pic:pic>
              </a:graphicData>
            </a:graphic>
          </wp:anchor>
        </w:drawing>
      </w:r>
      <w:r>
        <w:rPr>
          <w:color w:val="auto"/>
        </w:rPr>
        <w:drawing>
          <wp:anchor distT="0" distB="0" distL="114300" distR="114300" simplePos="0" relativeHeight="251720704" behindDoc="0" locked="0" layoutInCell="1" allowOverlap="1">
            <wp:simplePos x="0" y="0"/>
            <wp:positionH relativeFrom="column">
              <wp:posOffset>18415</wp:posOffset>
            </wp:positionH>
            <wp:positionV relativeFrom="paragraph">
              <wp:posOffset>-23495</wp:posOffset>
            </wp:positionV>
            <wp:extent cx="8891905" cy="5869940"/>
            <wp:effectExtent l="19050" t="19050" r="23495" b="35560"/>
            <wp:wrapNone/>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28"/>
                    <a:stretch>
                      <a:fillRect/>
                    </a:stretch>
                  </pic:blipFill>
                  <pic:spPr>
                    <a:xfrm>
                      <a:off x="0" y="0"/>
                      <a:ext cx="8891905" cy="5869940"/>
                    </a:xfrm>
                    <a:prstGeom prst="rect">
                      <a:avLst/>
                    </a:prstGeom>
                    <a:noFill/>
                    <a:ln w="19050">
                      <a:solidFill>
                        <a:schemeClr val="tx1"/>
                      </a:solidFill>
                    </a:ln>
                  </pic:spPr>
                </pic:pic>
              </a:graphicData>
            </a:graphic>
          </wp:anchor>
        </w:drawing>
      </w:r>
    </w:p>
    <w:p w14:paraId="1C093E09">
      <w:pPr>
        <w:pStyle w:val="61"/>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5858510</wp:posOffset>
                </wp:positionH>
                <wp:positionV relativeFrom="paragraph">
                  <wp:posOffset>68580</wp:posOffset>
                </wp:positionV>
                <wp:extent cx="1754505" cy="2234565"/>
                <wp:effectExtent l="12700" t="12700" r="23495" b="19685"/>
                <wp:wrapNone/>
                <wp:docPr id="65" name="任意多边形 65"/>
                <wp:cNvGraphicFramePr/>
                <a:graphic xmlns:a="http://schemas.openxmlformats.org/drawingml/2006/main">
                  <a:graphicData uri="http://schemas.microsoft.com/office/word/2010/wordprocessingShape">
                    <wps:wsp>
                      <wps:cNvSpPr/>
                      <wps:spPr>
                        <a:xfrm>
                          <a:off x="6772910" y="1265555"/>
                          <a:ext cx="1754505" cy="2234565"/>
                        </a:xfrm>
                        <a:custGeom>
                          <a:avLst/>
                          <a:gdLst>
                            <a:gd name="connisteX0" fmla="*/ 365125 w 1754505"/>
                            <a:gd name="connsiteY0" fmla="*/ 0 h 2234565"/>
                            <a:gd name="connisteX1" fmla="*/ 0 w 1754505"/>
                            <a:gd name="connsiteY1" fmla="*/ 1282065 h 2234565"/>
                            <a:gd name="connisteX2" fmla="*/ 250190 w 1754505"/>
                            <a:gd name="connsiteY2" fmla="*/ 1310640 h 2234565"/>
                            <a:gd name="connisteX3" fmla="*/ 92710 w 1754505"/>
                            <a:gd name="connsiteY3" fmla="*/ 2033270 h 2234565"/>
                            <a:gd name="connisteX4" fmla="*/ 1281430 w 1754505"/>
                            <a:gd name="connsiteY4" fmla="*/ 2234565 h 2234565"/>
                            <a:gd name="connisteX5" fmla="*/ 1754505 w 1754505"/>
                            <a:gd name="connsiteY5" fmla="*/ 314960 h 2234565"/>
                            <a:gd name="connisteX6" fmla="*/ 365125 w 1754505"/>
                            <a:gd name="connsiteY6" fmla="*/ 0 h 22345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754505" h="2234565">
                              <a:moveTo>
                                <a:pt x="365125" y="0"/>
                              </a:moveTo>
                              <a:lnTo>
                                <a:pt x="0" y="1282065"/>
                              </a:lnTo>
                              <a:lnTo>
                                <a:pt x="250190" y="1310640"/>
                              </a:lnTo>
                              <a:lnTo>
                                <a:pt x="92710" y="2033270"/>
                              </a:lnTo>
                              <a:lnTo>
                                <a:pt x="1281430" y="2234565"/>
                              </a:lnTo>
                              <a:lnTo>
                                <a:pt x="1754505" y="314960"/>
                              </a:lnTo>
                              <a:lnTo>
                                <a:pt x="365125" y="0"/>
                              </a:lnTo>
                              <a:close/>
                            </a:path>
                          </a:pathLst>
                        </a:custGeom>
                        <a:solidFill>
                          <a:srgbClr val="FFFF00">
                            <a:alpha val="3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61.3pt;margin-top:5.4pt;height:175.95pt;width:138.15pt;z-index:251727872;mso-width-relative:page;mso-height-relative:page;" fillcolor="#FFFF00" filled="t" stroked="t" coordsize="1754505,2234565" o:gfxdata="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Cmr1ko2QAAAAsBAAAPAAAAAAAA&#10;AAEAIAAAACIAAABkcnMvZG93bnJldi54bWxQSwECFAAUAAAACACHTuJAu+Ao9WcDAAA/CgAADgAA&#10;AAAAAAABACAAAAAoAQAAZHJzL2Uyb0RvYy54bWxQSwUGAAAAAAYABgBZAQAAAQcAAAAA&#10;" path="m365125,0l0,1282065,250190,1310640,92710,2033270,1281430,2234565,1754505,314960,365125,0xe">
                <v:path o:connectlocs="365125,0;0,1282065;250190,1310640;92710,2033270;1281430,2234565;1754505,314960;365125,0" o:connectangles="0,0,0,0,0,0,0"/>
                <v:fill on="t" opacity="19660f" focussize="0,0"/>
                <v:stroke weight="2pt" color="#FFFF00 [2404]" joinstyle="round"/>
                <v:imagedata o:title=""/>
                <o:lock v:ext="edit" aspectratio="f"/>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1353185</wp:posOffset>
                </wp:positionH>
                <wp:positionV relativeFrom="paragraph">
                  <wp:posOffset>172720</wp:posOffset>
                </wp:positionV>
                <wp:extent cx="1419225" cy="354965"/>
                <wp:effectExtent l="6350" t="6350" r="365125" b="400685"/>
                <wp:wrapNone/>
                <wp:docPr id="138" name="矩形标注 138"/>
                <wp:cNvGraphicFramePr/>
                <a:graphic xmlns:a="http://schemas.openxmlformats.org/drawingml/2006/main">
                  <a:graphicData uri="http://schemas.microsoft.com/office/word/2010/wordprocessingShape">
                    <wps:wsp>
                      <wps:cNvSpPr/>
                      <wps:spPr>
                        <a:xfrm flipV="1">
                          <a:off x="0" y="0"/>
                          <a:ext cx="1419225" cy="354965"/>
                        </a:xfrm>
                        <a:prstGeom prst="wedgeRectCallout">
                          <a:avLst>
                            <a:gd name="adj1" fmla="val 71352"/>
                            <a:gd name="adj2" fmla="val -152319"/>
                          </a:avLst>
                        </a:prstGeom>
                        <a:noFill/>
                        <a:ln w="12700" cap="flat" cmpd="sng">
                          <a:solidFill>
                            <a:srgbClr val="FFFF00"/>
                          </a:solidFill>
                          <a:prstDash val="solid"/>
                          <a:miter/>
                          <a:headEnd type="none" w="med" len="med"/>
                          <a:tailEnd type="none" w="med" len="med"/>
                        </a:ln>
                      </wps:spPr>
                      <wps:txbx>
                        <w:txbxContent>
                          <w:p w14:paraId="22798CBD">
                            <w:pPr>
                              <w:jc w:val="center"/>
                              <w:rPr>
                                <w:rFonts w:hint="default" w:eastAsia="宋体"/>
                                <w:b/>
                                <w:bCs/>
                                <w:color w:val="FFFF00"/>
                                <w:lang w:val="en-US" w:eastAsia="zh-CN"/>
                              </w:rPr>
                            </w:pPr>
                            <w:r>
                              <w:rPr>
                                <w:rFonts w:hint="eastAsia" w:eastAsia="宋体"/>
                                <w:b/>
                                <w:bCs/>
                                <w:color w:val="FFFF00"/>
                                <w:lang w:val="en-US" w:eastAsia="zh-CN"/>
                              </w:rPr>
                              <w:t>500m范围包络线</w:t>
                            </w:r>
                          </w:p>
                        </w:txbxContent>
                      </wps:txbx>
                      <wps:bodyPr anchor="ctr" anchorCtr="0" upright="1"/>
                    </wps:wsp>
                  </a:graphicData>
                </a:graphic>
              </wp:anchor>
            </w:drawing>
          </mc:Choice>
          <mc:Fallback>
            <w:pict>
              <v:shape id="_x0000_s1026" o:spid="_x0000_s1026" o:spt="61" type="#_x0000_t61" style="position:absolute;left:0pt;flip:y;margin-left:106.55pt;margin-top:13.6pt;height:27.95pt;width:111.75pt;z-index:251672576;v-text-anchor:middle;mso-width-relative:page;mso-height-relative:page;" filled="f" stroked="t" coordsize="21600,21600" o:gfxdata="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owQYB2AAAAAkBAAAPAAAA&#10;AAAAAAEAIAAAACIAAABkcnMvZG93bnJldi54bWxQSwECFAAUAAAACACHTuJANjeWpk4CAACPBAAA&#10;DgAAAAAAAAABACAAAAAnAQAAZHJzL2Uyb0RvYy54bWxQSwUGAAAAAAYABgBZAQAA5wUAAAAA&#10;" adj="26212,-22101">
                <v:fill on="f" focussize="0,0"/>
                <v:stroke weight="1pt" color="#FFFF00" joinstyle="miter"/>
                <v:imagedata o:title=""/>
                <o:lock v:ext="edit" aspectratio="f"/>
                <v:textbox>
                  <w:txbxContent>
                    <w:p w14:paraId="22798CBD">
                      <w:pPr>
                        <w:jc w:val="center"/>
                        <w:rPr>
                          <w:rFonts w:hint="default" w:eastAsia="宋体"/>
                          <w:b/>
                          <w:bCs/>
                          <w:color w:val="FFFF00"/>
                          <w:lang w:val="en-US" w:eastAsia="zh-CN"/>
                        </w:rPr>
                      </w:pPr>
                      <w:r>
                        <w:rPr>
                          <w:rFonts w:hint="eastAsia" w:eastAsia="宋体"/>
                          <w:b/>
                          <w:bCs/>
                          <w:color w:val="FFFF00"/>
                          <w:lang w:val="en-US" w:eastAsia="zh-CN"/>
                        </w:rPr>
                        <w:t>500m范围包络线</w:t>
                      </w:r>
                    </w:p>
                  </w:txbxContent>
                </v:textbox>
              </v:shape>
            </w:pict>
          </mc:Fallback>
        </mc:AlternateContent>
      </w:r>
    </w:p>
    <w:p w14:paraId="07232150">
      <w:pPr>
        <w:pStyle w:val="61"/>
        <w:ind w:left="0" w:leftChars="0" w:firstLine="0" w:firstLineChars="0"/>
        <w:rPr>
          <w:rFonts w:hint="default"/>
          <w:color w:val="auto"/>
          <w:lang w:val="en-US" w:eastAsia="zh-CN"/>
        </w:rPr>
      </w:pPr>
      <w:r>
        <w:rPr>
          <w:rFonts w:ascii="Times New Roman" w:hAnsi="Times New Roman" w:eastAsia="宋体" w:cs="Times New Roman"/>
          <w:color w:val="auto"/>
          <w:sz w:val="24"/>
        </w:rPr>
        <mc:AlternateContent>
          <mc:Choice Requires="wps">
            <w:drawing>
              <wp:anchor distT="0" distB="0" distL="114300" distR="114300" simplePos="0" relativeHeight="251745280" behindDoc="0" locked="0" layoutInCell="1" allowOverlap="1">
                <wp:simplePos x="0" y="0"/>
                <wp:positionH relativeFrom="column">
                  <wp:posOffset>1164590</wp:posOffset>
                </wp:positionH>
                <wp:positionV relativeFrom="paragraph">
                  <wp:posOffset>241935</wp:posOffset>
                </wp:positionV>
                <wp:extent cx="1384935" cy="352425"/>
                <wp:effectExtent l="9525" t="9525" r="510540" b="247650"/>
                <wp:wrapNone/>
                <wp:docPr id="84" name="圆角矩形标注 84"/>
                <wp:cNvGraphicFramePr/>
                <a:graphic xmlns:a="http://schemas.openxmlformats.org/drawingml/2006/main">
                  <a:graphicData uri="http://schemas.microsoft.com/office/word/2010/wordprocessingShape">
                    <wps:wsp>
                      <wps:cNvSpPr/>
                      <wps:spPr>
                        <a:xfrm>
                          <a:off x="0" y="0"/>
                          <a:ext cx="1384935" cy="352425"/>
                        </a:xfrm>
                        <a:prstGeom prst="wedgeRoundRectCallout">
                          <a:avLst>
                            <a:gd name="adj1" fmla="val 85763"/>
                            <a:gd name="adj2" fmla="val 113963"/>
                            <a:gd name="adj3" fmla="val 16667"/>
                          </a:avLst>
                        </a:prstGeom>
                        <a:noFill/>
                        <a:ln w="19050" cap="flat" cmpd="sng" algn="ctr">
                          <a:solidFill>
                            <a:srgbClr val="FFFF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478FE741">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500m范围包络线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91.7pt;margin-top:19.05pt;height:27.75pt;width:109.05pt;z-index:251745280;v-text-anchor:middle;mso-width-relative:page;mso-height-relative:page;" filled="f" stroked="t" coordsize="21600,21600" o:gfxdata="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JvHOidgAAAAJAQAADwAAAAAAAAAB&#10;ACAAAAAiAAAAZHJzL2Rvd25yZXYueG1sUEsBAhQAFAAAAAgAh07iQOUp8G67AgAAYgUAAA4AAAAA&#10;AAAAAQAgAAAAJwEAAGRycy9lMm9Eb2MueG1sUEsFBgAAAAAGAAYAWQEAAFQGAAAAAA==&#10;" adj="29325,35416,14400">
                <v:fill on="f" focussize="0,0"/>
                <v:stroke weight="1.5pt" color="#FFFF00 [2404]" joinstyle="round"/>
                <v:imagedata o:title=""/>
                <o:lock v:ext="edit" aspectratio="f"/>
                <v:textbox>
                  <w:txbxContent>
                    <w:p w14:paraId="478FE741">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500m范围包络线</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3058795</wp:posOffset>
                </wp:positionH>
                <wp:positionV relativeFrom="paragraph">
                  <wp:posOffset>288290</wp:posOffset>
                </wp:positionV>
                <wp:extent cx="3921125" cy="3265170"/>
                <wp:effectExtent l="9525" t="9525" r="12700" b="20955"/>
                <wp:wrapNone/>
                <wp:docPr id="134" name="流程图: 可选过程 134"/>
                <wp:cNvGraphicFramePr/>
                <a:graphic xmlns:a="http://schemas.openxmlformats.org/drawingml/2006/main">
                  <a:graphicData uri="http://schemas.microsoft.com/office/word/2010/wordprocessingShape">
                    <wps:wsp>
                      <wps:cNvSpPr/>
                      <wps:spPr>
                        <a:xfrm>
                          <a:off x="4103370" y="1912620"/>
                          <a:ext cx="3921125" cy="3265170"/>
                        </a:xfrm>
                        <a:prstGeom prst="flowChartAlternateProcess">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40.85pt;margin-top:22.7pt;height:257.1pt;width:308.75pt;z-index:251667456;v-text-anchor:middle;mso-width-relative:page;mso-height-relative:page;" filled="f" stroked="t" coordsize="21600,21600" o:gfxdata="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NZTEm3AAAAAsBAAAPAAAAAAAAAAEAIAAAACIAAABkcnMvZG93bnJldi54bWxQSwECFAAUAAAA&#10;CACHTuJABEJpR5UCAADrBAAADgAAAAAAAAABACAAAAArAQAAZHJzL2Uyb0RvYy54bWxQSwUGAAAA&#10;AAYABgBZAQAAMgYAAAAA&#10;">
                <v:fill on="f" focussize="0,0"/>
                <v:stroke weight="1.5pt" color="#FFFF00 [2404]" joinstyle="round"/>
                <v:imagedata o:title=""/>
                <o:lock v:ext="edit" aspectratio="f"/>
              </v:shape>
            </w:pict>
          </mc:Fallback>
        </mc:AlternateContent>
      </w:r>
    </w:p>
    <w:p w14:paraId="74757470">
      <w:pPr>
        <w:pStyle w:val="61"/>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4361815</wp:posOffset>
                </wp:positionH>
                <wp:positionV relativeFrom="paragraph">
                  <wp:posOffset>275590</wp:posOffset>
                </wp:positionV>
                <wp:extent cx="1031240" cy="1840865"/>
                <wp:effectExtent l="12700" t="12700" r="22860" b="13335"/>
                <wp:wrapNone/>
                <wp:docPr id="61" name="任意多边形 61"/>
                <wp:cNvGraphicFramePr/>
                <a:graphic xmlns:a="http://schemas.openxmlformats.org/drawingml/2006/main">
                  <a:graphicData uri="http://schemas.microsoft.com/office/word/2010/wordprocessingShape">
                    <wps:wsp>
                      <wps:cNvSpPr/>
                      <wps:spPr>
                        <a:xfrm>
                          <a:off x="5276215" y="2066925"/>
                          <a:ext cx="1031240" cy="1840865"/>
                        </a:xfrm>
                        <a:custGeom>
                          <a:avLst/>
                          <a:gdLst>
                            <a:gd name="connisteX0" fmla="*/ 193675 w 1031240"/>
                            <a:gd name="connsiteY0" fmla="*/ 36195 h 1840865"/>
                            <a:gd name="connisteX1" fmla="*/ 136525 w 1031240"/>
                            <a:gd name="connsiteY1" fmla="*/ 401320 h 1840865"/>
                            <a:gd name="connisteX2" fmla="*/ 0 w 1031240"/>
                            <a:gd name="connsiteY2" fmla="*/ 837565 h 1840865"/>
                            <a:gd name="connisteX3" fmla="*/ 215265 w 1031240"/>
                            <a:gd name="connsiteY3" fmla="*/ 852805 h 1840865"/>
                            <a:gd name="connisteX4" fmla="*/ 121920 w 1031240"/>
                            <a:gd name="connsiteY4" fmla="*/ 1103630 h 1840865"/>
                            <a:gd name="connisteX5" fmla="*/ 57785 w 1031240"/>
                            <a:gd name="connsiteY5" fmla="*/ 1289050 h 1840865"/>
                            <a:gd name="connisteX6" fmla="*/ 466090 w 1031240"/>
                            <a:gd name="connsiteY6" fmla="*/ 1618615 h 1840865"/>
                            <a:gd name="connisteX7" fmla="*/ 644525 w 1031240"/>
                            <a:gd name="connsiteY7" fmla="*/ 1741170 h 1840865"/>
                            <a:gd name="connisteX8" fmla="*/ 974090 w 1031240"/>
                            <a:gd name="connsiteY8" fmla="*/ 1840865 h 1840865"/>
                            <a:gd name="connisteX9" fmla="*/ 1031240 w 1031240"/>
                            <a:gd name="connsiteY9" fmla="*/ 1691005 h 1840865"/>
                            <a:gd name="connisteX10" fmla="*/ 960120 w 1031240"/>
                            <a:gd name="connsiteY10" fmla="*/ 1625600 h 1840865"/>
                            <a:gd name="connisteX11" fmla="*/ 823595 w 1031240"/>
                            <a:gd name="connsiteY11" fmla="*/ 1597025 h 1840865"/>
                            <a:gd name="connisteX12" fmla="*/ 744855 w 1031240"/>
                            <a:gd name="connsiteY12" fmla="*/ 1511300 h 1840865"/>
                            <a:gd name="connisteX13" fmla="*/ 795020 w 1031240"/>
                            <a:gd name="connsiteY13" fmla="*/ 1482090 h 1840865"/>
                            <a:gd name="connisteX14" fmla="*/ 845185 w 1031240"/>
                            <a:gd name="connsiteY14" fmla="*/ 1339215 h 1840865"/>
                            <a:gd name="connisteX15" fmla="*/ 873760 w 1031240"/>
                            <a:gd name="connsiteY15" fmla="*/ 1239520 h 1840865"/>
                            <a:gd name="connisteX16" fmla="*/ 945515 w 1031240"/>
                            <a:gd name="connsiteY16" fmla="*/ 1125220 h 1840865"/>
                            <a:gd name="connisteX17" fmla="*/ 938530 w 1031240"/>
                            <a:gd name="connsiteY17" fmla="*/ 874395 h 1840865"/>
                            <a:gd name="connisteX18" fmla="*/ 873760 w 1031240"/>
                            <a:gd name="connsiteY18" fmla="*/ 222250 h 1840865"/>
                            <a:gd name="connisteX19" fmla="*/ 630555 w 1031240"/>
                            <a:gd name="connsiteY19" fmla="*/ 21590 h 1840865"/>
                            <a:gd name="connisteX20" fmla="*/ 243840 w 1031240"/>
                            <a:gd name="connsiteY20" fmla="*/ 0 h 1840865"/>
                            <a:gd name="connisteX21" fmla="*/ 193675 w 1031240"/>
                            <a:gd name="connsiteY21" fmla="*/ 36195 h 18408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1031240" h="1840865">
                              <a:moveTo>
                                <a:pt x="193675" y="36195"/>
                              </a:moveTo>
                              <a:lnTo>
                                <a:pt x="136525" y="401320"/>
                              </a:lnTo>
                              <a:lnTo>
                                <a:pt x="0" y="837565"/>
                              </a:lnTo>
                              <a:lnTo>
                                <a:pt x="215265" y="852805"/>
                              </a:lnTo>
                              <a:lnTo>
                                <a:pt x="121920" y="1103630"/>
                              </a:lnTo>
                              <a:lnTo>
                                <a:pt x="57785" y="1289050"/>
                              </a:lnTo>
                              <a:lnTo>
                                <a:pt x="466090" y="1618615"/>
                              </a:lnTo>
                              <a:lnTo>
                                <a:pt x="644525" y="1741170"/>
                              </a:lnTo>
                              <a:lnTo>
                                <a:pt x="974090" y="1840865"/>
                              </a:lnTo>
                              <a:lnTo>
                                <a:pt x="1031240" y="1691005"/>
                              </a:lnTo>
                              <a:lnTo>
                                <a:pt x="960120" y="1625600"/>
                              </a:lnTo>
                              <a:lnTo>
                                <a:pt x="823595" y="1597025"/>
                              </a:lnTo>
                              <a:lnTo>
                                <a:pt x="744855" y="1511300"/>
                              </a:lnTo>
                              <a:lnTo>
                                <a:pt x="795020" y="1482090"/>
                              </a:lnTo>
                              <a:lnTo>
                                <a:pt x="845185" y="1339215"/>
                              </a:lnTo>
                              <a:lnTo>
                                <a:pt x="873760" y="1239520"/>
                              </a:lnTo>
                              <a:lnTo>
                                <a:pt x="945515" y="1125220"/>
                              </a:lnTo>
                              <a:lnTo>
                                <a:pt x="938530" y="874395"/>
                              </a:lnTo>
                              <a:lnTo>
                                <a:pt x="873760" y="222250"/>
                              </a:lnTo>
                              <a:lnTo>
                                <a:pt x="630555" y="21590"/>
                              </a:lnTo>
                              <a:lnTo>
                                <a:pt x="243840" y="0"/>
                              </a:lnTo>
                              <a:lnTo>
                                <a:pt x="193675" y="36195"/>
                              </a:lnTo>
                              <a:close/>
                            </a:path>
                          </a:pathLst>
                        </a:custGeom>
                        <a:solidFill>
                          <a:srgbClr val="FFFF00">
                            <a:alpha val="28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3.45pt;margin-top:21.7pt;height:144.95pt;width:81.2pt;z-index:251726848;mso-width-relative:page;mso-height-relative:page;" fillcolor="#FFFF00" filled="t" stroked="t" coordsize="1031240,1840865" o:gfxdata="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" path="m193675,36195l136525,401320,0,837565,215265,852805,121920,1103630,57785,1289050,466090,1618615,644525,1741170,974090,1840865,1031240,1691005,960120,1625600,823595,1597025,744855,1511300,795020,1482090,845185,1339215,873760,1239520,945515,1125220,938530,874395,873760,222250,630555,21590,243840,0,193675,36195xe">
                <v:path o:connectlocs="193675,36195;136525,401320;0,837565;215265,852805;121920,1103630;57785,1289050;466090,1618615;644525,1741170;974090,1840865;1031240,1691005;960120,1625600;823595,1597025;744855,1511300;795020,1482090;845185,1339215;873760,1239520;945515,1125220;938530,874395;873760,222250;630555,21590;243840,0;193675,36195" o:connectangles="0,0,0,0,0,0,0,0,0,0,0,0,0,0,0,0,0,0,0,0,0,0"/>
                <v:fill on="t" opacity="18350f" focussize="0,0"/>
                <v:stroke weight="2pt" color="#FFFF00 [2404]" joinstyle="round"/>
                <v:imagedata o:title=""/>
                <o:lock v:ext="edit" aspectratio="f"/>
              </v:shape>
            </w:pict>
          </mc:Fallback>
        </mc:AlternateContent>
      </w:r>
    </w:p>
    <w:p w14:paraId="31B33D11">
      <w:pPr>
        <w:pStyle w:val="61"/>
        <w:ind w:left="0" w:leftChars="0" w:firstLine="0" w:firstLineChars="0"/>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2391410</wp:posOffset>
                </wp:positionH>
                <wp:positionV relativeFrom="paragraph">
                  <wp:posOffset>2571750</wp:posOffset>
                </wp:positionV>
                <wp:extent cx="927735" cy="436880"/>
                <wp:effectExtent l="0" t="0" r="0" b="0"/>
                <wp:wrapNone/>
                <wp:docPr id="83" name="矩形 83"/>
                <wp:cNvGraphicFramePr/>
                <a:graphic xmlns:a="http://schemas.openxmlformats.org/drawingml/2006/main">
                  <a:graphicData uri="http://schemas.microsoft.com/office/word/2010/wordprocessingShape">
                    <wps:wsp>
                      <wps:cNvSpPr/>
                      <wps:spPr>
                        <a:xfrm>
                          <a:off x="0" y="0"/>
                          <a:ext cx="927735" cy="4368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906685">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潘坡村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8.3pt;margin-top:202.5pt;height:34.4pt;width:73.05pt;z-index:251744256;v-text-anchor:middle;mso-width-relative:page;mso-height-relative:page;" filled="f" stroked="f" coordsize="21600,21600" o:gfxdata="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dcgC82gAA&#10;AAsBAAAPAAAAAAAAAAEAIAAAACIAAABkcnMvZG93bnJldi54bWxQSwECFAAUAAAACACHTuJAFcBp&#10;yFUCAACXBAAADgAAAAAAAAABACAAAAApAQAAZHJzL2Uyb0RvYy54bWxQSwUGAAAAAAYABgBZAQAA&#10;8AUAAAAA&#10;">
                <v:fill on="f" focussize="0,0"/>
                <v:stroke on="f" weight="2pt"/>
                <v:imagedata o:title=""/>
                <o:lock v:ext="edit" aspectratio="f"/>
                <v:textbox>
                  <w:txbxContent>
                    <w:p w14:paraId="2D906685">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潘坡村</w:t>
                      </w:r>
                    </w:p>
                  </w:txbxContent>
                </v:textbox>
              </v:rect>
            </w:pict>
          </mc:Fallback>
        </mc:AlternateContent>
      </w:r>
      <w:r>
        <w:rPr>
          <w:color w:val="auto"/>
          <w:sz w:val="24"/>
        </w:rPr>
        <mc:AlternateContent>
          <mc:Choice Requires="wps">
            <w:drawing>
              <wp:anchor distT="0" distB="0" distL="114300" distR="114300" simplePos="0" relativeHeight="251743232" behindDoc="0" locked="0" layoutInCell="1" allowOverlap="1">
                <wp:simplePos x="0" y="0"/>
                <wp:positionH relativeFrom="column">
                  <wp:posOffset>2407285</wp:posOffset>
                </wp:positionH>
                <wp:positionV relativeFrom="paragraph">
                  <wp:posOffset>2113280</wp:posOffset>
                </wp:positionV>
                <wp:extent cx="927735" cy="436880"/>
                <wp:effectExtent l="0" t="0" r="0" b="0"/>
                <wp:wrapNone/>
                <wp:docPr id="82" name="矩形 82"/>
                <wp:cNvGraphicFramePr/>
                <a:graphic xmlns:a="http://schemas.openxmlformats.org/drawingml/2006/main">
                  <a:graphicData uri="http://schemas.microsoft.com/office/word/2010/wordprocessingShape">
                    <wps:wsp>
                      <wps:cNvSpPr/>
                      <wps:spPr>
                        <a:xfrm>
                          <a:off x="0" y="0"/>
                          <a:ext cx="927735" cy="4368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6F95EBD">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泉林小学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55pt;margin-top:166.4pt;height:34.4pt;width:73.05pt;z-index:251743232;v-text-anchor:middle;mso-width-relative:page;mso-height-relative:page;" filled="f" stroked="f" coordsize="21600,21600" o:gfxdata="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djjEB2gAA&#10;AAsBAAAPAAAAAAAAAAEAIAAAACIAAABkcnMvZG93bnJldi54bWxQSwECFAAUAAAACACHTuJAiZte&#10;2lUCAACXBAAADgAAAAAAAAABACAAAAApAQAAZHJzL2Uyb0RvYy54bWxQSwUGAAAAAAYABgBZAQAA&#10;8AUAAAAA&#10;">
                <v:fill on="f" focussize="0,0"/>
                <v:stroke on="f" weight="2pt"/>
                <v:imagedata o:title=""/>
                <o:lock v:ext="edit" aspectratio="f"/>
                <v:textbox>
                  <w:txbxContent>
                    <w:p w14:paraId="26F95EBD">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泉林小学</w:t>
                      </w:r>
                    </w:p>
                  </w:txbxContent>
                </v:textbox>
              </v:rect>
            </w:pict>
          </mc:Fallback>
        </mc:AlternateContent>
      </w:r>
      <w:r>
        <w:rPr>
          <w:rFonts w:ascii="Times New Roman" w:hAnsi="Times New Roman" w:eastAsia="宋体" w:cs="Times New Roman"/>
          <w:color w:val="auto"/>
          <w:sz w:val="24"/>
        </w:rPr>
        <mc:AlternateContent>
          <mc:Choice Requires="wps">
            <w:drawing>
              <wp:anchor distT="0" distB="0" distL="114300" distR="114300" simplePos="0" relativeHeight="251742208" behindDoc="0" locked="0" layoutInCell="1" allowOverlap="1">
                <wp:simplePos x="0" y="0"/>
                <wp:positionH relativeFrom="column">
                  <wp:posOffset>3627755</wp:posOffset>
                </wp:positionH>
                <wp:positionV relativeFrom="paragraph">
                  <wp:posOffset>3042285</wp:posOffset>
                </wp:positionV>
                <wp:extent cx="1220470" cy="352425"/>
                <wp:effectExtent l="278765" t="663575" r="24765" b="12700"/>
                <wp:wrapNone/>
                <wp:docPr id="80" name="圆角矩形标注 80"/>
                <wp:cNvGraphicFramePr/>
                <a:graphic xmlns:a="http://schemas.openxmlformats.org/drawingml/2006/main">
                  <a:graphicData uri="http://schemas.microsoft.com/office/word/2010/wordprocessingShape">
                    <wps:wsp>
                      <wps:cNvSpPr/>
                      <wps:spPr>
                        <a:xfrm>
                          <a:off x="0" y="0"/>
                          <a:ext cx="1220470" cy="352425"/>
                        </a:xfrm>
                        <a:prstGeom prst="wedgeRoundRectCallout">
                          <a:avLst>
                            <a:gd name="adj1" fmla="val -72043"/>
                            <a:gd name="adj2" fmla="val -235585"/>
                            <a:gd name="adj3" fmla="val 16667"/>
                          </a:avLst>
                        </a:prstGeom>
                        <a:noFill/>
                        <a:ln w="19050" cap="flat" cmpd="sng" algn="ctr">
                          <a:solidFill>
                            <a:srgbClr val="FFFF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01835F36">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泉林小学幼儿园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5.65pt;margin-top:239.55pt;height:27.75pt;width:96.1pt;z-index:251742208;v-text-anchor:middle;mso-width-relative:page;mso-height-relative:page;" filled="f" stroked="t" coordsize="21600,21600" o:gfxdata="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X27ItoAAAALAQAADwAA&#10;AAAAAAABACAAAAAiAAAAZHJzL2Rvd25yZXYueG1sUEsBAhQAFAAAAAgAh07iQO5n2Je/AgAAZAUA&#10;AA4AAAAAAAAAAQAgAAAAKQEAAGRycy9lMm9Eb2MueG1sUEsFBgAAAAAGAAYAWQEAAFoGAAAAAA==&#10;" adj="-4761,-40086,14400">
                <v:fill on="f" focussize="0,0"/>
                <v:stroke weight="1.5pt" color="#FFFF00 [2404]" joinstyle="round"/>
                <v:imagedata o:title=""/>
                <o:lock v:ext="edit" aspectratio="f"/>
                <v:textbox>
                  <w:txbxContent>
                    <w:p w14:paraId="01835F36">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泉林小学幼儿园</w:t>
                      </w:r>
                    </w:p>
                  </w:txbxContent>
                </v:textbox>
              </v:shape>
            </w:pict>
          </mc:Fallback>
        </mc:AlternateContent>
      </w:r>
      <w:r>
        <w:rPr>
          <w:rFonts w:ascii="Times New Roman" w:hAnsi="Times New Roman" w:eastAsia="宋体" w:cs="Times New Roman"/>
          <w:color w:val="auto"/>
          <w:sz w:val="24"/>
        </w:rPr>
        <mc:AlternateContent>
          <mc:Choice Requires="wps">
            <w:drawing>
              <wp:anchor distT="0" distB="0" distL="114300" distR="114300" simplePos="0" relativeHeight="251741184" behindDoc="0" locked="0" layoutInCell="1" allowOverlap="1">
                <wp:simplePos x="0" y="0"/>
                <wp:positionH relativeFrom="column">
                  <wp:posOffset>2052320</wp:posOffset>
                </wp:positionH>
                <wp:positionV relativeFrom="paragraph">
                  <wp:posOffset>929640</wp:posOffset>
                </wp:positionV>
                <wp:extent cx="1062990" cy="352425"/>
                <wp:effectExtent l="9525" t="9525" r="813435" b="342900"/>
                <wp:wrapNone/>
                <wp:docPr id="79" name="圆角矩形标注 79"/>
                <wp:cNvGraphicFramePr/>
                <a:graphic xmlns:a="http://schemas.openxmlformats.org/drawingml/2006/main">
                  <a:graphicData uri="http://schemas.microsoft.com/office/word/2010/wordprocessingShape">
                    <wps:wsp>
                      <wps:cNvSpPr/>
                      <wps:spPr>
                        <a:xfrm>
                          <a:off x="0" y="0"/>
                          <a:ext cx="1062990" cy="352425"/>
                        </a:xfrm>
                        <a:prstGeom prst="wedgeRoundRectCallout">
                          <a:avLst>
                            <a:gd name="adj1" fmla="val 124001"/>
                            <a:gd name="adj2" fmla="val 140450"/>
                            <a:gd name="adj3" fmla="val 16667"/>
                          </a:avLst>
                        </a:prstGeom>
                        <a:noFill/>
                        <a:ln w="19050" cap="flat" cmpd="sng" algn="ctr">
                          <a:solidFill>
                            <a:srgbClr val="FFFF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5BC8C53F">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泉林村卫生院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1.6pt;margin-top:73.2pt;height:27.75pt;width:83.7pt;z-index:251741184;v-text-anchor:middle;mso-width-relative:page;mso-height-relative:page;" filled="f" stroked="t" coordsize="21600,21600" o:gfxdata="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IHXiEXbAAAACwEAAA8AAAAA&#10;AAAAAQAgAAAAIgAAAGRycy9kb3ducmV2LnhtbFBLAQIUABQAAAAIAIdO4kDBfeCcvAIAAGMFAAAO&#10;AAAAAAAAAAEAIAAAACoBAABkcnMvZTJvRG9jLnhtbFBLBQYAAAAABgAGAFkBAABYBgAAAAA=&#10;" adj="37584,41137,14400">
                <v:fill on="f" focussize="0,0"/>
                <v:stroke weight="1.5pt" color="#FFFF00 [2404]" joinstyle="round"/>
                <v:imagedata o:title=""/>
                <o:lock v:ext="edit" aspectratio="f"/>
                <v:textbox>
                  <w:txbxContent>
                    <w:p w14:paraId="5BC8C53F">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泉林村卫生院</w:t>
                      </w:r>
                    </w:p>
                  </w:txbxContent>
                </v:textbox>
              </v:shape>
            </w:pict>
          </mc:Fallback>
        </mc:AlternateContent>
      </w:r>
      <w:r>
        <w:rPr>
          <w:color w:val="auto"/>
          <w:sz w:val="24"/>
        </w:rPr>
        <mc:AlternateContent>
          <mc:Choice Requires="wps">
            <w:drawing>
              <wp:anchor distT="0" distB="0" distL="114300" distR="114300" simplePos="0" relativeHeight="251740160" behindDoc="0" locked="0" layoutInCell="1" allowOverlap="1">
                <wp:simplePos x="0" y="0"/>
                <wp:positionH relativeFrom="column">
                  <wp:posOffset>3337560</wp:posOffset>
                </wp:positionH>
                <wp:positionV relativeFrom="paragraph">
                  <wp:posOffset>1583690</wp:posOffset>
                </wp:positionV>
                <wp:extent cx="1013460" cy="872490"/>
                <wp:effectExtent l="0" t="0" r="0" b="0"/>
                <wp:wrapNone/>
                <wp:docPr id="78" name="矩形 78"/>
                <wp:cNvGraphicFramePr/>
                <a:graphic xmlns:a="http://schemas.openxmlformats.org/drawingml/2006/main">
                  <a:graphicData uri="http://schemas.microsoft.com/office/word/2010/wordprocessingShape">
                    <wps:wsp>
                      <wps:cNvSpPr/>
                      <wps:spPr>
                        <a:xfrm>
                          <a:off x="0" y="0"/>
                          <a:ext cx="1013460" cy="8724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23631DD">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山东机械附件厂家属院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8pt;margin-top:124.7pt;height:68.7pt;width:79.8pt;z-index:251740160;v-text-anchor:middle;mso-width-relative:page;mso-height-relative:page;" filled="f" stroked="f" coordsize="21600,21600" o:gfxdata="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ka8y9oAAAAL&#10;AQAADwAAAAAAAAABACAAAAAiAAAAZHJzL2Rvd25yZXYueG1sUEsBAhQAFAAAAAgAh07iQMzl91xT&#10;AgAAmAQAAA4AAAAAAAAAAQAgAAAAKQEAAGRycy9lMm9Eb2MueG1sUEsFBgAAAAAGAAYAWQEAAO4F&#10;AAAAAA==&#10;">
                <v:fill on="f" focussize="0,0"/>
                <v:stroke on="f" weight="2pt"/>
                <v:imagedata o:title=""/>
                <o:lock v:ext="edit" aspectratio="f"/>
                <v:textbox>
                  <w:txbxContent>
                    <w:p w14:paraId="223631DD">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山东机械附件厂家属院</w:t>
                      </w:r>
                    </w:p>
                  </w:txbxContent>
                </v:textbox>
              </v:rect>
            </w:pict>
          </mc:Fallback>
        </mc:AlternateContent>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4068445</wp:posOffset>
                </wp:positionH>
                <wp:positionV relativeFrom="paragraph">
                  <wp:posOffset>2157095</wp:posOffset>
                </wp:positionV>
                <wp:extent cx="1979295" cy="530225"/>
                <wp:effectExtent l="0" t="0" r="0" b="0"/>
                <wp:wrapNone/>
                <wp:docPr id="77" name="矩形 77"/>
                <wp:cNvGraphicFramePr/>
                <a:graphic xmlns:a="http://schemas.openxmlformats.org/drawingml/2006/main">
                  <a:graphicData uri="http://schemas.microsoft.com/office/word/2010/wordprocessingShape">
                    <wps:wsp>
                      <wps:cNvSpPr/>
                      <wps:spPr>
                        <a:xfrm>
                          <a:off x="0" y="0"/>
                          <a:ext cx="197929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DE0281B">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天源机床附件厂家属院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35pt;margin-top:169.85pt;height:41.75pt;width:155.85pt;z-index:251739136;v-text-anchor:middle;mso-width-relative:page;mso-height-relative:page;" filled="f" stroked="f" coordsize="21600,21600" o:gfxdata="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Uu+AzaAAAA&#10;CwEAAA8AAAAAAAAAAQAgAAAAIgAAAGRycy9kb3ducmV2LnhtbFBLAQIUABQAAAAIAIdO4kDUFqhn&#10;VAIAAJgEAAAOAAAAAAAAAAEAIAAAACkBAABkcnMvZTJvRG9jLnhtbFBLBQYAAAAABgAGAFkBAADv&#10;BQAAAAA=&#10;">
                <v:fill on="f" focussize="0,0"/>
                <v:stroke on="f" weight="2pt"/>
                <v:imagedata o:title=""/>
                <o:lock v:ext="edit" aspectratio="f"/>
                <v:textbox>
                  <w:txbxContent>
                    <w:p w14:paraId="1DE0281B">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天源机床附件厂家属院</w:t>
                      </w:r>
                    </w:p>
                  </w:txbxContent>
                </v:textbox>
              </v:rect>
            </w:pict>
          </mc:Fallback>
        </mc:AlternateContent>
      </w: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6367145</wp:posOffset>
                </wp:positionH>
                <wp:positionV relativeFrom="paragraph">
                  <wp:posOffset>65405</wp:posOffset>
                </wp:positionV>
                <wp:extent cx="1035050" cy="436880"/>
                <wp:effectExtent l="0" t="0" r="0" b="0"/>
                <wp:wrapNone/>
                <wp:docPr id="76" name="矩形 76"/>
                <wp:cNvGraphicFramePr/>
                <a:graphic xmlns:a="http://schemas.openxmlformats.org/drawingml/2006/main">
                  <a:graphicData uri="http://schemas.microsoft.com/office/word/2010/wordprocessingShape">
                    <wps:wsp>
                      <wps:cNvSpPr/>
                      <wps:spPr>
                        <a:xfrm>
                          <a:off x="0" y="0"/>
                          <a:ext cx="1035050" cy="4368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5A4018">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泉福新城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1.35pt;margin-top:5.15pt;height:34.4pt;width:81.5pt;z-index:251738112;v-text-anchor:middle;mso-width-relative:page;mso-height-relative:page;" filled="f" stroked="f" coordsize="21600,21600" o:gfxdata="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nD++GtgAAAAL&#10;AQAADwAAAAAAAAABACAAAAAiAAAAZHJzL2Rvd25yZXYueG1sUEsBAhQAFAAAAAgAh07iQMnpt2RV&#10;AgAAmAQAAA4AAAAAAAAAAQAgAAAAJwEAAGRycy9lMm9Eb2MueG1sUEsFBgAAAAAGAAYAWQEAAO4F&#10;AAAAAA==&#10;">
                <v:fill on="f" focussize="0,0"/>
                <v:stroke on="f" weight="2pt"/>
                <v:imagedata o:title=""/>
                <o:lock v:ext="edit" aspectratio="f"/>
                <v:textbox>
                  <w:txbxContent>
                    <w:p w14:paraId="6A5A4018">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泉福新城</w:t>
                      </w:r>
                    </w:p>
                  </w:txbxContent>
                </v:textbox>
              </v:rect>
            </w:pict>
          </mc:Fallback>
        </mc:AlternateContent>
      </w:r>
      <w:r>
        <w:rPr>
          <w:color w:val="auto"/>
          <w:sz w:val="24"/>
        </w:rPr>
        <mc:AlternateContent>
          <mc:Choice Requires="wps">
            <w:drawing>
              <wp:anchor distT="0" distB="0" distL="114300" distR="114300" simplePos="0" relativeHeight="251737088" behindDoc="0" locked="0" layoutInCell="1" allowOverlap="1">
                <wp:simplePos x="0" y="0"/>
                <wp:positionH relativeFrom="column">
                  <wp:posOffset>4398010</wp:posOffset>
                </wp:positionH>
                <wp:positionV relativeFrom="paragraph">
                  <wp:posOffset>394335</wp:posOffset>
                </wp:positionV>
                <wp:extent cx="792480" cy="436880"/>
                <wp:effectExtent l="0" t="0" r="0" b="0"/>
                <wp:wrapNone/>
                <wp:docPr id="75" name="矩形 75"/>
                <wp:cNvGraphicFramePr/>
                <a:graphic xmlns:a="http://schemas.openxmlformats.org/drawingml/2006/main">
                  <a:graphicData uri="http://schemas.microsoft.com/office/word/2010/wordprocessingShape">
                    <wps:wsp>
                      <wps:cNvSpPr/>
                      <wps:spPr>
                        <a:xfrm>
                          <a:off x="0" y="0"/>
                          <a:ext cx="792480" cy="4368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E679C93">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泉林村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3pt;margin-top:31.05pt;height:34.4pt;width:62.4pt;z-index:251737088;v-text-anchor:middle;mso-width-relative:page;mso-height-relative:page;" filled="f" stroked="f" coordsize="21600,21600" o:gfxdata="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RvAlC2AAAAAoBAAAP&#10;AAAAAAAAAAEAIAAAACIAAABkcnMvZG93bnJldi54bWxQSwECFAAUAAAACACHTuJA2uHPH1ECAACX&#10;BAAADgAAAAAAAAABACAAAAAnAQAAZHJzL2Uyb0RvYy54bWxQSwUGAAAAAAYABgBZAQAA6gUAAAAA&#10;">
                <v:fill on="f" focussize="0,0"/>
                <v:stroke on="f" weight="2pt"/>
                <v:imagedata o:title=""/>
                <o:lock v:ext="edit" aspectratio="f"/>
                <v:textbox>
                  <w:txbxContent>
                    <w:p w14:paraId="5E679C93">
                      <w:pPr>
                        <w:jc w:val="center"/>
                        <w:rPr>
                          <w:rFonts w:hint="default" w:eastAsia="宋体"/>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泉林村</w:t>
                      </w:r>
                    </w:p>
                  </w:txbxContent>
                </v:textbox>
              </v:rect>
            </w:pict>
          </mc:Fallback>
        </mc:AlternateContent>
      </w:r>
      <w:r>
        <w:rPr>
          <w:rFonts w:ascii="Times New Roman" w:hAnsi="Times New Roman" w:eastAsia="宋体" w:cs="Times New Roman"/>
          <w:color w:val="auto"/>
          <w:sz w:val="24"/>
        </w:rPr>
        <mc:AlternateContent>
          <mc:Choice Requires="wps">
            <w:drawing>
              <wp:anchor distT="0" distB="0" distL="114300" distR="114300" simplePos="0" relativeHeight="251736064" behindDoc="0" locked="0" layoutInCell="1" allowOverlap="1">
                <wp:simplePos x="0" y="0"/>
                <wp:positionH relativeFrom="column">
                  <wp:posOffset>3291205</wp:posOffset>
                </wp:positionH>
                <wp:positionV relativeFrom="paragraph">
                  <wp:posOffset>807720</wp:posOffset>
                </wp:positionV>
                <wp:extent cx="969645" cy="352425"/>
                <wp:effectExtent l="9525" t="9525" r="125730" b="609600"/>
                <wp:wrapNone/>
                <wp:docPr id="74" name="圆角矩形标注 74"/>
                <wp:cNvGraphicFramePr/>
                <a:graphic xmlns:a="http://schemas.openxmlformats.org/drawingml/2006/main">
                  <a:graphicData uri="http://schemas.microsoft.com/office/word/2010/wordprocessingShape">
                    <wps:wsp>
                      <wps:cNvSpPr/>
                      <wps:spPr>
                        <a:xfrm>
                          <a:off x="5509260" y="2931795"/>
                          <a:ext cx="969645" cy="352425"/>
                        </a:xfrm>
                        <a:prstGeom prst="wedgeRoundRectCallout">
                          <a:avLst>
                            <a:gd name="adj1" fmla="val 61918"/>
                            <a:gd name="adj2" fmla="val 217747"/>
                            <a:gd name="adj3" fmla="val 16667"/>
                          </a:avLst>
                        </a:prstGeom>
                        <a:noFill/>
                        <a:ln w="19050" cap="flat" cmpd="sng" algn="ctr">
                          <a:solidFill>
                            <a:srgbClr val="FF00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6E3C8ED0">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9.15pt;margin-top:63.6pt;height:27.75pt;width:76.35pt;z-index:251736064;v-text-anchor:middle;mso-width-relative:page;mso-height-relative:page;" filled="f" stroked="t" coordsize="21600,21600" o:gfxdata="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D6UirN2QAA&#10;AAsBAAAPAAAAAAAAAAEAIAAAACIAAABkcnMvZG93bnJldi54bWxQSwECFAAUAAAACACHTuJAW/d/&#10;FcgCAABtBQAADgAAAAAAAAABACAAAAAoAQAAZHJzL2Uyb0RvYy54bWxQSwUGAAAAAAYABgBZAQAA&#10;YgYAAAAA&#10;" adj="24174,57833,14400">
                <v:fill on="f" focussize="0,0"/>
                <v:stroke weight="1.5pt" color="#FF0000 [2404]" joinstyle="round"/>
                <v:imagedata o:title=""/>
                <o:lock v:ext="edit" aspectratio="f"/>
                <v:textbox>
                  <w:txbxContent>
                    <w:p w14:paraId="6E3C8ED0">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项目所在地</w:t>
                      </w:r>
                    </w:p>
                  </w:txbxContent>
                </v:textbox>
              </v:shape>
            </w:pict>
          </mc:Fallback>
        </mc:AlternateContent>
      </w:r>
      <w:r>
        <w:rPr>
          <w:color w:val="auto"/>
          <w:sz w:val="24"/>
        </w:rPr>
        <mc:AlternateContent>
          <mc:Choice Requires="wps">
            <w:drawing>
              <wp:anchor distT="0" distB="0" distL="114300" distR="114300" simplePos="0" relativeHeight="251735040" behindDoc="0" locked="0" layoutInCell="1" allowOverlap="1">
                <wp:simplePos x="0" y="0"/>
                <wp:positionH relativeFrom="column">
                  <wp:posOffset>2704465</wp:posOffset>
                </wp:positionH>
                <wp:positionV relativeFrom="paragraph">
                  <wp:posOffset>202565</wp:posOffset>
                </wp:positionV>
                <wp:extent cx="3521710" cy="3210560"/>
                <wp:effectExtent l="260350" t="309245" r="275590" b="309245"/>
                <wp:wrapNone/>
                <wp:docPr id="73" name="圆角矩形 73"/>
                <wp:cNvGraphicFramePr/>
                <a:graphic xmlns:a="http://schemas.openxmlformats.org/drawingml/2006/main">
                  <a:graphicData uri="http://schemas.microsoft.com/office/word/2010/wordprocessingShape">
                    <wps:wsp>
                      <wps:cNvSpPr/>
                      <wps:spPr>
                        <a:xfrm rot="960000">
                          <a:off x="3815080" y="1973580"/>
                          <a:ext cx="3521710" cy="3210560"/>
                        </a:xfrm>
                        <a:prstGeom prst="round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12.95pt;margin-top:15.95pt;height:252.8pt;width:277.3pt;rotation:1048576f;z-index:251735040;v-text-anchor:middle;mso-width-relative:page;mso-height-relative:page;" filled="f" stroked="t" coordsize="21600,21600" arcsize="0.166666666666667" o:gfxdata="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NnfXn2QAAAAoBAAAPAAAAAAAA&#10;AAEAIAAAACIAAABkcnMvZG93bnJldi54bWxQSwECFAAUAAAACACHTuJAbZpZjoMCAADbBAAADgAA&#10;AAAAAAABACAAAAAoAQAAZHJzL2Uyb0RvYy54bWxQSwUGAAAAAAYABgBZAQAAHQYAAAAA&#10;">
                <v:fill on="f" focussize="0,0"/>
                <v:stroke weight="2pt" color="#FFFF00 [2404]" joinstyle="round"/>
                <v:imagedata o:title=""/>
                <o:lock v:ext="edit" aspectratio="f"/>
              </v:roundrect>
            </w:pict>
          </mc:Fallback>
        </mc:AlternateContent>
      </w:r>
      <w:r>
        <w:rPr>
          <w:color w:val="auto"/>
          <w:sz w:val="28"/>
        </w:rPr>
        <mc:AlternateContent>
          <mc:Choice Requires="wps">
            <w:drawing>
              <wp:anchor distT="0" distB="0" distL="114300" distR="114300" simplePos="0" relativeHeight="251734016" behindDoc="0" locked="0" layoutInCell="1" allowOverlap="1">
                <wp:simplePos x="0" y="0"/>
                <wp:positionH relativeFrom="column">
                  <wp:posOffset>3364865</wp:posOffset>
                </wp:positionH>
                <wp:positionV relativeFrom="paragraph">
                  <wp:posOffset>2254885</wp:posOffset>
                </wp:positionV>
                <wp:extent cx="119380" cy="142875"/>
                <wp:effectExtent l="32385" t="27940" r="38735" b="38735"/>
                <wp:wrapNone/>
                <wp:docPr id="72" name="矩形 72"/>
                <wp:cNvGraphicFramePr/>
                <a:graphic xmlns:a="http://schemas.openxmlformats.org/drawingml/2006/main">
                  <a:graphicData uri="http://schemas.microsoft.com/office/word/2010/wordprocessingShape">
                    <wps:wsp>
                      <wps:cNvSpPr/>
                      <wps:spPr>
                        <a:xfrm rot="1140000">
                          <a:off x="0" y="0"/>
                          <a:ext cx="119380" cy="142875"/>
                        </a:xfrm>
                        <a:prstGeom prst="rect">
                          <a:avLst/>
                        </a:prstGeom>
                        <a:solidFill>
                          <a:srgbClr val="FFFF00">
                            <a:alpha val="21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95pt;margin-top:177.55pt;height:11.25pt;width:9.4pt;rotation:1245184f;z-index:251734016;v-text-anchor:middle;mso-width-relative:page;mso-height-relative:page;" fillcolor="#FFFF00" filled="t" stroked="t" coordsize="21600,21600" o:gfxdata="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6MAVe9sAAAALAQAADwAAAAAAAAABACAAAAAi&#10;AAAAZHJzL2Rvd25yZXYueG1sUEsBAhQAFAAAAAgAh07iQJ4ZYxx5AgAADQUAAA4AAAAAAAAAAQAg&#10;AAAAKgEAAGRycy9lMm9Eb2MueG1sUEsFBgAAAAAGAAYAWQEAABUGAAAAAA==&#10;">
                <v:fill on="t" opacity="13762f" focussize="0,0"/>
                <v:stroke weight="2pt" color="#FFFF00 [2404]" joinstyle="round"/>
                <v:imagedata o:title=""/>
                <o:lock v:ext="edit" aspectratio="f"/>
              </v:rect>
            </w:pict>
          </mc:Fallback>
        </mc:AlternateContent>
      </w:r>
      <w:r>
        <w:rPr>
          <w:color w:val="auto"/>
          <w:sz w:val="28"/>
        </w:rPr>
        <mc:AlternateContent>
          <mc:Choice Requires="wps">
            <w:drawing>
              <wp:anchor distT="0" distB="0" distL="114300" distR="114300" simplePos="0" relativeHeight="251732992" behindDoc="0" locked="0" layoutInCell="1" allowOverlap="1">
                <wp:simplePos x="0" y="0"/>
                <wp:positionH relativeFrom="column">
                  <wp:posOffset>2725420</wp:posOffset>
                </wp:positionH>
                <wp:positionV relativeFrom="paragraph">
                  <wp:posOffset>2151380</wp:posOffset>
                </wp:positionV>
                <wp:extent cx="353060" cy="418465"/>
                <wp:effectExtent l="71120" t="59055" r="71120" b="74930"/>
                <wp:wrapNone/>
                <wp:docPr id="71" name="矩形 71"/>
                <wp:cNvGraphicFramePr/>
                <a:graphic xmlns:a="http://schemas.openxmlformats.org/drawingml/2006/main">
                  <a:graphicData uri="http://schemas.microsoft.com/office/word/2010/wordprocessingShape">
                    <wps:wsp>
                      <wps:cNvSpPr/>
                      <wps:spPr>
                        <a:xfrm rot="1140000">
                          <a:off x="0" y="0"/>
                          <a:ext cx="353060" cy="418465"/>
                        </a:xfrm>
                        <a:prstGeom prst="rect">
                          <a:avLst/>
                        </a:prstGeom>
                        <a:solidFill>
                          <a:srgbClr val="FFFF00">
                            <a:alpha val="21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6pt;margin-top:169.4pt;height:32.95pt;width:27.8pt;rotation:1245184f;z-index:251732992;v-text-anchor:middle;mso-width-relative:page;mso-height-relative:page;" fillcolor="#FFFF00" filled="t" stroked="t" coordsize="21600,21600" o:gfxdata="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PX4I+2QAAAAsBAAAPAAAAAAAAAAEAIAAAACIA&#10;AABkcnMvZG93bnJldi54bWxQSwECFAAUAAAACACHTuJADn2SfnoCAAANBQAADgAAAAAAAAABACAA&#10;AAAoAQAAZHJzL2Uyb0RvYy54bWxQSwUGAAAAAAYABgBZAQAAFAYAAAAA&#10;">
                <v:fill on="t" opacity="13762f" focussize="0,0"/>
                <v:stroke weight="2pt" color="#FFFF00 [2404]" joinstyle="round"/>
                <v:imagedata o:title=""/>
                <o:lock v:ext="edit" aspectratio="f"/>
              </v:rect>
            </w:pict>
          </mc:Fallback>
        </mc:AlternateContent>
      </w:r>
      <w:r>
        <w:rPr>
          <w:color w:val="auto"/>
          <w:sz w:val="28"/>
        </w:rPr>
        <mc:AlternateContent>
          <mc:Choice Requires="wps">
            <w:drawing>
              <wp:anchor distT="0" distB="0" distL="114300" distR="114300" simplePos="0" relativeHeight="251731968" behindDoc="0" locked="0" layoutInCell="1" allowOverlap="1">
                <wp:simplePos x="0" y="0"/>
                <wp:positionH relativeFrom="column">
                  <wp:posOffset>3780790</wp:posOffset>
                </wp:positionH>
                <wp:positionV relativeFrom="paragraph">
                  <wp:posOffset>1517650</wp:posOffset>
                </wp:positionV>
                <wp:extent cx="110490" cy="130810"/>
                <wp:effectExtent l="31115" t="27305" r="48895" b="32385"/>
                <wp:wrapNone/>
                <wp:docPr id="70" name="矩形 70"/>
                <wp:cNvGraphicFramePr/>
                <a:graphic xmlns:a="http://schemas.openxmlformats.org/drawingml/2006/main">
                  <a:graphicData uri="http://schemas.microsoft.com/office/word/2010/wordprocessingShape">
                    <wps:wsp>
                      <wps:cNvSpPr/>
                      <wps:spPr>
                        <a:xfrm rot="1140000">
                          <a:off x="0" y="0"/>
                          <a:ext cx="110490" cy="130810"/>
                        </a:xfrm>
                        <a:prstGeom prst="rect">
                          <a:avLst/>
                        </a:prstGeom>
                        <a:solidFill>
                          <a:srgbClr val="FFFF00">
                            <a:alpha val="21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7pt;margin-top:119.5pt;height:10.3pt;width:8.7pt;rotation:1245184f;z-index:251731968;v-text-anchor:middle;mso-width-relative:page;mso-height-relative:page;" fillcolor="#FFFF00" filled="t" stroked="t" coordsize="21600,21600" o:gfxdata="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RjPnHaAAAACwEAAA8AAAAAAAAAAQAgAAAAIgAA&#10;AGRycy9kb3ducmV2LnhtbFBLAQIUABQAAAAIAIdO4kB29HLpeAIAAA0FAAAOAAAAAAAAAAEAIAAA&#10;ACkBAABkcnMvZTJvRG9jLnhtbFBLBQYAAAAABgAGAFkBAAATBgAAAAA=&#10;">
                <v:fill on="t" opacity="13762f" focussize="0,0"/>
                <v:stroke weight="2pt" color="#FFFF00 [2404]" joinstyle="round"/>
                <v:imagedata o:title=""/>
                <o:lock v:ext="edit" aspectratio="f"/>
              </v:rect>
            </w:pict>
          </mc:Fallback>
        </mc:AlternateContent>
      </w:r>
      <w:r>
        <w:rPr>
          <w:color w:val="auto"/>
          <w:sz w:val="28"/>
        </w:rPr>
        <mc:AlternateContent>
          <mc:Choice Requires="wps">
            <w:drawing>
              <wp:anchor distT="0" distB="0" distL="114300" distR="114300" simplePos="0" relativeHeight="251730944" behindDoc="0" locked="0" layoutInCell="1" allowOverlap="1">
                <wp:simplePos x="0" y="0"/>
                <wp:positionH relativeFrom="column">
                  <wp:posOffset>1081405</wp:posOffset>
                </wp:positionH>
                <wp:positionV relativeFrom="paragraph">
                  <wp:posOffset>1467485</wp:posOffset>
                </wp:positionV>
                <wp:extent cx="2284730" cy="1568450"/>
                <wp:effectExtent l="12700" t="12700" r="26670" b="19050"/>
                <wp:wrapNone/>
                <wp:docPr id="68" name="任意多边形 68"/>
                <wp:cNvGraphicFramePr/>
                <a:graphic xmlns:a="http://schemas.openxmlformats.org/drawingml/2006/main">
                  <a:graphicData uri="http://schemas.microsoft.com/office/word/2010/wordprocessingShape">
                    <wps:wsp>
                      <wps:cNvSpPr/>
                      <wps:spPr>
                        <a:xfrm>
                          <a:off x="1995805" y="3556000"/>
                          <a:ext cx="2284730" cy="1568450"/>
                        </a:xfrm>
                        <a:custGeom>
                          <a:avLst/>
                          <a:gdLst>
                            <a:gd name="connisteX0" fmla="*/ 2048510 w 2284730"/>
                            <a:gd name="connsiteY0" fmla="*/ 859790 h 1568450"/>
                            <a:gd name="connisteX1" fmla="*/ 1955165 w 2284730"/>
                            <a:gd name="connsiteY1" fmla="*/ 1182370 h 1568450"/>
                            <a:gd name="connisteX2" fmla="*/ 1561465 w 2284730"/>
                            <a:gd name="connsiteY2" fmla="*/ 1088390 h 1568450"/>
                            <a:gd name="connisteX3" fmla="*/ 1583055 w 2284730"/>
                            <a:gd name="connsiteY3" fmla="*/ 1325880 h 1568450"/>
                            <a:gd name="connisteX4" fmla="*/ 1339215 w 2284730"/>
                            <a:gd name="connsiteY4" fmla="*/ 1317625 h 1568450"/>
                            <a:gd name="connisteX5" fmla="*/ 1052830 w 2284730"/>
                            <a:gd name="connsiteY5" fmla="*/ 1282065 h 1568450"/>
                            <a:gd name="connisteX6" fmla="*/ 873760 w 2284730"/>
                            <a:gd name="connsiteY6" fmla="*/ 1224915 h 1568450"/>
                            <a:gd name="connisteX7" fmla="*/ 1067435 w 2284730"/>
                            <a:gd name="connsiteY7" fmla="*/ 1009650 h 1568450"/>
                            <a:gd name="connisteX8" fmla="*/ 1181735 w 2284730"/>
                            <a:gd name="connsiteY8" fmla="*/ 874395 h 1568450"/>
                            <a:gd name="connisteX9" fmla="*/ 1267460 w 2284730"/>
                            <a:gd name="connsiteY9" fmla="*/ 745490 h 1568450"/>
                            <a:gd name="connisteX10" fmla="*/ 1504315 w 2284730"/>
                            <a:gd name="connsiteY10" fmla="*/ 795655 h 1568450"/>
                            <a:gd name="connisteX11" fmla="*/ 1732915 w 2284730"/>
                            <a:gd name="connsiteY11" fmla="*/ 573405 h 1568450"/>
                            <a:gd name="connisteX12" fmla="*/ 1532890 w 2284730"/>
                            <a:gd name="connsiteY12" fmla="*/ 466090 h 1568450"/>
                            <a:gd name="connisteX13" fmla="*/ 1439545 w 2284730"/>
                            <a:gd name="connsiteY13" fmla="*/ 466090 h 1568450"/>
                            <a:gd name="connisteX14" fmla="*/ 1124585 w 2284730"/>
                            <a:gd name="connsiteY14" fmla="*/ 423545 h 1568450"/>
                            <a:gd name="connisteX15" fmla="*/ 895350 w 2284730"/>
                            <a:gd name="connsiteY15" fmla="*/ 358140 h 1568450"/>
                            <a:gd name="connisteX16" fmla="*/ 938530 w 2284730"/>
                            <a:gd name="connsiteY16" fmla="*/ 179705 h 1568450"/>
                            <a:gd name="connisteX17" fmla="*/ 873760 w 2284730"/>
                            <a:gd name="connsiteY17" fmla="*/ 50165 h 1568450"/>
                            <a:gd name="connisteX18" fmla="*/ 622935 w 2284730"/>
                            <a:gd name="connsiteY18" fmla="*/ 0 h 1568450"/>
                            <a:gd name="connisteX19" fmla="*/ 393700 w 2284730"/>
                            <a:gd name="connsiteY19" fmla="*/ 72390 h 1568450"/>
                            <a:gd name="connisteX20" fmla="*/ 307975 w 2284730"/>
                            <a:gd name="connsiteY20" fmla="*/ 7620 h 1568450"/>
                            <a:gd name="connisteX21" fmla="*/ 143510 w 2284730"/>
                            <a:gd name="connsiteY21" fmla="*/ 115570 h 1568450"/>
                            <a:gd name="connisteX22" fmla="*/ 172085 w 2284730"/>
                            <a:gd name="connsiteY22" fmla="*/ 437515 h 1568450"/>
                            <a:gd name="connisteX23" fmla="*/ 107315 w 2284730"/>
                            <a:gd name="connsiteY23" fmla="*/ 637540 h 1568450"/>
                            <a:gd name="connisteX24" fmla="*/ 0 w 2284730"/>
                            <a:gd name="connsiteY24" fmla="*/ 989330 h 1568450"/>
                            <a:gd name="connisteX25" fmla="*/ 143510 w 2284730"/>
                            <a:gd name="connsiteY25" fmla="*/ 1217930 h 1568450"/>
                            <a:gd name="connisteX26" fmla="*/ 659130 w 2284730"/>
                            <a:gd name="connsiteY26" fmla="*/ 1332865 h 1568450"/>
                            <a:gd name="connisteX27" fmla="*/ 723265 w 2284730"/>
                            <a:gd name="connsiteY27" fmla="*/ 1354455 h 1568450"/>
                            <a:gd name="connisteX28" fmla="*/ 1317625 w 2284730"/>
                            <a:gd name="connsiteY28" fmla="*/ 1404620 h 1568450"/>
                            <a:gd name="connisteX29" fmla="*/ 1668780 w 2284730"/>
                            <a:gd name="connsiteY29" fmla="*/ 1468755 h 1568450"/>
                            <a:gd name="connisteX30" fmla="*/ 1933575 w 2284730"/>
                            <a:gd name="connsiteY30" fmla="*/ 1539875 h 1568450"/>
                            <a:gd name="connisteX31" fmla="*/ 2119630 w 2284730"/>
                            <a:gd name="connsiteY31" fmla="*/ 1568450 h 1568450"/>
                            <a:gd name="connisteX32" fmla="*/ 2227580 w 2284730"/>
                            <a:gd name="connsiteY32" fmla="*/ 1554480 h 1568450"/>
                            <a:gd name="connisteX33" fmla="*/ 2284730 w 2284730"/>
                            <a:gd name="connsiteY33" fmla="*/ 1268095 h 1568450"/>
                            <a:gd name="connisteX34" fmla="*/ 1955165 w 2284730"/>
                            <a:gd name="connsiteY34" fmla="*/ 1182370 h 1568450"/>
                            <a:gd name="connisteX35" fmla="*/ 1940560 w 2284730"/>
                            <a:gd name="connsiteY35" fmla="*/ 1153795 h 1568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Lst>
                          <a:rect l="l" t="t" r="r" b="b"/>
                          <a:pathLst>
                            <a:path w="2284730" h="1568450">
                              <a:moveTo>
                                <a:pt x="2048510" y="859790"/>
                              </a:moveTo>
                              <a:lnTo>
                                <a:pt x="1955165" y="1182370"/>
                              </a:lnTo>
                              <a:lnTo>
                                <a:pt x="1561465" y="1088390"/>
                              </a:lnTo>
                              <a:lnTo>
                                <a:pt x="1583055" y="1325880"/>
                              </a:lnTo>
                              <a:lnTo>
                                <a:pt x="1339215" y="1317625"/>
                              </a:lnTo>
                              <a:lnTo>
                                <a:pt x="1052830" y="1282065"/>
                              </a:lnTo>
                              <a:lnTo>
                                <a:pt x="873760" y="1224915"/>
                              </a:lnTo>
                              <a:lnTo>
                                <a:pt x="1067435" y="1009650"/>
                              </a:lnTo>
                              <a:lnTo>
                                <a:pt x="1181735" y="874395"/>
                              </a:lnTo>
                              <a:lnTo>
                                <a:pt x="1267460" y="745490"/>
                              </a:lnTo>
                              <a:lnTo>
                                <a:pt x="1504315" y="795655"/>
                              </a:lnTo>
                              <a:lnTo>
                                <a:pt x="1732915" y="573405"/>
                              </a:lnTo>
                              <a:lnTo>
                                <a:pt x="1532890" y="466090"/>
                              </a:lnTo>
                              <a:lnTo>
                                <a:pt x="1439545" y="466090"/>
                              </a:lnTo>
                              <a:lnTo>
                                <a:pt x="1124585" y="423545"/>
                              </a:lnTo>
                              <a:lnTo>
                                <a:pt x="895350" y="358140"/>
                              </a:lnTo>
                              <a:lnTo>
                                <a:pt x="938530" y="179705"/>
                              </a:lnTo>
                              <a:lnTo>
                                <a:pt x="873760" y="50165"/>
                              </a:lnTo>
                              <a:lnTo>
                                <a:pt x="622935" y="0"/>
                              </a:lnTo>
                              <a:lnTo>
                                <a:pt x="393700" y="72390"/>
                              </a:lnTo>
                              <a:lnTo>
                                <a:pt x="307975" y="7620"/>
                              </a:lnTo>
                              <a:lnTo>
                                <a:pt x="143510" y="115570"/>
                              </a:lnTo>
                              <a:lnTo>
                                <a:pt x="172085" y="437515"/>
                              </a:lnTo>
                              <a:lnTo>
                                <a:pt x="107315" y="637540"/>
                              </a:lnTo>
                              <a:lnTo>
                                <a:pt x="0" y="989330"/>
                              </a:lnTo>
                              <a:lnTo>
                                <a:pt x="143510" y="1217930"/>
                              </a:lnTo>
                              <a:lnTo>
                                <a:pt x="659130" y="1332865"/>
                              </a:lnTo>
                              <a:lnTo>
                                <a:pt x="723265" y="1354455"/>
                              </a:lnTo>
                              <a:lnTo>
                                <a:pt x="1317625" y="1404620"/>
                              </a:lnTo>
                              <a:lnTo>
                                <a:pt x="1668780" y="1468755"/>
                              </a:lnTo>
                              <a:lnTo>
                                <a:pt x="1933575" y="1539875"/>
                              </a:lnTo>
                              <a:lnTo>
                                <a:pt x="2119630" y="1568450"/>
                              </a:lnTo>
                              <a:lnTo>
                                <a:pt x="2227580" y="1554480"/>
                              </a:lnTo>
                              <a:lnTo>
                                <a:pt x="2284730" y="1268095"/>
                              </a:lnTo>
                              <a:lnTo>
                                <a:pt x="1955165" y="1182370"/>
                              </a:lnTo>
                              <a:lnTo>
                                <a:pt x="1940560" y="1153795"/>
                              </a:lnTo>
                            </a:path>
                          </a:pathLst>
                        </a:custGeom>
                        <a:solidFill>
                          <a:srgbClr val="FFFF00">
                            <a:alpha val="21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5.15pt;margin-top:115.55pt;height:123.5pt;width:179.9pt;z-index:251730944;mso-width-relative:page;mso-height-relative:page;" fillcolor="#FFFF00" filled="t" stroked="t" coordsize="2284730,1568450" o:gfxdata="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" path="m2048510,859790l1955165,1182370,1561465,1088390,1583055,1325880,1339215,1317625,1052830,1282065,873760,1224915,1067435,1009650,1181735,874395,1267460,745490,1504315,795655,1732915,573405,1532890,466090,1439545,466090,1124585,423545,895350,358140,938530,179705,873760,50165,622935,0,393700,72390,307975,7620,143510,115570,172085,437515,107315,637540,0,989330,143510,1217930,659130,1332865,723265,1354455,1317625,1404620,1668780,1468755,1933575,1539875,2119630,1568450,2227580,1554480,2284730,1268095,1955165,1182370,1940560,1153795e">
                <v:path o:connectlocs="2048510,859790;1955165,1182370;1561465,1088390;1583055,1325880;1339215,1317625;1052830,1282065;873760,1224915;1067435,1009650;1181735,874395;1267460,745490;1504315,795655;1732915,573405;1532890,466090;1439545,466090;1124585,423545;895350,358140;938530,179705;873760,50165;622935,0;393700,72390;307975,7620;143510,115570;172085,437515;107315,637540;0,989330;143510,1217930;659130,1332865;723265,1354455;1317625,1404620;1668780,1468755;1933575,1539875;2119630,1568450;2227580,1554480;2284730,1268095;1955165,1182370;1940560,1153795" o:connectangles="0,0,0,0,0,0,0,0,0,0,0,0,0,0,0,0,0,0,0,0,0,0,0,0,0,0,0,0,0,0,0,0,0,0,0,0"/>
                <v:fill on="t" opacity="13762f" focussize="0,0"/>
                <v:stroke weight="2pt" color="#FFFF00 [2404]" joinstyle="round"/>
                <v:imagedata o:title=""/>
                <o:lock v:ext="edit" aspectratio="f"/>
              </v:shape>
            </w:pict>
          </mc:Fallback>
        </mc:AlternateContent>
      </w:r>
      <w:r>
        <w:rPr>
          <w:color w:val="auto"/>
          <w:sz w:val="28"/>
        </w:rPr>
        <mc:AlternateContent>
          <mc:Choice Requires="wps">
            <w:drawing>
              <wp:anchor distT="0" distB="0" distL="114300" distR="114300" simplePos="0" relativeHeight="251729920" behindDoc="0" locked="0" layoutInCell="1" allowOverlap="1">
                <wp:simplePos x="0" y="0"/>
                <wp:positionH relativeFrom="column">
                  <wp:posOffset>4275455</wp:posOffset>
                </wp:positionH>
                <wp:positionV relativeFrom="paragraph">
                  <wp:posOffset>1769110</wp:posOffset>
                </wp:positionV>
                <wp:extent cx="121285" cy="164465"/>
                <wp:effectExtent l="36195" t="27940" r="52070" b="36195"/>
                <wp:wrapNone/>
                <wp:docPr id="67" name="矩形 67"/>
                <wp:cNvGraphicFramePr/>
                <a:graphic xmlns:a="http://schemas.openxmlformats.org/drawingml/2006/main">
                  <a:graphicData uri="http://schemas.microsoft.com/office/word/2010/wordprocessingShape">
                    <wps:wsp>
                      <wps:cNvSpPr/>
                      <wps:spPr>
                        <a:xfrm rot="1140000">
                          <a:off x="5226050" y="3829050"/>
                          <a:ext cx="121285" cy="164465"/>
                        </a:xfrm>
                        <a:prstGeom prst="rect">
                          <a:avLst/>
                        </a:prstGeom>
                        <a:solidFill>
                          <a:srgbClr val="FF0000">
                            <a:alpha val="21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6.65pt;margin-top:139.3pt;height:12.95pt;width:9.55pt;rotation:1245184f;z-index:251729920;v-text-anchor:middle;mso-width-relative:page;mso-height-relative:page;" fillcolor="#FF0000" filled="t" stroked="t" coordsize="21600,21600" o:gfxdata="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5IH7nbAAAACwEAAA8A&#10;AAAAAAAAAQAgAAAAIgAAAGRycy9kb3ducmV2LnhtbFBLAQIUABQAAAAIAIdO4kD+rnMbhgIAABkF&#10;AAAOAAAAAAAAAAEAIAAAACoBAABkcnMvZTJvRG9jLnhtbFBLBQYAAAAABgAGAFkBAAAiBgAAAAA=&#10;">
                <v:fill on="t" opacity="13762f" focussize="0,0"/>
                <v:stroke weight="2pt" color="#FF0000 [2404]" joinstyle="round"/>
                <v:imagedata o:title=""/>
                <o:lock v:ext="edit" aspectratio="f"/>
              </v:rect>
            </w:pict>
          </mc:Fallback>
        </mc:AlternateContent>
      </w:r>
      <w:r>
        <w:rPr>
          <w:color w:val="auto"/>
          <w:sz w:val="28"/>
        </w:rPr>
        <mc:AlternateContent>
          <mc:Choice Requires="wps">
            <w:drawing>
              <wp:anchor distT="0" distB="0" distL="114300" distR="114300" simplePos="0" relativeHeight="251728896" behindDoc="0" locked="0" layoutInCell="1" allowOverlap="1">
                <wp:simplePos x="0" y="0"/>
                <wp:positionH relativeFrom="column">
                  <wp:posOffset>3566795</wp:posOffset>
                </wp:positionH>
                <wp:positionV relativeFrom="paragraph">
                  <wp:posOffset>1568450</wp:posOffset>
                </wp:positionV>
                <wp:extent cx="723265" cy="1016635"/>
                <wp:effectExtent l="12700" t="12700" r="26035" b="18415"/>
                <wp:wrapNone/>
                <wp:docPr id="66" name="任意多边形 66"/>
                <wp:cNvGraphicFramePr/>
                <a:graphic xmlns:a="http://schemas.openxmlformats.org/drawingml/2006/main">
                  <a:graphicData uri="http://schemas.microsoft.com/office/word/2010/wordprocessingShape">
                    <wps:wsp>
                      <wps:cNvSpPr/>
                      <wps:spPr>
                        <a:xfrm>
                          <a:off x="4481195" y="3656965"/>
                          <a:ext cx="723265" cy="1016635"/>
                        </a:xfrm>
                        <a:custGeom>
                          <a:avLst/>
                          <a:gdLst>
                            <a:gd name="connisteX0" fmla="*/ 723265 w 723265"/>
                            <a:gd name="connsiteY0" fmla="*/ 92710 h 1016635"/>
                            <a:gd name="connisteX1" fmla="*/ 257810 w 723265"/>
                            <a:gd name="connsiteY1" fmla="*/ 1016635 h 1016635"/>
                            <a:gd name="connisteX2" fmla="*/ 0 w 723265"/>
                            <a:gd name="connsiteY2" fmla="*/ 930275 h 1016635"/>
                            <a:gd name="connisteX3" fmla="*/ 457835 w 723265"/>
                            <a:gd name="connsiteY3" fmla="*/ 0 h 1016635"/>
                            <a:gd name="connisteX4" fmla="*/ 687070 w 723265"/>
                            <a:gd name="connsiteY4" fmla="*/ 85725 h 1016635"/>
                            <a:gd name="connisteX5" fmla="*/ 723265 w 723265"/>
                            <a:gd name="connsiteY5" fmla="*/ 92710 h 10166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723265" h="1016635">
                              <a:moveTo>
                                <a:pt x="723265" y="92710"/>
                              </a:moveTo>
                              <a:lnTo>
                                <a:pt x="257810" y="1016635"/>
                              </a:lnTo>
                              <a:lnTo>
                                <a:pt x="0" y="930275"/>
                              </a:lnTo>
                              <a:lnTo>
                                <a:pt x="457835" y="0"/>
                              </a:lnTo>
                              <a:lnTo>
                                <a:pt x="687070" y="85725"/>
                              </a:lnTo>
                              <a:lnTo>
                                <a:pt x="723265" y="92710"/>
                              </a:lnTo>
                              <a:close/>
                            </a:path>
                          </a:pathLst>
                        </a:custGeom>
                        <a:solidFill>
                          <a:srgbClr val="FFFF00">
                            <a:alpha val="25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0.85pt;margin-top:123.5pt;height:80.05pt;width:56.95pt;z-index:251728896;mso-width-relative:page;mso-height-relative:page;" fillcolor="#FFFF00" filled="t" stroked="t" coordsize="723265,1016635" o:gfxdata="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B5OjVa2QAAAAsBAAAPAAAAAAAAAAEAIAAAACIAAABkcnMvZG93bnJldi54bWxQSwECFAAU&#10;AAAACACHTuJAHCfPqEYDAABgCQAADgAAAAAAAAABACAAAAAoAQAAZHJzL2Uyb0RvYy54bWxQSwUG&#10;AAAAAAYABgBZAQAA4AYAAAAA&#10;" path="m723265,92710l257810,1016635,0,930275,457835,0,687070,85725,723265,92710xe">
                <v:path o:connectlocs="723265,92710;257810,1016635;0,930275;457835,0;687070,85725;723265,92710" o:connectangles="0,0,0,0,0,0"/>
                <v:fill on="t" opacity="16384f" focussize="0,0"/>
                <v:stroke weight="2pt" color="#FFFF00 [2404]" joinstyle="round"/>
                <v:imagedata o:title=""/>
                <o:lock v:ext="edit" aspectratio="f"/>
              </v:shape>
            </w:pict>
          </mc:Fallback>
        </mc:AlternateContent>
      </w:r>
      <w:r>
        <w:rPr>
          <w:color w:val="auto"/>
          <w:sz w:val="28"/>
        </w:rPr>
        <mc:AlternateContent>
          <mc:Choice Requires="wps">
            <w:drawing>
              <wp:anchor distT="0" distB="0" distL="114300" distR="114300" simplePos="0" relativeHeight="251725824" behindDoc="0" locked="0" layoutInCell="1" allowOverlap="1">
                <wp:simplePos x="0" y="0"/>
                <wp:positionH relativeFrom="column">
                  <wp:posOffset>4301490</wp:posOffset>
                </wp:positionH>
                <wp:positionV relativeFrom="paragraph">
                  <wp:posOffset>1784350</wp:posOffset>
                </wp:positionV>
                <wp:extent cx="536575" cy="860425"/>
                <wp:effectExtent l="12700" t="12700" r="22225" b="22225"/>
                <wp:wrapNone/>
                <wp:docPr id="59" name="任意多边形 59"/>
                <wp:cNvGraphicFramePr/>
                <a:graphic xmlns:a="http://schemas.openxmlformats.org/drawingml/2006/main">
                  <a:graphicData uri="http://schemas.microsoft.com/office/word/2010/wordprocessingShape">
                    <wps:wsp>
                      <wps:cNvSpPr/>
                      <wps:spPr>
                        <a:xfrm>
                          <a:off x="5215890" y="3872865"/>
                          <a:ext cx="536575" cy="860425"/>
                        </a:xfrm>
                        <a:custGeom>
                          <a:avLst/>
                          <a:gdLst>
                            <a:gd name="connisteX0" fmla="*/ 194310 w 536575"/>
                            <a:gd name="connsiteY0" fmla="*/ 0 h 860425"/>
                            <a:gd name="connisteX1" fmla="*/ 111125 w 536575"/>
                            <a:gd name="connsiteY1" fmla="*/ 276860 h 860425"/>
                            <a:gd name="connisteX2" fmla="*/ 83185 w 536575"/>
                            <a:gd name="connsiteY2" fmla="*/ 489585 h 860425"/>
                            <a:gd name="connisteX3" fmla="*/ 0 w 536575"/>
                            <a:gd name="connsiteY3" fmla="*/ 720725 h 860425"/>
                            <a:gd name="connisteX4" fmla="*/ 212725 w 536575"/>
                            <a:gd name="connsiteY4" fmla="*/ 803910 h 860425"/>
                            <a:gd name="connisteX5" fmla="*/ 360680 w 536575"/>
                            <a:gd name="connsiteY5" fmla="*/ 860425 h 860425"/>
                            <a:gd name="connisteX6" fmla="*/ 536575 w 536575"/>
                            <a:gd name="connsiteY6" fmla="*/ 536575 h 860425"/>
                            <a:gd name="connisteX7" fmla="*/ 305435 w 536575"/>
                            <a:gd name="connsiteY7" fmla="*/ 481330 h 860425"/>
                            <a:gd name="connisteX8" fmla="*/ 194310 w 536575"/>
                            <a:gd name="connsiteY8" fmla="*/ 434975 h 860425"/>
                            <a:gd name="connisteX9" fmla="*/ 184785 w 536575"/>
                            <a:gd name="connsiteY9" fmla="*/ 333375 h 860425"/>
                            <a:gd name="connisteX10" fmla="*/ 314325 w 536575"/>
                            <a:gd name="connsiteY10" fmla="*/ 55880 h 860425"/>
                            <a:gd name="connisteX11" fmla="*/ 314325 w 536575"/>
                            <a:gd name="connsiteY11" fmla="*/ 9525 h 860425"/>
                            <a:gd name="connisteX12" fmla="*/ 194310 w 536575"/>
                            <a:gd name="connsiteY12" fmla="*/ 0 h 860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536575" h="860425">
                              <a:moveTo>
                                <a:pt x="194310" y="0"/>
                              </a:moveTo>
                              <a:lnTo>
                                <a:pt x="111125" y="276860"/>
                              </a:lnTo>
                              <a:lnTo>
                                <a:pt x="83185" y="489585"/>
                              </a:lnTo>
                              <a:lnTo>
                                <a:pt x="0" y="720725"/>
                              </a:lnTo>
                              <a:lnTo>
                                <a:pt x="212725" y="803910"/>
                              </a:lnTo>
                              <a:lnTo>
                                <a:pt x="360680" y="860425"/>
                              </a:lnTo>
                              <a:lnTo>
                                <a:pt x="536575" y="536575"/>
                              </a:lnTo>
                              <a:lnTo>
                                <a:pt x="305435" y="481330"/>
                              </a:lnTo>
                              <a:lnTo>
                                <a:pt x="194310" y="434975"/>
                              </a:lnTo>
                              <a:lnTo>
                                <a:pt x="184785" y="333375"/>
                              </a:lnTo>
                              <a:lnTo>
                                <a:pt x="314325" y="55880"/>
                              </a:lnTo>
                              <a:lnTo>
                                <a:pt x="314325" y="9525"/>
                              </a:lnTo>
                              <a:lnTo>
                                <a:pt x="194310" y="0"/>
                              </a:lnTo>
                              <a:close/>
                            </a:path>
                          </a:pathLst>
                        </a:custGeom>
                        <a:solidFill>
                          <a:srgbClr val="FFFF00">
                            <a:alpha val="34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8.7pt;margin-top:140.5pt;height:67.75pt;width:42.25pt;z-index:251725824;mso-width-relative:page;mso-height-relative:page;" fillcolor="#FFFF00" filled="t" stroked="t" coordsize="536575,860425" o:gfxdata="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" path="m194310,0l111125,276860,83185,489585,0,720725,212725,803910,360680,860425,536575,536575,305435,481330,194310,434975,184785,333375,314325,55880,314325,9525,194310,0xe">
                <v:path o:connectlocs="194310,0;111125,276860;83185,489585;0,720725;212725,803910;360680,860425;536575,536575;305435,481330;194310,434975;184785,333375;314325,55880;314325,9525;194310,0" o:connectangles="0,0,0,0,0,0,0,0,0,0,0,0,0"/>
                <v:fill on="t" opacity="22282f" focussize="0,0"/>
                <v:stroke weight="2pt" color="#FFFF00 [2404]" joinstyle="round"/>
                <v:imagedata o:title=""/>
                <o:lock v:ext="edit" aspectratio="f"/>
              </v:shape>
            </w:pict>
          </mc:Fallback>
        </mc:AlternateContent>
      </w:r>
      <w:r>
        <w:rPr>
          <w:color w:val="auto"/>
          <w:sz w:val="28"/>
        </w:rPr>
        <mc:AlternateContent>
          <mc:Choice Requires="wps">
            <w:drawing>
              <wp:anchor distT="0" distB="0" distL="114300" distR="114300" simplePos="0" relativeHeight="251670528" behindDoc="0" locked="0" layoutInCell="1" allowOverlap="1">
                <wp:simplePos x="0" y="0"/>
                <wp:positionH relativeFrom="column">
                  <wp:posOffset>3529330</wp:posOffset>
                </wp:positionH>
                <wp:positionV relativeFrom="paragraph">
                  <wp:posOffset>1026160</wp:posOffset>
                </wp:positionV>
                <wp:extent cx="628650" cy="342265"/>
                <wp:effectExtent l="0" t="0" r="0" b="0"/>
                <wp:wrapNone/>
                <wp:docPr id="137" name="矩形 137"/>
                <wp:cNvGraphicFramePr/>
                <a:graphic xmlns:a="http://schemas.openxmlformats.org/drawingml/2006/main">
                  <a:graphicData uri="http://schemas.microsoft.com/office/word/2010/wordprocessingShape">
                    <wps:wsp>
                      <wps:cNvSpPr/>
                      <wps:spPr>
                        <a:xfrm>
                          <a:off x="0" y="0"/>
                          <a:ext cx="628650" cy="342265"/>
                        </a:xfrm>
                        <a:prstGeom prst="rect">
                          <a:avLst/>
                        </a:prstGeom>
                        <a:noFill/>
                        <a:ln>
                          <a:noFill/>
                        </a:ln>
                      </wps:spPr>
                      <wps:txbx>
                        <w:txbxContent>
                          <w:p w14:paraId="01DD7440">
                            <w:pPr>
                              <w:rPr>
                                <w:rFonts w:hint="default" w:eastAsia="宋体"/>
                                <w:b/>
                                <w:bCs/>
                                <w:color w:val="FFFF00"/>
                                <w:sz w:val="24"/>
                                <w:szCs w:val="32"/>
                                <w:lang w:val="en-US" w:eastAsia="zh-CN"/>
                              </w:rPr>
                            </w:pPr>
                            <w:r>
                              <w:rPr>
                                <w:rFonts w:hint="eastAsia"/>
                                <w:b/>
                                <w:bCs/>
                                <w:color w:val="FFFF00"/>
                                <w:sz w:val="24"/>
                                <w:szCs w:val="32"/>
                                <w:lang w:val="en-US" w:eastAsia="zh-CN"/>
                              </w:rPr>
                              <w:t>500m</w:t>
                            </w:r>
                          </w:p>
                        </w:txbxContent>
                      </wps:txbx>
                      <wps:bodyPr upright="1"/>
                    </wps:wsp>
                  </a:graphicData>
                </a:graphic>
              </wp:anchor>
            </w:drawing>
          </mc:Choice>
          <mc:Fallback>
            <w:pict>
              <v:rect id="_x0000_s1026" o:spid="_x0000_s1026" o:spt="1" style="position:absolute;left:0pt;margin-left:277.9pt;margin-top:80.8pt;height:26.95pt;width:49.5pt;z-index:251670528;mso-width-relative:page;mso-height-relative:page;" filled="f" stroked="f" coordsize="21600,21600" o:gfxdata="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Dvatm3aAAAACwEAAA8A&#10;AAAAAAAAAQAgAAAAIgAAAGRycy9kb3ducmV2LnhtbFBLAQIUABQAAAAIAIdO4kB5PIquowEAAEQD&#10;AAAOAAAAAAAAAAEAIAAAACkBAABkcnMvZTJvRG9jLnhtbFBLBQYAAAAABgAGAFkBAAA+BQAAAAA=&#10;">
                <v:fill on="f" focussize="0,0"/>
                <v:stroke on="f"/>
                <v:imagedata o:title=""/>
                <o:lock v:ext="edit" aspectratio="f"/>
                <v:textbox>
                  <w:txbxContent>
                    <w:p w14:paraId="01DD7440">
                      <w:pPr>
                        <w:rPr>
                          <w:rFonts w:hint="default" w:eastAsia="宋体"/>
                          <w:b/>
                          <w:bCs/>
                          <w:color w:val="FFFF00"/>
                          <w:sz w:val="24"/>
                          <w:szCs w:val="32"/>
                          <w:lang w:val="en-US" w:eastAsia="zh-CN"/>
                        </w:rPr>
                      </w:pPr>
                      <w:r>
                        <w:rPr>
                          <w:rFonts w:hint="eastAsia"/>
                          <w:b/>
                          <w:bCs/>
                          <w:color w:val="FFFF00"/>
                          <w:sz w:val="24"/>
                          <w:szCs w:val="32"/>
                          <w:lang w:val="en-US" w:eastAsia="zh-CN"/>
                        </w:rPr>
                        <w:t>500m</w:t>
                      </w:r>
                    </w:p>
                  </w:txbxContent>
                </v:textbox>
              </v:rect>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3085465</wp:posOffset>
                </wp:positionH>
                <wp:positionV relativeFrom="paragraph">
                  <wp:posOffset>1380490</wp:posOffset>
                </wp:positionV>
                <wp:extent cx="1626870" cy="8890"/>
                <wp:effectExtent l="0" t="37465" r="11430" b="48895"/>
                <wp:wrapNone/>
                <wp:docPr id="136" name="直接连接符 136"/>
                <wp:cNvGraphicFramePr/>
                <a:graphic xmlns:a="http://schemas.openxmlformats.org/drawingml/2006/main">
                  <a:graphicData uri="http://schemas.microsoft.com/office/word/2010/wordprocessingShape">
                    <wps:wsp>
                      <wps:cNvCnPr/>
                      <wps:spPr>
                        <a:xfrm flipV="1">
                          <a:off x="0" y="0"/>
                          <a:ext cx="1626870" cy="8890"/>
                        </a:xfrm>
                        <a:prstGeom prst="line">
                          <a:avLst/>
                        </a:prstGeom>
                        <a:ln w="15875"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flip:y;margin-left:242.95pt;margin-top:108.7pt;height:0.7pt;width:128.1pt;z-index:251669504;mso-width-relative:page;mso-height-relative:page;" filled="f" stroked="t" coordsize="21600,21600" o:gfxdata="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NXSO9gAAAALAQAADwAAAAAAAAABACAAAAAiAAAAZHJz&#10;L2Rvd25yZXYueG1sUEsBAhQAFAAAAAgAh07iQMmYQWgEAgAA/gMAAA4AAAAAAAAAAQAgAAAAJwEA&#10;AGRycy9lMm9Eb2MueG1sUEsFBgAAAAAGAAYAWQEAAJ0FAAAAAA==&#10;">
                <v:fill on="f" focussize="0,0"/>
                <v:stroke weight="1.25pt" color="#FFFF00" joinstyle="round" startarrow="block" endarrow="block"/>
                <v:imagedata o:title=""/>
                <o:lock v:ext="edit" aspectratio="f"/>
              </v:lin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6431280</wp:posOffset>
                </wp:positionH>
                <wp:positionV relativeFrom="paragraph">
                  <wp:posOffset>826135</wp:posOffset>
                </wp:positionV>
                <wp:extent cx="874395" cy="354965"/>
                <wp:effectExtent l="1293495" t="6350" r="22860" b="191135"/>
                <wp:wrapNone/>
                <wp:docPr id="135" name="矩形标注 135"/>
                <wp:cNvGraphicFramePr/>
                <a:graphic xmlns:a="http://schemas.openxmlformats.org/drawingml/2006/main">
                  <a:graphicData uri="http://schemas.microsoft.com/office/word/2010/wordprocessingShape">
                    <wps:wsp>
                      <wps:cNvSpPr/>
                      <wps:spPr>
                        <a:xfrm flipV="1">
                          <a:off x="0" y="0"/>
                          <a:ext cx="874395" cy="354965"/>
                        </a:xfrm>
                        <a:prstGeom prst="wedgeRectCallout">
                          <a:avLst>
                            <a:gd name="adj1" fmla="val -192116"/>
                            <a:gd name="adj2" fmla="val -95074"/>
                          </a:avLst>
                        </a:prstGeom>
                        <a:noFill/>
                        <a:ln w="12700" cap="flat" cmpd="sng">
                          <a:solidFill>
                            <a:srgbClr val="FF0000"/>
                          </a:solidFill>
                          <a:prstDash val="solid"/>
                          <a:miter/>
                          <a:headEnd type="none" w="med" len="med"/>
                          <a:tailEnd type="none" w="med" len="med"/>
                        </a:ln>
                      </wps:spPr>
                      <wps:txbx>
                        <w:txbxContent>
                          <w:p w14:paraId="5E754CC8">
                            <w:pPr>
                              <w:jc w:val="center"/>
                              <w:rPr>
                                <w:rFonts w:hint="eastAsia" w:eastAsia="宋体"/>
                                <w:color w:val="FF0000"/>
                                <w:lang w:eastAsia="zh-CN"/>
                              </w:rPr>
                            </w:pPr>
                            <w:r>
                              <w:rPr>
                                <w:rFonts w:hint="eastAsia"/>
                                <w:color w:val="FF0000"/>
                              </w:rPr>
                              <w:t>项目</w:t>
                            </w:r>
                            <w:r>
                              <w:rPr>
                                <w:rFonts w:hint="eastAsia"/>
                                <w:color w:val="FF0000"/>
                                <w:lang w:val="en-US" w:eastAsia="zh-CN"/>
                              </w:rPr>
                              <w:t>位置</w:t>
                            </w:r>
                          </w:p>
                        </w:txbxContent>
                      </wps:txbx>
                      <wps:bodyPr anchor="ctr" anchorCtr="0" upright="1"/>
                    </wps:wsp>
                  </a:graphicData>
                </a:graphic>
              </wp:anchor>
            </w:drawing>
          </mc:Choice>
          <mc:Fallback>
            <w:pict>
              <v:shape id="_x0000_s1026" o:spid="_x0000_s1026" o:spt="61" type="#_x0000_t61" style="position:absolute;left:0pt;flip:y;margin-left:506.4pt;margin-top:65.05pt;height:27.95pt;width:68.85pt;z-index:251668480;v-text-anchor:middle;mso-width-relative:page;mso-height-relative:page;" filled="f" stroked="t" coordsize="21600,21600" o:gfxdata="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KxKtdkAAAANAQAADwAA&#10;AAAAAAABACAAAAAiAAAAZHJzL2Rvd25yZXYueG1sUEsBAhQAFAAAAAgAh07iQOWEPVhOAgAAjwQA&#10;AA4AAAAAAAAAAQAgAAAAKAEAAGRycy9lMm9Eb2MueG1sUEsFBgAAAAAGAAYAWQEAAOgFAAAAAA==&#10;" adj="-30697,-9736">
                <v:fill on="f" focussize="0,0"/>
                <v:stroke weight="1pt" color="#FF0000" joinstyle="miter"/>
                <v:imagedata o:title=""/>
                <o:lock v:ext="edit" aspectratio="f"/>
                <v:textbox>
                  <w:txbxContent>
                    <w:p w14:paraId="5E754CC8">
                      <w:pPr>
                        <w:jc w:val="center"/>
                        <w:rPr>
                          <w:rFonts w:hint="eastAsia" w:eastAsia="宋体"/>
                          <w:color w:val="FF0000"/>
                          <w:lang w:eastAsia="zh-CN"/>
                        </w:rPr>
                      </w:pPr>
                      <w:r>
                        <w:rPr>
                          <w:rFonts w:hint="eastAsia"/>
                          <w:color w:val="FF0000"/>
                        </w:rPr>
                        <w:t>项目</w:t>
                      </w:r>
                      <w:r>
                        <w:rPr>
                          <w:rFonts w:hint="eastAsia"/>
                          <w:color w:val="FF0000"/>
                          <w:lang w:val="en-US" w:eastAsia="zh-CN"/>
                        </w:rPr>
                        <w:t>位置</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4751705</wp:posOffset>
                </wp:positionH>
                <wp:positionV relativeFrom="paragraph">
                  <wp:posOffset>1211580</wp:posOffset>
                </wp:positionV>
                <wp:extent cx="407035" cy="369570"/>
                <wp:effectExtent l="19050" t="19685" r="31115" b="29845"/>
                <wp:wrapNone/>
                <wp:docPr id="132" name="矩形 132"/>
                <wp:cNvGraphicFramePr/>
                <a:graphic xmlns:a="http://schemas.openxmlformats.org/drawingml/2006/main">
                  <a:graphicData uri="http://schemas.microsoft.com/office/word/2010/wordprocessingShape">
                    <wps:wsp>
                      <wps:cNvSpPr/>
                      <wps:spPr>
                        <a:xfrm rot="180000">
                          <a:off x="5666105" y="3308985"/>
                          <a:ext cx="407035" cy="36957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15pt;margin-top:95.4pt;height:29.1pt;width:32.05pt;rotation:196608f;z-index:251666432;v-text-anchor:middle;mso-width-relative:page;mso-height-relative:page;" filled="f" stroked="t" coordsize="21600,21600" o:gfxdata="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xqXbHYAAAACwEAAA8AAAAAAAAAAQAgAAAAIgAAAGRycy9k&#10;b3ducmV2LnhtbFBLAQIUABQAAAAIAIdO4kCZJ3IQdAIAANAEAAAOAAAAAAAAAAEAIAAAACcBAABk&#10;cnMvZTJvRG9jLnhtbFBLBQYAAAAABgAGAFkBAAANBgAAAAA=&#10;">
                <v:fill on="f" focussize="0,0"/>
                <v:stroke weight="1.5pt" color="#FF0000 [2404]" joinstyle="round"/>
                <v:imagedata o:title=""/>
                <o:lock v:ext="edit" aspectratio="f"/>
              </v:rect>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3105150</wp:posOffset>
                </wp:positionH>
                <wp:positionV relativeFrom="paragraph">
                  <wp:posOffset>4631690</wp:posOffset>
                </wp:positionV>
                <wp:extent cx="3162935" cy="415925"/>
                <wp:effectExtent l="0" t="0" r="0" b="0"/>
                <wp:wrapNone/>
                <wp:docPr id="131" name="矩形 131"/>
                <wp:cNvGraphicFramePr/>
                <a:graphic xmlns:a="http://schemas.openxmlformats.org/drawingml/2006/main">
                  <a:graphicData uri="http://schemas.microsoft.com/office/word/2010/wordprocessingShape">
                    <wps:wsp>
                      <wps:cNvSpPr/>
                      <wps:spPr>
                        <a:xfrm>
                          <a:off x="0" y="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C2F7BE9">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附图2 项目周边敏感目标分布图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5pt;margin-top:364.7pt;height:32.75pt;width:249.05pt;z-index:251665408;v-text-anchor:middle;mso-width-relative:page;mso-height-relative:page;" filled="f" stroked="f" coordsize="21600,21600" o:gfxdata="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Nko4X2gAA&#10;AAsBAAAPAAAAAAAAAAEAIAAAACIAAABkcnMvZG93bnJldi54bWxQSwECFAAUAAAACACHTuJAVEos&#10;C1UCAACaBAAADgAAAAAAAAABACAAAAApAQAAZHJzL2Uyb0RvYy54bWxQSwUGAAAAAAYABgBZAQAA&#10;8AUAAAAA&#10;">
                <v:fill on="f" focussize="0,0"/>
                <v:stroke on="f" weight="2pt"/>
                <v:imagedata o:title=""/>
                <o:lock v:ext="edit" aspectratio="f"/>
                <v:textbox>
                  <w:txbxContent>
                    <w:p w14:paraId="1C2F7BE9">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附图2 项目周边敏感目标分布图</w:t>
                      </w:r>
                    </w:p>
                  </w:txbxContent>
                </v:textbox>
              </v:rect>
            </w:pict>
          </mc:Fallback>
        </mc:AlternateContent>
      </w:r>
    </w:p>
    <w:p w14:paraId="21B071F4">
      <w:pPr>
        <w:pStyle w:val="61"/>
        <w:ind w:left="0" w:leftChars="0" w:firstLine="0" w:firstLineChars="0"/>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color w:val="auto"/>
          <w:sz w:val="28"/>
        </w:rPr>
        <mc:AlternateContent>
          <mc:Choice Requires="wps">
            <w:drawing>
              <wp:anchor distT="0" distB="0" distL="114300" distR="114300" simplePos="0" relativeHeight="251695104" behindDoc="0" locked="0" layoutInCell="1" allowOverlap="1">
                <wp:simplePos x="0" y="0"/>
                <wp:positionH relativeFrom="column">
                  <wp:posOffset>-57785</wp:posOffset>
                </wp:positionH>
                <wp:positionV relativeFrom="paragraph">
                  <wp:posOffset>5372100</wp:posOffset>
                </wp:positionV>
                <wp:extent cx="4386580" cy="317500"/>
                <wp:effectExtent l="0" t="0" r="0" b="0"/>
                <wp:wrapNone/>
                <wp:docPr id="167" name="矩形 167"/>
                <wp:cNvGraphicFramePr/>
                <a:graphic xmlns:a="http://schemas.openxmlformats.org/drawingml/2006/main">
                  <a:graphicData uri="http://schemas.microsoft.com/office/word/2010/wordprocessingShape">
                    <wps:wsp>
                      <wps:cNvSpPr/>
                      <wps:spPr>
                        <a:xfrm>
                          <a:off x="0" y="0"/>
                          <a:ext cx="4386580" cy="317500"/>
                        </a:xfrm>
                        <a:prstGeom prst="rect">
                          <a:avLst/>
                        </a:prstGeom>
                        <a:noFill/>
                        <a:ln>
                          <a:noFill/>
                        </a:ln>
                      </wps:spPr>
                      <wps:txbx>
                        <w:txbxContent>
                          <w:p w14:paraId="217488E0">
                            <w:pPr>
                              <w:rPr>
                                <w:rFonts w:hint="default" w:eastAsia="宋体"/>
                                <w:b/>
                                <w:bCs/>
                                <w:color w:val="FF0000"/>
                                <w:sz w:val="21"/>
                                <w:szCs w:val="24"/>
                                <w:lang w:val="en-US" w:eastAsia="zh-CN"/>
                              </w:rPr>
                            </w:pPr>
                            <w:r>
                              <w:rPr>
                                <w:rFonts w:hint="eastAsia"/>
                                <w:b/>
                                <w:bCs/>
                                <w:color w:val="FF0000"/>
                                <w:sz w:val="21"/>
                                <w:szCs w:val="24"/>
                                <w:lang w:val="en-US" w:eastAsia="zh-CN"/>
                              </w:rPr>
                              <w:t>注：黄色为重点防渗区，蓝色为简单防渗区、其他为一般防渗区</w:t>
                            </w:r>
                          </w:p>
                        </w:txbxContent>
                      </wps:txbx>
                      <wps:bodyPr upright="1"/>
                    </wps:wsp>
                  </a:graphicData>
                </a:graphic>
              </wp:anchor>
            </w:drawing>
          </mc:Choice>
          <mc:Fallback>
            <w:pict>
              <v:rect id="_x0000_s1026" o:spid="_x0000_s1026" o:spt="1" style="position:absolute;left:0pt;margin-left:-4.55pt;margin-top:423pt;height:25pt;width:345.4pt;z-index:251695104;mso-width-relative:page;mso-height-relative:page;" filled="f" stroked="f" coordsize="21600,21600" o:gfxdata="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o/rrzZAAAACgEAAA8A&#10;AAAAAAAAAQAgAAAAIgAAAGRycy9kb3ducmV2LnhtbFBLAQIUABQAAAAIAIdO4kB1rBj+pAEAAEUD&#10;AAAOAAAAAAAAAAEAIAAAACgBAABkcnMvZTJvRG9jLnhtbFBLBQYAAAAABgAGAFkBAAA+BQAAAAA=&#10;">
                <v:fill on="f" focussize="0,0"/>
                <v:stroke on="f"/>
                <v:imagedata o:title=""/>
                <o:lock v:ext="edit" aspectratio="f"/>
                <v:textbox>
                  <w:txbxContent>
                    <w:p w14:paraId="217488E0">
                      <w:pPr>
                        <w:rPr>
                          <w:rFonts w:hint="default" w:eastAsia="宋体"/>
                          <w:b/>
                          <w:bCs/>
                          <w:color w:val="FF0000"/>
                          <w:sz w:val="21"/>
                          <w:szCs w:val="24"/>
                          <w:lang w:val="en-US" w:eastAsia="zh-CN"/>
                        </w:rPr>
                      </w:pPr>
                      <w:r>
                        <w:rPr>
                          <w:rFonts w:hint="eastAsia"/>
                          <w:b/>
                          <w:bCs/>
                          <w:color w:val="FF0000"/>
                          <w:sz w:val="21"/>
                          <w:szCs w:val="24"/>
                          <w:lang w:val="en-US" w:eastAsia="zh-CN"/>
                        </w:rPr>
                        <w:t>注：黄色为重点防渗区，蓝色为简单防渗区、其他为一般防渗区</w:t>
                      </w:r>
                    </w:p>
                  </w:txbxContent>
                </v:textbox>
              </v:rect>
            </w:pict>
          </mc:Fallback>
        </mc:AlternateContent>
      </w:r>
      <w:r>
        <w:rPr>
          <w:color w:val="auto"/>
        </w:rPr>
        <w:drawing>
          <wp:anchor distT="0" distB="0" distL="114300" distR="114300" simplePos="0" relativeHeight="251746304" behindDoc="0" locked="0" layoutInCell="1" allowOverlap="1">
            <wp:simplePos x="0" y="0"/>
            <wp:positionH relativeFrom="column">
              <wp:posOffset>7812405</wp:posOffset>
            </wp:positionH>
            <wp:positionV relativeFrom="paragraph">
              <wp:posOffset>78740</wp:posOffset>
            </wp:positionV>
            <wp:extent cx="920115" cy="767080"/>
            <wp:effectExtent l="83820" t="106045" r="100965" b="117475"/>
            <wp:wrapNone/>
            <wp:docPr id="85" name="图片 132" descr="D:\Users\WeChat Files\zhuyanling4082\FileStorage\Temp\173261097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2" descr="D:\Users\WeChat Files\zhuyanling4082\FileStorage\Temp\1732610976857.png"/>
                    <pic:cNvPicPr>
                      <a:picLocks noChangeAspect="1"/>
                    </pic:cNvPicPr>
                  </pic:nvPicPr>
                  <pic:blipFill>
                    <a:blip r:embed="rId26"/>
                    <a:srcRect l="8499" t="7487" r="9625" b="3136"/>
                    <a:stretch>
                      <a:fillRect/>
                    </a:stretch>
                  </pic:blipFill>
                  <pic:spPr>
                    <a:xfrm rot="20700000">
                      <a:off x="8914130" y="878205"/>
                      <a:ext cx="920115" cy="76708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6275070</wp:posOffset>
                </wp:positionH>
                <wp:positionV relativeFrom="paragraph">
                  <wp:posOffset>2494915</wp:posOffset>
                </wp:positionV>
                <wp:extent cx="732790" cy="516890"/>
                <wp:effectExtent l="0" t="0" r="10160" b="16510"/>
                <wp:wrapNone/>
                <wp:docPr id="87" name="矩形 87"/>
                <wp:cNvGraphicFramePr/>
                <a:graphic xmlns:a="http://schemas.openxmlformats.org/drawingml/2006/main">
                  <a:graphicData uri="http://schemas.microsoft.com/office/word/2010/wordprocessingShape">
                    <wps:wsp>
                      <wps:cNvSpPr/>
                      <wps:spPr>
                        <a:xfrm>
                          <a:off x="0" y="0"/>
                          <a:ext cx="732790" cy="51689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FCB2782">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4.1pt;margin-top:196.45pt;height:40.7pt;width:57.7pt;z-index:251748352;v-text-anchor:middle;mso-width-relative:page;mso-height-relative:page;" fillcolor="#FFFFFF [3212]" filled="t" stroked="f" coordsize="21600,21600" o:gfxdata="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6XRGPXAAAADAEAAA8AAAAAAAAAAQAgAAAAIgAAAGRycy9kb3ducmV2LnhtbFBLAQIUABQA&#10;AAAIAIdO4kAwmQwCYwIAAMAEAAAOAAAAAAAAAAEAIAAAACYBAABkcnMvZTJvRG9jLnhtbFBLBQYA&#10;AAAABgAGAFkBAAD7BQAAAAA=&#10;">
                <v:fill on="t" focussize="0,0"/>
                <v:stroke on="f" weight="2pt"/>
                <v:imagedata o:title=""/>
                <o:lock v:ext="edit" aspectratio="f"/>
                <v:textbox>
                  <w:txbxContent>
                    <w:p w14:paraId="1FCB2782">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v:textbox>
              </v:rect>
            </w:pict>
          </mc:Fallback>
        </mc:AlternateContent>
      </w: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6382385</wp:posOffset>
                </wp:positionH>
                <wp:positionV relativeFrom="paragraph">
                  <wp:posOffset>4149090</wp:posOffset>
                </wp:positionV>
                <wp:extent cx="732790" cy="516890"/>
                <wp:effectExtent l="0" t="0" r="10160" b="16510"/>
                <wp:wrapNone/>
                <wp:docPr id="86" name="矩形 86"/>
                <wp:cNvGraphicFramePr/>
                <a:graphic xmlns:a="http://schemas.openxmlformats.org/drawingml/2006/main">
                  <a:graphicData uri="http://schemas.microsoft.com/office/word/2010/wordprocessingShape">
                    <wps:wsp>
                      <wps:cNvSpPr/>
                      <wps:spPr>
                        <a:xfrm>
                          <a:off x="0" y="0"/>
                          <a:ext cx="732790" cy="51689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530482">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2.55pt;margin-top:326.7pt;height:40.7pt;width:57.7pt;z-index:251747328;v-text-anchor:middle;mso-width-relative:page;mso-height-relative:page;" fillcolor="#FFFFFF [3212]" filled="t" stroked="f" coordsize="21600,21600" o:gfxdata="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RT2v/XAAAADQEAAA8AAAAAAAAAAQAgAAAAIgAAAGRycy9kb3ducmV2LnhtbFBLAQIUABQA&#10;AAAIAIdO4kAeQ7ILYwIAAMAEAAAOAAAAAAAAAAEAIAAAACYBAABkcnMvZTJvRG9jLnhtbFBLBQYA&#10;AAAABgAGAFkBAAD7BQAAAAA=&#10;">
                <v:fill on="t" focussize="0,0"/>
                <v:stroke on="f" weight="2pt"/>
                <v:imagedata o:title=""/>
                <o:lock v:ext="edit" aspectratio="f"/>
                <v:textbox>
                  <w:txbxContent>
                    <w:p w14:paraId="43530482">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v:textbox>
              </v:rect>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6360795</wp:posOffset>
                </wp:positionH>
                <wp:positionV relativeFrom="paragraph">
                  <wp:posOffset>1234440</wp:posOffset>
                </wp:positionV>
                <wp:extent cx="732790" cy="516890"/>
                <wp:effectExtent l="0" t="0" r="0" b="0"/>
                <wp:wrapNone/>
                <wp:docPr id="163" name="矩形 163"/>
                <wp:cNvGraphicFramePr/>
                <a:graphic xmlns:a="http://schemas.openxmlformats.org/drawingml/2006/main">
                  <a:graphicData uri="http://schemas.microsoft.com/office/word/2010/wordprocessingShape">
                    <wps:wsp>
                      <wps:cNvSpPr/>
                      <wps:spPr>
                        <a:xfrm>
                          <a:off x="0" y="0"/>
                          <a:ext cx="732790" cy="51689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2EC01C0">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85pt;margin-top:97.2pt;height:40.7pt;width:57.7pt;z-index:251692032;v-text-anchor:middle;mso-width-relative:page;mso-height-relative:page;" fillcolor="#FFFFFF [3212]" filled="t" stroked="f" coordsize="21600,21600" o:gfxdata="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9wrRE1wAAAA0BAAAPAAAAAAAAAAEAIAAAACIAAABkcnMvZG93bnJldi54bWxQSwECFAAU&#10;AAAACACHTuJAbxqGqWQCAADCBAAADgAAAAAAAAABACAAAAAmAQAAZHJzL2Uyb0RvYy54bWxQSwUG&#10;AAAAAAYABgBZAQAA/AUAAAAA&#10;">
                <v:fill on="t" focussize="0,0"/>
                <v:stroke on="f" weight="2pt"/>
                <v:imagedata o:title=""/>
                <o:lock v:ext="edit" aspectratio="f"/>
                <v:textbox>
                  <w:txbxContent>
                    <w:p w14:paraId="32EC01C0">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大门</w:t>
                      </w:r>
                    </w:p>
                  </w:txbxContent>
                </v:textbox>
              </v:rect>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1087120</wp:posOffset>
                </wp:positionH>
                <wp:positionV relativeFrom="paragraph">
                  <wp:posOffset>327660</wp:posOffset>
                </wp:positionV>
                <wp:extent cx="705485" cy="378460"/>
                <wp:effectExtent l="0" t="0" r="0" b="0"/>
                <wp:wrapNone/>
                <wp:docPr id="166" name="矩形 166"/>
                <wp:cNvGraphicFramePr/>
                <a:graphic xmlns:a="http://schemas.openxmlformats.org/drawingml/2006/main">
                  <a:graphicData uri="http://schemas.microsoft.com/office/word/2010/wordprocessingShape">
                    <wps:wsp>
                      <wps:cNvSpPr/>
                      <wps:spPr>
                        <a:xfrm>
                          <a:off x="0" y="0"/>
                          <a:ext cx="705485" cy="37846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B50C68">
                            <w:pPr>
                              <w:jc w:val="center"/>
                              <w:rPr>
                                <w:rFonts w:hint="default" w:eastAsia="宋体"/>
                                <w:color w:val="000000" w:themeColor="text1"/>
                                <w:sz w:val="20"/>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6pt;margin-top:25.8pt;height:29.8pt;width:55.55pt;z-index:251694080;v-text-anchor:middle;mso-width-relative:page;mso-height-relative:page;" filled="f" stroked="f" coordsize="21600,21600" o:gfxdata="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noVMf1wAAAAoB&#10;AAAPAAAAAAAAAAEAIAAAACIAAABkcnMvZG93bnJldi54bWxQSwECFAAUAAAACACHTuJAMrVnVVUC&#10;AACZBAAADgAAAAAAAAABACAAAAAmAQAAZHJzL2Uyb0RvYy54bWxQSwUGAAAAAAYABgBZAQAA7QUA&#10;AAAA&#10;">
                <v:fill on="f" focussize="0,0"/>
                <v:stroke on="f" weight="2pt"/>
                <v:imagedata o:title=""/>
                <o:lock v:ext="edit" aspectratio="f"/>
                <v:textbox>
                  <w:txbxContent>
                    <w:p w14:paraId="6FB50C68">
                      <w:pPr>
                        <w:jc w:val="center"/>
                        <w:rPr>
                          <w:rFonts w:hint="default" w:eastAsia="宋体"/>
                          <w:color w:val="000000" w:themeColor="text1"/>
                          <w:sz w:val="20"/>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0"/>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化粪池</w:t>
                      </w:r>
                    </w:p>
                  </w:txbxContent>
                </v:textbox>
              </v:rect>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1275080</wp:posOffset>
                </wp:positionH>
                <wp:positionV relativeFrom="paragraph">
                  <wp:posOffset>366395</wp:posOffset>
                </wp:positionV>
                <wp:extent cx="217805" cy="241935"/>
                <wp:effectExtent l="6350" t="6350" r="23495" b="18415"/>
                <wp:wrapNone/>
                <wp:docPr id="165" name="矩形 165"/>
                <wp:cNvGraphicFramePr/>
                <a:graphic xmlns:a="http://schemas.openxmlformats.org/drawingml/2006/main">
                  <a:graphicData uri="http://schemas.microsoft.com/office/word/2010/wordprocessingShape">
                    <wps:wsp>
                      <wps:cNvSpPr/>
                      <wps:spPr>
                        <a:xfrm>
                          <a:off x="0" y="0"/>
                          <a:ext cx="217805" cy="241935"/>
                        </a:xfrm>
                        <a:prstGeom prst="rect">
                          <a:avLst/>
                        </a:prstGeom>
                        <a:solidFill>
                          <a:srgbClr val="FFFF00">
                            <a:alpha val="50000"/>
                          </a:srgbClr>
                        </a:solid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4pt;margin-top:28.85pt;height:19.05pt;width:17.15pt;z-index:251693056;v-text-anchor:middle;mso-width-relative:page;mso-height-relative:page;" fillcolor="#FFFF00" filled="t" stroked="t" coordsize="21600,21600" o:gfxdata="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Dbi/XXAAAACQEAAA8AAAAAAAAAAQAgAAAAIgAAAGRycy9kb3du&#10;cmV2LnhtbFBLAQIUABQAAAAIAIdO4kCtL6hGcgIAAAAFAAAOAAAAAAAAAAEAIAAAACYBAABkcnMv&#10;ZTJvRG9jLnhtbFBLBQYAAAAABgAGAFkBAAAKBgAAAAA=&#10;">
                <v:fill on="t" opacity="32768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1252220</wp:posOffset>
                </wp:positionH>
                <wp:positionV relativeFrom="paragraph">
                  <wp:posOffset>321310</wp:posOffset>
                </wp:positionV>
                <wp:extent cx="5848350" cy="5085715"/>
                <wp:effectExtent l="6350" t="6350" r="12700" b="13335"/>
                <wp:wrapNone/>
                <wp:docPr id="140" name="矩形 140"/>
                <wp:cNvGraphicFramePr/>
                <a:graphic xmlns:a="http://schemas.openxmlformats.org/drawingml/2006/main">
                  <a:graphicData uri="http://schemas.microsoft.com/office/word/2010/wordprocessingShape">
                    <wps:wsp>
                      <wps:cNvSpPr/>
                      <wps:spPr>
                        <a:xfrm>
                          <a:off x="0" y="0"/>
                          <a:ext cx="5848350" cy="508571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8.6pt;margin-top:25.3pt;height:400.45pt;width:460.5pt;z-index:251673600;v-text-anchor:middle;mso-width-relative:page;mso-height-relative:page;" filled="f" stroked="t" coordsize="21600,21600" o:gfxdata="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K&#10;fiIT2AAAAAsBAAAPAAAAAAAAAAEAIAAAACIAAABkcnMvZG93bnJldi54bWxQSwECFAAUAAAACACH&#10;TuJAbGsFHl0CAAC5BAAADgAAAAAAAAABACAAAAAnAQAAZHJzL2Uyb0RvYy54bWxQSwUGAAAAAAYA&#10;BgBZAQAA9gUAAAAA&#10;">
                <v:fill on="f" focussize="0,0"/>
                <v:stroke weight="1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2811145</wp:posOffset>
                </wp:positionH>
                <wp:positionV relativeFrom="paragraph">
                  <wp:posOffset>4403725</wp:posOffset>
                </wp:positionV>
                <wp:extent cx="3162935" cy="415925"/>
                <wp:effectExtent l="0" t="0" r="0" b="0"/>
                <wp:wrapNone/>
                <wp:docPr id="150" name="矩形 150"/>
                <wp:cNvGraphicFramePr/>
                <a:graphic xmlns:a="http://schemas.openxmlformats.org/drawingml/2006/main">
                  <a:graphicData uri="http://schemas.microsoft.com/office/word/2010/wordprocessingShape">
                    <wps:wsp>
                      <wps:cNvSpPr/>
                      <wps:spPr>
                        <a:xfrm>
                          <a:off x="0" y="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2E08ACF">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塑料制品生产区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35pt;margin-top:346.75pt;height:32.75pt;width:249.05pt;z-index:251680768;v-text-anchor:middle;mso-width-relative:page;mso-height-relative:page;" filled="f" stroked="f" coordsize="21600,21600" o:gfxdata="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OHn7P2gAA&#10;AAsBAAAPAAAAAAAAAAEAIAAAACIAAABkcnMvZG93bnJldi54bWxQSwECFAAUAAAACACHTuJA/iD+&#10;B1UCAACaBAAADgAAAAAAAAABACAAAAApAQAAZHJzL2Uyb0RvYy54bWxQSwUGAAAAAAYABgBZAQAA&#10;8AUAAAAA&#10;">
                <v:fill on="f" focussize="0,0"/>
                <v:stroke on="f" weight="2pt"/>
                <v:imagedata o:title=""/>
                <o:lock v:ext="edit" aspectratio="f"/>
                <v:textbox>
                  <w:txbxContent>
                    <w:p w14:paraId="52E08ACF">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塑料制品生产区</w:t>
                      </w:r>
                    </w:p>
                  </w:txbxContent>
                </v:textbox>
              </v:rect>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1490345</wp:posOffset>
                </wp:positionH>
                <wp:positionV relativeFrom="paragraph">
                  <wp:posOffset>3069590</wp:posOffset>
                </wp:positionV>
                <wp:extent cx="648335" cy="341630"/>
                <wp:effectExtent l="0" t="0" r="0" b="0"/>
                <wp:wrapNone/>
                <wp:docPr id="154" name="矩形 154"/>
                <wp:cNvGraphicFramePr/>
                <a:graphic xmlns:a="http://schemas.openxmlformats.org/drawingml/2006/main">
                  <a:graphicData uri="http://schemas.microsoft.com/office/word/2010/wordprocessingShape">
                    <wps:wsp>
                      <wps:cNvSpPr/>
                      <wps:spPr>
                        <a:xfrm>
                          <a:off x="0" y="0"/>
                          <a:ext cx="648335" cy="3416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662F31C">
                            <w:pPr>
                              <w:jc w:val="center"/>
                              <w:rPr>
                                <w:rFonts w:hint="default" w:eastAsia="宋体"/>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危废库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35pt;margin-top:241.7pt;height:26.9pt;width:51.05pt;z-index:251684864;v-text-anchor:middle;mso-width-relative:page;mso-height-relative:page;" filled="f" stroked="f" coordsize="21600,21600" o:gfxdata="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PGi322gAA&#10;AAsBAAAPAAAAAAAAAAEAIAAAACIAAABkcnMvZG93bnJldi54bWxQSwECFAAUAAAACACHTuJAIXoe&#10;3FUCAACZBAAADgAAAAAAAAABACAAAAApAQAAZHJzL2Uyb0RvYy54bWxQSwUGAAAAAAYABgBZAQAA&#10;8AUAAAAA&#10;">
                <v:fill on="f" focussize="0,0"/>
                <v:stroke on="f" weight="2pt"/>
                <v:imagedata o:title=""/>
                <o:lock v:ext="edit" aspectratio="f"/>
                <v:textbox>
                  <w:txbxContent>
                    <w:p w14:paraId="5662F31C">
                      <w:pPr>
                        <w:jc w:val="center"/>
                        <w:rPr>
                          <w:rFonts w:hint="default" w:eastAsia="宋体"/>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危废库</w:t>
                      </w:r>
                    </w:p>
                  </w:txbxContent>
                </v:textbox>
              </v:rect>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1654810</wp:posOffset>
                </wp:positionH>
                <wp:positionV relativeFrom="paragraph">
                  <wp:posOffset>3025140</wp:posOffset>
                </wp:positionV>
                <wp:extent cx="252095" cy="380365"/>
                <wp:effectExtent l="6350" t="6350" r="8255" b="13335"/>
                <wp:wrapNone/>
                <wp:docPr id="152" name="矩形 152"/>
                <wp:cNvGraphicFramePr/>
                <a:graphic xmlns:a="http://schemas.openxmlformats.org/drawingml/2006/main">
                  <a:graphicData uri="http://schemas.microsoft.com/office/word/2010/wordprocessingShape">
                    <wps:wsp>
                      <wps:cNvSpPr/>
                      <wps:spPr>
                        <a:xfrm>
                          <a:off x="0" y="0"/>
                          <a:ext cx="252095" cy="380365"/>
                        </a:xfrm>
                        <a:prstGeom prst="rect">
                          <a:avLst/>
                        </a:prstGeom>
                        <a:solidFill>
                          <a:srgbClr val="FFFF00">
                            <a:alpha val="50000"/>
                          </a:srgbClr>
                        </a:solid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3pt;margin-top:238.2pt;height:29.95pt;width:19.85pt;z-index:251682816;v-text-anchor:middle;mso-width-relative:page;mso-height-relative:page;" fillcolor="#FFFF00" filled="t" stroked="t" coordsize="21600,21600" o:gfxdata="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wia/f9kAAAALAQAADwAAAAAAAAABACAAAAAiAAAAZHJz&#10;L2Rvd25yZXYueG1sUEsBAhQAFAAAAAgAh07iQFbNL+Z1AgAAAAUAAA4AAAAAAAAAAQAgAAAAKAEA&#10;AGRycy9lMm9Eb2MueG1sUEsFBgAAAAAGAAYAWQEAAA8GAAAAAA==&#10;">
                <v:fill on="t" opacity="32768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1655445</wp:posOffset>
                </wp:positionH>
                <wp:positionV relativeFrom="paragraph">
                  <wp:posOffset>2312670</wp:posOffset>
                </wp:positionV>
                <wp:extent cx="252095" cy="380365"/>
                <wp:effectExtent l="6350" t="6350" r="8255" b="13335"/>
                <wp:wrapNone/>
                <wp:docPr id="151" name="矩形 151"/>
                <wp:cNvGraphicFramePr/>
                <a:graphic xmlns:a="http://schemas.openxmlformats.org/drawingml/2006/main">
                  <a:graphicData uri="http://schemas.microsoft.com/office/word/2010/wordprocessingShape">
                    <wps:wsp>
                      <wps:cNvSpPr/>
                      <wps:spPr>
                        <a:xfrm>
                          <a:off x="0" y="0"/>
                          <a:ext cx="252095" cy="380365"/>
                        </a:xfrm>
                        <a:prstGeom prst="rect">
                          <a:avLst/>
                        </a:prstGeom>
                        <a:no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35pt;margin-top:182.1pt;height:29.95pt;width:19.85pt;z-index:251681792;v-text-anchor:middle;mso-width-relative:page;mso-height-relative:page;" filled="f" stroked="t" coordsize="21600,21600" o:gfxdata="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f&#10;bYL22AAAAAsBAAAPAAAAAAAAAAEAIAAAACIAAABkcnMvZG93bnJldi54bWxQSwECFAAUAAAACACH&#10;TuJAF5MtM10CAAC2BAAADgAAAAAAAAABACAAAAAnAQAAZHJzL2Uyb0RvYy54bWxQSwUGAAAAAAYA&#10;BgBZAQAA9gUAAAAA&#10;">
                <v:fill on="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1512570</wp:posOffset>
                </wp:positionH>
                <wp:positionV relativeFrom="paragraph">
                  <wp:posOffset>2279015</wp:posOffset>
                </wp:positionV>
                <wp:extent cx="1165225" cy="415925"/>
                <wp:effectExtent l="0" t="0" r="0" b="0"/>
                <wp:wrapNone/>
                <wp:docPr id="153" name="矩形 153"/>
                <wp:cNvGraphicFramePr/>
                <a:graphic xmlns:a="http://schemas.openxmlformats.org/drawingml/2006/main">
                  <a:graphicData uri="http://schemas.microsoft.com/office/word/2010/wordprocessingShape">
                    <wps:wsp>
                      <wps:cNvSpPr/>
                      <wps:spPr>
                        <a:xfrm>
                          <a:off x="0" y="0"/>
                          <a:ext cx="116522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505D4FF">
                            <w:pPr>
                              <w:jc w:val="center"/>
                              <w:rPr>
                                <w:rFonts w:hint="default" w:eastAsia="宋体"/>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一般固废暂存区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1pt;margin-top:179.45pt;height:32.75pt;width:91.75pt;z-index:251683840;v-text-anchor:middle;mso-width-relative:page;mso-height-relative:page;" filled="f" stroked="f" coordsize="21600,21600" o:gfxdata="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OKv/aAAAA&#10;CwEAAA8AAAAAAAAAAQAgAAAAIgAAAGRycy9kb3ducmV2LnhtbFBLAQIUABQAAAAIAIdO4kDyigBf&#10;VAIAAJoEAAAOAAAAAAAAAAEAIAAAACkBAABkcnMvZTJvRG9jLnhtbFBLBQYAAAAABgAGAFkBAADv&#10;BQAAAAA=&#10;">
                <v:fill on="f" focussize="0,0"/>
                <v:stroke on="f" weight="2pt"/>
                <v:imagedata o:title=""/>
                <o:lock v:ext="edit" aspectratio="f"/>
                <v:textbox>
                  <w:txbxContent>
                    <w:p w14:paraId="1505D4FF">
                      <w:pPr>
                        <w:jc w:val="center"/>
                        <w:rPr>
                          <w:rFonts w:hint="default" w:eastAsia="宋体"/>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一般固废暂存区</w:t>
                      </w:r>
                    </w:p>
                  </w:txbxContent>
                </v:textbox>
              </v:rect>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2691765</wp:posOffset>
                </wp:positionH>
                <wp:positionV relativeFrom="paragraph">
                  <wp:posOffset>2558415</wp:posOffset>
                </wp:positionV>
                <wp:extent cx="3162935" cy="415925"/>
                <wp:effectExtent l="0" t="0" r="0" b="0"/>
                <wp:wrapNone/>
                <wp:docPr id="149" name="矩形 149"/>
                <wp:cNvGraphicFramePr/>
                <a:graphic xmlns:a="http://schemas.openxmlformats.org/drawingml/2006/main">
                  <a:graphicData uri="http://schemas.microsoft.com/office/word/2010/wordprocessingShape">
                    <wps:wsp>
                      <wps:cNvSpPr/>
                      <wps:spPr>
                        <a:xfrm>
                          <a:off x="0" y="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CFDE323">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成品区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95pt;margin-top:201.45pt;height:32.75pt;width:249.05pt;z-index:251679744;v-text-anchor:middle;mso-width-relative:page;mso-height-relative:page;" filled="f" stroked="f" coordsize="21600,21600" o:gfxdata="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4GV2dgAAAAL&#10;AQAADwAAAAAAAAABACAAAAAiAAAAZHJzL2Rvd25yZXYueG1sUEsBAhQAFAAAAAgAh07iQPPub4RV&#10;AgAAmgQAAA4AAAAAAAAAAQAgAAAAJwEAAGRycy9lMm9Eb2MueG1sUEsFBgAAAAAGAAYAWQEAAO4F&#10;AAAAAA==&#10;">
                <v:fill on="f" focussize="0,0"/>
                <v:stroke on="f" weight="2pt"/>
                <v:imagedata o:title=""/>
                <o:lock v:ext="edit" aspectratio="f"/>
                <v:textbox>
                  <w:txbxContent>
                    <w:p w14:paraId="1CFDE323">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成品区</w:t>
                      </w:r>
                    </w:p>
                  </w:txbxContent>
                </v:textbox>
              </v:rect>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1596390</wp:posOffset>
                </wp:positionH>
                <wp:positionV relativeFrom="paragraph">
                  <wp:posOffset>3609975</wp:posOffset>
                </wp:positionV>
                <wp:extent cx="5077460" cy="1776730"/>
                <wp:effectExtent l="6350" t="6350" r="21590" b="7620"/>
                <wp:wrapNone/>
                <wp:docPr id="146" name="矩形 146"/>
                <wp:cNvGraphicFramePr/>
                <a:graphic xmlns:a="http://schemas.openxmlformats.org/drawingml/2006/main">
                  <a:graphicData uri="http://schemas.microsoft.com/office/word/2010/wordprocessingShape">
                    <wps:wsp>
                      <wps:cNvSpPr/>
                      <wps:spPr>
                        <a:xfrm>
                          <a:off x="0" y="0"/>
                          <a:ext cx="5077460" cy="1776730"/>
                        </a:xfrm>
                        <a:prstGeom prst="rect">
                          <a:avLst/>
                        </a:prstGeom>
                        <a:no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5.7pt;margin-top:284.25pt;height:139.9pt;width:399.8pt;z-index:251677696;v-text-anchor:middle;mso-width-relative:page;mso-height-relative:page;" filled="f" stroked="t" coordsize="21600,21600" o:gfxdata="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FuR7TZAAAADAEAAA8AAAAAAAAAAQAgAAAAIgAAAGRycy9kb3ducmV2LnhtbFBLAQIUABQAAAAI&#10;AIdO4kD3x056XgIAALgEAAAOAAAAAAAAAAEAIAAAACgBAABkcnMvZTJvRG9jLnhtbFBLBQYAAAAA&#10;BgAGAFkBAAD4BQAAAAA=&#10;">
                <v:fill on="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1607185</wp:posOffset>
                </wp:positionH>
                <wp:positionV relativeFrom="paragraph">
                  <wp:posOffset>2009140</wp:posOffset>
                </wp:positionV>
                <wp:extent cx="5077460" cy="1490980"/>
                <wp:effectExtent l="6350" t="6350" r="21590" b="7620"/>
                <wp:wrapNone/>
                <wp:docPr id="145" name="矩形 145"/>
                <wp:cNvGraphicFramePr/>
                <a:graphic xmlns:a="http://schemas.openxmlformats.org/drawingml/2006/main">
                  <a:graphicData uri="http://schemas.microsoft.com/office/word/2010/wordprocessingShape">
                    <wps:wsp>
                      <wps:cNvSpPr/>
                      <wps:spPr>
                        <a:xfrm>
                          <a:off x="0" y="0"/>
                          <a:ext cx="5077460" cy="1490980"/>
                        </a:xfrm>
                        <a:prstGeom prst="rect">
                          <a:avLst/>
                        </a:prstGeom>
                        <a:no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55pt;margin-top:158.2pt;height:117.4pt;width:399.8pt;z-index:251676672;v-text-anchor:middle;mso-width-relative:page;mso-height-relative:page;" filled="f" stroked="t" coordsize="21600,21600" o:gfxdata="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4P0w02QAAAAwBAAAPAAAAAAAAAAEAIAAAACIAAABkcnMvZG93bnJldi54bWxQSwECFAAUAAAA&#10;CACHTuJA27uGsF8CAAC4BAAADgAAAAAAAAABACAAAAAoAQAAZHJzL2Uyb0RvYy54bWxQSwUGAAAA&#10;AAYABgBZAQAA+QUAAAAA&#10;">
                <v:fill on="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3105785</wp:posOffset>
                </wp:positionH>
                <wp:positionV relativeFrom="paragraph">
                  <wp:posOffset>5765165</wp:posOffset>
                </wp:positionV>
                <wp:extent cx="3162935" cy="415925"/>
                <wp:effectExtent l="0" t="0" r="0" b="0"/>
                <wp:wrapNone/>
                <wp:docPr id="170" name="矩形 170"/>
                <wp:cNvGraphicFramePr/>
                <a:graphic xmlns:a="http://schemas.openxmlformats.org/drawingml/2006/main">
                  <a:graphicData uri="http://schemas.microsoft.com/office/word/2010/wordprocessingShape">
                    <wps:wsp>
                      <wps:cNvSpPr/>
                      <wps:spPr>
                        <a:xfrm>
                          <a:off x="0" y="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696ADA">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附图3 项目总平面布置及防渗分区图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55pt;margin-top:453.95pt;height:32.75pt;width:249.05pt;z-index:251698176;v-text-anchor:middle;mso-width-relative:page;mso-height-relative:page;" filled="f" stroked="f" coordsize="21600,21600" o:gfxdata="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eqScI2gAA&#10;AAsBAAAPAAAAAAAAAAEAIAAAACIAAABkcnMvZG93bnJldi54bWxQSwECFAAUAAAACACHTuJAz4a5&#10;VVUCAACaBAAADgAAAAAAAAABACAAAAApAQAAZHJzL2Uyb0RvYy54bWxQSwUGAAAAAAYABgBZAQAA&#10;8AUAAAAA&#10;">
                <v:fill on="f" focussize="0,0"/>
                <v:stroke on="f" weight="2pt"/>
                <v:imagedata o:title=""/>
                <o:lock v:ext="edit" aspectratio="f"/>
                <v:textbox>
                  <w:txbxContent>
                    <w:p w14:paraId="47696ADA">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附图3 项目总平面布置及防渗分区图</w:t>
                      </w:r>
                    </w:p>
                  </w:txbxContent>
                </v:textbox>
              </v:rect>
            </w:pict>
          </mc:Fallback>
        </mc:AlternateContent>
      </w:r>
      <w:r>
        <w:rPr>
          <w:color w:val="auto"/>
        </w:rPr>
        <w:drawing>
          <wp:anchor distT="0" distB="0" distL="114300" distR="114300" simplePos="0" relativeHeight="251697152" behindDoc="0" locked="0" layoutInCell="1" allowOverlap="1">
            <wp:simplePos x="0" y="0"/>
            <wp:positionH relativeFrom="column">
              <wp:posOffset>7647940</wp:posOffset>
            </wp:positionH>
            <wp:positionV relativeFrom="paragraph">
              <wp:posOffset>5380990</wp:posOffset>
            </wp:positionV>
            <wp:extent cx="1114425" cy="352425"/>
            <wp:effectExtent l="0" t="0" r="9525" b="9525"/>
            <wp:wrapNone/>
            <wp:docPr id="169" name="图片 169" descr="90c7e41b-a079-4706-a102-1fa0f9ac8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90c7e41b-a079-4706-a102-1fa0f9ac817a"/>
                    <pic:cNvPicPr>
                      <a:picLocks noChangeAspect="1"/>
                    </pic:cNvPicPr>
                  </pic:nvPicPr>
                  <pic:blipFill>
                    <a:blip r:embed="rId29"/>
                    <a:stretch>
                      <a:fillRect/>
                    </a:stretch>
                  </pic:blipFill>
                  <pic:spPr>
                    <a:xfrm>
                      <a:off x="0" y="0"/>
                      <a:ext cx="1114425" cy="352425"/>
                    </a:xfrm>
                    <a:prstGeom prst="rect">
                      <a:avLst/>
                    </a:prstGeom>
                  </pic:spPr>
                </pic:pic>
              </a:graphicData>
            </a:graphic>
          </wp:anchor>
        </w:drawing>
      </w:r>
      <w:r>
        <w:rPr>
          <w:color w:val="auto"/>
        </w:rPr>
        <w:drawing>
          <wp:anchor distT="0" distB="0" distL="114300" distR="114300" simplePos="0" relativeHeight="251696128" behindDoc="0" locked="0" layoutInCell="1" allowOverlap="1">
            <wp:simplePos x="0" y="0"/>
            <wp:positionH relativeFrom="column">
              <wp:posOffset>768985</wp:posOffset>
            </wp:positionH>
            <wp:positionV relativeFrom="paragraph">
              <wp:posOffset>8939530</wp:posOffset>
            </wp:positionV>
            <wp:extent cx="1106170" cy="346710"/>
            <wp:effectExtent l="0" t="0" r="17780" b="15240"/>
            <wp:wrapNone/>
            <wp:docPr id="1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
                    <pic:cNvPicPr>
                      <a:picLocks noChangeAspect="1"/>
                    </pic:cNvPicPr>
                  </pic:nvPicPr>
                  <pic:blipFill>
                    <a:blip r:embed="rId30"/>
                    <a:stretch>
                      <a:fillRect/>
                    </a:stretch>
                  </pic:blipFill>
                  <pic:spPr>
                    <a:xfrm>
                      <a:off x="0" y="0"/>
                      <a:ext cx="1106170" cy="34671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3087370</wp:posOffset>
                </wp:positionH>
                <wp:positionV relativeFrom="paragraph">
                  <wp:posOffset>5371465</wp:posOffset>
                </wp:positionV>
                <wp:extent cx="2136140" cy="415925"/>
                <wp:effectExtent l="0" t="0" r="0" b="0"/>
                <wp:wrapNone/>
                <wp:docPr id="162" name="矩形 162"/>
                <wp:cNvGraphicFramePr/>
                <a:graphic xmlns:a="http://schemas.openxmlformats.org/drawingml/2006/main">
                  <a:graphicData uri="http://schemas.microsoft.com/office/word/2010/wordprocessingShape">
                    <wps:wsp>
                      <wps:cNvSpPr/>
                      <wps:spPr>
                        <a:xfrm>
                          <a:off x="0" y="0"/>
                          <a:ext cx="2136140"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A4ABBCD">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其他公司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1pt;margin-top:422.95pt;height:32.75pt;width:168.2pt;z-index:251691008;v-text-anchor:middle;mso-width-relative:page;mso-height-relative:page;" filled="f" stroked="f" coordsize="21600,21600" o:gfxdata="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XLyV+2gAAAAsB&#10;AAAPAAAAAAAAAAEAIAAAACIAAABkcnMvZG93bnJldi54bWxQSwECFAAUAAAACACHTuJAV+iyXVIC&#10;AACaBAAADgAAAAAAAAABACAAAAApAQAAZHJzL2Uyb0RvYy54bWxQSwUGAAAAAAYABgBZAQAA7QUA&#10;AAAA&#10;">
                <v:fill on="f" focussize="0,0"/>
                <v:stroke on="f" weight="2pt"/>
                <v:imagedata o:title=""/>
                <o:lock v:ext="edit" aspectratio="f"/>
                <v:textbox>
                  <w:txbxContent>
                    <w:p w14:paraId="4A4ABBCD">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其他公司</w:t>
                      </w:r>
                    </w:p>
                  </w:txbxContent>
                </v:textbox>
              </v:rect>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7702550</wp:posOffset>
                </wp:positionH>
                <wp:positionV relativeFrom="paragraph">
                  <wp:posOffset>1625600</wp:posOffset>
                </wp:positionV>
                <wp:extent cx="323215" cy="2324100"/>
                <wp:effectExtent l="0" t="0" r="0" b="0"/>
                <wp:wrapNone/>
                <wp:docPr id="161" name="矩形 161"/>
                <wp:cNvGraphicFramePr/>
                <a:graphic xmlns:a="http://schemas.openxmlformats.org/drawingml/2006/main">
                  <a:graphicData uri="http://schemas.microsoft.com/office/word/2010/wordprocessingShape">
                    <wps:wsp>
                      <wps:cNvSpPr/>
                      <wps:spPr>
                        <a:xfrm>
                          <a:off x="0" y="0"/>
                          <a:ext cx="323215" cy="23241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1D23CCC">
                            <w:pPr>
                              <w:rPr>
                                <w:rFonts w:hint="default"/>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s="Times New Roman"/>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天源机床附件厂家属院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6.5pt;margin-top:128pt;height:183pt;width:25.45pt;z-index:251689984;v-text-anchor:middle;mso-width-relative:page;mso-height-relative:page;" filled="f" stroked="f" coordsize="21600,21600" o:gfxdata="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7WE672gAAAA0B&#10;AAAPAAAAAAAAAAEAIAAAACIAAABkcnMvZG93bnJldi54bWxQSwECFAAUAAAACACHTuJA9LjL6FIC&#10;AACaBAAADgAAAAAAAAABACAAAAApAQAAZHJzL2Uyb0RvYy54bWxQSwUGAAAAAAYABgBZAQAA7QUA&#10;AAAA&#10;">
                <v:fill on="f" focussize="0,0"/>
                <v:stroke on="f" weight="2pt"/>
                <v:imagedata o:title=""/>
                <o:lock v:ext="edit" aspectratio="f"/>
                <v:textbox>
                  <w:txbxContent>
                    <w:p w14:paraId="61D23CCC">
                      <w:pPr>
                        <w:rPr>
                          <w:rFonts w:hint="default"/>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s="Times New Roman"/>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天源机床附件厂家属院</w:t>
                      </w:r>
                    </w:p>
                  </w:txbxContent>
                </v:textbox>
              </v:rect>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831215</wp:posOffset>
                </wp:positionH>
                <wp:positionV relativeFrom="paragraph">
                  <wp:posOffset>1773555</wp:posOffset>
                </wp:positionV>
                <wp:extent cx="323215" cy="2459990"/>
                <wp:effectExtent l="0" t="0" r="0" b="0"/>
                <wp:wrapNone/>
                <wp:docPr id="160" name="矩形 160"/>
                <wp:cNvGraphicFramePr/>
                <a:graphic xmlns:a="http://schemas.openxmlformats.org/drawingml/2006/main">
                  <a:graphicData uri="http://schemas.microsoft.com/office/word/2010/wordprocessingShape">
                    <wps:wsp>
                      <wps:cNvSpPr/>
                      <wps:spPr>
                        <a:xfrm>
                          <a:off x="0" y="0"/>
                          <a:ext cx="323215" cy="24599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BFABA42">
                            <w:pPr>
                              <w:rPr>
                                <w:rFonts w:hint="default"/>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s="Times New Roman"/>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山东机械附件厂家属院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45pt;margin-top:139.65pt;height:193.7pt;width:25.45pt;z-index:251688960;v-text-anchor:middle;mso-width-relative:page;mso-height-relative:page;" filled="f" stroked="f" coordsize="21600,21600" o:gfxdata="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drcENkAAAAL&#10;AQAADwAAAAAAAAABACAAAAAiAAAAZHJzL2Rvd25yZXYueG1sUEsBAhQAFAAAAAgAh07iQFBQbUBU&#10;AgAAmgQAAA4AAAAAAAAAAQAgAAAAKAEAAGRycy9lMm9Eb2MueG1sUEsFBgAAAAAGAAYAWQEAAO4F&#10;AAAAAA==&#10;">
                <v:fill on="f" focussize="0,0"/>
                <v:stroke on="f" weight="2pt"/>
                <v:imagedata o:title=""/>
                <o:lock v:ext="edit" aspectratio="f"/>
                <v:textbox>
                  <w:txbxContent>
                    <w:p w14:paraId="6BFABA42">
                      <w:pPr>
                        <w:rPr>
                          <w:rFonts w:hint="default"/>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s="Times New Roman"/>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山东机械附件厂家属院</w:t>
                      </w:r>
                    </w:p>
                  </w:txbxContent>
                </v:textbox>
              </v:rect>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3161030</wp:posOffset>
                </wp:positionH>
                <wp:positionV relativeFrom="paragraph">
                  <wp:posOffset>-75565</wp:posOffset>
                </wp:positionV>
                <wp:extent cx="2136140" cy="415925"/>
                <wp:effectExtent l="0" t="0" r="0" b="0"/>
                <wp:wrapNone/>
                <wp:docPr id="159" name="矩形 159"/>
                <wp:cNvGraphicFramePr/>
                <a:graphic xmlns:a="http://schemas.openxmlformats.org/drawingml/2006/main">
                  <a:graphicData uri="http://schemas.microsoft.com/office/word/2010/wordprocessingShape">
                    <wps:wsp>
                      <wps:cNvSpPr/>
                      <wps:spPr>
                        <a:xfrm>
                          <a:off x="0" y="0"/>
                          <a:ext cx="2136140"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A49105">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其他公司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8.9pt;margin-top:-5.95pt;height:32.75pt;width:168.2pt;z-index:251687936;v-text-anchor:middle;mso-width-relative:page;mso-height-relative:page;" filled="f" stroked="f" coordsize="21600,21600" o:gfxdata="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2JRXXaAAAACgEA&#10;AA8AAAAAAAAAAQAgAAAAIgAAAGRycy9kb3ducmV2LnhtbFBLAQIUABQAAAAIAIdO4kDYhyCjUQIA&#10;AJoEAAAOAAAAAAAAAAEAIAAAACkBAABkcnMvZTJvRG9jLnhtbFBLBQYAAAAABgAGAFkBAADsBQAA&#10;AAA=&#10;">
                <v:fill on="f" focussize="0,0"/>
                <v:stroke on="f" weight="2pt"/>
                <v:imagedata o:title=""/>
                <o:lock v:ext="edit" aspectratio="f"/>
                <v:textbox>
                  <w:txbxContent>
                    <w:p w14:paraId="04A49105">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其他公司</w:t>
                      </w:r>
                    </w:p>
                  </w:txbxContent>
                </v:textbox>
              </v:rect>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2772410</wp:posOffset>
                </wp:positionH>
                <wp:positionV relativeFrom="paragraph">
                  <wp:posOffset>734695</wp:posOffset>
                </wp:positionV>
                <wp:extent cx="3162935" cy="415925"/>
                <wp:effectExtent l="0" t="0" r="0" b="0"/>
                <wp:wrapNone/>
                <wp:docPr id="147" name="矩形 147"/>
                <wp:cNvGraphicFramePr/>
                <a:graphic xmlns:a="http://schemas.openxmlformats.org/drawingml/2006/main">
                  <a:graphicData uri="http://schemas.microsoft.com/office/word/2010/wordprocessingShape">
                    <wps:wsp>
                      <wps:cNvSpPr/>
                      <wps:spPr>
                        <a:xfrm>
                          <a:off x="0" y="0"/>
                          <a:ext cx="3162935" cy="4159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D23440">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原料区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3pt;margin-top:57.85pt;height:32.75pt;width:249.05pt;z-index:251678720;v-text-anchor:middle;mso-width-relative:page;mso-height-relative:page;" filled="f" stroked="f" coordsize="21600,21600" o:gfxdata="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zcDUE2gAA&#10;AAsBAAAPAAAAAAAAAAEAIAAAACIAAABkcnMvZG93bnJldi54bWxQSwECFAAUAAAACACHTuJA6viz&#10;SFUCAACaBAAADgAAAAAAAAABACAAAAApAQAAZHJzL2Uyb0RvYy54bWxQSwUGAAAAAAYABgBZAQAA&#10;8AUAAAAA&#10;">
                <v:fill on="f" focussize="0,0"/>
                <v:stroke on="f" weight="2pt"/>
                <v:imagedata o:title=""/>
                <o:lock v:ext="edit" aspectratio="f"/>
                <v:textbox>
                  <w:txbxContent>
                    <w:p w14:paraId="43D23440">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原料区</w:t>
                      </w:r>
                    </w:p>
                  </w:txbxContent>
                </v:textbox>
              </v:rect>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5915025</wp:posOffset>
                </wp:positionH>
                <wp:positionV relativeFrom="paragraph">
                  <wp:posOffset>604520</wp:posOffset>
                </wp:positionV>
                <wp:extent cx="889635" cy="461645"/>
                <wp:effectExtent l="0" t="0" r="0" b="0"/>
                <wp:wrapNone/>
                <wp:docPr id="156" name="矩形 156"/>
                <wp:cNvGraphicFramePr/>
                <a:graphic xmlns:a="http://schemas.openxmlformats.org/drawingml/2006/main">
                  <a:graphicData uri="http://schemas.microsoft.com/office/word/2010/wordprocessingShape">
                    <wps:wsp>
                      <wps:cNvSpPr/>
                      <wps:spPr>
                        <a:xfrm>
                          <a:off x="0" y="0"/>
                          <a:ext cx="889635" cy="4616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9D27313">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75pt;margin-top:47.6pt;height:36.35pt;width:70.05pt;z-index:251686912;v-text-anchor:middle;mso-width-relative:page;mso-height-relative:page;" filled="f" stroked="f" coordsize="21600,21600" o:gfxdata="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qR+F9kAAAAL&#10;AQAADwAAAAAAAAABACAAAAAiAAAAZHJzL2Rvd25yZXYueG1sUEsBAhQAFAAAAAgAh07iQC496H9U&#10;AgAAmQQAAA4AAAAAAAAAAQAgAAAAKAEAAGRycy9lMm9Eb2MueG1sUEsFBgAAAAAGAAYAWQEAAO4F&#10;AAAAAA==&#10;">
                <v:fill on="f" focussize="0,0"/>
                <v:stroke on="f" weight="2pt"/>
                <v:imagedata o:title=""/>
                <o:lock v:ext="edit" aspectratio="f"/>
                <v:textbox>
                  <w:txbxContent>
                    <w:p w14:paraId="79D27313">
                      <w:pPr>
                        <w:jc w:val="center"/>
                        <w:rPr>
                          <w:rFonts w:hint="default" w:eastAsia="宋体"/>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办公区</w:t>
                      </w:r>
                    </w:p>
                  </w:txbxContent>
                </v:textbox>
              </v:rect>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6085840</wp:posOffset>
                </wp:positionH>
                <wp:positionV relativeFrom="paragraph">
                  <wp:posOffset>419735</wp:posOffset>
                </wp:positionV>
                <wp:extent cx="573405" cy="823595"/>
                <wp:effectExtent l="6350" t="6350" r="10795" b="8255"/>
                <wp:wrapNone/>
                <wp:docPr id="155" name="矩形 155"/>
                <wp:cNvGraphicFramePr/>
                <a:graphic xmlns:a="http://schemas.openxmlformats.org/drawingml/2006/main">
                  <a:graphicData uri="http://schemas.microsoft.com/office/word/2010/wordprocessingShape">
                    <wps:wsp>
                      <wps:cNvSpPr/>
                      <wps:spPr>
                        <a:xfrm>
                          <a:off x="0" y="0"/>
                          <a:ext cx="573405" cy="823595"/>
                        </a:xfrm>
                        <a:prstGeom prst="rect">
                          <a:avLst/>
                        </a:prstGeom>
                        <a:solidFill>
                          <a:srgbClr val="00B0F0"/>
                        </a:solid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9.2pt;margin-top:33.05pt;height:64.85pt;width:45.15pt;z-index:251685888;v-text-anchor:middle;mso-width-relative:page;mso-height-relative:page;" fillcolor="#00B0F0" filled="t" stroked="t" coordsize="21600,21600" o:gfxdata="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mA00PbAAAACwEAAA8AAAAAAAAAAQAgAAAAIgAAAGRycy9kb3ducmV2Lnht&#10;bFBLAQIUABQAAAAIAIdO4kA6XODMaAIAAN8EAAAOAAAAAAAAAAEAIAAAACoBAABkcnMvZTJvRG9j&#10;LnhtbFBLBQYAAAAABgAGAFkBAAAEBgAAAAA=&#10;">
                <v:fill on="t"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1598930</wp:posOffset>
                </wp:positionH>
                <wp:positionV relativeFrom="paragraph">
                  <wp:posOffset>367030</wp:posOffset>
                </wp:positionV>
                <wp:extent cx="5077460" cy="1539240"/>
                <wp:effectExtent l="6350" t="6350" r="21590" b="16510"/>
                <wp:wrapNone/>
                <wp:docPr id="143" name="矩形 143"/>
                <wp:cNvGraphicFramePr/>
                <a:graphic xmlns:a="http://schemas.openxmlformats.org/drawingml/2006/main">
                  <a:graphicData uri="http://schemas.microsoft.com/office/word/2010/wordprocessingShape">
                    <wps:wsp>
                      <wps:cNvSpPr/>
                      <wps:spPr>
                        <a:xfrm>
                          <a:off x="0" y="0"/>
                          <a:ext cx="5077460" cy="1539240"/>
                        </a:xfrm>
                        <a:prstGeom prst="rect">
                          <a:avLst/>
                        </a:prstGeom>
                        <a:no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5.9pt;margin-top:28.9pt;height:121.2pt;width:399.8pt;z-index:251675648;v-text-anchor:middle;mso-width-relative:page;mso-height-relative:page;" filled="f" stroked="t" coordsize="21600,21600" o:gfxdata="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A2wxjYAAAACwEAAA8AAAAAAAAAAQAgAAAAIgAAAGRycy9kb3ducmV2LnhtbFBLAQIUABQAAAAI&#10;AIdO4kAdEQ2HXwIAALgEAAAOAAAAAAAAAAEAIAAAACcBAABkcnMvZTJvRG9jLnhtbFBLBQYAAAAA&#10;BgAGAFkBAAD4BQAAAAA=&#10;">
                <v:fill on="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1525270</wp:posOffset>
                </wp:positionH>
                <wp:positionV relativeFrom="paragraph">
                  <wp:posOffset>320675</wp:posOffset>
                </wp:positionV>
                <wp:extent cx="5216525" cy="5086350"/>
                <wp:effectExtent l="6350" t="6350" r="15875" b="12700"/>
                <wp:wrapNone/>
                <wp:docPr id="142" name="矩形 142"/>
                <wp:cNvGraphicFramePr/>
                <a:graphic xmlns:a="http://schemas.openxmlformats.org/drawingml/2006/main">
                  <a:graphicData uri="http://schemas.microsoft.com/office/word/2010/wordprocessingShape">
                    <wps:wsp>
                      <wps:cNvSpPr/>
                      <wps:spPr>
                        <a:xfrm>
                          <a:off x="0" y="0"/>
                          <a:ext cx="5216525" cy="508635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1pt;margin-top:25.25pt;height:400.5pt;width:410.75pt;z-index:251674624;v-text-anchor:middle;mso-width-relative:page;mso-height-relative:page;" filled="f" stroked="t" coordsize="21600,21600" o:gfxdata="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oVLld2QAAAAsBAAAPAAAAAAAAAAEAIAAAACIAAABkcnMvZG93bnJldi54bWxQSwECFAAUAAAA&#10;CACHTuJAbOPMw18CAAC5BAAADgAAAAAAAAABACAAAAAoAQAAZHJzL2Uyb0RvYy54bWxQSwUGAAAA&#10;AAYABgBZAQAA+QUAAAAA&#10;">
                <v:fill on="f" focussize="0,0"/>
                <v:stroke weight="1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36195</wp:posOffset>
                </wp:positionH>
                <wp:positionV relativeFrom="paragraph">
                  <wp:posOffset>-39370</wp:posOffset>
                </wp:positionV>
                <wp:extent cx="8812530" cy="5770245"/>
                <wp:effectExtent l="9525" t="9525" r="17145" b="11430"/>
                <wp:wrapNone/>
                <wp:docPr id="139" name="矩形 139"/>
                <wp:cNvGraphicFramePr/>
                <a:graphic xmlns:a="http://schemas.openxmlformats.org/drawingml/2006/main">
                  <a:graphicData uri="http://schemas.microsoft.com/office/word/2010/wordprocessingShape">
                    <wps:wsp>
                      <wps:cNvSpPr/>
                      <wps:spPr>
                        <a:xfrm>
                          <a:off x="968375" y="860425"/>
                          <a:ext cx="8812530" cy="577024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pt;margin-top:-3.1pt;height:454.35pt;width:693.9pt;z-index:251671552;v-text-anchor:middle;mso-width-relative:page;mso-height-relative:page;" filled="f" stroked="t" coordsize="21600,21600" o:gfxdata="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Dn6Ry2QAAAAkBAAAPAAAAAAAAAAEAIAAAACIAAABkcnMvZG93bnJldi54&#10;bWxQSwECFAAUAAAACACHTuJAIlUa32sCAADDBAAADgAAAAAAAAABACAAAAAoAQAAZHJzL2Uyb0Rv&#10;Yy54bWxQSwUGAAAAAAYABgBZAQAABQYAAAAA&#10;">
                <v:fill on="f" focussize="0,0"/>
                <v:stroke weight="1.5pt" color="#000000 [3213]" joinstyle="round"/>
                <v:imagedata o:title=""/>
                <o:lock v:ext="edit" aspectratio="f"/>
              </v:rect>
            </w:pict>
          </mc:Fallback>
        </mc:AlternateContent>
      </w:r>
    </w:p>
    <w:p w14:paraId="22AFF72C">
      <w:pPr>
        <w:pStyle w:val="61"/>
        <w:ind w:left="0" w:leftChars="0" w:firstLine="0" w:firstLineChars="0"/>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color w:val="auto"/>
          <w:sz w:val="28"/>
        </w:rPr>
        <mc:AlternateContent>
          <mc:Choice Requires="wps">
            <w:drawing>
              <wp:anchor distT="0" distB="0" distL="114300" distR="114300" simplePos="0" relativeHeight="251700224" behindDoc="0" locked="0" layoutInCell="1" allowOverlap="1">
                <wp:simplePos x="0" y="0"/>
                <wp:positionH relativeFrom="column">
                  <wp:posOffset>6054090</wp:posOffset>
                </wp:positionH>
                <wp:positionV relativeFrom="paragraph">
                  <wp:posOffset>1125855</wp:posOffset>
                </wp:positionV>
                <wp:extent cx="2414270" cy="317500"/>
                <wp:effectExtent l="0" t="0" r="0" b="0"/>
                <wp:wrapNone/>
                <wp:docPr id="173" name="矩形 173"/>
                <wp:cNvGraphicFramePr/>
                <a:graphic xmlns:a="http://schemas.openxmlformats.org/drawingml/2006/main">
                  <a:graphicData uri="http://schemas.microsoft.com/office/word/2010/wordprocessingShape">
                    <wps:wsp>
                      <wps:cNvSpPr/>
                      <wps:spPr>
                        <a:xfrm>
                          <a:off x="0" y="0"/>
                          <a:ext cx="2414270" cy="317500"/>
                        </a:xfrm>
                        <a:prstGeom prst="rect">
                          <a:avLst/>
                        </a:prstGeom>
                        <a:noFill/>
                        <a:ln>
                          <a:noFill/>
                        </a:ln>
                      </wps:spPr>
                      <wps:txbx>
                        <w:txbxContent>
                          <w:p w14:paraId="0DC54ADB">
                            <w:pPr>
                              <w:rPr>
                                <w:rFonts w:hint="default" w:eastAsia="宋体"/>
                                <w:b/>
                                <w:bCs/>
                                <w:color w:val="FF0000"/>
                                <w:sz w:val="21"/>
                                <w:szCs w:val="24"/>
                                <w:lang w:val="en-US" w:eastAsia="zh-CN"/>
                              </w:rPr>
                            </w:pPr>
                            <w:r>
                              <w:rPr>
                                <w:rFonts w:hint="eastAsia"/>
                                <w:b/>
                                <w:bCs/>
                                <w:color w:val="FF0000"/>
                                <w:sz w:val="21"/>
                                <w:szCs w:val="24"/>
                                <w:lang w:val="en-US" w:eastAsia="zh-CN"/>
                              </w:rPr>
                              <w:t>项目位于此方向约17km处</w:t>
                            </w:r>
                          </w:p>
                        </w:txbxContent>
                      </wps:txbx>
                      <wps:bodyPr upright="1"/>
                    </wps:wsp>
                  </a:graphicData>
                </a:graphic>
              </wp:anchor>
            </w:drawing>
          </mc:Choice>
          <mc:Fallback>
            <w:pict>
              <v:rect id="_x0000_s1026" o:spid="_x0000_s1026" o:spt="1" style="position:absolute;left:0pt;margin-left:476.7pt;margin-top:88.65pt;height:25pt;width:190.1pt;z-index:251700224;mso-width-relative:page;mso-height-relative:page;" filled="f" stroked="f" coordsize="21600,21600" o:gfxdata="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kDubHcAAAADAEA&#10;AA8AAAAAAAAAAQAgAAAAIgAAAGRycy9kb3ducmV2LnhtbFBLAQIUABQAAAAIAIdO4kAjnqvFpAEA&#10;AEUDAAAOAAAAAAAAAAEAIAAAACsBAABkcnMvZTJvRG9jLnhtbFBLBQYAAAAABgAGAFkBAABBBQAA&#10;AAA=&#10;">
                <v:fill on="f" focussize="0,0"/>
                <v:stroke on="f"/>
                <v:imagedata o:title=""/>
                <o:lock v:ext="edit" aspectratio="f"/>
                <v:textbox>
                  <w:txbxContent>
                    <w:p w14:paraId="0DC54ADB">
                      <w:pPr>
                        <w:rPr>
                          <w:rFonts w:hint="default" w:eastAsia="宋体"/>
                          <w:b/>
                          <w:bCs/>
                          <w:color w:val="FF0000"/>
                          <w:sz w:val="21"/>
                          <w:szCs w:val="24"/>
                          <w:lang w:val="en-US" w:eastAsia="zh-CN"/>
                        </w:rPr>
                      </w:pPr>
                      <w:r>
                        <w:rPr>
                          <w:rFonts w:hint="eastAsia"/>
                          <w:b/>
                          <w:bCs/>
                          <w:color w:val="FF0000"/>
                          <w:sz w:val="21"/>
                          <w:szCs w:val="24"/>
                          <w:lang w:val="en-US" w:eastAsia="zh-CN"/>
                        </w:rPr>
                        <w:t>项目位于此方向约17km处</w:t>
                      </w:r>
                    </w:p>
                  </w:txbxContent>
                </v:textbox>
              </v:rect>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4003675</wp:posOffset>
                </wp:positionH>
                <wp:positionV relativeFrom="paragraph">
                  <wp:posOffset>938530</wp:posOffset>
                </wp:positionV>
                <wp:extent cx="3490595" cy="674370"/>
                <wp:effectExtent l="1905" t="10795" r="12700" b="38735"/>
                <wp:wrapNone/>
                <wp:docPr id="172" name="直接连接符 172"/>
                <wp:cNvGraphicFramePr/>
                <a:graphic xmlns:a="http://schemas.openxmlformats.org/drawingml/2006/main">
                  <a:graphicData uri="http://schemas.microsoft.com/office/word/2010/wordprocessingShape">
                    <wps:wsp>
                      <wps:cNvCnPr/>
                      <wps:spPr>
                        <a:xfrm>
                          <a:off x="0" y="0"/>
                          <a:ext cx="3490595" cy="674370"/>
                        </a:xfrm>
                        <a:prstGeom prst="line">
                          <a:avLst/>
                        </a:prstGeom>
                        <a:ln w="22225"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15.25pt;margin-top:73.9pt;height:53.1pt;width:274.85pt;z-index:251699200;mso-width-relative:page;mso-height-relative:page;" filled="f" stroked="t" coordsize="21600,21600" o:gfxdata="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mj4UT2gAAAAwBAAAPAAAAAAAAAAEAIAAAACIA&#10;AABkcnMvZG93bnJldi54bWxQSwECFAAUAAAACACHTuJAU6rMbQcCAADyAwAADgAAAAAAAAABACAA&#10;AAApAQAAZHJzL2Uyb0RvYy54bWxQSwUGAAAAAAYABgBZAQAAogUAAAAA&#10;">
                <v:fill on="f" focussize="0,0"/>
                <v:stroke weight="1.75pt" color="#FF0000" joinstyle="round" endarrow="block"/>
                <v:imagedata o:title=""/>
                <o:lock v:ext="edit" aspectratio="f"/>
              </v:line>
            </w:pict>
          </mc:Fallback>
        </mc:AlternateContent>
      </w:r>
      <w:r>
        <w:rPr>
          <w:rFonts w:ascii="Calibri" w:hAnsi="Calibri" w:eastAsia="宋体" w:cs="Times New Roman"/>
          <w:color w:val="auto"/>
          <w:sz w:val="21"/>
          <w:szCs w:val="24"/>
        </w:rPr>
        <mc:AlternateContent>
          <mc:Choice Requires="wps">
            <w:drawing>
              <wp:anchor distT="0" distB="0" distL="114300" distR="114300" simplePos="0" relativeHeight="251750400" behindDoc="0" locked="0" layoutInCell="1" allowOverlap="1">
                <wp:simplePos x="0" y="0"/>
                <wp:positionH relativeFrom="column">
                  <wp:posOffset>2210435</wp:posOffset>
                </wp:positionH>
                <wp:positionV relativeFrom="paragraph">
                  <wp:posOffset>5537835</wp:posOffset>
                </wp:positionV>
                <wp:extent cx="4380865" cy="361950"/>
                <wp:effectExtent l="0" t="0" r="635" b="0"/>
                <wp:wrapNone/>
                <wp:docPr id="89" name="文本框 89"/>
                <wp:cNvGraphicFramePr/>
                <a:graphic xmlns:a="http://schemas.openxmlformats.org/drawingml/2006/main">
                  <a:graphicData uri="http://schemas.microsoft.com/office/word/2010/wordprocessingShape">
                    <wps:wsp>
                      <wps:cNvSpPr txBox="1"/>
                      <wps:spPr>
                        <a:xfrm>
                          <a:off x="3046095" y="5427345"/>
                          <a:ext cx="4380865" cy="36195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0F6C4">
                            <w:pPr>
                              <w:rPr>
                                <w:rFonts w:hint="default" w:ascii="Calibri" w:hAnsi="Calibri" w:eastAsia="宋体" w:cs="Times New Roman"/>
                                <w:b/>
                                <w:bCs/>
                                <w:sz w:val="24"/>
                                <w:szCs w:val="32"/>
                                <w:lang w:val="en-US" w:eastAsia="zh-CN"/>
                              </w:rPr>
                            </w:pPr>
                            <w:r>
                              <w:rPr>
                                <w:rFonts w:hint="default" w:ascii="Times New Roman" w:hAnsi="Times New Roman" w:eastAsia="宋体" w:cs="Times New Roman"/>
                                <w:b/>
                                <w:bCs/>
                                <w:sz w:val="24"/>
                                <w:szCs w:val="32"/>
                                <w:lang w:val="en-US" w:eastAsia="zh-CN"/>
                              </w:rPr>
                              <w:t>附图</w:t>
                            </w:r>
                            <w:r>
                              <w:rPr>
                                <w:rFonts w:hint="eastAsia" w:ascii="Times New Roman" w:hAnsi="Times New Roman" w:eastAsia="宋体" w:cs="Times New Roman"/>
                                <w:b/>
                                <w:bCs/>
                                <w:sz w:val="24"/>
                                <w:szCs w:val="32"/>
                                <w:lang w:val="en-US" w:eastAsia="zh-CN"/>
                              </w:rPr>
                              <w:t>4</w:t>
                            </w:r>
                            <w:r>
                              <w:rPr>
                                <w:rFonts w:hint="default" w:ascii="Times New Roman" w:hAnsi="Times New Roman" w:eastAsia="宋体" w:cs="Times New Roman"/>
                                <w:b/>
                                <w:bCs/>
                                <w:sz w:val="24"/>
                                <w:szCs w:val="32"/>
                                <w:lang w:val="en-US" w:eastAsia="zh-CN"/>
                              </w:rPr>
                              <w:t xml:space="preserve"> 项</w:t>
                            </w:r>
                            <w:r>
                              <w:rPr>
                                <w:rFonts w:hint="eastAsia" w:ascii="Calibri" w:hAnsi="Calibri" w:eastAsia="宋体" w:cs="Times New Roman"/>
                                <w:b/>
                                <w:bCs/>
                                <w:sz w:val="24"/>
                                <w:szCs w:val="32"/>
                                <w:lang w:val="en-US" w:eastAsia="zh-CN"/>
                              </w:rPr>
                              <w:t>目与泗水水源地位置关系图（不在水源地范围内）</w:t>
                            </w:r>
                          </w:p>
                          <w:p w14:paraId="0F45A081">
                            <w:pPr>
                              <w:rPr>
                                <w:rFonts w:ascii="Calibri" w:hAnsi="Calibri" w:eastAsia="宋体" w:cs="Times New Roman"/>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05pt;margin-top:436.05pt;height:28.5pt;width:344.95pt;z-index:251750400;mso-width-relative:page;mso-height-relative:page;" fillcolor="#FFFFFF" filled="t" stroked="f" coordsize="21600,21600" o:gfxdata="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2MDWdcAAAAMAQAADwAAAAAAAAABACAAAAAiAAAAZHJzL2Rvd25yZXYueG1sUEsBAhQA&#10;FAAAAAgAh07iQHLBTUBlAgAAqwQAAA4AAAAAAAAAAQAgAAAAJgEAAGRycy9lMm9Eb2MueG1sUEsF&#10;BgAAAAAGAAYAWQEAAP0FAAAAAA==&#10;">
                <v:fill on="t" focussize="0,0"/>
                <v:stroke on="f" weight="0.5pt"/>
                <v:imagedata o:title=""/>
                <o:lock v:ext="edit" aspectratio="f"/>
                <v:textbox>
                  <w:txbxContent>
                    <w:p w14:paraId="65A0F6C4">
                      <w:pPr>
                        <w:rPr>
                          <w:rFonts w:hint="default" w:ascii="Calibri" w:hAnsi="Calibri" w:eastAsia="宋体" w:cs="Times New Roman"/>
                          <w:b/>
                          <w:bCs/>
                          <w:sz w:val="24"/>
                          <w:szCs w:val="32"/>
                          <w:lang w:val="en-US" w:eastAsia="zh-CN"/>
                        </w:rPr>
                      </w:pPr>
                      <w:r>
                        <w:rPr>
                          <w:rFonts w:hint="default" w:ascii="Times New Roman" w:hAnsi="Times New Roman" w:eastAsia="宋体" w:cs="Times New Roman"/>
                          <w:b/>
                          <w:bCs/>
                          <w:sz w:val="24"/>
                          <w:szCs w:val="32"/>
                          <w:lang w:val="en-US" w:eastAsia="zh-CN"/>
                        </w:rPr>
                        <w:t>附图</w:t>
                      </w:r>
                      <w:r>
                        <w:rPr>
                          <w:rFonts w:hint="eastAsia" w:ascii="Times New Roman" w:hAnsi="Times New Roman" w:eastAsia="宋体" w:cs="Times New Roman"/>
                          <w:b/>
                          <w:bCs/>
                          <w:sz w:val="24"/>
                          <w:szCs w:val="32"/>
                          <w:lang w:val="en-US" w:eastAsia="zh-CN"/>
                        </w:rPr>
                        <w:t>4</w:t>
                      </w:r>
                      <w:r>
                        <w:rPr>
                          <w:rFonts w:hint="default" w:ascii="Times New Roman" w:hAnsi="Times New Roman" w:eastAsia="宋体" w:cs="Times New Roman"/>
                          <w:b/>
                          <w:bCs/>
                          <w:sz w:val="24"/>
                          <w:szCs w:val="32"/>
                          <w:lang w:val="en-US" w:eastAsia="zh-CN"/>
                        </w:rPr>
                        <w:t xml:space="preserve"> 项</w:t>
                      </w:r>
                      <w:r>
                        <w:rPr>
                          <w:rFonts w:hint="eastAsia" w:ascii="Calibri" w:hAnsi="Calibri" w:eastAsia="宋体" w:cs="Times New Roman"/>
                          <w:b/>
                          <w:bCs/>
                          <w:sz w:val="24"/>
                          <w:szCs w:val="32"/>
                          <w:lang w:val="en-US" w:eastAsia="zh-CN"/>
                        </w:rPr>
                        <w:t>目与泗水水源地位置关系图（不在水源地范围内）</w:t>
                      </w:r>
                    </w:p>
                    <w:p w14:paraId="0F45A081">
                      <w:pPr>
                        <w:rPr>
                          <w:rFonts w:ascii="Calibri" w:hAnsi="Calibri" w:eastAsia="宋体" w:cs="Times New Roman"/>
                          <w:szCs w:val="24"/>
                        </w:rPr>
                      </w:pPr>
                    </w:p>
                  </w:txbxContent>
                </v:textbox>
              </v:shape>
            </w:pict>
          </mc:Fallback>
        </mc:AlternateContent>
      </w:r>
      <w:r>
        <w:rPr>
          <w:rFonts w:hint="default" w:eastAsia="宋体"/>
          <w:b/>
          <w:bCs/>
          <w:color w:val="auto"/>
          <w:lang w:val="en-US" w:eastAsia="zh-CN"/>
        </w:rPr>
        <w:drawing>
          <wp:anchor distT="0" distB="0" distL="114300" distR="114300" simplePos="0" relativeHeight="251749376" behindDoc="1" locked="0" layoutInCell="1" allowOverlap="1">
            <wp:simplePos x="0" y="0"/>
            <wp:positionH relativeFrom="column">
              <wp:posOffset>-49530</wp:posOffset>
            </wp:positionH>
            <wp:positionV relativeFrom="paragraph">
              <wp:posOffset>212090</wp:posOffset>
            </wp:positionV>
            <wp:extent cx="8859520" cy="3965575"/>
            <wp:effectExtent l="0" t="0" r="17780" b="15875"/>
            <wp:wrapNone/>
            <wp:docPr id="88" name="图片 2" descr="泗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descr="泗水"/>
                    <pic:cNvPicPr>
                      <a:picLocks noChangeAspect="1"/>
                    </pic:cNvPicPr>
                  </pic:nvPicPr>
                  <pic:blipFill>
                    <a:blip r:embed="rId31"/>
                    <a:srcRect t="16968" b="21243"/>
                    <a:stretch>
                      <a:fillRect/>
                    </a:stretch>
                  </pic:blipFill>
                  <pic:spPr>
                    <a:xfrm>
                      <a:off x="0" y="0"/>
                      <a:ext cx="8859520" cy="3965575"/>
                    </a:xfrm>
                    <a:prstGeom prst="rect">
                      <a:avLst/>
                    </a:prstGeom>
                    <a:noFill/>
                    <a:ln>
                      <a:noFill/>
                    </a:ln>
                  </pic:spPr>
                </pic:pic>
              </a:graphicData>
            </a:graphic>
          </wp:anchor>
        </w:drawing>
      </w:r>
      <w:r>
        <w:rPr>
          <w:color w:val="auto"/>
          <w:sz w:val="28"/>
        </w:rPr>
        <mc:AlternateContent>
          <mc:Choice Requires="wps">
            <w:drawing>
              <wp:anchor distT="0" distB="0" distL="114300" distR="114300" simplePos="0" relativeHeight="251701248" behindDoc="0" locked="0" layoutInCell="1" allowOverlap="1">
                <wp:simplePos x="0" y="0"/>
                <wp:positionH relativeFrom="column">
                  <wp:posOffset>1369695</wp:posOffset>
                </wp:positionH>
                <wp:positionV relativeFrom="paragraph">
                  <wp:posOffset>8312785</wp:posOffset>
                </wp:positionV>
                <wp:extent cx="3633470" cy="342265"/>
                <wp:effectExtent l="0" t="0" r="0" b="0"/>
                <wp:wrapNone/>
                <wp:docPr id="174" name="矩形 174"/>
                <wp:cNvGraphicFramePr/>
                <a:graphic xmlns:a="http://schemas.openxmlformats.org/drawingml/2006/main">
                  <a:graphicData uri="http://schemas.microsoft.com/office/word/2010/wordprocessingShape">
                    <wps:wsp>
                      <wps:cNvSpPr/>
                      <wps:spPr>
                        <a:xfrm>
                          <a:off x="0" y="0"/>
                          <a:ext cx="3633470" cy="342265"/>
                        </a:xfrm>
                        <a:prstGeom prst="rect">
                          <a:avLst/>
                        </a:prstGeom>
                        <a:noFill/>
                        <a:ln>
                          <a:noFill/>
                        </a:ln>
                      </wps:spPr>
                      <wps:txbx>
                        <w:txbxContent>
                          <w:p w14:paraId="12568747">
                            <w:pPr>
                              <w:rPr>
                                <w:rFonts w:hint="default" w:eastAsia="宋体"/>
                                <w:b/>
                                <w:bCs/>
                                <w:sz w:val="24"/>
                                <w:szCs w:val="32"/>
                                <w:lang w:val="en-US" w:eastAsia="zh-CN"/>
                              </w:rPr>
                            </w:pPr>
                            <w:r>
                              <w:rPr>
                                <w:rFonts w:hint="eastAsia"/>
                                <w:b/>
                                <w:bCs/>
                                <w:sz w:val="24"/>
                                <w:szCs w:val="32"/>
                                <w:lang w:val="en-US" w:eastAsia="zh-CN"/>
                              </w:rPr>
                              <w:t>附图4 项目泗水县饮用水源地位置关系图</w:t>
                            </w:r>
                          </w:p>
                        </w:txbxContent>
                      </wps:txbx>
                      <wps:bodyPr upright="1"/>
                    </wps:wsp>
                  </a:graphicData>
                </a:graphic>
              </wp:anchor>
            </w:drawing>
          </mc:Choice>
          <mc:Fallback>
            <w:pict>
              <v:rect id="_x0000_s1026" o:spid="_x0000_s1026" o:spt="1" style="position:absolute;left:0pt;margin-left:107.85pt;margin-top:654.55pt;height:26.95pt;width:286.1pt;z-index:251701248;mso-width-relative:page;mso-height-relative:page;" filled="f" stroked="f" coordsize="21600,21600" o:gfxdata="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Kp45FjdAAAADQEA&#10;AA8AAAAAAAAAAQAgAAAAIgAAAGRycy9kb3ducmV2LnhtbFBLAQIUABQAAAAIAIdO4kAHqTYNowEA&#10;AEUDAAAOAAAAAAAAAAEAIAAAACwBAABkcnMvZTJvRG9jLnhtbFBLBQYAAAAABgAGAFkBAABBBQAA&#10;AAA=&#10;">
                <v:fill on="f" focussize="0,0"/>
                <v:stroke on="f"/>
                <v:imagedata o:title=""/>
                <o:lock v:ext="edit" aspectratio="f"/>
                <v:textbox>
                  <w:txbxContent>
                    <w:p w14:paraId="12568747">
                      <w:pPr>
                        <w:rPr>
                          <w:rFonts w:hint="default" w:eastAsia="宋体"/>
                          <w:b/>
                          <w:bCs/>
                          <w:sz w:val="24"/>
                          <w:szCs w:val="32"/>
                          <w:lang w:val="en-US" w:eastAsia="zh-CN"/>
                        </w:rPr>
                      </w:pPr>
                      <w:r>
                        <w:rPr>
                          <w:rFonts w:hint="eastAsia"/>
                          <w:b/>
                          <w:bCs/>
                          <w:sz w:val="24"/>
                          <w:szCs w:val="32"/>
                          <w:lang w:val="en-US" w:eastAsia="zh-CN"/>
                        </w:rPr>
                        <w:t>附图4 项目泗水县饮用水源地位置关系图</w:t>
                      </w:r>
                    </w:p>
                  </w:txbxContent>
                </v:textbox>
              </v:rect>
            </w:pict>
          </mc:Fallback>
        </mc:AlternateContent>
      </w:r>
    </w:p>
    <w:p w14:paraId="5BDD4178">
      <w:pPr>
        <w:pStyle w:val="61"/>
        <w:ind w:left="0" w:leftChars="0" w:firstLine="0" w:firstLineChars="0"/>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color w:val="auto"/>
        </w:rPr>
        <w:drawing>
          <wp:anchor distT="0" distB="0" distL="114300" distR="114300" simplePos="0" relativeHeight="251721728" behindDoc="0" locked="0" layoutInCell="1" allowOverlap="1">
            <wp:simplePos x="0" y="0"/>
            <wp:positionH relativeFrom="column">
              <wp:posOffset>99060</wp:posOffset>
            </wp:positionH>
            <wp:positionV relativeFrom="paragraph">
              <wp:posOffset>-22860</wp:posOffset>
            </wp:positionV>
            <wp:extent cx="8651875" cy="5641340"/>
            <wp:effectExtent l="19050" t="19050" r="34925" b="35560"/>
            <wp:wrapNone/>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32"/>
                    <a:stretch>
                      <a:fillRect/>
                    </a:stretch>
                  </pic:blipFill>
                  <pic:spPr>
                    <a:xfrm>
                      <a:off x="0" y="0"/>
                      <a:ext cx="8651875" cy="5641340"/>
                    </a:xfrm>
                    <a:prstGeom prst="rect">
                      <a:avLst/>
                    </a:prstGeom>
                    <a:noFill/>
                    <a:ln w="19050">
                      <a:solidFill>
                        <a:schemeClr val="tx1"/>
                      </a:solidFill>
                    </a:ln>
                  </pic:spPr>
                </pic:pic>
              </a:graphicData>
            </a:graphic>
          </wp:anchor>
        </w:drawing>
      </w:r>
      <w:r>
        <w:rPr>
          <w:rFonts w:ascii="Times New Roman" w:hAnsi="Times New Roman" w:eastAsia="宋体" w:cs="Times New Roman"/>
          <w:color w:val="auto"/>
          <w:sz w:val="24"/>
        </w:rPr>
        <mc:AlternateContent>
          <mc:Choice Requires="wps">
            <w:drawing>
              <wp:anchor distT="0" distB="0" distL="114300" distR="114300" simplePos="0" relativeHeight="251753472" behindDoc="0" locked="0" layoutInCell="1" allowOverlap="1">
                <wp:simplePos x="0" y="0"/>
                <wp:positionH relativeFrom="column">
                  <wp:posOffset>3327400</wp:posOffset>
                </wp:positionH>
                <wp:positionV relativeFrom="paragraph">
                  <wp:posOffset>1574165</wp:posOffset>
                </wp:positionV>
                <wp:extent cx="969645" cy="352425"/>
                <wp:effectExtent l="9525" t="9525" r="125730" b="609600"/>
                <wp:wrapNone/>
                <wp:docPr id="94" name="圆角矩形标注 94"/>
                <wp:cNvGraphicFramePr/>
                <a:graphic xmlns:a="http://schemas.openxmlformats.org/drawingml/2006/main">
                  <a:graphicData uri="http://schemas.microsoft.com/office/word/2010/wordprocessingShape">
                    <wps:wsp>
                      <wps:cNvSpPr/>
                      <wps:spPr>
                        <a:xfrm>
                          <a:off x="4205605" y="2896235"/>
                          <a:ext cx="969645" cy="352425"/>
                        </a:xfrm>
                        <a:prstGeom prst="wedgeRoundRectCallout">
                          <a:avLst>
                            <a:gd name="adj1" fmla="val 61918"/>
                            <a:gd name="adj2" fmla="val 217747"/>
                            <a:gd name="adj3" fmla="val 16667"/>
                          </a:avLst>
                        </a:prstGeom>
                        <a:noFill/>
                        <a:ln w="19050" cap="flat" cmpd="sng" algn="ctr">
                          <a:solidFill>
                            <a:srgbClr val="FF00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206C958F">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2pt;margin-top:123.95pt;height:27.75pt;width:76.35pt;z-index:251753472;v-text-anchor:middle;mso-width-relative:page;mso-height-relative:page;" filled="f" stroked="t" coordsize="21600,21600" o:gfxdata="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gi3dY9oA&#10;AAALAQAADwAAAAAAAAABACAAAAAiAAAAZHJzL2Rvd25yZXYueG1sUEsBAhQAFAAAAAgAh07iQC72&#10;5LjIAgAAbQUAAA4AAAAAAAAAAQAgAAAAKQEAAGRycy9lMm9Eb2MueG1sUEsFBgAAAAAGAAYAWQEA&#10;AGMGAAAAAA==&#10;" adj="24174,57833,14400">
                <v:fill on="f" focussize="0,0"/>
                <v:stroke weight="1.5pt" color="#FF0000 [2404]" joinstyle="round"/>
                <v:imagedata o:title=""/>
                <o:lock v:ext="edit" aspectratio="f"/>
                <v:textbox>
                  <w:txbxContent>
                    <w:p w14:paraId="206C958F">
                      <w:pPr>
                        <w:jc w:val="center"/>
                        <w:rPr>
                          <w:rFonts w:hint="default" w:ascii="Times New Roman" w:hAnsi="Times New Roman" w:eastAsia="宋体" w:cs="Times New Roman"/>
                          <w:b/>
                          <w:bCs/>
                          <w:color w:val="FF0000"/>
                          <w:lang w:val="en-US" w:eastAsia="zh-CN"/>
                        </w:rPr>
                      </w:pPr>
                      <w:r>
                        <w:rPr>
                          <w:rFonts w:hint="eastAsia" w:ascii="Times New Roman" w:hAnsi="Times New Roman" w:eastAsia="宋体" w:cs="Times New Roman"/>
                          <w:b/>
                          <w:bCs/>
                          <w:color w:val="FF0000"/>
                          <w:lang w:val="en-US" w:eastAsia="zh-CN"/>
                        </w:rPr>
                        <w:t>项目所在地</w:t>
                      </w:r>
                    </w:p>
                  </w:txbxContent>
                </v:textbox>
              </v:shape>
            </w:pict>
          </mc:Fallback>
        </mc:AlternateContent>
      </w:r>
      <w:r>
        <w:rPr>
          <w:color w:val="auto"/>
          <w:sz w:val="28"/>
        </w:rPr>
        <mc:AlternateContent>
          <mc:Choice Requires="wps">
            <w:drawing>
              <wp:anchor distT="0" distB="0" distL="114300" distR="114300" simplePos="0" relativeHeight="251752448" behindDoc="0" locked="0" layoutInCell="1" allowOverlap="1">
                <wp:simplePos x="0" y="0"/>
                <wp:positionH relativeFrom="column">
                  <wp:posOffset>4224020</wp:posOffset>
                </wp:positionH>
                <wp:positionV relativeFrom="paragraph">
                  <wp:posOffset>2542540</wp:posOffset>
                </wp:positionV>
                <wp:extent cx="373380" cy="450850"/>
                <wp:effectExtent l="52070" t="44450" r="69850" b="57150"/>
                <wp:wrapNone/>
                <wp:docPr id="93" name="矩形 93"/>
                <wp:cNvGraphicFramePr/>
                <a:graphic xmlns:a="http://schemas.openxmlformats.org/drawingml/2006/main">
                  <a:graphicData uri="http://schemas.microsoft.com/office/word/2010/wordprocessingShape">
                    <wps:wsp>
                      <wps:cNvSpPr/>
                      <wps:spPr>
                        <a:xfrm rot="660000">
                          <a:off x="5189855" y="3857625"/>
                          <a:ext cx="373380" cy="450850"/>
                        </a:xfrm>
                        <a:prstGeom prst="rect">
                          <a:avLst/>
                        </a:prstGeom>
                        <a:noFill/>
                        <a:ln w="25400" cap="flat" cmpd="sng" algn="ctr">
                          <a:solidFill>
                            <a:schemeClr val="tx1"/>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2.6pt;margin-top:200.2pt;height:35.5pt;width:29.4pt;rotation:720896f;z-index:251752448;v-text-anchor:middle;mso-width-relative:page;mso-height-relative:page;" filled="f" stroked="t" coordsize="21600,21600" o:gfxdata="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O073ZAAAACwEAAA8AAAAAAAAAAQAgAAAAIgAA&#10;AGRycy9kb3ducmV2LnhtbFBLAQIUABQAAAAIAIdO4kCbSzJHeQIAANwEAAAOAAAAAAAAAAEAIAAA&#10;ACgBAABkcnMvZTJvRG9jLnhtbFBLBQYAAAAABgAGAFkBAAATBgAAAAA=&#10;">
                <v:fill on="f" focussize="0,0"/>
                <v:stroke weight="2pt" color="#000000 [3213]" joinstyle="round"/>
                <v:imagedata o:title=""/>
                <o:lock v:ext="edit" aspectratio="f"/>
              </v:rect>
            </w:pict>
          </mc:Fallback>
        </mc:AlternateContent>
      </w:r>
      <w:r>
        <w:rPr>
          <w:color w:val="auto"/>
        </w:rPr>
        <w:drawing>
          <wp:anchor distT="0" distB="0" distL="114300" distR="114300" simplePos="0" relativeHeight="251722752" behindDoc="0" locked="0" layoutInCell="1" allowOverlap="1">
            <wp:simplePos x="0" y="0"/>
            <wp:positionH relativeFrom="column">
              <wp:posOffset>100330</wp:posOffset>
            </wp:positionH>
            <wp:positionV relativeFrom="paragraph">
              <wp:posOffset>5429250</wp:posOffset>
            </wp:positionV>
            <wp:extent cx="516255" cy="201930"/>
            <wp:effectExtent l="0" t="0" r="17145" b="7620"/>
            <wp:wrapNone/>
            <wp:docPr id="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
                    <pic:cNvPicPr>
                      <a:picLocks noChangeAspect="1"/>
                    </pic:cNvPicPr>
                  </pic:nvPicPr>
                  <pic:blipFill>
                    <a:blip r:embed="rId33"/>
                    <a:stretch>
                      <a:fillRect/>
                    </a:stretch>
                  </pic:blipFill>
                  <pic:spPr>
                    <a:xfrm>
                      <a:off x="0" y="0"/>
                      <a:ext cx="516255" cy="201930"/>
                    </a:xfrm>
                    <a:prstGeom prst="rect">
                      <a:avLst/>
                    </a:prstGeom>
                    <a:noFill/>
                    <a:ln>
                      <a:noFill/>
                    </a:ln>
                  </pic:spPr>
                </pic:pic>
              </a:graphicData>
            </a:graphic>
          </wp:anchor>
        </w:drawing>
      </w:r>
      <w:r>
        <w:rPr>
          <w:color w:val="auto"/>
        </w:rPr>
        <w:drawing>
          <wp:anchor distT="0" distB="0" distL="114300" distR="114300" simplePos="0" relativeHeight="251751424" behindDoc="0" locked="0" layoutInCell="1" allowOverlap="1">
            <wp:simplePos x="0" y="0"/>
            <wp:positionH relativeFrom="column">
              <wp:posOffset>7827645</wp:posOffset>
            </wp:positionH>
            <wp:positionV relativeFrom="paragraph">
              <wp:posOffset>-29210</wp:posOffset>
            </wp:positionV>
            <wp:extent cx="920115" cy="767080"/>
            <wp:effectExtent l="0" t="0" r="13335" b="13970"/>
            <wp:wrapNone/>
            <wp:docPr id="91" name="图片 132" descr="D:\Users\WeChat Files\zhuyanling4082\FileStorage\Temp\1732610976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2" descr="D:\Users\WeChat Files\zhuyanling4082\FileStorage\Temp\1732610976857.png"/>
                    <pic:cNvPicPr>
                      <a:picLocks noChangeAspect="1"/>
                    </pic:cNvPicPr>
                  </pic:nvPicPr>
                  <pic:blipFill>
                    <a:blip r:embed="rId26"/>
                    <a:srcRect l="8499" t="7487" r="9625" b="3136"/>
                    <a:stretch>
                      <a:fillRect/>
                    </a:stretch>
                  </pic:blipFill>
                  <pic:spPr>
                    <a:xfrm>
                      <a:off x="8828405" y="885190"/>
                      <a:ext cx="920115" cy="767080"/>
                    </a:xfrm>
                    <a:prstGeom prst="rect">
                      <a:avLst/>
                    </a:prstGeom>
                    <a:noFill/>
                    <a:ln>
                      <a:noFill/>
                    </a:ln>
                  </pic:spPr>
                </pic:pic>
              </a:graphicData>
            </a:graphic>
          </wp:anchor>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704320" behindDoc="0" locked="0" layoutInCell="1" allowOverlap="1">
                <wp:simplePos x="0" y="0"/>
                <wp:positionH relativeFrom="column">
                  <wp:posOffset>6431280</wp:posOffset>
                </wp:positionH>
                <wp:positionV relativeFrom="paragraph">
                  <wp:posOffset>2014855</wp:posOffset>
                </wp:positionV>
                <wp:extent cx="874395" cy="354965"/>
                <wp:effectExtent l="1293495" t="6350" r="22860" b="191135"/>
                <wp:wrapNone/>
                <wp:docPr id="10" name="矩形标注 10"/>
                <wp:cNvGraphicFramePr/>
                <a:graphic xmlns:a="http://schemas.openxmlformats.org/drawingml/2006/main">
                  <a:graphicData uri="http://schemas.microsoft.com/office/word/2010/wordprocessingShape">
                    <wps:wsp>
                      <wps:cNvSpPr/>
                      <wps:spPr>
                        <a:xfrm flipV="1">
                          <a:off x="0" y="0"/>
                          <a:ext cx="874395" cy="354965"/>
                        </a:xfrm>
                        <a:prstGeom prst="wedgeRectCallout">
                          <a:avLst>
                            <a:gd name="adj1" fmla="val -192116"/>
                            <a:gd name="adj2" fmla="val -95074"/>
                          </a:avLst>
                        </a:prstGeom>
                        <a:noFill/>
                        <a:ln w="12700" cap="flat" cmpd="sng">
                          <a:solidFill>
                            <a:schemeClr val="tx1"/>
                          </a:solidFill>
                          <a:prstDash val="solid"/>
                          <a:miter/>
                          <a:headEnd type="none" w="med" len="med"/>
                          <a:tailEnd type="none" w="med" len="med"/>
                        </a:ln>
                      </wps:spPr>
                      <wps:txbx>
                        <w:txbxContent>
                          <w:p w14:paraId="61C390B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wps:txbx>
                      <wps:bodyPr anchor="ctr" anchorCtr="0" upright="1"/>
                    </wps:wsp>
                  </a:graphicData>
                </a:graphic>
              </wp:anchor>
            </w:drawing>
          </mc:Choice>
          <mc:Fallback>
            <w:pict>
              <v:shape id="_x0000_s1026" o:spid="_x0000_s1026" o:spt="61" type="#_x0000_t61" style="position:absolute;left:0pt;flip:y;margin-left:506.4pt;margin-top:158.65pt;height:27.95pt;width:68.85pt;z-index:251704320;v-text-anchor:middle;mso-width-relative:page;mso-height-relative:page;" filled="f" stroked="t" coordsize="21600,21600" o:gfxdata="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xVokfXAAAADQEAAA8AAAAAAAAA&#10;AQAgAAAAIgAAAGRycy9kb3ducmV2LnhtbFBLAQIUABQAAAAIAIdO4kAKAUq8SwIAAI0EAAAOAAAA&#10;AAAAAAEAIAAAACYBAABkcnMvZTJvRG9jLnhtbFBLBQYAAAAABgAGAFkBAADjBQAAAAA=&#10;" adj="-30697,-9736">
                <v:fill on="f" focussize="0,0"/>
                <v:stroke weight="1pt" color="#000000 [3213]" joinstyle="miter"/>
                <v:imagedata o:title=""/>
                <o:lock v:ext="edit" aspectratio="f"/>
                <v:textbox>
                  <w:txbxContent>
                    <w:p w14:paraId="61C390BC">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v:textbox>
              </v:shape>
            </w:pict>
          </mc:Fallback>
        </mc:AlternateContent>
      </w:r>
      <w:r>
        <w:rPr>
          <w:color w:val="auto"/>
          <w:sz w:val="28"/>
        </w:rPr>
        <mc:AlternateContent>
          <mc:Choice Requires="wps">
            <w:drawing>
              <wp:anchor distT="0" distB="0" distL="114300" distR="114300" simplePos="0" relativeHeight="251703296" behindDoc="0" locked="0" layoutInCell="1" allowOverlap="1">
                <wp:simplePos x="0" y="0"/>
                <wp:positionH relativeFrom="column">
                  <wp:posOffset>5026025</wp:posOffset>
                </wp:positionH>
                <wp:positionV relativeFrom="paragraph">
                  <wp:posOffset>2531745</wp:posOffset>
                </wp:positionV>
                <wp:extent cx="278130" cy="379095"/>
                <wp:effectExtent l="9525" t="9525" r="17145" b="11430"/>
                <wp:wrapNone/>
                <wp:docPr id="9" name="矩形 9"/>
                <wp:cNvGraphicFramePr/>
                <a:graphic xmlns:a="http://schemas.openxmlformats.org/drawingml/2006/main">
                  <a:graphicData uri="http://schemas.microsoft.com/office/word/2010/wordprocessingShape">
                    <wps:wsp>
                      <wps:cNvSpPr/>
                      <wps:spPr>
                        <a:xfrm>
                          <a:off x="5940425" y="3431540"/>
                          <a:ext cx="278130" cy="37909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75pt;margin-top:199.35pt;height:29.85pt;width:21.9pt;z-index:251703296;v-text-anchor:middle;mso-width-relative:page;mso-height-relative:page;" filled="f" stroked="t" coordsize="21600,21600" o:gfxdata="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TVagTcAAAACwEAAA8AAAAAAAAAAQAgAAAAIgAAAGRycy9kb3ducmV2Lnht&#10;bFBLAQIUABQAAAAIAIdO4kAEBwIUZwIAAL8EAAAOAAAAAAAAAAEAIAAAACsBAABkcnMvZTJvRG9j&#10;LnhtbFBLBQYAAAAABgAGAFkBAAAEBgAAAAA=&#10;">
                <v:fill on="f" focussize="0,0"/>
                <v:stroke weight="1.5pt" color="#000000 [3213]" joinstyle="round"/>
                <v:imagedata o:title=""/>
                <o:lock v:ext="edit" aspectratio="f"/>
              </v:rect>
            </w:pict>
          </mc:Fallback>
        </mc:AlternateContent>
      </w:r>
      <w:r>
        <w:rPr>
          <w:color w:val="auto"/>
          <w:sz w:val="28"/>
        </w:rPr>
        <mc:AlternateContent>
          <mc:Choice Requires="wps">
            <w:drawing>
              <wp:anchor distT="0" distB="0" distL="114300" distR="114300" simplePos="0" relativeHeight="251702272" behindDoc="0" locked="0" layoutInCell="1" allowOverlap="1">
                <wp:simplePos x="0" y="0"/>
                <wp:positionH relativeFrom="column">
                  <wp:posOffset>2940685</wp:posOffset>
                </wp:positionH>
                <wp:positionV relativeFrom="paragraph">
                  <wp:posOffset>5489575</wp:posOffset>
                </wp:positionV>
                <wp:extent cx="4180840" cy="461010"/>
                <wp:effectExtent l="0" t="0" r="0" b="0"/>
                <wp:wrapNone/>
                <wp:docPr id="175" name="矩形 175"/>
                <wp:cNvGraphicFramePr/>
                <a:graphic xmlns:a="http://schemas.openxmlformats.org/drawingml/2006/main">
                  <a:graphicData uri="http://schemas.microsoft.com/office/word/2010/wordprocessingShape">
                    <wps:wsp>
                      <wps:cNvSpPr/>
                      <wps:spPr>
                        <a:xfrm>
                          <a:off x="0" y="0"/>
                          <a:ext cx="4180840" cy="461010"/>
                        </a:xfrm>
                        <a:prstGeom prst="rect">
                          <a:avLst/>
                        </a:prstGeom>
                        <a:noFill/>
                        <a:ln>
                          <a:noFill/>
                        </a:ln>
                      </wps:spPr>
                      <wps:txbx>
                        <w:txbxContent>
                          <w:p w14:paraId="15EB9D99">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 xml:space="preserve">附图5   </w:t>
                            </w:r>
                            <w:r>
                              <w:rPr>
                                <w:rFonts w:hint="default" w:ascii="Times New Roman" w:hAnsi="Times New Roman" w:eastAsia="宋体" w:cs="Times New Roman"/>
                                <w:b/>
                                <w:bCs w:val="0"/>
                                <w:color w:val="auto"/>
                                <w:sz w:val="24"/>
                                <w:szCs w:val="24"/>
                                <w:highlight w:val="none"/>
                                <w:lang w:val="en-US" w:eastAsia="zh-CN"/>
                              </w:rPr>
                              <w:t>项目与</w:t>
                            </w:r>
                            <w:r>
                              <w:rPr>
                                <w:rFonts w:hint="default" w:ascii="Times New Roman" w:hAnsi="Times New Roman" w:eastAsia="宋体" w:cs="Times New Roman"/>
                                <w:b/>
                                <w:bCs w:val="0"/>
                                <w:color w:val="auto"/>
                                <w:kern w:val="0"/>
                                <w:sz w:val="24"/>
                                <w:szCs w:val="24"/>
                                <w:highlight w:val="none"/>
                                <w:lang w:val="en-US" w:eastAsia="zh-CN" w:bidi="ar"/>
                              </w:rPr>
                              <w:t>济宁市</w:t>
                            </w:r>
                            <w:r>
                              <w:rPr>
                                <w:rFonts w:hint="eastAsia" w:ascii="Times New Roman" w:cs="Times New Roman"/>
                                <w:b/>
                                <w:bCs w:val="0"/>
                                <w:color w:val="auto"/>
                                <w:kern w:val="0"/>
                                <w:sz w:val="24"/>
                                <w:szCs w:val="24"/>
                                <w:highlight w:val="none"/>
                                <w:lang w:val="en-US" w:eastAsia="zh-CN" w:bidi="ar"/>
                              </w:rPr>
                              <w:t>泗水县泉林镇</w:t>
                            </w:r>
                            <w:r>
                              <w:rPr>
                                <w:rFonts w:hint="default" w:ascii="Times New Roman" w:hAnsi="Times New Roman" w:eastAsia="宋体" w:cs="Times New Roman"/>
                                <w:b/>
                                <w:bCs w:val="0"/>
                                <w:color w:val="auto"/>
                                <w:kern w:val="0"/>
                                <w:sz w:val="24"/>
                                <w:szCs w:val="24"/>
                                <w:highlight w:val="none"/>
                                <w:lang w:val="en-US" w:eastAsia="zh-CN" w:bidi="ar"/>
                              </w:rPr>
                              <w:t>分区管控</w:t>
                            </w:r>
                            <w:r>
                              <w:rPr>
                                <w:rFonts w:hint="default" w:ascii="Times New Roman" w:hAnsi="Times New Roman" w:eastAsia="宋体" w:cs="Times New Roman"/>
                                <w:b/>
                                <w:bCs w:val="0"/>
                                <w:color w:val="auto"/>
                                <w:sz w:val="24"/>
                                <w:highlight w:val="none"/>
                              </w:rPr>
                              <w:t>位置关系图</w:t>
                            </w:r>
                          </w:p>
                          <w:p w14:paraId="079E1ED7">
                            <w:pPr>
                              <w:rPr>
                                <w:rFonts w:hint="default"/>
                                <w:lang w:val="en-US" w:eastAsia="zh-CN"/>
                              </w:rPr>
                            </w:pPr>
                          </w:p>
                        </w:txbxContent>
                      </wps:txbx>
                      <wps:bodyPr upright="1"/>
                    </wps:wsp>
                  </a:graphicData>
                </a:graphic>
              </wp:anchor>
            </w:drawing>
          </mc:Choice>
          <mc:Fallback>
            <w:pict>
              <v:rect id="_x0000_s1026" o:spid="_x0000_s1026" o:spt="1" style="position:absolute;left:0pt;margin-left:231.55pt;margin-top:432.25pt;height:36.3pt;width:329.2pt;z-index:251702272;mso-width-relative:page;mso-height-relative:page;" filled="f" stroked="f" coordsize="21600,21600" o:gfxdata="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cPFPQ90AAAAMAQAA&#10;DwAAAAAAAAABACAAAAAiAAAAZHJzL2Rvd25yZXYueG1sUEsBAhQAFAAAAAgAh07iQIkTuQSiAQAA&#10;RQMAAA4AAAAAAAAAAQAgAAAALAEAAGRycy9lMm9Eb2MueG1sUEsFBgAAAAAGAAYAWQEAAEAFAAAA&#10;AA==&#10;">
                <v:fill on="f" focussize="0,0"/>
                <v:stroke on="f"/>
                <v:imagedata o:title=""/>
                <o:lock v:ext="edit" aspectratio="f"/>
                <v:textbox>
                  <w:txbxContent>
                    <w:p w14:paraId="15EB9D99">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 xml:space="preserve">附图5   </w:t>
                      </w:r>
                      <w:r>
                        <w:rPr>
                          <w:rFonts w:hint="default" w:ascii="Times New Roman" w:hAnsi="Times New Roman" w:eastAsia="宋体" w:cs="Times New Roman"/>
                          <w:b/>
                          <w:bCs w:val="0"/>
                          <w:color w:val="auto"/>
                          <w:sz w:val="24"/>
                          <w:szCs w:val="24"/>
                          <w:highlight w:val="none"/>
                          <w:lang w:val="en-US" w:eastAsia="zh-CN"/>
                        </w:rPr>
                        <w:t>项目与</w:t>
                      </w:r>
                      <w:r>
                        <w:rPr>
                          <w:rFonts w:hint="default" w:ascii="Times New Roman" w:hAnsi="Times New Roman" w:eastAsia="宋体" w:cs="Times New Roman"/>
                          <w:b/>
                          <w:bCs w:val="0"/>
                          <w:color w:val="auto"/>
                          <w:kern w:val="0"/>
                          <w:sz w:val="24"/>
                          <w:szCs w:val="24"/>
                          <w:highlight w:val="none"/>
                          <w:lang w:val="en-US" w:eastAsia="zh-CN" w:bidi="ar"/>
                        </w:rPr>
                        <w:t>济宁市</w:t>
                      </w:r>
                      <w:r>
                        <w:rPr>
                          <w:rFonts w:hint="eastAsia" w:ascii="Times New Roman" w:cs="Times New Roman"/>
                          <w:b/>
                          <w:bCs w:val="0"/>
                          <w:color w:val="auto"/>
                          <w:kern w:val="0"/>
                          <w:sz w:val="24"/>
                          <w:szCs w:val="24"/>
                          <w:highlight w:val="none"/>
                          <w:lang w:val="en-US" w:eastAsia="zh-CN" w:bidi="ar"/>
                        </w:rPr>
                        <w:t>泗水县泉林镇</w:t>
                      </w:r>
                      <w:r>
                        <w:rPr>
                          <w:rFonts w:hint="default" w:ascii="Times New Roman" w:hAnsi="Times New Roman" w:eastAsia="宋体" w:cs="Times New Roman"/>
                          <w:b/>
                          <w:bCs w:val="0"/>
                          <w:color w:val="auto"/>
                          <w:kern w:val="0"/>
                          <w:sz w:val="24"/>
                          <w:szCs w:val="24"/>
                          <w:highlight w:val="none"/>
                          <w:lang w:val="en-US" w:eastAsia="zh-CN" w:bidi="ar"/>
                        </w:rPr>
                        <w:t>分区管控</w:t>
                      </w:r>
                      <w:r>
                        <w:rPr>
                          <w:rFonts w:hint="default" w:ascii="Times New Roman" w:hAnsi="Times New Roman" w:eastAsia="宋体" w:cs="Times New Roman"/>
                          <w:b/>
                          <w:bCs w:val="0"/>
                          <w:color w:val="auto"/>
                          <w:sz w:val="24"/>
                          <w:highlight w:val="none"/>
                        </w:rPr>
                        <w:t>位置关系图</w:t>
                      </w:r>
                    </w:p>
                    <w:p w14:paraId="079E1ED7">
                      <w:pPr>
                        <w:rPr>
                          <w:rFonts w:hint="default"/>
                          <w:lang w:val="en-US" w:eastAsia="zh-CN"/>
                        </w:rPr>
                      </w:pPr>
                    </w:p>
                  </w:txbxContent>
                </v:textbox>
              </v:rect>
            </w:pict>
          </mc:Fallback>
        </mc:AlternateContent>
      </w:r>
    </w:p>
    <w:p w14:paraId="1364F23F">
      <w:pPr>
        <w:pStyle w:val="61"/>
        <w:ind w:left="0" w:leftChars="0" w:firstLine="0" w:firstLineChars="0"/>
        <w:rPr>
          <w:rFonts w:hint="eastAsia" w:eastAsia="宋体"/>
          <w:color w:val="auto"/>
          <w:lang w:val="en-US" w:eastAsia="zh-CN"/>
        </w:rPr>
      </w:pPr>
      <w:r>
        <w:rPr>
          <w:rFonts w:hint="eastAsia" w:eastAsia="宋体"/>
          <w:color w:val="auto"/>
          <w:lang w:val="en-US" w:eastAsia="zh-CN"/>
        </w:rPr>
        <w:drawing>
          <wp:anchor distT="0" distB="0" distL="114300" distR="114300" simplePos="0" relativeHeight="251754496" behindDoc="1" locked="0" layoutInCell="1" allowOverlap="1">
            <wp:simplePos x="0" y="0"/>
            <wp:positionH relativeFrom="column">
              <wp:posOffset>622935</wp:posOffset>
            </wp:positionH>
            <wp:positionV relativeFrom="paragraph">
              <wp:posOffset>-99060</wp:posOffset>
            </wp:positionV>
            <wp:extent cx="7922260" cy="5602605"/>
            <wp:effectExtent l="0" t="0" r="2540" b="17145"/>
            <wp:wrapNone/>
            <wp:docPr id="96" name="图片 96" descr="泗水县国土空间规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泗水县国土空间规划1"/>
                    <pic:cNvPicPr>
                      <a:picLocks noChangeAspect="1"/>
                    </pic:cNvPicPr>
                  </pic:nvPicPr>
                  <pic:blipFill>
                    <a:blip r:embed="rId34"/>
                    <a:stretch>
                      <a:fillRect/>
                    </a:stretch>
                  </pic:blipFill>
                  <pic:spPr>
                    <a:xfrm>
                      <a:off x="0" y="0"/>
                      <a:ext cx="7922260" cy="5602605"/>
                    </a:xfrm>
                    <a:prstGeom prst="rect">
                      <a:avLst/>
                    </a:prstGeom>
                  </pic:spPr>
                </pic:pic>
              </a:graphicData>
            </a:graphic>
          </wp:anchor>
        </w:drawing>
      </w:r>
    </w:p>
    <w:p w14:paraId="2A2BF79D">
      <w:pPr>
        <w:pStyle w:val="61"/>
        <w:ind w:left="0" w:leftChars="0" w:firstLine="0" w:firstLineChars="0"/>
        <w:rPr>
          <w:rFonts w:hint="default"/>
          <w:color w:val="auto"/>
          <w:lang w:val="en-US" w:eastAsia="zh-CN"/>
        </w:rPr>
      </w:pPr>
    </w:p>
    <w:p w14:paraId="51EA118A">
      <w:pPr>
        <w:pStyle w:val="61"/>
        <w:ind w:left="0" w:leftChars="0" w:firstLine="0" w:firstLineChars="0"/>
        <w:rPr>
          <w:rFonts w:hint="default"/>
          <w:color w:val="auto"/>
          <w:lang w:val="en-US" w:eastAsia="zh-CN"/>
        </w:rPr>
      </w:pPr>
    </w:p>
    <w:p w14:paraId="1C452E50">
      <w:pPr>
        <w:pStyle w:val="61"/>
        <w:ind w:left="0" w:leftChars="0" w:firstLine="0" w:firstLineChars="0"/>
        <w:rPr>
          <w:rFonts w:hint="default"/>
          <w:color w:val="auto"/>
          <w:lang w:val="en-US" w:eastAsia="zh-CN"/>
        </w:rPr>
      </w:pPr>
    </w:p>
    <w:p w14:paraId="6B5D5395">
      <w:pPr>
        <w:pStyle w:val="61"/>
        <w:ind w:left="0" w:leftChars="0" w:firstLine="0" w:firstLineChars="0"/>
        <w:rPr>
          <w:rFonts w:hint="default"/>
          <w:color w:val="auto"/>
          <w:lang w:val="en-US" w:eastAsia="zh-CN"/>
        </w:rPr>
      </w:pPr>
    </w:p>
    <w:p w14:paraId="274E0623">
      <w:pPr>
        <w:pStyle w:val="61"/>
        <w:ind w:left="0" w:leftChars="0" w:firstLine="0" w:firstLineChars="0"/>
        <w:rPr>
          <w:rFonts w:hint="default"/>
          <w:color w:val="auto"/>
          <w:lang w:val="en-US" w:eastAsia="zh-CN"/>
        </w:rPr>
      </w:pPr>
    </w:p>
    <w:p w14:paraId="1D2D2263">
      <w:pPr>
        <w:pStyle w:val="61"/>
        <w:ind w:left="0" w:leftChars="0" w:firstLine="0" w:firstLineChars="0"/>
        <w:rPr>
          <w:rFonts w:hint="default"/>
          <w:color w:val="auto"/>
          <w:lang w:val="en-US" w:eastAsia="zh-CN"/>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706368" behindDoc="0" locked="0" layoutInCell="1" allowOverlap="1">
                <wp:simplePos x="0" y="0"/>
                <wp:positionH relativeFrom="column">
                  <wp:posOffset>6069330</wp:posOffset>
                </wp:positionH>
                <wp:positionV relativeFrom="paragraph">
                  <wp:posOffset>261620</wp:posOffset>
                </wp:positionV>
                <wp:extent cx="874395" cy="354965"/>
                <wp:effectExtent l="327660" t="6350" r="17145" b="572135"/>
                <wp:wrapNone/>
                <wp:docPr id="14" name="矩形标注 14"/>
                <wp:cNvGraphicFramePr/>
                <a:graphic xmlns:a="http://schemas.openxmlformats.org/drawingml/2006/main">
                  <a:graphicData uri="http://schemas.microsoft.com/office/word/2010/wordprocessingShape">
                    <wps:wsp>
                      <wps:cNvSpPr/>
                      <wps:spPr>
                        <a:xfrm flipV="1">
                          <a:off x="0" y="0"/>
                          <a:ext cx="874395" cy="354965"/>
                        </a:xfrm>
                        <a:prstGeom prst="wedgeRectCallout">
                          <a:avLst>
                            <a:gd name="adj1" fmla="val -83188"/>
                            <a:gd name="adj2" fmla="val -197227"/>
                          </a:avLst>
                        </a:prstGeom>
                        <a:noFill/>
                        <a:ln w="12700" cap="flat" cmpd="sng">
                          <a:solidFill>
                            <a:schemeClr val="tx1"/>
                          </a:solidFill>
                          <a:prstDash val="solid"/>
                          <a:miter/>
                          <a:headEnd type="none" w="med" len="med"/>
                          <a:tailEnd type="none" w="med" len="med"/>
                        </a:ln>
                      </wps:spPr>
                      <wps:txbx>
                        <w:txbxContent>
                          <w:p w14:paraId="3933FF75">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wps:txbx>
                      <wps:bodyPr anchor="ctr" anchorCtr="0" upright="1"/>
                    </wps:wsp>
                  </a:graphicData>
                </a:graphic>
              </wp:anchor>
            </w:drawing>
          </mc:Choice>
          <mc:Fallback>
            <w:pict>
              <v:shape id="_x0000_s1026" o:spid="_x0000_s1026" o:spt="61" type="#_x0000_t61" style="position:absolute;left:0pt;flip:y;margin-left:477.9pt;margin-top:20.6pt;height:27.95pt;width:68.85pt;z-index:251706368;v-text-anchor:middle;mso-width-relative:page;mso-height-relative:page;" filled="f" stroked="t" coordsize="21600,21600" o:gfxdata="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zMUNO1wAAAAoBAAAPAAAAAAAA&#10;AAEAIAAAACIAAABkcnMvZG93bnJldi54bWxQSwECFAAUAAAACACHTuJANRR+6EwCAACNBAAADgAA&#10;AAAAAAABACAAAAAmAQAAZHJzL2Uyb0RvYy54bWxQSwUGAAAAAAYABgBZAQAA5AUAAAAA&#10;" adj="-7169,-31801">
                <v:fill on="f" focussize="0,0"/>
                <v:stroke weight="1pt" color="#000000 [3213]" joinstyle="miter"/>
                <v:imagedata o:title=""/>
                <o:lock v:ext="edit" aspectratio="f"/>
                <v:textbox>
                  <w:txbxContent>
                    <w:p w14:paraId="3933FF75">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v:textbox>
              </v:shape>
            </w:pict>
          </mc:Fallback>
        </mc:AlternateContent>
      </w:r>
    </w:p>
    <w:p w14:paraId="512E5C56">
      <w:pPr>
        <w:pStyle w:val="61"/>
        <w:ind w:left="0" w:leftChars="0" w:firstLine="0" w:firstLineChars="0"/>
        <w:rPr>
          <w:rFonts w:hint="default"/>
          <w:color w:val="auto"/>
          <w:lang w:val="en-US" w:eastAsia="zh-CN"/>
        </w:rPr>
      </w:pPr>
    </w:p>
    <w:p w14:paraId="42CB9B44">
      <w:pPr>
        <w:pStyle w:val="61"/>
        <w:ind w:left="0" w:leftChars="0" w:firstLine="0" w:firstLineChars="0"/>
        <w:rPr>
          <w:rFonts w:hint="default"/>
          <w:color w:val="auto"/>
          <w:lang w:val="en-US" w:eastAsia="zh-CN"/>
        </w:rPr>
      </w:pPr>
    </w:p>
    <w:p w14:paraId="624C058B">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705344" behindDoc="0" locked="0" layoutInCell="1" allowOverlap="1">
                <wp:simplePos x="0" y="0"/>
                <wp:positionH relativeFrom="column">
                  <wp:posOffset>5735955</wp:posOffset>
                </wp:positionH>
                <wp:positionV relativeFrom="paragraph">
                  <wp:posOffset>260350</wp:posOffset>
                </wp:positionV>
                <wp:extent cx="76200" cy="76200"/>
                <wp:effectExtent l="9525" t="9525" r="9525" b="9525"/>
                <wp:wrapNone/>
                <wp:docPr id="13" name="矩形 13"/>
                <wp:cNvGraphicFramePr/>
                <a:graphic xmlns:a="http://schemas.openxmlformats.org/drawingml/2006/main">
                  <a:graphicData uri="http://schemas.microsoft.com/office/word/2010/wordprocessingShape">
                    <wps:wsp>
                      <wps:cNvSpPr/>
                      <wps:spPr>
                        <a:xfrm>
                          <a:off x="0" y="0"/>
                          <a:ext cx="76200" cy="762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65pt;margin-top:20.5pt;height:6pt;width:6pt;z-index:251705344;v-text-anchor:middle;mso-width-relative:page;mso-height-relative:page;" filled="f" stroked="t" coordsize="21600,21600" o:gfxdata="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H9H3tkA&#10;AAAJAQAADwAAAAAAAAABACAAAAAiAAAAZHJzL2Rvd25yZXYueG1sUEsBAhQAFAAAAAgAh07iQK6+&#10;JjNXAgAAswQAAA4AAAAAAAAAAQAgAAAAKAEAAGRycy9lMm9Eb2MueG1sUEsFBgAAAAAGAAYAWQEA&#10;APEFAAAAAA==&#10;">
                <v:fill on="f" focussize="0,0"/>
                <v:stroke weight="1.5pt" color="#000000 [3213]" joinstyle="round"/>
                <v:imagedata o:title=""/>
                <o:lock v:ext="edit" aspectratio="f"/>
              </v:rect>
            </w:pict>
          </mc:Fallback>
        </mc:AlternateContent>
      </w:r>
    </w:p>
    <w:p w14:paraId="58A107F6">
      <w:pPr>
        <w:pStyle w:val="61"/>
        <w:ind w:left="0" w:leftChars="0" w:firstLine="0" w:firstLineChars="0"/>
        <w:rPr>
          <w:rFonts w:hint="default"/>
          <w:color w:val="auto"/>
          <w:lang w:val="en-US" w:eastAsia="zh-CN"/>
        </w:rPr>
      </w:pPr>
    </w:p>
    <w:p w14:paraId="5D21C306">
      <w:pPr>
        <w:pStyle w:val="61"/>
        <w:ind w:left="0" w:leftChars="0" w:firstLine="0" w:firstLineChars="0"/>
        <w:rPr>
          <w:rFonts w:hint="default"/>
          <w:color w:val="auto"/>
          <w:lang w:val="en-US" w:eastAsia="zh-CN"/>
        </w:rPr>
      </w:pPr>
    </w:p>
    <w:p w14:paraId="5ADB5C26">
      <w:pPr>
        <w:pStyle w:val="61"/>
        <w:ind w:left="0" w:leftChars="0" w:firstLine="0" w:firstLineChars="0"/>
        <w:rPr>
          <w:rFonts w:hint="default"/>
          <w:color w:val="auto"/>
          <w:lang w:val="en-US" w:eastAsia="zh-CN"/>
        </w:rPr>
      </w:pPr>
    </w:p>
    <w:p w14:paraId="0EEA8C9D">
      <w:pPr>
        <w:pStyle w:val="61"/>
        <w:ind w:left="0" w:leftChars="0" w:firstLine="0" w:firstLineChars="0"/>
        <w:rPr>
          <w:rFonts w:hint="default"/>
          <w:color w:val="auto"/>
          <w:lang w:val="en-US" w:eastAsia="zh-CN"/>
        </w:rPr>
      </w:pPr>
    </w:p>
    <w:p w14:paraId="1BD5D912">
      <w:pPr>
        <w:pStyle w:val="61"/>
        <w:ind w:left="0" w:leftChars="0" w:firstLine="0" w:firstLineChars="0"/>
        <w:rPr>
          <w:rFonts w:hint="default"/>
          <w:color w:val="auto"/>
          <w:lang w:val="en-US" w:eastAsia="zh-CN"/>
        </w:rPr>
      </w:pPr>
    </w:p>
    <w:p w14:paraId="17D0AD8A">
      <w:pPr>
        <w:pStyle w:val="61"/>
        <w:ind w:left="0" w:leftChars="0" w:firstLine="0" w:firstLineChars="0"/>
        <w:rPr>
          <w:rFonts w:hint="default"/>
          <w:color w:val="auto"/>
          <w:lang w:val="en-US" w:eastAsia="zh-CN"/>
        </w:rPr>
      </w:pPr>
    </w:p>
    <w:p w14:paraId="402B2C4E">
      <w:pPr>
        <w:pStyle w:val="61"/>
        <w:ind w:left="0" w:leftChars="0" w:firstLine="0" w:firstLineChars="0"/>
        <w:rPr>
          <w:rFonts w:hint="default"/>
          <w:color w:val="auto"/>
          <w:lang w:val="en-US" w:eastAsia="zh-CN"/>
        </w:rPr>
      </w:pPr>
    </w:p>
    <w:p w14:paraId="51DF7CF4">
      <w:pPr>
        <w:pStyle w:val="61"/>
        <w:ind w:left="0" w:leftChars="0" w:firstLine="0" w:firstLineChars="0"/>
        <w:rPr>
          <w:rFonts w:hint="default"/>
          <w:color w:val="auto"/>
          <w:lang w:val="en-US" w:eastAsia="zh-CN"/>
        </w:rPr>
      </w:pPr>
    </w:p>
    <w:p w14:paraId="53B04C0A">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707392" behindDoc="0" locked="0" layoutInCell="1" allowOverlap="1">
                <wp:simplePos x="0" y="0"/>
                <wp:positionH relativeFrom="column">
                  <wp:posOffset>3007995</wp:posOffset>
                </wp:positionH>
                <wp:positionV relativeFrom="paragraph">
                  <wp:posOffset>122555</wp:posOffset>
                </wp:positionV>
                <wp:extent cx="4180840" cy="461010"/>
                <wp:effectExtent l="0" t="0" r="0" b="0"/>
                <wp:wrapNone/>
                <wp:docPr id="19" name="矩形 19"/>
                <wp:cNvGraphicFramePr/>
                <a:graphic xmlns:a="http://schemas.openxmlformats.org/drawingml/2006/main">
                  <a:graphicData uri="http://schemas.microsoft.com/office/word/2010/wordprocessingShape">
                    <wps:wsp>
                      <wps:cNvSpPr/>
                      <wps:spPr>
                        <a:xfrm>
                          <a:off x="0" y="0"/>
                          <a:ext cx="4180840" cy="461010"/>
                        </a:xfrm>
                        <a:prstGeom prst="rect">
                          <a:avLst/>
                        </a:prstGeom>
                        <a:noFill/>
                        <a:ln>
                          <a:noFill/>
                        </a:ln>
                      </wps:spPr>
                      <wps:txbx>
                        <w:txbxContent>
                          <w:p w14:paraId="066404A0">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泗水县国土空间规划</w:t>
                            </w:r>
                            <w:r>
                              <w:rPr>
                                <w:rFonts w:hint="default" w:ascii="Times New Roman" w:hAnsi="Times New Roman" w:eastAsia="宋体" w:cs="Times New Roman"/>
                                <w:b/>
                                <w:bCs w:val="0"/>
                                <w:color w:val="auto"/>
                                <w:sz w:val="24"/>
                                <w:highlight w:val="none"/>
                              </w:rPr>
                              <w:t>位置关系图</w:t>
                            </w:r>
                          </w:p>
                          <w:p w14:paraId="0227BBA4">
                            <w:pPr>
                              <w:rPr>
                                <w:rFonts w:hint="default"/>
                                <w:lang w:val="en-US" w:eastAsia="zh-CN"/>
                              </w:rPr>
                            </w:pPr>
                          </w:p>
                        </w:txbxContent>
                      </wps:txbx>
                      <wps:bodyPr upright="1"/>
                    </wps:wsp>
                  </a:graphicData>
                </a:graphic>
              </wp:anchor>
            </w:drawing>
          </mc:Choice>
          <mc:Fallback>
            <w:pict>
              <v:rect id="_x0000_s1026" o:spid="_x0000_s1026" o:spt="1" style="position:absolute;left:0pt;margin-left:236.85pt;margin-top:9.65pt;height:36.3pt;width:329.2pt;z-index:251707392;mso-width-relative:page;mso-height-relative:page;" filled="f" stroked="f" coordsize="21600,21600" o:gfxdata="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kigiOtsAAAAKAQAADwAA&#10;AAAAAAABACAAAAAiAAAAZHJzL2Rvd25yZXYueG1sUEsBAhQAFAAAAAgAh07iQGB13nOhAQAAQwMA&#10;AA4AAAAAAAAAAQAgAAAAKgEAAGRycy9lMm9Eb2MueG1sUEsFBgAAAAAGAAYAWQEAAD0FAAAAAA==&#10;">
                <v:fill on="f" focussize="0,0"/>
                <v:stroke on="f"/>
                <v:imagedata o:title=""/>
                <o:lock v:ext="edit" aspectratio="f"/>
                <v:textbox>
                  <w:txbxContent>
                    <w:p w14:paraId="066404A0">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泗水县国土空间规划</w:t>
                      </w:r>
                      <w:r>
                        <w:rPr>
                          <w:rFonts w:hint="default" w:ascii="Times New Roman" w:hAnsi="Times New Roman" w:eastAsia="宋体" w:cs="Times New Roman"/>
                          <w:b/>
                          <w:bCs w:val="0"/>
                          <w:color w:val="auto"/>
                          <w:sz w:val="24"/>
                          <w:highlight w:val="none"/>
                        </w:rPr>
                        <w:t>位置关系图</w:t>
                      </w:r>
                    </w:p>
                    <w:p w14:paraId="0227BBA4">
                      <w:pPr>
                        <w:rPr>
                          <w:rFonts w:hint="default"/>
                          <w:lang w:val="en-US" w:eastAsia="zh-CN"/>
                        </w:rPr>
                      </w:pPr>
                    </w:p>
                  </w:txbxContent>
                </v:textbox>
              </v:rect>
            </w:pict>
          </mc:Fallback>
        </mc:AlternateContent>
      </w:r>
    </w:p>
    <w:p w14:paraId="4CA845FD">
      <w:pPr>
        <w:pStyle w:val="61"/>
        <w:ind w:left="0" w:leftChars="0" w:firstLine="0" w:firstLineChars="0"/>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4363CA0F">
      <w:pPr>
        <w:pStyle w:val="61"/>
        <w:ind w:left="0" w:leftChars="0" w:firstLine="0" w:firstLineChars="0"/>
        <w:rPr>
          <w:rFonts w:hint="default"/>
          <w:color w:val="auto"/>
          <w:lang w:val="en-US" w:eastAsia="zh-CN"/>
        </w:rPr>
      </w:pPr>
      <w:r>
        <w:rPr>
          <w:color w:val="auto"/>
        </w:rPr>
        <w:drawing>
          <wp:anchor distT="0" distB="0" distL="114300" distR="114300" simplePos="0" relativeHeight="251721728" behindDoc="1" locked="0" layoutInCell="1" allowOverlap="1">
            <wp:simplePos x="0" y="0"/>
            <wp:positionH relativeFrom="column">
              <wp:posOffset>28575</wp:posOffset>
            </wp:positionH>
            <wp:positionV relativeFrom="paragraph">
              <wp:posOffset>-42545</wp:posOffset>
            </wp:positionV>
            <wp:extent cx="5739765" cy="7727315"/>
            <wp:effectExtent l="0" t="0" r="13335" b="6985"/>
            <wp:wrapNone/>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35"/>
                    <a:stretch>
                      <a:fillRect/>
                    </a:stretch>
                  </pic:blipFill>
                  <pic:spPr>
                    <a:xfrm>
                      <a:off x="0" y="0"/>
                      <a:ext cx="5739765" cy="7727315"/>
                    </a:xfrm>
                    <a:prstGeom prst="rect">
                      <a:avLst/>
                    </a:prstGeom>
                    <a:noFill/>
                    <a:ln>
                      <a:noFill/>
                    </a:ln>
                  </pic:spPr>
                </pic:pic>
              </a:graphicData>
            </a:graphic>
          </wp:anchor>
        </w:drawing>
      </w:r>
    </w:p>
    <w:p w14:paraId="28E27327">
      <w:pPr>
        <w:pStyle w:val="61"/>
        <w:ind w:left="0" w:leftChars="0" w:firstLine="0" w:firstLineChars="0"/>
        <w:rPr>
          <w:rFonts w:hint="default"/>
          <w:color w:val="auto"/>
          <w:lang w:val="en-US" w:eastAsia="zh-CN"/>
        </w:rPr>
      </w:pPr>
    </w:p>
    <w:p w14:paraId="3EF3E653">
      <w:pPr>
        <w:pStyle w:val="61"/>
        <w:ind w:left="0" w:leftChars="0" w:firstLine="0" w:firstLineChars="0"/>
        <w:rPr>
          <w:rFonts w:hint="default"/>
          <w:color w:val="auto"/>
          <w:lang w:val="en-US" w:eastAsia="zh-CN"/>
        </w:rPr>
      </w:pPr>
    </w:p>
    <w:p w14:paraId="7504BD4E">
      <w:pPr>
        <w:pStyle w:val="61"/>
        <w:ind w:left="0" w:leftChars="0" w:firstLine="0" w:firstLineChars="0"/>
        <w:rPr>
          <w:rFonts w:hint="default"/>
          <w:color w:val="auto"/>
          <w:lang w:val="en-US" w:eastAsia="zh-CN"/>
        </w:rPr>
      </w:pPr>
    </w:p>
    <w:p w14:paraId="59E2C06C">
      <w:pPr>
        <w:pStyle w:val="61"/>
        <w:ind w:left="0" w:leftChars="0" w:firstLine="0" w:firstLineChars="0"/>
        <w:rPr>
          <w:rFonts w:hint="default"/>
          <w:color w:val="auto"/>
          <w:lang w:val="en-US" w:eastAsia="zh-CN"/>
        </w:rPr>
      </w:pPr>
    </w:p>
    <w:p w14:paraId="2D0E4BCA">
      <w:pPr>
        <w:pStyle w:val="61"/>
        <w:ind w:left="0" w:leftChars="0" w:firstLine="0" w:firstLineChars="0"/>
        <w:rPr>
          <w:rFonts w:hint="default"/>
          <w:color w:val="auto"/>
          <w:lang w:val="en-US" w:eastAsia="zh-CN"/>
        </w:rPr>
      </w:pPr>
    </w:p>
    <w:p w14:paraId="4AAF3DC7">
      <w:pPr>
        <w:pStyle w:val="61"/>
        <w:ind w:left="0" w:leftChars="0" w:firstLine="0" w:firstLineChars="0"/>
        <w:rPr>
          <w:rFonts w:hint="default"/>
          <w:color w:val="auto"/>
          <w:lang w:val="en-US" w:eastAsia="zh-CN"/>
        </w:rPr>
      </w:pPr>
    </w:p>
    <w:p w14:paraId="4A83E6CD">
      <w:pPr>
        <w:pStyle w:val="61"/>
        <w:ind w:left="0" w:leftChars="0" w:firstLine="0" w:firstLineChars="0"/>
        <w:rPr>
          <w:rFonts w:hint="default"/>
          <w:color w:val="auto"/>
          <w:lang w:val="en-US" w:eastAsia="zh-CN"/>
        </w:rPr>
      </w:pPr>
    </w:p>
    <w:p w14:paraId="78BBB741">
      <w:pPr>
        <w:pStyle w:val="61"/>
        <w:ind w:left="0" w:leftChars="0" w:firstLine="0" w:firstLineChars="0"/>
        <w:rPr>
          <w:rFonts w:hint="default"/>
          <w:color w:val="auto"/>
          <w:lang w:val="en-US" w:eastAsia="zh-CN"/>
        </w:rPr>
      </w:pPr>
    </w:p>
    <w:p w14:paraId="2C518335">
      <w:pPr>
        <w:pStyle w:val="61"/>
        <w:ind w:left="0" w:leftChars="0" w:firstLine="0" w:firstLineChars="0"/>
        <w:rPr>
          <w:rFonts w:hint="default"/>
          <w:color w:val="auto"/>
          <w:lang w:val="en-US" w:eastAsia="zh-CN"/>
        </w:rPr>
      </w:pPr>
    </w:p>
    <w:p w14:paraId="33393C81">
      <w:pPr>
        <w:pStyle w:val="61"/>
        <w:ind w:left="0" w:leftChars="0" w:firstLine="0" w:firstLineChars="0"/>
        <w:rPr>
          <w:rFonts w:hint="default"/>
          <w:color w:val="auto"/>
          <w:lang w:val="en-US" w:eastAsia="zh-CN"/>
        </w:rPr>
      </w:pPr>
    </w:p>
    <w:p w14:paraId="64544DD7">
      <w:pPr>
        <w:pStyle w:val="61"/>
        <w:ind w:left="0" w:leftChars="0" w:firstLine="0" w:firstLineChars="0"/>
        <w:rPr>
          <w:rFonts w:hint="default"/>
          <w:color w:val="auto"/>
          <w:lang w:val="en-US" w:eastAsia="zh-CN"/>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712512" behindDoc="0" locked="0" layoutInCell="1" allowOverlap="1">
                <wp:simplePos x="0" y="0"/>
                <wp:positionH relativeFrom="column">
                  <wp:posOffset>4289425</wp:posOffset>
                </wp:positionH>
                <wp:positionV relativeFrom="paragraph">
                  <wp:posOffset>95250</wp:posOffset>
                </wp:positionV>
                <wp:extent cx="874395" cy="354965"/>
                <wp:effectExtent l="452120" t="6350" r="6985" b="19685"/>
                <wp:wrapNone/>
                <wp:docPr id="35" name="矩形标注 35"/>
                <wp:cNvGraphicFramePr/>
                <a:graphic xmlns:a="http://schemas.openxmlformats.org/drawingml/2006/main">
                  <a:graphicData uri="http://schemas.microsoft.com/office/word/2010/wordprocessingShape">
                    <wps:wsp>
                      <wps:cNvSpPr/>
                      <wps:spPr>
                        <a:xfrm flipV="1">
                          <a:off x="0" y="0"/>
                          <a:ext cx="874395" cy="354965"/>
                        </a:xfrm>
                        <a:prstGeom prst="wedgeRectCallout">
                          <a:avLst>
                            <a:gd name="adj1" fmla="val -95896"/>
                            <a:gd name="adj2" fmla="val -11896"/>
                          </a:avLst>
                        </a:prstGeom>
                        <a:noFill/>
                        <a:ln w="12700" cap="flat" cmpd="sng">
                          <a:solidFill>
                            <a:schemeClr val="tx1"/>
                          </a:solidFill>
                          <a:prstDash val="solid"/>
                          <a:miter/>
                          <a:headEnd type="none" w="med" len="med"/>
                          <a:tailEnd type="none" w="med" len="med"/>
                        </a:ln>
                      </wps:spPr>
                      <wps:txbx>
                        <w:txbxContent>
                          <w:p w14:paraId="729D6E0E">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wps:txbx>
                      <wps:bodyPr anchor="ctr" anchorCtr="0" upright="1"/>
                    </wps:wsp>
                  </a:graphicData>
                </a:graphic>
              </wp:anchor>
            </w:drawing>
          </mc:Choice>
          <mc:Fallback>
            <w:pict>
              <v:shape id="_x0000_s1026" o:spid="_x0000_s1026" o:spt="61" type="#_x0000_t61" style="position:absolute;left:0pt;flip:y;margin-left:337.75pt;margin-top:7.5pt;height:27.95pt;width:68.85pt;z-index:251712512;v-text-anchor:middle;mso-width-relative:page;mso-height-relative:page;" filled="f" stroked="t" coordsize="21600,21600" o:gfxdata="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Wd8PXXAAAACQEAAA8AAAAAAAAA&#10;AQAgAAAAIgAAAGRycy9kb3ducmV2LnhtbFBLAQIUABQAAAAIAIdO4kDQqjQZSwIAAIwEAAAOAAAA&#10;AAAAAAEAIAAAACYBAABkcnMvZTJvRG9jLnhtbFBLBQYAAAAABgAGAFkBAADjBQAAAAA=&#10;" adj="-9914,8230">
                <v:fill on="f" focussize="0,0"/>
                <v:stroke weight="1pt" color="#000000 [3213]" joinstyle="miter"/>
                <v:imagedata o:title=""/>
                <o:lock v:ext="edit" aspectratio="f"/>
                <v:textbox>
                  <w:txbxContent>
                    <w:p w14:paraId="729D6E0E">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v:textbox>
              </v:shape>
            </w:pict>
          </mc:Fallback>
        </mc:AlternateContent>
      </w:r>
      <w:r>
        <w:rPr>
          <w:color w:val="auto"/>
          <w:sz w:val="28"/>
        </w:rPr>
        <mc:AlternateContent>
          <mc:Choice Requires="wps">
            <w:drawing>
              <wp:anchor distT="0" distB="0" distL="114300" distR="114300" simplePos="0" relativeHeight="251711488" behindDoc="0" locked="0" layoutInCell="1" allowOverlap="1">
                <wp:simplePos x="0" y="0"/>
                <wp:positionH relativeFrom="column">
                  <wp:posOffset>3781425</wp:posOffset>
                </wp:positionH>
                <wp:positionV relativeFrom="paragraph">
                  <wp:posOffset>254000</wp:posOffset>
                </wp:positionV>
                <wp:extent cx="76200" cy="106045"/>
                <wp:effectExtent l="24130" t="18415" r="33020" b="27940"/>
                <wp:wrapNone/>
                <wp:docPr id="34" name="矩形 34"/>
                <wp:cNvGraphicFramePr/>
                <a:graphic xmlns:a="http://schemas.openxmlformats.org/drawingml/2006/main">
                  <a:graphicData uri="http://schemas.microsoft.com/office/word/2010/wordprocessingShape">
                    <wps:wsp>
                      <wps:cNvSpPr/>
                      <wps:spPr>
                        <a:xfrm rot="1080000">
                          <a:off x="0" y="0"/>
                          <a:ext cx="76200" cy="10604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75pt;margin-top:20pt;height:8.35pt;width:6pt;rotation:1179648f;z-index:251711488;v-text-anchor:middle;mso-width-relative:page;mso-height-relative:page;" filled="f" stroked="t" coordsize="21600,21600" o:gfxdata="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TT65z1wAAAAkBAAAPAAAAAAAAAAEAIAAAACIAAABkcnMvZG93bnJldi54bWxQSwECFAAUAAAA&#10;CACHTuJAvE2amWECAADCBAAADgAAAAAAAAABACAAAAAmAQAAZHJzL2Uyb0RvYy54bWxQSwUGAAAA&#10;AAYABgBZAQAA+QUAAAAA&#10;">
                <v:fill on="f" focussize="0,0"/>
                <v:stroke weight="1.5pt" color="#000000 [3213]" joinstyle="round"/>
                <v:imagedata o:title=""/>
                <o:lock v:ext="edit" aspectratio="f"/>
              </v:rect>
            </w:pict>
          </mc:Fallback>
        </mc:AlternateContent>
      </w:r>
    </w:p>
    <w:p w14:paraId="1A65E7B9">
      <w:pPr>
        <w:pStyle w:val="61"/>
        <w:ind w:left="0" w:leftChars="0" w:firstLine="0" w:firstLineChars="0"/>
        <w:rPr>
          <w:rFonts w:hint="default"/>
          <w:color w:val="auto"/>
          <w:lang w:val="en-US" w:eastAsia="zh-CN"/>
        </w:rPr>
      </w:pPr>
    </w:p>
    <w:p w14:paraId="3264BC98">
      <w:pPr>
        <w:pStyle w:val="61"/>
        <w:ind w:left="0" w:leftChars="0" w:firstLine="0" w:firstLineChars="0"/>
        <w:rPr>
          <w:rFonts w:hint="default"/>
          <w:color w:val="auto"/>
          <w:lang w:val="en-US" w:eastAsia="zh-CN"/>
        </w:rPr>
      </w:pPr>
    </w:p>
    <w:p w14:paraId="209CC980">
      <w:pPr>
        <w:pStyle w:val="61"/>
        <w:ind w:left="0" w:leftChars="0" w:firstLine="0" w:firstLineChars="0"/>
        <w:rPr>
          <w:rFonts w:hint="default"/>
          <w:color w:val="auto"/>
          <w:lang w:val="en-US" w:eastAsia="zh-CN"/>
        </w:rPr>
      </w:pPr>
    </w:p>
    <w:p w14:paraId="11E4F0A6">
      <w:pPr>
        <w:pStyle w:val="61"/>
        <w:ind w:left="0" w:leftChars="0" w:firstLine="0" w:firstLineChars="0"/>
        <w:rPr>
          <w:rFonts w:hint="default"/>
          <w:color w:val="auto"/>
          <w:lang w:val="en-US" w:eastAsia="zh-CN"/>
        </w:rPr>
      </w:pPr>
    </w:p>
    <w:p w14:paraId="49F663DB">
      <w:pPr>
        <w:pStyle w:val="61"/>
        <w:ind w:left="0" w:leftChars="0" w:firstLine="0" w:firstLineChars="0"/>
        <w:rPr>
          <w:rFonts w:hint="default"/>
          <w:color w:val="auto"/>
          <w:lang w:val="en-US" w:eastAsia="zh-CN"/>
        </w:rPr>
      </w:pPr>
    </w:p>
    <w:p w14:paraId="7DA27202">
      <w:pPr>
        <w:pStyle w:val="61"/>
        <w:ind w:left="0" w:leftChars="0" w:firstLine="0" w:firstLineChars="0"/>
        <w:rPr>
          <w:rFonts w:hint="default"/>
          <w:color w:val="auto"/>
          <w:lang w:val="en-US" w:eastAsia="zh-CN"/>
        </w:rPr>
      </w:pPr>
    </w:p>
    <w:p w14:paraId="273BD34E">
      <w:pPr>
        <w:pStyle w:val="61"/>
        <w:ind w:left="0" w:leftChars="0" w:firstLine="0" w:firstLineChars="0"/>
        <w:rPr>
          <w:rFonts w:hint="default"/>
          <w:color w:val="auto"/>
          <w:lang w:val="en-US" w:eastAsia="zh-CN"/>
        </w:rPr>
      </w:pPr>
    </w:p>
    <w:p w14:paraId="3F681AC2">
      <w:pPr>
        <w:pStyle w:val="61"/>
        <w:ind w:left="0" w:leftChars="0" w:firstLine="0" w:firstLineChars="0"/>
        <w:rPr>
          <w:rFonts w:hint="default"/>
          <w:color w:val="auto"/>
          <w:lang w:val="en-US" w:eastAsia="zh-CN"/>
        </w:rPr>
      </w:pPr>
    </w:p>
    <w:p w14:paraId="36F539D2">
      <w:pPr>
        <w:pStyle w:val="61"/>
        <w:ind w:left="0" w:leftChars="0" w:firstLine="0" w:firstLineChars="0"/>
        <w:rPr>
          <w:rFonts w:hint="default"/>
          <w:color w:val="auto"/>
          <w:lang w:val="en-US" w:eastAsia="zh-CN"/>
        </w:rPr>
      </w:pPr>
    </w:p>
    <w:p w14:paraId="60EB41DE">
      <w:pPr>
        <w:pStyle w:val="61"/>
        <w:ind w:left="0" w:leftChars="0" w:firstLine="0" w:firstLineChars="0"/>
        <w:rPr>
          <w:rFonts w:hint="default"/>
          <w:color w:val="auto"/>
          <w:lang w:val="en-US" w:eastAsia="zh-CN"/>
        </w:rPr>
      </w:pPr>
    </w:p>
    <w:p w14:paraId="4A07A582">
      <w:pPr>
        <w:pStyle w:val="61"/>
        <w:ind w:left="0" w:leftChars="0" w:firstLine="0" w:firstLineChars="0"/>
        <w:rPr>
          <w:rFonts w:hint="default"/>
          <w:color w:val="auto"/>
          <w:lang w:val="en-US" w:eastAsia="zh-CN"/>
        </w:rPr>
      </w:pPr>
    </w:p>
    <w:p w14:paraId="1ABB4833">
      <w:pPr>
        <w:pStyle w:val="61"/>
        <w:ind w:left="0" w:leftChars="0" w:firstLine="0" w:firstLineChars="0"/>
        <w:rPr>
          <w:rFonts w:hint="default"/>
          <w:color w:val="auto"/>
          <w:lang w:val="en-US" w:eastAsia="zh-CN"/>
        </w:rPr>
      </w:pPr>
    </w:p>
    <w:p w14:paraId="2C406BBB">
      <w:pPr>
        <w:pStyle w:val="61"/>
        <w:ind w:left="0" w:leftChars="0" w:firstLine="0" w:firstLineChars="0"/>
        <w:rPr>
          <w:rFonts w:hint="default"/>
          <w:color w:val="auto"/>
          <w:lang w:val="en-US" w:eastAsia="zh-CN"/>
        </w:rPr>
      </w:pPr>
    </w:p>
    <w:p w14:paraId="412F5AF4">
      <w:pPr>
        <w:pStyle w:val="61"/>
        <w:ind w:left="0" w:leftChars="0" w:firstLine="0" w:firstLineChars="0"/>
        <w:rPr>
          <w:rFonts w:hint="default"/>
          <w:color w:val="auto"/>
          <w:lang w:val="en-US" w:eastAsia="zh-CN"/>
        </w:rPr>
      </w:pPr>
    </w:p>
    <w:p w14:paraId="171AA221">
      <w:pPr>
        <w:pStyle w:val="61"/>
        <w:ind w:left="0" w:leftChars="0" w:firstLine="0" w:firstLineChars="0"/>
        <w:rPr>
          <w:rFonts w:hint="default"/>
          <w:color w:val="auto"/>
          <w:lang w:val="en-US" w:eastAsia="zh-CN"/>
        </w:rPr>
      </w:pPr>
    </w:p>
    <w:p w14:paraId="4604B372">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755520" behindDoc="0" locked="0" layoutInCell="1" allowOverlap="1">
                <wp:simplePos x="0" y="0"/>
                <wp:positionH relativeFrom="column">
                  <wp:posOffset>1067435</wp:posOffset>
                </wp:positionH>
                <wp:positionV relativeFrom="paragraph">
                  <wp:posOffset>20955</wp:posOffset>
                </wp:positionV>
                <wp:extent cx="4180840" cy="461010"/>
                <wp:effectExtent l="0" t="0" r="0" b="0"/>
                <wp:wrapNone/>
                <wp:docPr id="98" name="矩形 98"/>
                <wp:cNvGraphicFramePr/>
                <a:graphic xmlns:a="http://schemas.openxmlformats.org/drawingml/2006/main">
                  <a:graphicData uri="http://schemas.microsoft.com/office/word/2010/wordprocessingShape">
                    <wps:wsp>
                      <wps:cNvSpPr/>
                      <wps:spPr>
                        <a:xfrm>
                          <a:off x="0" y="0"/>
                          <a:ext cx="4180840" cy="461010"/>
                        </a:xfrm>
                        <a:prstGeom prst="rect">
                          <a:avLst/>
                        </a:prstGeom>
                        <a:noFill/>
                        <a:ln>
                          <a:noFill/>
                        </a:ln>
                      </wps:spPr>
                      <wps:txbx>
                        <w:txbxContent>
                          <w:p w14:paraId="0C7FCA44">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泗水县泉林镇国土空间规划</w:t>
                            </w:r>
                            <w:r>
                              <w:rPr>
                                <w:rFonts w:hint="default" w:ascii="Times New Roman" w:hAnsi="Times New Roman" w:eastAsia="宋体" w:cs="Times New Roman"/>
                                <w:b/>
                                <w:bCs w:val="0"/>
                                <w:color w:val="auto"/>
                                <w:sz w:val="24"/>
                                <w:highlight w:val="none"/>
                              </w:rPr>
                              <w:t>位置关系图</w:t>
                            </w:r>
                          </w:p>
                          <w:p w14:paraId="4830E2F8">
                            <w:pPr>
                              <w:rPr>
                                <w:rFonts w:hint="default"/>
                                <w:lang w:val="en-US" w:eastAsia="zh-CN"/>
                              </w:rPr>
                            </w:pPr>
                          </w:p>
                        </w:txbxContent>
                      </wps:txbx>
                      <wps:bodyPr upright="1"/>
                    </wps:wsp>
                  </a:graphicData>
                </a:graphic>
              </wp:anchor>
            </w:drawing>
          </mc:Choice>
          <mc:Fallback>
            <w:pict>
              <v:rect id="_x0000_s1026" o:spid="_x0000_s1026" o:spt="1" style="position:absolute;left:0pt;margin-left:84.05pt;margin-top:1.65pt;height:36.3pt;width:329.2pt;z-index:251755520;mso-width-relative:page;mso-height-relative:page;" filled="f" stroked="f" coordsize="21600,21600" o:gfxdata="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JGJAh2QAAAAgBAAAPAAAA&#10;AAAAAAEAIAAAACIAAABkcnMvZG93bnJldi54bWxQSwECFAAUAAAACACHTuJASabXHKIBAABDAwAA&#10;DgAAAAAAAAABACAAAAAoAQAAZHJzL2Uyb0RvYy54bWxQSwUGAAAAAAYABgBZAQAAPAUAAAAA&#10;">
                <v:fill on="f" focussize="0,0"/>
                <v:stroke on="f"/>
                <v:imagedata o:title=""/>
                <o:lock v:ext="edit" aspectratio="f"/>
                <v:textbox>
                  <w:txbxContent>
                    <w:p w14:paraId="0C7FCA44">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泗水县泉林镇国土空间规划</w:t>
                      </w:r>
                      <w:r>
                        <w:rPr>
                          <w:rFonts w:hint="default" w:ascii="Times New Roman" w:hAnsi="Times New Roman" w:eastAsia="宋体" w:cs="Times New Roman"/>
                          <w:b/>
                          <w:bCs w:val="0"/>
                          <w:color w:val="auto"/>
                          <w:sz w:val="24"/>
                          <w:highlight w:val="none"/>
                        </w:rPr>
                        <w:t>位置关系图</w:t>
                      </w:r>
                    </w:p>
                    <w:p w14:paraId="4830E2F8">
                      <w:pPr>
                        <w:rPr>
                          <w:rFonts w:hint="default"/>
                          <w:lang w:val="en-US" w:eastAsia="zh-CN"/>
                        </w:rPr>
                      </w:pPr>
                    </w:p>
                  </w:txbxContent>
                </v:textbox>
              </v:rect>
            </w:pict>
          </mc:Fallback>
        </mc:AlternateContent>
      </w:r>
    </w:p>
    <w:p w14:paraId="24B0657D">
      <w:pPr>
        <w:pStyle w:val="61"/>
        <w:ind w:left="0" w:leftChars="0" w:firstLine="0" w:firstLineChars="0"/>
        <w:rPr>
          <w:rFonts w:hint="default"/>
          <w:color w:val="auto"/>
          <w:lang w:val="en-US" w:eastAsia="zh-CN"/>
        </w:rPr>
      </w:pPr>
    </w:p>
    <w:p w14:paraId="349478E2">
      <w:pPr>
        <w:pStyle w:val="61"/>
        <w:ind w:left="0" w:leftChars="0" w:firstLine="0" w:firstLineChars="0"/>
        <w:rPr>
          <w:rFonts w:hint="default"/>
          <w:color w:val="auto"/>
          <w:lang w:val="en-US" w:eastAsia="zh-CN"/>
        </w:rPr>
      </w:pPr>
    </w:p>
    <w:p w14:paraId="3C8B8A89">
      <w:pPr>
        <w:pStyle w:val="61"/>
        <w:ind w:left="0" w:leftChars="0" w:firstLine="0" w:firstLineChars="0"/>
        <w:rPr>
          <w:rFonts w:hint="default"/>
          <w:color w:val="auto"/>
          <w:lang w:val="en-US" w:eastAsia="zh-CN"/>
        </w:rPr>
      </w:pPr>
      <w:r>
        <w:rPr>
          <w:rFonts w:hint="eastAsia" w:ascii="Times New Roman" w:hAnsi="Times New Roman" w:cs="Times New Roman"/>
          <w:b/>
          <w:bCs/>
          <w:color w:val="auto"/>
          <w:sz w:val="24"/>
          <w:szCs w:val="24"/>
          <w:lang w:val="en-US" w:eastAsia="zh-CN"/>
        </w:rPr>
        <w:drawing>
          <wp:anchor distT="0" distB="0" distL="114300" distR="114300" simplePos="0" relativeHeight="251756544" behindDoc="1" locked="0" layoutInCell="1" allowOverlap="1">
            <wp:simplePos x="0" y="0"/>
            <wp:positionH relativeFrom="column">
              <wp:posOffset>92710</wp:posOffset>
            </wp:positionH>
            <wp:positionV relativeFrom="paragraph">
              <wp:posOffset>52070</wp:posOffset>
            </wp:positionV>
            <wp:extent cx="5798820" cy="7941310"/>
            <wp:effectExtent l="0" t="0" r="11430" b="2540"/>
            <wp:wrapNone/>
            <wp:docPr id="99"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descr="图片1"/>
                    <pic:cNvPicPr>
                      <a:picLocks noChangeAspect="1"/>
                    </pic:cNvPicPr>
                  </pic:nvPicPr>
                  <pic:blipFill>
                    <a:blip r:embed="rId36"/>
                    <a:stretch>
                      <a:fillRect/>
                    </a:stretch>
                  </pic:blipFill>
                  <pic:spPr>
                    <a:xfrm>
                      <a:off x="0" y="0"/>
                      <a:ext cx="5798820" cy="7941310"/>
                    </a:xfrm>
                    <a:prstGeom prst="rect">
                      <a:avLst/>
                    </a:prstGeom>
                    <a:noFill/>
                    <a:ln>
                      <a:noFill/>
                    </a:ln>
                  </pic:spPr>
                </pic:pic>
              </a:graphicData>
            </a:graphic>
          </wp:anchor>
        </w:drawing>
      </w:r>
    </w:p>
    <w:p w14:paraId="039828F7">
      <w:pPr>
        <w:pStyle w:val="61"/>
        <w:ind w:left="0" w:leftChars="0" w:firstLine="0" w:firstLineChars="0"/>
        <w:rPr>
          <w:rFonts w:hint="default"/>
          <w:color w:val="auto"/>
          <w:lang w:val="en-US" w:eastAsia="zh-CN"/>
        </w:rPr>
      </w:pPr>
    </w:p>
    <w:p w14:paraId="143642EE">
      <w:pPr>
        <w:pStyle w:val="61"/>
        <w:ind w:left="0" w:leftChars="0" w:firstLine="0" w:firstLineChars="0"/>
        <w:rPr>
          <w:rFonts w:hint="default"/>
          <w:color w:val="auto"/>
          <w:lang w:val="en-US" w:eastAsia="zh-CN"/>
        </w:rPr>
      </w:pPr>
    </w:p>
    <w:p w14:paraId="21979B23">
      <w:pPr>
        <w:pStyle w:val="61"/>
        <w:ind w:left="0" w:leftChars="0" w:firstLine="0" w:firstLineChars="0"/>
        <w:rPr>
          <w:rFonts w:hint="default"/>
          <w:color w:val="auto"/>
          <w:lang w:val="en-US" w:eastAsia="zh-CN"/>
        </w:rPr>
      </w:pPr>
    </w:p>
    <w:p w14:paraId="035118C3">
      <w:pPr>
        <w:pStyle w:val="61"/>
        <w:ind w:left="0" w:leftChars="0" w:firstLine="0" w:firstLineChars="0"/>
        <w:rPr>
          <w:rFonts w:hint="default"/>
          <w:color w:val="auto"/>
          <w:lang w:val="en-US" w:eastAsia="zh-CN"/>
        </w:rPr>
      </w:pPr>
    </w:p>
    <w:p w14:paraId="38C3DAA8">
      <w:pPr>
        <w:pStyle w:val="61"/>
        <w:ind w:left="0" w:leftChars="0" w:firstLine="0" w:firstLineChars="0"/>
        <w:rPr>
          <w:rFonts w:hint="default"/>
          <w:color w:val="auto"/>
          <w:lang w:val="en-US" w:eastAsia="zh-CN"/>
        </w:rPr>
      </w:pPr>
    </w:p>
    <w:p w14:paraId="7E77764B">
      <w:pPr>
        <w:pStyle w:val="61"/>
        <w:ind w:left="0" w:leftChars="0" w:firstLine="0" w:firstLineChars="0"/>
        <w:rPr>
          <w:rFonts w:hint="default"/>
          <w:color w:val="auto"/>
          <w:lang w:val="en-US" w:eastAsia="zh-CN"/>
        </w:rPr>
      </w:pPr>
    </w:p>
    <w:p w14:paraId="154D5E63">
      <w:pPr>
        <w:pStyle w:val="61"/>
        <w:ind w:left="0" w:leftChars="0" w:firstLine="0" w:firstLineChars="0"/>
        <w:rPr>
          <w:rFonts w:hint="default"/>
          <w:color w:val="auto"/>
          <w:lang w:val="en-US" w:eastAsia="zh-CN"/>
        </w:rPr>
      </w:pPr>
    </w:p>
    <w:p w14:paraId="23B7128D">
      <w:pPr>
        <w:pStyle w:val="61"/>
        <w:ind w:left="0" w:leftChars="0" w:firstLine="0" w:firstLineChars="0"/>
        <w:rPr>
          <w:rFonts w:hint="default"/>
          <w:color w:val="auto"/>
          <w:lang w:val="en-US" w:eastAsia="zh-CN"/>
        </w:rPr>
      </w:pPr>
    </w:p>
    <w:p w14:paraId="50EEF905">
      <w:pPr>
        <w:pStyle w:val="61"/>
        <w:ind w:left="0" w:leftChars="0" w:firstLine="0" w:firstLineChars="0"/>
        <w:rPr>
          <w:rFonts w:hint="default"/>
          <w:color w:val="auto"/>
          <w:lang w:val="en-US" w:eastAsia="zh-CN"/>
        </w:rPr>
      </w:pPr>
    </w:p>
    <w:p w14:paraId="6B125578">
      <w:pPr>
        <w:pStyle w:val="61"/>
        <w:ind w:left="0" w:leftChars="0" w:firstLine="0" w:firstLineChars="0"/>
        <w:rPr>
          <w:rFonts w:hint="default"/>
          <w:color w:val="auto"/>
          <w:lang w:val="en-US" w:eastAsia="zh-CN"/>
        </w:rPr>
      </w:pPr>
    </w:p>
    <w:p w14:paraId="441037ED">
      <w:pPr>
        <w:pStyle w:val="61"/>
        <w:ind w:left="0" w:leftChars="0" w:firstLine="0" w:firstLineChars="0"/>
        <w:rPr>
          <w:rFonts w:hint="default"/>
          <w:color w:val="auto"/>
          <w:lang w:val="en-US" w:eastAsia="zh-CN"/>
        </w:rPr>
      </w:pPr>
    </w:p>
    <w:p w14:paraId="3AE55E06">
      <w:pPr>
        <w:pStyle w:val="61"/>
        <w:ind w:left="0" w:leftChars="0" w:firstLine="0" w:firstLineChars="0"/>
        <w:rPr>
          <w:rFonts w:hint="default"/>
          <w:color w:val="auto"/>
          <w:lang w:val="en-US" w:eastAsia="zh-CN"/>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709440" behindDoc="0" locked="0" layoutInCell="1" allowOverlap="1">
                <wp:simplePos x="0" y="0"/>
                <wp:positionH relativeFrom="column">
                  <wp:posOffset>2837180</wp:posOffset>
                </wp:positionH>
                <wp:positionV relativeFrom="paragraph">
                  <wp:posOffset>199390</wp:posOffset>
                </wp:positionV>
                <wp:extent cx="874395" cy="354965"/>
                <wp:effectExtent l="6350" t="6350" r="14605" b="514985"/>
                <wp:wrapNone/>
                <wp:docPr id="27" name="矩形标注 27"/>
                <wp:cNvGraphicFramePr/>
                <a:graphic xmlns:a="http://schemas.openxmlformats.org/drawingml/2006/main">
                  <a:graphicData uri="http://schemas.microsoft.com/office/word/2010/wordprocessingShape">
                    <wps:wsp>
                      <wps:cNvSpPr/>
                      <wps:spPr>
                        <a:xfrm flipV="1">
                          <a:off x="0" y="0"/>
                          <a:ext cx="874395" cy="354965"/>
                        </a:xfrm>
                        <a:prstGeom prst="wedgeRectCallout">
                          <a:avLst>
                            <a:gd name="adj1" fmla="val -48474"/>
                            <a:gd name="adj2" fmla="val -185241"/>
                          </a:avLst>
                        </a:prstGeom>
                        <a:noFill/>
                        <a:ln w="12700" cap="flat" cmpd="sng">
                          <a:solidFill>
                            <a:schemeClr val="tx1"/>
                          </a:solidFill>
                          <a:prstDash val="solid"/>
                          <a:miter/>
                          <a:headEnd type="none" w="med" len="med"/>
                          <a:tailEnd type="none" w="med" len="med"/>
                        </a:ln>
                      </wps:spPr>
                      <wps:txbx>
                        <w:txbxContent>
                          <w:p w14:paraId="4862CC4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wps:txbx>
                      <wps:bodyPr anchor="ctr" anchorCtr="0" upright="1"/>
                    </wps:wsp>
                  </a:graphicData>
                </a:graphic>
              </wp:anchor>
            </w:drawing>
          </mc:Choice>
          <mc:Fallback>
            <w:pict>
              <v:shape id="_x0000_s1026" o:spid="_x0000_s1026" o:spt="61" type="#_x0000_t61" style="position:absolute;left:0pt;flip:y;margin-left:223.4pt;margin-top:15.7pt;height:27.95pt;width:68.85pt;z-index:251709440;v-text-anchor:middle;mso-width-relative:page;mso-height-relative:page;" filled="f" stroked="t" coordsize="21600,21600" o:gfxdata="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IGJGa2gAAAAkBAAAPAAAA&#10;AAAAAAEAIAAAACIAAABkcnMvZG93bnJldi54bWxQSwECFAAUAAAACACHTuJAmo/0LkwCAACNBAAA&#10;DgAAAAAAAAABACAAAAApAQAAZHJzL2Uyb0RvYy54bWxQSwUGAAAAAAYABgBZAQAA5wUAAAAA&#10;" adj="330,-29212">
                <v:fill on="f" focussize="0,0"/>
                <v:stroke weight="1pt" color="#000000 [3213]" joinstyle="miter"/>
                <v:imagedata o:title=""/>
                <o:lock v:ext="edit" aspectratio="f"/>
                <v:textbox>
                  <w:txbxContent>
                    <w:p w14:paraId="4862CC44">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w:t>
                      </w: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位置</w:t>
                      </w:r>
                    </w:p>
                  </w:txbxContent>
                </v:textbox>
              </v:shape>
            </w:pict>
          </mc:Fallback>
        </mc:AlternateContent>
      </w:r>
    </w:p>
    <w:p w14:paraId="43E1A405">
      <w:pPr>
        <w:pStyle w:val="61"/>
        <w:ind w:left="0" w:leftChars="0" w:firstLine="0" w:firstLineChars="0"/>
        <w:rPr>
          <w:rFonts w:hint="default"/>
          <w:color w:val="auto"/>
          <w:lang w:val="en-US" w:eastAsia="zh-CN"/>
        </w:rPr>
      </w:pPr>
    </w:p>
    <w:p w14:paraId="5CC8DC5F">
      <w:pPr>
        <w:pStyle w:val="61"/>
        <w:ind w:left="0" w:leftChars="0" w:firstLine="0" w:firstLineChars="0"/>
        <w:rPr>
          <w:rFonts w:hint="default"/>
          <w:color w:val="auto"/>
          <w:lang w:val="en-US" w:eastAsia="zh-CN"/>
        </w:rPr>
      </w:pPr>
    </w:p>
    <w:p w14:paraId="0258EC51">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708416" behindDoc="0" locked="0" layoutInCell="1" allowOverlap="1">
                <wp:simplePos x="0" y="0"/>
                <wp:positionH relativeFrom="column">
                  <wp:posOffset>2774950</wp:posOffset>
                </wp:positionH>
                <wp:positionV relativeFrom="paragraph">
                  <wp:posOffset>110490</wp:posOffset>
                </wp:positionV>
                <wp:extent cx="76200" cy="76200"/>
                <wp:effectExtent l="9525" t="9525" r="9525" b="9525"/>
                <wp:wrapNone/>
                <wp:docPr id="26" name="矩形 26"/>
                <wp:cNvGraphicFramePr/>
                <a:graphic xmlns:a="http://schemas.openxmlformats.org/drawingml/2006/main">
                  <a:graphicData uri="http://schemas.microsoft.com/office/word/2010/wordprocessingShape">
                    <wps:wsp>
                      <wps:cNvSpPr/>
                      <wps:spPr>
                        <a:xfrm flipH="1" flipV="1">
                          <a:off x="0" y="0"/>
                          <a:ext cx="76200" cy="762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 y;margin-left:218.5pt;margin-top:8.7pt;height:6pt;width:6pt;z-index:251708416;v-text-anchor:middle;mso-width-relative:page;mso-height-relative:page;" filled="f" stroked="t" coordsize="21600,21600" o:gfxdata="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dAKhPYAAAACQEAAA8AAAAAAAAAAQAgAAAAIgAAAGRycy9kb3ducmV2LnhtbFBLAQIUABQA&#10;AAAIAIdO4kBEffnPYgIAAMcEAAAOAAAAAAAAAAEAIAAAACcBAABkcnMvZTJvRG9jLnhtbFBLBQYA&#10;AAAABgAGAFkBAAD7BQAAAAA=&#10;">
                <v:fill on="f" focussize="0,0"/>
                <v:stroke weight="1.5pt" color="#000000 [3213]" joinstyle="round"/>
                <v:imagedata o:title=""/>
                <o:lock v:ext="edit" aspectratio="f"/>
              </v:rect>
            </w:pict>
          </mc:Fallback>
        </mc:AlternateContent>
      </w:r>
    </w:p>
    <w:p w14:paraId="54853F97">
      <w:pPr>
        <w:pStyle w:val="61"/>
        <w:ind w:left="0" w:leftChars="0" w:firstLine="0" w:firstLineChars="0"/>
        <w:rPr>
          <w:rFonts w:hint="default"/>
          <w:color w:val="auto"/>
          <w:lang w:val="en-US" w:eastAsia="zh-CN"/>
        </w:rPr>
      </w:pPr>
    </w:p>
    <w:p w14:paraId="4E096637">
      <w:pPr>
        <w:pStyle w:val="61"/>
        <w:ind w:left="0" w:leftChars="0" w:firstLine="0" w:firstLineChars="0"/>
        <w:rPr>
          <w:rFonts w:hint="default"/>
          <w:color w:val="auto"/>
          <w:lang w:val="en-US" w:eastAsia="zh-CN"/>
        </w:rPr>
      </w:pPr>
    </w:p>
    <w:p w14:paraId="65523A2D">
      <w:pPr>
        <w:pStyle w:val="61"/>
        <w:ind w:left="0" w:leftChars="0" w:firstLine="0" w:firstLineChars="0"/>
        <w:rPr>
          <w:rFonts w:hint="default"/>
          <w:color w:val="auto"/>
          <w:lang w:val="en-US" w:eastAsia="zh-CN"/>
        </w:rPr>
      </w:pPr>
    </w:p>
    <w:p w14:paraId="18D30C72">
      <w:pPr>
        <w:pStyle w:val="61"/>
        <w:ind w:left="0" w:leftChars="0" w:firstLine="0" w:firstLineChars="0"/>
        <w:rPr>
          <w:rFonts w:hint="default"/>
          <w:color w:val="auto"/>
          <w:lang w:val="en-US" w:eastAsia="zh-CN"/>
        </w:rPr>
      </w:pPr>
    </w:p>
    <w:p w14:paraId="69902271">
      <w:pPr>
        <w:pStyle w:val="61"/>
        <w:ind w:left="0" w:leftChars="0" w:firstLine="0" w:firstLineChars="0"/>
        <w:rPr>
          <w:rFonts w:hint="default"/>
          <w:color w:val="auto"/>
          <w:lang w:val="en-US" w:eastAsia="zh-CN"/>
        </w:rPr>
      </w:pPr>
    </w:p>
    <w:p w14:paraId="023D9079">
      <w:pPr>
        <w:pStyle w:val="61"/>
        <w:ind w:left="0" w:leftChars="0" w:firstLine="0" w:firstLineChars="0"/>
        <w:rPr>
          <w:rFonts w:hint="default"/>
          <w:color w:val="auto"/>
          <w:lang w:val="en-US" w:eastAsia="zh-CN"/>
        </w:rPr>
      </w:pPr>
    </w:p>
    <w:p w14:paraId="2BDFE2D2">
      <w:pPr>
        <w:pStyle w:val="61"/>
        <w:ind w:left="0" w:leftChars="0" w:firstLine="0" w:firstLineChars="0"/>
        <w:rPr>
          <w:rFonts w:hint="default"/>
          <w:color w:val="auto"/>
          <w:lang w:val="en-US" w:eastAsia="zh-CN"/>
        </w:rPr>
      </w:pPr>
      <w:r>
        <w:rPr>
          <w:color w:val="auto"/>
          <w:sz w:val="28"/>
        </w:rPr>
        <mc:AlternateContent>
          <mc:Choice Requires="wps">
            <w:drawing>
              <wp:anchor distT="0" distB="0" distL="114300" distR="114300" simplePos="0" relativeHeight="251713536" behindDoc="0" locked="0" layoutInCell="1" allowOverlap="1">
                <wp:simplePos x="0" y="0"/>
                <wp:positionH relativeFrom="column">
                  <wp:posOffset>890905</wp:posOffset>
                </wp:positionH>
                <wp:positionV relativeFrom="paragraph">
                  <wp:posOffset>1550035</wp:posOffset>
                </wp:positionV>
                <wp:extent cx="4180840" cy="461010"/>
                <wp:effectExtent l="0" t="0" r="0" b="0"/>
                <wp:wrapNone/>
                <wp:docPr id="36" name="矩形 36"/>
                <wp:cNvGraphicFramePr/>
                <a:graphic xmlns:a="http://schemas.openxmlformats.org/drawingml/2006/main">
                  <a:graphicData uri="http://schemas.microsoft.com/office/word/2010/wordprocessingShape">
                    <wps:wsp>
                      <wps:cNvSpPr/>
                      <wps:spPr>
                        <a:xfrm>
                          <a:off x="0" y="0"/>
                          <a:ext cx="4180840" cy="461010"/>
                        </a:xfrm>
                        <a:prstGeom prst="rect">
                          <a:avLst/>
                        </a:prstGeom>
                        <a:noFill/>
                        <a:ln>
                          <a:noFill/>
                        </a:ln>
                      </wps:spPr>
                      <wps:txbx>
                        <w:txbxContent>
                          <w:p w14:paraId="26A2C1CC">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cs="Times New Roman"/>
                                <w:b/>
                                <w:bCs/>
                                <w:sz w:val="24"/>
                                <w:szCs w:val="24"/>
                                <w:lang w:val="en-US" w:eastAsia="zh-CN"/>
                              </w:rPr>
                              <w:t>项目与南水北调东线工程相对位置图</w:t>
                            </w:r>
                          </w:p>
                          <w:p w14:paraId="13F1E8A7">
                            <w:pPr>
                              <w:rPr>
                                <w:rFonts w:hint="default"/>
                                <w:lang w:val="en-US" w:eastAsia="zh-CN"/>
                              </w:rPr>
                            </w:pPr>
                          </w:p>
                        </w:txbxContent>
                      </wps:txbx>
                      <wps:bodyPr upright="1"/>
                    </wps:wsp>
                  </a:graphicData>
                </a:graphic>
              </wp:anchor>
            </w:drawing>
          </mc:Choice>
          <mc:Fallback>
            <w:pict>
              <v:rect id="_x0000_s1026" o:spid="_x0000_s1026" o:spt="1" style="position:absolute;left:0pt;margin-left:70.15pt;margin-top:122.05pt;height:36.3pt;width:329.2pt;z-index:251713536;mso-width-relative:page;mso-height-relative:page;" filled="f" stroked="f" coordsize="21600,21600" o:gfxdata="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Bj7e3HcAAAACwEAAA8A&#10;AAAAAAAAAQAgAAAAIgAAAGRycy9kb3ducmV2LnhtbFBLAQIUABQAAAAIAIdO4kBmRa/NoQEAAEMD&#10;AAAOAAAAAAAAAAEAIAAAACsBAABkcnMvZTJvRG9jLnhtbFBLBQYAAAAABgAGAFkBAAA+BQAAAAA=&#10;">
                <v:fill on="f" focussize="0,0"/>
                <v:stroke on="f"/>
                <v:imagedata o:title=""/>
                <o:lock v:ext="edit" aspectratio="f"/>
                <v:textbox>
                  <w:txbxContent>
                    <w:p w14:paraId="26A2C1CC">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cs="Times New Roman"/>
                          <w:b/>
                          <w:bCs/>
                          <w:sz w:val="24"/>
                          <w:szCs w:val="24"/>
                          <w:lang w:val="en-US" w:eastAsia="zh-CN"/>
                        </w:rPr>
                        <w:t>项目与南水北调东线工程相对位置图</w:t>
                      </w:r>
                    </w:p>
                    <w:p w14:paraId="13F1E8A7">
                      <w:pPr>
                        <w:rPr>
                          <w:rFonts w:hint="default"/>
                          <w:lang w:val="en-US" w:eastAsia="zh-CN"/>
                        </w:rPr>
                      </w:pPr>
                    </w:p>
                  </w:txbxContent>
                </v:textbox>
              </v:rect>
            </w:pict>
          </mc:Fallback>
        </mc:AlternateContent>
      </w:r>
      <w:r>
        <w:rPr>
          <w:color w:val="auto"/>
          <w:sz w:val="28"/>
        </w:rPr>
        <mc:AlternateContent>
          <mc:Choice Requires="wps">
            <w:drawing>
              <wp:anchor distT="0" distB="0" distL="114300" distR="114300" simplePos="0" relativeHeight="251710464" behindDoc="0" locked="0" layoutInCell="1" allowOverlap="1">
                <wp:simplePos x="0" y="0"/>
                <wp:positionH relativeFrom="column">
                  <wp:posOffset>731520</wp:posOffset>
                </wp:positionH>
                <wp:positionV relativeFrom="paragraph">
                  <wp:posOffset>3756025</wp:posOffset>
                </wp:positionV>
                <wp:extent cx="4180840" cy="461010"/>
                <wp:effectExtent l="0" t="0" r="0" b="0"/>
                <wp:wrapNone/>
                <wp:docPr id="29" name="矩形 29"/>
                <wp:cNvGraphicFramePr/>
                <a:graphic xmlns:a="http://schemas.openxmlformats.org/drawingml/2006/main">
                  <a:graphicData uri="http://schemas.microsoft.com/office/word/2010/wordprocessingShape">
                    <wps:wsp>
                      <wps:cNvSpPr/>
                      <wps:spPr>
                        <a:xfrm>
                          <a:off x="0" y="0"/>
                          <a:ext cx="4180840" cy="461010"/>
                        </a:xfrm>
                        <a:prstGeom prst="rect">
                          <a:avLst/>
                        </a:prstGeom>
                        <a:noFill/>
                        <a:ln>
                          <a:noFill/>
                        </a:ln>
                      </wps:spPr>
                      <wps:txbx>
                        <w:txbxContent>
                          <w:p w14:paraId="47D62D5E">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南水北调东线工程</w:t>
                            </w:r>
                            <w:r>
                              <w:rPr>
                                <w:rFonts w:hint="default" w:ascii="Times New Roman" w:hAnsi="Times New Roman" w:eastAsia="宋体" w:cs="Times New Roman"/>
                                <w:b/>
                                <w:bCs w:val="0"/>
                                <w:color w:val="auto"/>
                                <w:sz w:val="24"/>
                                <w:highlight w:val="none"/>
                              </w:rPr>
                              <w:t>位置关系图</w:t>
                            </w:r>
                          </w:p>
                          <w:p w14:paraId="633FA981">
                            <w:pPr>
                              <w:rPr>
                                <w:rFonts w:hint="default"/>
                                <w:lang w:val="en-US" w:eastAsia="zh-CN"/>
                              </w:rPr>
                            </w:pPr>
                          </w:p>
                        </w:txbxContent>
                      </wps:txbx>
                      <wps:bodyPr upright="1"/>
                    </wps:wsp>
                  </a:graphicData>
                </a:graphic>
              </wp:anchor>
            </w:drawing>
          </mc:Choice>
          <mc:Fallback>
            <w:pict>
              <v:rect id="_x0000_s1026" o:spid="_x0000_s1026" o:spt="1" style="position:absolute;left:0pt;margin-left:57.6pt;margin-top:295.75pt;height:36.3pt;width:329.2pt;z-index:251710464;mso-width-relative:page;mso-height-relative:page;" filled="f" stroked="f" coordsize="21600,21600" o:gfxdata="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PTFUOjcAAAACwEAAA8A&#10;AAAAAAAAAQAgAAAAIgAAAGRycy9kb3ducmV2LnhtbFBLAQIUABQAAAAIAIdO4kBAqbOyoQEAAEMD&#10;AAAOAAAAAAAAAAEAIAAAACsBAABkcnMvZTJvRG9jLnhtbFBLBQYAAAAABgAGAFkBAAA+BQAAAAA=&#10;">
                <v:fill on="f" focussize="0,0"/>
                <v:stroke on="f"/>
                <v:imagedata o:title=""/>
                <o:lock v:ext="edit" aspectratio="f"/>
                <v:textbox>
                  <w:txbxContent>
                    <w:p w14:paraId="47D62D5E">
                      <w:pPr>
                        <w:pStyle w:val="21"/>
                        <w:jc w:val="center"/>
                        <w:rPr>
                          <w:rFonts w:hint="default" w:ascii="Times New Roman" w:hAnsi="Times New Roman" w:eastAsia="宋体" w:cs="Times New Roman"/>
                          <w:b/>
                          <w:bCs w:val="0"/>
                          <w:color w:val="auto"/>
                          <w:kern w:val="0"/>
                          <w:sz w:val="24"/>
                          <w:szCs w:val="24"/>
                          <w:highlight w:val="none"/>
                          <w:lang w:val="en-US" w:eastAsia="zh-CN" w:bidi="ar"/>
                        </w:rPr>
                      </w:pPr>
                      <w:r>
                        <w:rPr>
                          <w:rFonts w:hint="default" w:ascii="Times New Roman" w:hAnsi="Times New Roman" w:eastAsia="宋体" w:cs="Times New Roman"/>
                          <w:b/>
                          <w:bCs/>
                          <w:color w:val="auto"/>
                          <w:sz w:val="24"/>
                          <w:szCs w:val="24"/>
                          <w:highlight w:val="none"/>
                          <w:lang w:val="en-US" w:eastAsia="zh-CN"/>
                        </w:rPr>
                        <w:t>附图</w:t>
                      </w:r>
                      <w:r>
                        <w:rPr>
                          <w:rFonts w:hint="eastAsia" w:asci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val="0"/>
                          <w:color w:val="auto"/>
                          <w:sz w:val="24"/>
                          <w:szCs w:val="24"/>
                          <w:highlight w:val="none"/>
                          <w:lang w:val="en-US" w:eastAsia="zh-CN"/>
                        </w:rPr>
                        <w:t>项目与</w:t>
                      </w:r>
                      <w:r>
                        <w:rPr>
                          <w:rFonts w:hint="eastAsia" w:ascii="Times New Roman" w:cs="Times New Roman"/>
                          <w:b/>
                          <w:bCs w:val="0"/>
                          <w:color w:val="auto"/>
                          <w:kern w:val="0"/>
                          <w:sz w:val="24"/>
                          <w:szCs w:val="24"/>
                          <w:highlight w:val="none"/>
                          <w:lang w:val="en-US" w:eastAsia="zh-CN" w:bidi="ar"/>
                        </w:rPr>
                        <w:t>南水北调东线工程</w:t>
                      </w:r>
                      <w:r>
                        <w:rPr>
                          <w:rFonts w:hint="default" w:ascii="Times New Roman" w:hAnsi="Times New Roman" w:eastAsia="宋体" w:cs="Times New Roman"/>
                          <w:b/>
                          <w:bCs w:val="0"/>
                          <w:color w:val="auto"/>
                          <w:sz w:val="24"/>
                          <w:highlight w:val="none"/>
                        </w:rPr>
                        <w:t>位置关系图</w:t>
                      </w:r>
                    </w:p>
                    <w:p w14:paraId="633FA981">
                      <w:pPr>
                        <w:rPr>
                          <w:rFonts w:hint="default"/>
                          <w:lang w:val="en-US" w:eastAsia="zh-CN"/>
                        </w:rPr>
                      </w:pPr>
                    </w:p>
                  </w:txbxContent>
                </v:textbox>
              </v:rect>
            </w:pict>
          </mc:Fallback>
        </mc:AlternateContent>
      </w:r>
    </w:p>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47CA103-2854-42E2-B024-65F2FC851A7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embedRegular r:id="rId2" w:fontKey="{4EA288DF-EBC3-437C-8C91-C88A320EED65}"/>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宋">
    <w:altName w:val="宋体"/>
    <w:panose1 w:val="00000000000000000000"/>
    <w:charset w:val="86"/>
    <w:family w:val="roman"/>
    <w:pitch w:val="default"/>
    <w:sig w:usb0="00000000" w:usb1="00000000" w:usb2="00000010" w:usb3="00000000" w:csb0="00040000" w:csb1="00000000"/>
  </w:font>
  <w:font w:name="方正姚体">
    <w:panose1 w:val="02010601030101010101"/>
    <w:charset w:val="86"/>
    <w:family w:val="auto"/>
    <w:pitch w:val="default"/>
    <w:sig w:usb0="00000003" w:usb1="080E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新宋体">
    <w:panose1 w:val="02010609030101010101"/>
    <w:charset w:val="86"/>
    <w:family w:val="modern"/>
    <w:pitch w:val="default"/>
    <w:sig w:usb0="00000283" w:usb1="288F0000" w:usb2="00000006" w:usb3="00000000" w:csb0="00040001" w:csb1="00000000"/>
  </w:font>
  <w:font w:name="他">
    <w:altName w:val="宋体"/>
    <w:panose1 w:val="00000000000000000000"/>
    <w:charset w:val="86"/>
    <w:family w:val="roman"/>
    <w:pitch w:val="default"/>
    <w:sig w:usb0="00000000" w:usb1="00000000" w:usb2="00000000" w:usb3="00000000" w:csb0="00040001" w:csb1="00000000"/>
  </w:font>
  <w:font w:name="方正仿宋简体">
    <w:panose1 w:val="02000000000000000000"/>
    <w:charset w:val="86"/>
    <w:family w:val="auto"/>
    <w:pitch w:val="default"/>
    <w:sig w:usb0="A00002BF" w:usb1="184F6CFA" w:usb2="00000012" w:usb3="00000000" w:csb0="00040001" w:csb1="00000000"/>
    <w:embedRegular r:id="rId3" w:fontKey="{93DD1172-59DA-4E49-8057-35D95D8B809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2805C9">
    <w:pPr>
      <w:pStyle w:val="23"/>
      <w:tabs>
        <w:tab w:val="left" w:pos="5355"/>
        <w:tab w:val="clear" w:pos="4153"/>
        <w:tab w:val="clear" w:pos="8306"/>
      </w:tabs>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8E274">
    <w:pPr>
      <w:pStyle w:val="23"/>
      <w:tabs>
        <w:tab w:val="left" w:pos="5355"/>
        <w:tab w:val="clear" w:pos="4153"/>
        <w:tab w:val="clear" w:pos="8306"/>
      </w:tabs>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0290EB">
                          <w:pPr>
                            <w:pStyle w:val="23"/>
                          </w:pPr>
                          <w:r>
                            <w:fldChar w:fldCharType="begin"/>
                          </w:r>
                          <w:r>
                            <w:instrText xml:space="preserve"> PAGE  \* MERGEFORMAT </w:instrText>
                          </w:r>
                          <w:r>
                            <w:fldChar w:fldCharType="separate"/>
                          </w:r>
                          <w:r>
                            <w:t>45</w:t>
                          </w:r>
                          <w:r>
                            <w:fldChar w:fldCharType="end"/>
                          </w:r>
                        </w:p>
                      </w:txbxContent>
                    </wps:txbx>
                    <wps:bodyPr wrap="none" lIns="0" tIns="0" rIns="0" bIns="0" upright="1">
                      <a:spAutoFit/>
                    </wps:bodyPr>
                  </wps:wsp>
                </a:graphicData>
              </a:graphic>
            </wp:anchor>
          </w:drawing>
        </mc:Choice>
        <mc:Fallback>
          <w:pict>
            <v:shape id="文本框 5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ttJyMoBAACbAwAADgAAAGRycy9lMm9Eb2MueG1srVPNjtMwEL4j8Q6W&#10;79RpJ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e4CUtKHLc48cv3b5cfvy4/v5KX&#10;r3OD+gA15t0FzEzDWz9g8uwHdGbdg4o2f1ERwTi293xtrxwSEfnRerVeVxgSGJsviM8enocI6Z30&#10;lmSjoRHnV9rKTx8gjalzSq7m/K02pszQuL8ciJk9LHMfOWYrDfthErT37Rn19Dj6hjrcdErMe4ed&#10;zVsyG3E29rNxDFEfOqS2LLwgvDkmJFG45Qoj7FQYZ1bUTfuVl+LPe8l6+Ke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4ttJyMoBAACbAwAADgAAAAAAAAABACAAAAAeAQAAZHJzL2Uyb0Rv&#10;Yy54bWxQSwUGAAAAAAYABgBZAQAAWgUAAAAA&#10;">
              <v:fill on="f" focussize="0,0"/>
              <v:stroke on="f"/>
              <v:imagedata o:title=""/>
              <o:lock v:ext="edit" aspectratio="f"/>
              <v:textbox inset="0mm,0mm,0mm,0mm" style="mso-fit-shape-to-text:t;">
                <w:txbxContent>
                  <w:p w14:paraId="570290EB">
                    <w:pPr>
                      <w:pStyle w:val="23"/>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F8971">
    <w:pPr>
      <w:pStyle w:val="23"/>
      <w:ind w:firstLine="360"/>
      <w:jc w:val="center"/>
      <w:rPr>
        <w:rFonts w:hint="eastAsia"/>
        <w:lang w:val="en-US" w:eastAsia="zh-CN"/>
      </w:rPr>
    </w:pPr>
  </w:p>
  <w:p w14:paraId="7EA1FC33">
    <w:pPr>
      <w:pStyle w:val="23"/>
      <w:ind w:firstLine="360"/>
      <w:rPr>
        <w:rFonts w:hint="default"/>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A2EDC9">
    <w:pPr>
      <w:pStyle w:val="25"/>
      <w:pBdr>
        <w:bottom w:val="none" w:color="auto" w:sz="0" w:space="0"/>
      </w:pBdr>
      <w:ind w:firstLine="360"/>
      <w:rPr>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ED272D">
    <w:pPr>
      <w:pStyle w:val="25"/>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738A9A"/>
    <w:multiLevelType w:val="singleLevel"/>
    <w:tmpl w:val="8F738A9A"/>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1">
    <w:nsid w:val="F64689F3"/>
    <w:multiLevelType w:val="singleLevel"/>
    <w:tmpl w:val="F64689F3"/>
    <w:lvl w:ilvl="0" w:tentative="0">
      <w:start w:val="3"/>
      <w:numFmt w:val="chineseCounting"/>
      <w:suff w:val="nothing"/>
      <w:lvlText w:val="%1、"/>
      <w:lvlJc w:val="left"/>
      <w:rPr>
        <w:rFonts w:hint="eastAsia"/>
      </w:rPr>
    </w:lvl>
  </w:abstractNum>
  <w:abstractNum w:abstractNumId="2">
    <w:nsid w:val="06BE3646"/>
    <w:multiLevelType w:val="singleLevel"/>
    <w:tmpl w:val="06BE3646"/>
    <w:lvl w:ilvl="0" w:tentative="0">
      <w:start w:val="1"/>
      <w:numFmt w:val="lowerLetter"/>
      <w:suff w:val="space"/>
      <w:lvlText w:val="%1）"/>
      <w:lvlJc w:val="left"/>
    </w:lvl>
  </w:abstractNum>
  <w:abstractNum w:abstractNumId="3">
    <w:nsid w:val="08B05EF5"/>
    <w:multiLevelType w:val="singleLevel"/>
    <w:tmpl w:val="08B05EF5"/>
    <w:lvl w:ilvl="0" w:tentative="0">
      <w:start w:val="1"/>
      <w:numFmt w:val="decimal"/>
      <w:suff w:val="space"/>
      <w:lvlText w:val="%1."/>
      <w:lvlJc w:val="left"/>
      <w:rPr>
        <w:rFonts w:cs="Times New Roman"/>
      </w:rPr>
    </w:lvl>
  </w:abstractNum>
  <w:abstractNum w:abstractNumId="4">
    <w:nsid w:val="0FB41D04"/>
    <w:multiLevelType w:val="singleLevel"/>
    <w:tmpl w:val="0FB41D04"/>
    <w:lvl w:ilvl="0" w:tentative="0">
      <w:start w:val="1"/>
      <w:numFmt w:val="chineseCounting"/>
      <w:suff w:val="nothing"/>
      <w:lvlText w:val="%1、"/>
      <w:lvlJc w:val="left"/>
      <w:rPr>
        <w:rFonts w:hint="eastAsia"/>
      </w:rPr>
    </w:lvl>
  </w:abstractNum>
  <w:abstractNum w:abstractNumId="5">
    <w:nsid w:val="3252F0A0"/>
    <w:multiLevelType w:val="singleLevel"/>
    <w:tmpl w:val="3252F0A0"/>
    <w:lvl w:ilvl="0" w:tentative="0">
      <w:start w:val="3"/>
      <w:numFmt w:val="decimal"/>
      <w:suff w:val="nothing"/>
      <w:lvlText w:val="（%1）"/>
      <w:lvlJc w:val="left"/>
    </w:lvl>
  </w:abstractNum>
  <w:abstractNum w:abstractNumId="6">
    <w:nsid w:val="48273669"/>
    <w:multiLevelType w:val="multilevel"/>
    <w:tmpl w:val="48273669"/>
    <w:lvl w:ilvl="0" w:tentative="0">
      <w:start w:val="1"/>
      <w:numFmt w:val="decimal"/>
      <w:pStyle w:val="156"/>
      <w:suff w:val="nothing"/>
      <w:lvlText w:val="%1、"/>
      <w:lvlJc w:val="left"/>
      <w:pPr>
        <w:ind w:left="2121" w:hanging="420"/>
      </w:pPr>
      <w:rPr>
        <w:rFonts w:hint="default"/>
        <w:b/>
        <w:bC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
    <w:nsid w:val="64B1E573"/>
    <w:multiLevelType w:val="singleLevel"/>
    <w:tmpl w:val="64B1E573"/>
    <w:lvl w:ilvl="0" w:tentative="0">
      <w:start w:val="1"/>
      <w:numFmt w:val="decimal"/>
      <w:suff w:val="nothing"/>
      <w:lvlText w:val="%1）"/>
      <w:lvlJc w:val="left"/>
    </w:lvl>
  </w:abstractNum>
  <w:num w:numId="1">
    <w:abstractNumId w:val="0"/>
  </w:num>
  <w:num w:numId="2">
    <w:abstractNumId w:val="6"/>
  </w:num>
  <w:num w:numId="3">
    <w:abstractNumId w:val="4"/>
  </w:num>
  <w:num w:numId="4">
    <w:abstractNumId w:val="3"/>
  </w:num>
  <w:num w:numId="5">
    <w:abstractNumId w:val="1"/>
  </w:num>
  <w:num w:numId="6">
    <w:abstractNumId w:val="5"/>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bordersDoNotSurroundHeader w:val="0"/>
  <w:bordersDoNotSurroundFooter w:val="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YxNjg1YzZhYWZmYzczNmFmODBhYmU2NDY5ZDczMjYifQ=="/>
  </w:docVars>
  <w:rsids>
    <w:rsidRoot w:val="00172A27"/>
    <w:rsid w:val="00003A91"/>
    <w:rsid w:val="0000411F"/>
    <w:rsid w:val="00006F02"/>
    <w:rsid w:val="000119E7"/>
    <w:rsid w:val="0001211E"/>
    <w:rsid w:val="00013A19"/>
    <w:rsid w:val="00022F2F"/>
    <w:rsid w:val="00023C11"/>
    <w:rsid w:val="00025124"/>
    <w:rsid w:val="00027CEB"/>
    <w:rsid w:val="0003084F"/>
    <w:rsid w:val="000321A7"/>
    <w:rsid w:val="0003702E"/>
    <w:rsid w:val="00041862"/>
    <w:rsid w:val="00043829"/>
    <w:rsid w:val="000559CB"/>
    <w:rsid w:val="00062B77"/>
    <w:rsid w:val="000635C8"/>
    <w:rsid w:val="00070765"/>
    <w:rsid w:val="00070A2A"/>
    <w:rsid w:val="00074655"/>
    <w:rsid w:val="0007634B"/>
    <w:rsid w:val="000778B3"/>
    <w:rsid w:val="000822EC"/>
    <w:rsid w:val="00083C54"/>
    <w:rsid w:val="00093713"/>
    <w:rsid w:val="000939DD"/>
    <w:rsid w:val="00094BBB"/>
    <w:rsid w:val="000A1433"/>
    <w:rsid w:val="000A3653"/>
    <w:rsid w:val="000A3679"/>
    <w:rsid w:val="000A3A26"/>
    <w:rsid w:val="000A4B17"/>
    <w:rsid w:val="000A5B3B"/>
    <w:rsid w:val="000B5B66"/>
    <w:rsid w:val="000C2853"/>
    <w:rsid w:val="000C50B3"/>
    <w:rsid w:val="000D3834"/>
    <w:rsid w:val="000D4005"/>
    <w:rsid w:val="000E019D"/>
    <w:rsid w:val="000E1972"/>
    <w:rsid w:val="000E4101"/>
    <w:rsid w:val="000E4165"/>
    <w:rsid w:val="000F5EA0"/>
    <w:rsid w:val="000F759E"/>
    <w:rsid w:val="001004C4"/>
    <w:rsid w:val="00101197"/>
    <w:rsid w:val="001026A7"/>
    <w:rsid w:val="001041BF"/>
    <w:rsid w:val="00104E22"/>
    <w:rsid w:val="001070F5"/>
    <w:rsid w:val="00107EAA"/>
    <w:rsid w:val="00120D83"/>
    <w:rsid w:val="0012601C"/>
    <w:rsid w:val="001261D5"/>
    <w:rsid w:val="001367F3"/>
    <w:rsid w:val="00136D37"/>
    <w:rsid w:val="00143D0F"/>
    <w:rsid w:val="00154C73"/>
    <w:rsid w:val="001560A7"/>
    <w:rsid w:val="001902E1"/>
    <w:rsid w:val="0019083A"/>
    <w:rsid w:val="001939DC"/>
    <w:rsid w:val="001A3B3D"/>
    <w:rsid w:val="001A708B"/>
    <w:rsid w:val="001B12FB"/>
    <w:rsid w:val="001B4368"/>
    <w:rsid w:val="001C18A6"/>
    <w:rsid w:val="001C4CB6"/>
    <w:rsid w:val="001D52A3"/>
    <w:rsid w:val="001E6000"/>
    <w:rsid w:val="001F44A2"/>
    <w:rsid w:val="00205161"/>
    <w:rsid w:val="00205A60"/>
    <w:rsid w:val="002103CD"/>
    <w:rsid w:val="0021157D"/>
    <w:rsid w:val="00234CA9"/>
    <w:rsid w:val="00242114"/>
    <w:rsid w:val="00242E6F"/>
    <w:rsid w:val="002455E6"/>
    <w:rsid w:val="00254505"/>
    <w:rsid w:val="002550C5"/>
    <w:rsid w:val="002555C4"/>
    <w:rsid w:val="00256E5B"/>
    <w:rsid w:val="002570C8"/>
    <w:rsid w:val="0026205F"/>
    <w:rsid w:val="00264DEA"/>
    <w:rsid w:val="00272138"/>
    <w:rsid w:val="00277DA1"/>
    <w:rsid w:val="002809D6"/>
    <w:rsid w:val="00282DBD"/>
    <w:rsid w:val="00284327"/>
    <w:rsid w:val="00284705"/>
    <w:rsid w:val="00285C93"/>
    <w:rsid w:val="00292446"/>
    <w:rsid w:val="002A0A97"/>
    <w:rsid w:val="002B044B"/>
    <w:rsid w:val="002C4154"/>
    <w:rsid w:val="002C4479"/>
    <w:rsid w:val="002C75F6"/>
    <w:rsid w:val="002D7D33"/>
    <w:rsid w:val="002E63F7"/>
    <w:rsid w:val="00304478"/>
    <w:rsid w:val="00307802"/>
    <w:rsid w:val="00312C1B"/>
    <w:rsid w:val="00313A04"/>
    <w:rsid w:val="00314EBF"/>
    <w:rsid w:val="00315A47"/>
    <w:rsid w:val="00315E76"/>
    <w:rsid w:val="00315EF5"/>
    <w:rsid w:val="003160AC"/>
    <w:rsid w:val="00322EB7"/>
    <w:rsid w:val="00332838"/>
    <w:rsid w:val="00335F48"/>
    <w:rsid w:val="00343795"/>
    <w:rsid w:val="003447A5"/>
    <w:rsid w:val="00351B63"/>
    <w:rsid w:val="003522FD"/>
    <w:rsid w:val="00355744"/>
    <w:rsid w:val="00361C5A"/>
    <w:rsid w:val="00372AA0"/>
    <w:rsid w:val="003732E0"/>
    <w:rsid w:val="003809D3"/>
    <w:rsid w:val="00381785"/>
    <w:rsid w:val="00382FC9"/>
    <w:rsid w:val="003841D8"/>
    <w:rsid w:val="00384BB8"/>
    <w:rsid w:val="00386396"/>
    <w:rsid w:val="00391811"/>
    <w:rsid w:val="003A0832"/>
    <w:rsid w:val="003A1506"/>
    <w:rsid w:val="003B5EDC"/>
    <w:rsid w:val="003C05D8"/>
    <w:rsid w:val="003C791D"/>
    <w:rsid w:val="003F5807"/>
    <w:rsid w:val="003F73B0"/>
    <w:rsid w:val="00407F5C"/>
    <w:rsid w:val="00410E0E"/>
    <w:rsid w:val="00413863"/>
    <w:rsid w:val="004143B9"/>
    <w:rsid w:val="0042731A"/>
    <w:rsid w:val="004318CD"/>
    <w:rsid w:val="00434E46"/>
    <w:rsid w:val="004402E3"/>
    <w:rsid w:val="0044508C"/>
    <w:rsid w:val="00446D42"/>
    <w:rsid w:val="004503F6"/>
    <w:rsid w:val="004566DD"/>
    <w:rsid w:val="00466316"/>
    <w:rsid w:val="00467066"/>
    <w:rsid w:val="004745AF"/>
    <w:rsid w:val="004766F0"/>
    <w:rsid w:val="004821DE"/>
    <w:rsid w:val="00487859"/>
    <w:rsid w:val="00497D96"/>
    <w:rsid w:val="004A6E61"/>
    <w:rsid w:val="004A702D"/>
    <w:rsid w:val="004A72C6"/>
    <w:rsid w:val="004B09AC"/>
    <w:rsid w:val="004B194C"/>
    <w:rsid w:val="004B4A0D"/>
    <w:rsid w:val="004B57F2"/>
    <w:rsid w:val="004C3172"/>
    <w:rsid w:val="004C3AE1"/>
    <w:rsid w:val="004D595E"/>
    <w:rsid w:val="004D7DDB"/>
    <w:rsid w:val="004F0F7B"/>
    <w:rsid w:val="004F3A7A"/>
    <w:rsid w:val="004F58B2"/>
    <w:rsid w:val="00500916"/>
    <w:rsid w:val="00501A9F"/>
    <w:rsid w:val="005024C3"/>
    <w:rsid w:val="00503BF8"/>
    <w:rsid w:val="00511431"/>
    <w:rsid w:val="005130AA"/>
    <w:rsid w:val="00514F28"/>
    <w:rsid w:val="00522CCF"/>
    <w:rsid w:val="005237CB"/>
    <w:rsid w:val="005265C4"/>
    <w:rsid w:val="005313AB"/>
    <w:rsid w:val="00532381"/>
    <w:rsid w:val="005326B9"/>
    <w:rsid w:val="005339A9"/>
    <w:rsid w:val="0054272E"/>
    <w:rsid w:val="00544476"/>
    <w:rsid w:val="00544F39"/>
    <w:rsid w:val="00546EA1"/>
    <w:rsid w:val="00555E25"/>
    <w:rsid w:val="00560208"/>
    <w:rsid w:val="00571204"/>
    <w:rsid w:val="0057225C"/>
    <w:rsid w:val="005734CF"/>
    <w:rsid w:val="005738F4"/>
    <w:rsid w:val="00580470"/>
    <w:rsid w:val="005804DD"/>
    <w:rsid w:val="0058141B"/>
    <w:rsid w:val="00586889"/>
    <w:rsid w:val="00587909"/>
    <w:rsid w:val="00587EAC"/>
    <w:rsid w:val="005A29AA"/>
    <w:rsid w:val="005B09E1"/>
    <w:rsid w:val="005B14C1"/>
    <w:rsid w:val="005B2AC7"/>
    <w:rsid w:val="005B3148"/>
    <w:rsid w:val="005B46FF"/>
    <w:rsid w:val="005B57A3"/>
    <w:rsid w:val="005C77FA"/>
    <w:rsid w:val="005D34E3"/>
    <w:rsid w:val="005D5B8B"/>
    <w:rsid w:val="005E14E4"/>
    <w:rsid w:val="005E76D7"/>
    <w:rsid w:val="005E7A69"/>
    <w:rsid w:val="005F016A"/>
    <w:rsid w:val="006014AD"/>
    <w:rsid w:val="00602485"/>
    <w:rsid w:val="00603510"/>
    <w:rsid w:val="0060406E"/>
    <w:rsid w:val="006044F3"/>
    <w:rsid w:val="00604D0E"/>
    <w:rsid w:val="00613DB0"/>
    <w:rsid w:val="006256FB"/>
    <w:rsid w:val="00625946"/>
    <w:rsid w:val="006278CC"/>
    <w:rsid w:val="006335D8"/>
    <w:rsid w:val="006342DB"/>
    <w:rsid w:val="006353DF"/>
    <w:rsid w:val="006418B3"/>
    <w:rsid w:val="006421C3"/>
    <w:rsid w:val="006432A7"/>
    <w:rsid w:val="00644CD9"/>
    <w:rsid w:val="00646F55"/>
    <w:rsid w:val="00647FAA"/>
    <w:rsid w:val="00650160"/>
    <w:rsid w:val="00655B86"/>
    <w:rsid w:val="00660E75"/>
    <w:rsid w:val="006624BF"/>
    <w:rsid w:val="0066381B"/>
    <w:rsid w:val="00664ACA"/>
    <w:rsid w:val="006677E1"/>
    <w:rsid w:val="006715EE"/>
    <w:rsid w:val="006723F9"/>
    <w:rsid w:val="006767AD"/>
    <w:rsid w:val="00685D45"/>
    <w:rsid w:val="00691A33"/>
    <w:rsid w:val="006A78A9"/>
    <w:rsid w:val="006B6050"/>
    <w:rsid w:val="006B743E"/>
    <w:rsid w:val="006B7C3E"/>
    <w:rsid w:val="006C1AF0"/>
    <w:rsid w:val="006D026C"/>
    <w:rsid w:val="006D4162"/>
    <w:rsid w:val="006D7938"/>
    <w:rsid w:val="006E0E93"/>
    <w:rsid w:val="006E4C51"/>
    <w:rsid w:val="006F14DA"/>
    <w:rsid w:val="006F4D97"/>
    <w:rsid w:val="006F6177"/>
    <w:rsid w:val="00711598"/>
    <w:rsid w:val="00714CDA"/>
    <w:rsid w:val="00720E7D"/>
    <w:rsid w:val="00726B29"/>
    <w:rsid w:val="00733D61"/>
    <w:rsid w:val="00751E7F"/>
    <w:rsid w:val="0075239D"/>
    <w:rsid w:val="00754BC3"/>
    <w:rsid w:val="00760D35"/>
    <w:rsid w:val="00764EC9"/>
    <w:rsid w:val="00772381"/>
    <w:rsid w:val="00774B2E"/>
    <w:rsid w:val="0077668F"/>
    <w:rsid w:val="00777F81"/>
    <w:rsid w:val="00780A13"/>
    <w:rsid w:val="00781389"/>
    <w:rsid w:val="0078672F"/>
    <w:rsid w:val="0078729F"/>
    <w:rsid w:val="00794644"/>
    <w:rsid w:val="00795D51"/>
    <w:rsid w:val="007966F2"/>
    <w:rsid w:val="007A76C7"/>
    <w:rsid w:val="007B1E37"/>
    <w:rsid w:val="007B34F2"/>
    <w:rsid w:val="007B5215"/>
    <w:rsid w:val="007B6193"/>
    <w:rsid w:val="007B6403"/>
    <w:rsid w:val="007C00CF"/>
    <w:rsid w:val="007C0DF8"/>
    <w:rsid w:val="007D41ED"/>
    <w:rsid w:val="007D71DA"/>
    <w:rsid w:val="007E32E6"/>
    <w:rsid w:val="0080549F"/>
    <w:rsid w:val="00805808"/>
    <w:rsid w:val="00811888"/>
    <w:rsid w:val="008127F6"/>
    <w:rsid w:val="00815C1C"/>
    <w:rsid w:val="00835468"/>
    <w:rsid w:val="008359D9"/>
    <w:rsid w:val="008433B9"/>
    <w:rsid w:val="00853DB3"/>
    <w:rsid w:val="008547E6"/>
    <w:rsid w:val="00862DBF"/>
    <w:rsid w:val="00870630"/>
    <w:rsid w:val="00874700"/>
    <w:rsid w:val="00880A0A"/>
    <w:rsid w:val="00883335"/>
    <w:rsid w:val="00885637"/>
    <w:rsid w:val="00886CA4"/>
    <w:rsid w:val="00891A7E"/>
    <w:rsid w:val="00892059"/>
    <w:rsid w:val="00895433"/>
    <w:rsid w:val="00896E2B"/>
    <w:rsid w:val="00897E98"/>
    <w:rsid w:val="008A0172"/>
    <w:rsid w:val="008A1CB4"/>
    <w:rsid w:val="008A4AAE"/>
    <w:rsid w:val="008B5D7E"/>
    <w:rsid w:val="008C084D"/>
    <w:rsid w:val="008C0CE9"/>
    <w:rsid w:val="008C216B"/>
    <w:rsid w:val="008C31DE"/>
    <w:rsid w:val="008C4127"/>
    <w:rsid w:val="008C5AAF"/>
    <w:rsid w:val="008D03F9"/>
    <w:rsid w:val="008D121B"/>
    <w:rsid w:val="008D1B3B"/>
    <w:rsid w:val="008D3007"/>
    <w:rsid w:val="008D4C38"/>
    <w:rsid w:val="008D563A"/>
    <w:rsid w:val="008E53D2"/>
    <w:rsid w:val="008E7A13"/>
    <w:rsid w:val="00900530"/>
    <w:rsid w:val="009018F8"/>
    <w:rsid w:val="009023C7"/>
    <w:rsid w:val="00904697"/>
    <w:rsid w:val="00904FC5"/>
    <w:rsid w:val="009073F9"/>
    <w:rsid w:val="00912576"/>
    <w:rsid w:val="00912BD6"/>
    <w:rsid w:val="00930E27"/>
    <w:rsid w:val="00931199"/>
    <w:rsid w:val="009401AE"/>
    <w:rsid w:val="009404DA"/>
    <w:rsid w:val="00944BD8"/>
    <w:rsid w:val="00972C8A"/>
    <w:rsid w:val="00972C9A"/>
    <w:rsid w:val="00974149"/>
    <w:rsid w:val="009908DF"/>
    <w:rsid w:val="009922B7"/>
    <w:rsid w:val="0099477C"/>
    <w:rsid w:val="00997459"/>
    <w:rsid w:val="009A7D75"/>
    <w:rsid w:val="009B0E51"/>
    <w:rsid w:val="009B41A2"/>
    <w:rsid w:val="009B538A"/>
    <w:rsid w:val="009B5641"/>
    <w:rsid w:val="009B7F67"/>
    <w:rsid w:val="009C12F7"/>
    <w:rsid w:val="009C3DFF"/>
    <w:rsid w:val="009C42D3"/>
    <w:rsid w:val="009D00FB"/>
    <w:rsid w:val="009D1071"/>
    <w:rsid w:val="009D5696"/>
    <w:rsid w:val="009D6021"/>
    <w:rsid w:val="009D7171"/>
    <w:rsid w:val="009E6AAC"/>
    <w:rsid w:val="009E6B67"/>
    <w:rsid w:val="009F0F9C"/>
    <w:rsid w:val="009F276A"/>
    <w:rsid w:val="009F656F"/>
    <w:rsid w:val="009F7E08"/>
    <w:rsid w:val="00A01E66"/>
    <w:rsid w:val="00A15C21"/>
    <w:rsid w:val="00A1603B"/>
    <w:rsid w:val="00A1677A"/>
    <w:rsid w:val="00A26C4A"/>
    <w:rsid w:val="00A2734E"/>
    <w:rsid w:val="00A31F59"/>
    <w:rsid w:val="00A3336A"/>
    <w:rsid w:val="00A36B78"/>
    <w:rsid w:val="00A42AD8"/>
    <w:rsid w:val="00A42DC7"/>
    <w:rsid w:val="00A44A10"/>
    <w:rsid w:val="00A45550"/>
    <w:rsid w:val="00A47051"/>
    <w:rsid w:val="00A47423"/>
    <w:rsid w:val="00A53A15"/>
    <w:rsid w:val="00A759E8"/>
    <w:rsid w:val="00A81BE7"/>
    <w:rsid w:val="00A82E49"/>
    <w:rsid w:val="00AA1207"/>
    <w:rsid w:val="00AA5C84"/>
    <w:rsid w:val="00AB0EE4"/>
    <w:rsid w:val="00AB27D6"/>
    <w:rsid w:val="00AB7312"/>
    <w:rsid w:val="00AB75B2"/>
    <w:rsid w:val="00AB783E"/>
    <w:rsid w:val="00AB7E57"/>
    <w:rsid w:val="00AC2967"/>
    <w:rsid w:val="00AC7A2C"/>
    <w:rsid w:val="00AC7B69"/>
    <w:rsid w:val="00AD1CCF"/>
    <w:rsid w:val="00AD22F7"/>
    <w:rsid w:val="00AD6FCD"/>
    <w:rsid w:val="00AE0462"/>
    <w:rsid w:val="00AE54CD"/>
    <w:rsid w:val="00AF03EA"/>
    <w:rsid w:val="00B02208"/>
    <w:rsid w:val="00B02A29"/>
    <w:rsid w:val="00B04A4E"/>
    <w:rsid w:val="00B1294C"/>
    <w:rsid w:val="00B15065"/>
    <w:rsid w:val="00B16DCE"/>
    <w:rsid w:val="00B178A9"/>
    <w:rsid w:val="00B17E34"/>
    <w:rsid w:val="00B20387"/>
    <w:rsid w:val="00B220EB"/>
    <w:rsid w:val="00B2272A"/>
    <w:rsid w:val="00B32190"/>
    <w:rsid w:val="00B33111"/>
    <w:rsid w:val="00B35C90"/>
    <w:rsid w:val="00B4205D"/>
    <w:rsid w:val="00B52E99"/>
    <w:rsid w:val="00B530C4"/>
    <w:rsid w:val="00B541AE"/>
    <w:rsid w:val="00B56C22"/>
    <w:rsid w:val="00B66686"/>
    <w:rsid w:val="00B74BEE"/>
    <w:rsid w:val="00B841E8"/>
    <w:rsid w:val="00B8578A"/>
    <w:rsid w:val="00B87EDE"/>
    <w:rsid w:val="00BA46D3"/>
    <w:rsid w:val="00BA4852"/>
    <w:rsid w:val="00BA60CB"/>
    <w:rsid w:val="00BA68A9"/>
    <w:rsid w:val="00BB1882"/>
    <w:rsid w:val="00BB39A4"/>
    <w:rsid w:val="00BB67A9"/>
    <w:rsid w:val="00BC0D73"/>
    <w:rsid w:val="00BD6658"/>
    <w:rsid w:val="00BD6BB2"/>
    <w:rsid w:val="00BE28B5"/>
    <w:rsid w:val="00C1259B"/>
    <w:rsid w:val="00C21373"/>
    <w:rsid w:val="00C224FA"/>
    <w:rsid w:val="00C22ACC"/>
    <w:rsid w:val="00C3175C"/>
    <w:rsid w:val="00C3269B"/>
    <w:rsid w:val="00C33250"/>
    <w:rsid w:val="00C372B9"/>
    <w:rsid w:val="00C50F4B"/>
    <w:rsid w:val="00C5200E"/>
    <w:rsid w:val="00C648F0"/>
    <w:rsid w:val="00C740A8"/>
    <w:rsid w:val="00C74E1B"/>
    <w:rsid w:val="00C84223"/>
    <w:rsid w:val="00C879BA"/>
    <w:rsid w:val="00C971FE"/>
    <w:rsid w:val="00CA05EC"/>
    <w:rsid w:val="00CA193C"/>
    <w:rsid w:val="00CA1C65"/>
    <w:rsid w:val="00CA7554"/>
    <w:rsid w:val="00CB06B9"/>
    <w:rsid w:val="00CB7373"/>
    <w:rsid w:val="00CC3188"/>
    <w:rsid w:val="00CC48B9"/>
    <w:rsid w:val="00CC782D"/>
    <w:rsid w:val="00CD01B6"/>
    <w:rsid w:val="00CD102B"/>
    <w:rsid w:val="00CD20AD"/>
    <w:rsid w:val="00CD26AA"/>
    <w:rsid w:val="00CD4548"/>
    <w:rsid w:val="00CE31A2"/>
    <w:rsid w:val="00CE60E5"/>
    <w:rsid w:val="00CE7502"/>
    <w:rsid w:val="00CF120C"/>
    <w:rsid w:val="00CF60C9"/>
    <w:rsid w:val="00CF6405"/>
    <w:rsid w:val="00D00527"/>
    <w:rsid w:val="00D01B26"/>
    <w:rsid w:val="00D01F99"/>
    <w:rsid w:val="00D1120E"/>
    <w:rsid w:val="00D11A5F"/>
    <w:rsid w:val="00D1686F"/>
    <w:rsid w:val="00D25B69"/>
    <w:rsid w:val="00D37353"/>
    <w:rsid w:val="00D51408"/>
    <w:rsid w:val="00D5610D"/>
    <w:rsid w:val="00D61BB5"/>
    <w:rsid w:val="00D6294D"/>
    <w:rsid w:val="00D64B55"/>
    <w:rsid w:val="00D67A52"/>
    <w:rsid w:val="00D717F7"/>
    <w:rsid w:val="00D71ABC"/>
    <w:rsid w:val="00D7225F"/>
    <w:rsid w:val="00D75553"/>
    <w:rsid w:val="00D769BE"/>
    <w:rsid w:val="00D776D7"/>
    <w:rsid w:val="00D85016"/>
    <w:rsid w:val="00D940AC"/>
    <w:rsid w:val="00D9609B"/>
    <w:rsid w:val="00DA014E"/>
    <w:rsid w:val="00DA07B8"/>
    <w:rsid w:val="00DA4684"/>
    <w:rsid w:val="00DB3571"/>
    <w:rsid w:val="00DB5028"/>
    <w:rsid w:val="00DC2EEC"/>
    <w:rsid w:val="00DC5629"/>
    <w:rsid w:val="00DC63DD"/>
    <w:rsid w:val="00DD6244"/>
    <w:rsid w:val="00DD65E3"/>
    <w:rsid w:val="00DD6B91"/>
    <w:rsid w:val="00DE036F"/>
    <w:rsid w:val="00DE1ABD"/>
    <w:rsid w:val="00DE5E87"/>
    <w:rsid w:val="00DF61A1"/>
    <w:rsid w:val="00E01831"/>
    <w:rsid w:val="00E0316C"/>
    <w:rsid w:val="00E13175"/>
    <w:rsid w:val="00E15304"/>
    <w:rsid w:val="00E15B33"/>
    <w:rsid w:val="00E229C3"/>
    <w:rsid w:val="00E33674"/>
    <w:rsid w:val="00E36342"/>
    <w:rsid w:val="00E37E58"/>
    <w:rsid w:val="00E41947"/>
    <w:rsid w:val="00E45E2A"/>
    <w:rsid w:val="00E47EB5"/>
    <w:rsid w:val="00E50D4D"/>
    <w:rsid w:val="00E54F39"/>
    <w:rsid w:val="00E6049F"/>
    <w:rsid w:val="00E60C9B"/>
    <w:rsid w:val="00E668CC"/>
    <w:rsid w:val="00E72A7A"/>
    <w:rsid w:val="00E75593"/>
    <w:rsid w:val="00E8449D"/>
    <w:rsid w:val="00E86802"/>
    <w:rsid w:val="00E8699B"/>
    <w:rsid w:val="00E9200D"/>
    <w:rsid w:val="00E922DE"/>
    <w:rsid w:val="00E97C3C"/>
    <w:rsid w:val="00EA3DB2"/>
    <w:rsid w:val="00EB0625"/>
    <w:rsid w:val="00EB314C"/>
    <w:rsid w:val="00EB6921"/>
    <w:rsid w:val="00EC2468"/>
    <w:rsid w:val="00EC4067"/>
    <w:rsid w:val="00ED27DE"/>
    <w:rsid w:val="00ED58F6"/>
    <w:rsid w:val="00EE0570"/>
    <w:rsid w:val="00EE5089"/>
    <w:rsid w:val="00EE547E"/>
    <w:rsid w:val="00EE6678"/>
    <w:rsid w:val="00EF415D"/>
    <w:rsid w:val="00F014B8"/>
    <w:rsid w:val="00F0408C"/>
    <w:rsid w:val="00F068B6"/>
    <w:rsid w:val="00F11CD5"/>
    <w:rsid w:val="00F14383"/>
    <w:rsid w:val="00F1676B"/>
    <w:rsid w:val="00F23134"/>
    <w:rsid w:val="00F27F3D"/>
    <w:rsid w:val="00F31F4F"/>
    <w:rsid w:val="00F32FF1"/>
    <w:rsid w:val="00F42C53"/>
    <w:rsid w:val="00F47D0D"/>
    <w:rsid w:val="00F51747"/>
    <w:rsid w:val="00F610D5"/>
    <w:rsid w:val="00F72AC8"/>
    <w:rsid w:val="00F76EFB"/>
    <w:rsid w:val="00F82757"/>
    <w:rsid w:val="00F82F0D"/>
    <w:rsid w:val="00F83A08"/>
    <w:rsid w:val="00F84768"/>
    <w:rsid w:val="00F86573"/>
    <w:rsid w:val="00F8734D"/>
    <w:rsid w:val="00F90D75"/>
    <w:rsid w:val="00F927A9"/>
    <w:rsid w:val="00FB026F"/>
    <w:rsid w:val="00FB6371"/>
    <w:rsid w:val="00FC36DA"/>
    <w:rsid w:val="00FC68F1"/>
    <w:rsid w:val="00FD011D"/>
    <w:rsid w:val="00FE07CC"/>
    <w:rsid w:val="00FE32FF"/>
    <w:rsid w:val="00FE4304"/>
    <w:rsid w:val="00FE478B"/>
    <w:rsid w:val="00FE5E43"/>
    <w:rsid w:val="00FF2D33"/>
    <w:rsid w:val="00FF3C15"/>
    <w:rsid w:val="01541EA9"/>
    <w:rsid w:val="01636DC7"/>
    <w:rsid w:val="01B70574"/>
    <w:rsid w:val="01B75FE5"/>
    <w:rsid w:val="02143C33"/>
    <w:rsid w:val="02433471"/>
    <w:rsid w:val="027408F0"/>
    <w:rsid w:val="032558B9"/>
    <w:rsid w:val="0352482B"/>
    <w:rsid w:val="03FC4592"/>
    <w:rsid w:val="041D54D3"/>
    <w:rsid w:val="04FE6CFF"/>
    <w:rsid w:val="050F6A1B"/>
    <w:rsid w:val="05111047"/>
    <w:rsid w:val="055868B1"/>
    <w:rsid w:val="05D81917"/>
    <w:rsid w:val="05EF487D"/>
    <w:rsid w:val="05F61B3D"/>
    <w:rsid w:val="05FB5513"/>
    <w:rsid w:val="067F1777"/>
    <w:rsid w:val="069E1494"/>
    <w:rsid w:val="06A1246F"/>
    <w:rsid w:val="06FD36C5"/>
    <w:rsid w:val="07451E98"/>
    <w:rsid w:val="07493E10"/>
    <w:rsid w:val="077B1215"/>
    <w:rsid w:val="07E850FA"/>
    <w:rsid w:val="08935E54"/>
    <w:rsid w:val="09023F99"/>
    <w:rsid w:val="09130539"/>
    <w:rsid w:val="09246163"/>
    <w:rsid w:val="092E2EDB"/>
    <w:rsid w:val="09376EC9"/>
    <w:rsid w:val="09385C0D"/>
    <w:rsid w:val="09D95020"/>
    <w:rsid w:val="09FA1F5B"/>
    <w:rsid w:val="0A123E3D"/>
    <w:rsid w:val="0A214B01"/>
    <w:rsid w:val="0A34458E"/>
    <w:rsid w:val="0A6273E5"/>
    <w:rsid w:val="0A6B7082"/>
    <w:rsid w:val="0A6E09E8"/>
    <w:rsid w:val="0B56272A"/>
    <w:rsid w:val="0B9E4E0D"/>
    <w:rsid w:val="0BC0358B"/>
    <w:rsid w:val="0C2A22F0"/>
    <w:rsid w:val="0C3D08E2"/>
    <w:rsid w:val="0C7E7051"/>
    <w:rsid w:val="0CFC08E9"/>
    <w:rsid w:val="0D0E73B0"/>
    <w:rsid w:val="0D814026"/>
    <w:rsid w:val="0D826741"/>
    <w:rsid w:val="0DB26660"/>
    <w:rsid w:val="0DBF2E8F"/>
    <w:rsid w:val="0DEA13D5"/>
    <w:rsid w:val="0E0D3E89"/>
    <w:rsid w:val="0E112075"/>
    <w:rsid w:val="0E124C7E"/>
    <w:rsid w:val="0E860CE1"/>
    <w:rsid w:val="0E874C61"/>
    <w:rsid w:val="0EB025E8"/>
    <w:rsid w:val="0EE849F5"/>
    <w:rsid w:val="0F582B65"/>
    <w:rsid w:val="0F961C99"/>
    <w:rsid w:val="0FA71FD0"/>
    <w:rsid w:val="100A43B8"/>
    <w:rsid w:val="102E1D8C"/>
    <w:rsid w:val="10967DE9"/>
    <w:rsid w:val="10A27251"/>
    <w:rsid w:val="11072A94"/>
    <w:rsid w:val="110D1209"/>
    <w:rsid w:val="114033D5"/>
    <w:rsid w:val="11586C6F"/>
    <w:rsid w:val="117C3ACD"/>
    <w:rsid w:val="11AC0F46"/>
    <w:rsid w:val="11B67622"/>
    <w:rsid w:val="124E71A0"/>
    <w:rsid w:val="12744159"/>
    <w:rsid w:val="12BB1A7B"/>
    <w:rsid w:val="12E21ABC"/>
    <w:rsid w:val="14504B52"/>
    <w:rsid w:val="14C83C8A"/>
    <w:rsid w:val="14E8498B"/>
    <w:rsid w:val="14FC3EAB"/>
    <w:rsid w:val="159476AB"/>
    <w:rsid w:val="15F0719E"/>
    <w:rsid w:val="15F35AD2"/>
    <w:rsid w:val="16203D3E"/>
    <w:rsid w:val="162547C1"/>
    <w:rsid w:val="16400F73"/>
    <w:rsid w:val="16BD7744"/>
    <w:rsid w:val="16D62899"/>
    <w:rsid w:val="16F8021F"/>
    <w:rsid w:val="1781498A"/>
    <w:rsid w:val="17D57167"/>
    <w:rsid w:val="17E15DB6"/>
    <w:rsid w:val="17F01258"/>
    <w:rsid w:val="18116A12"/>
    <w:rsid w:val="182A6AB6"/>
    <w:rsid w:val="183373B1"/>
    <w:rsid w:val="183B3024"/>
    <w:rsid w:val="1865789A"/>
    <w:rsid w:val="189F4B9B"/>
    <w:rsid w:val="18B42ABE"/>
    <w:rsid w:val="18B67A2A"/>
    <w:rsid w:val="196B5951"/>
    <w:rsid w:val="19AE58C5"/>
    <w:rsid w:val="19B35D11"/>
    <w:rsid w:val="19C61B4D"/>
    <w:rsid w:val="19EB7285"/>
    <w:rsid w:val="1A10749A"/>
    <w:rsid w:val="1A762CFD"/>
    <w:rsid w:val="1AA2382E"/>
    <w:rsid w:val="1AB86BAD"/>
    <w:rsid w:val="1ABE0C62"/>
    <w:rsid w:val="1AE91206"/>
    <w:rsid w:val="1B341E5F"/>
    <w:rsid w:val="1B6B60E0"/>
    <w:rsid w:val="1BD712B5"/>
    <w:rsid w:val="1C2269D4"/>
    <w:rsid w:val="1C5601A8"/>
    <w:rsid w:val="1C6215C7"/>
    <w:rsid w:val="1D0B600A"/>
    <w:rsid w:val="1DAA14B9"/>
    <w:rsid w:val="1E1C627B"/>
    <w:rsid w:val="1E3614E8"/>
    <w:rsid w:val="1EAD3564"/>
    <w:rsid w:val="1EE82ADB"/>
    <w:rsid w:val="1EFB69D8"/>
    <w:rsid w:val="1FE50038"/>
    <w:rsid w:val="1FED6F3A"/>
    <w:rsid w:val="205E4ACE"/>
    <w:rsid w:val="20BC202C"/>
    <w:rsid w:val="212E1977"/>
    <w:rsid w:val="21432704"/>
    <w:rsid w:val="217A4CBE"/>
    <w:rsid w:val="21960FE2"/>
    <w:rsid w:val="21C24E29"/>
    <w:rsid w:val="221E3C93"/>
    <w:rsid w:val="22623FCE"/>
    <w:rsid w:val="2263550B"/>
    <w:rsid w:val="22843DAA"/>
    <w:rsid w:val="22F369D5"/>
    <w:rsid w:val="23B4085A"/>
    <w:rsid w:val="24420388"/>
    <w:rsid w:val="24D12D46"/>
    <w:rsid w:val="24D9791B"/>
    <w:rsid w:val="25135913"/>
    <w:rsid w:val="256E685C"/>
    <w:rsid w:val="257D1101"/>
    <w:rsid w:val="259103BA"/>
    <w:rsid w:val="25FA3ED4"/>
    <w:rsid w:val="26640003"/>
    <w:rsid w:val="269D6920"/>
    <w:rsid w:val="26AB3206"/>
    <w:rsid w:val="26D0257B"/>
    <w:rsid w:val="27363932"/>
    <w:rsid w:val="27846795"/>
    <w:rsid w:val="27AE4C52"/>
    <w:rsid w:val="28187A54"/>
    <w:rsid w:val="28371492"/>
    <w:rsid w:val="28377363"/>
    <w:rsid w:val="286D547B"/>
    <w:rsid w:val="28942A08"/>
    <w:rsid w:val="28A14CE5"/>
    <w:rsid w:val="28DC4115"/>
    <w:rsid w:val="293D6BFB"/>
    <w:rsid w:val="297606A3"/>
    <w:rsid w:val="299B5604"/>
    <w:rsid w:val="29C72BC1"/>
    <w:rsid w:val="29D3358A"/>
    <w:rsid w:val="2A050FE5"/>
    <w:rsid w:val="2A271966"/>
    <w:rsid w:val="2AB56C65"/>
    <w:rsid w:val="2ACF6857"/>
    <w:rsid w:val="2B041059"/>
    <w:rsid w:val="2B0672E9"/>
    <w:rsid w:val="2B1208C1"/>
    <w:rsid w:val="2B2C09D5"/>
    <w:rsid w:val="2B6A574C"/>
    <w:rsid w:val="2BA7103A"/>
    <w:rsid w:val="2BC91350"/>
    <w:rsid w:val="2BD23BE4"/>
    <w:rsid w:val="2BE54071"/>
    <w:rsid w:val="2D16209D"/>
    <w:rsid w:val="2D482839"/>
    <w:rsid w:val="2D7E03A7"/>
    <w:rsid w:val="2D8D1948"/>
    <w:rsid w:val="2DF61C0C"/>
    <w:rsid w:val="2DFD2DFD"/>
    <w:rsid w:val="2E041462"/>
    <w:rsid w:val="2E235ADE"/>
    <w:rsid w:val="2EF4039F"/>
    <w:rsid w:val="2F065BF9"/>
    <w:rsid w:val="2F067A90"/>
    <w:rsid w:val="2F603327"/>
    <w:rsid w:val="2FB67708"/>
    <w:rsid w:val="30151B97"/>
    <w:rsid w:val="30330D31"/>
    <w:rsid w:val="306B44BD"/>
    <w:rsid w:val="308753A5"/>
    <w:rsid w:val="308A649E"/>
    <w:rsid w:val="30A24156"/>
    <w:rsid w:val="30A43A04"/>
    <w:rsid w:val="30C15D8B"/>
    <w:rsid w:val="31987FDF"/>
    <w:rsid w:val="31FC7D9B"/>
    <w:rsid w:val="32503830"/>
    <w:rsid w:val="339E473B"/>
    <w:rsid w:val="33BF1C21"/>
    <w:rsid w:val="348F0527"/>
    <w:rsid w:val="3494606B"/>
    <w:rsid w:val="34A151F3"/>
    <w:rsid w:val="35A93594"/>
    <w:rsid w:val="35E36E5F"/>
    <w:rsid w:val="360E0880"/>
    <w:rsid w:val="364C561D"/>
    <w:rsid w:val="3673462E"/>
    <w:rsid w:val="36794CF7"/>
    <w:rsid w:val="368D27E0"/>
    <w:rsid w:val="371350BE"/>
    <w:rsid w:val="37170A46"/>
    <w:rsid w:val="371A7DF7"/>
    <w:rsid w:val="373221D0"/>
    <w:rsid w:val="37537006"/>
    <w:rsid w:val="37567CB3"/>
    <w:rsid w:val="37A47C18"/>
    <w:rsid w:val="382E5417"/>
    <w:rsid w:val="38651CCB"/>
    <w:rsid w:val="38F92413"/>
    <w:rsid w:val="394B7113"/>
    <w:rsid w:val="39E475BB"/>
    <w:rsid w:val="39EC59F8"/>
    <w:rsid w:val="39F25AA4"/>
    <w:rsid w:val="39F73F64"/>
    <w:rsid w:val="3B254BC5"/>
    <w:rsid w:val="3BCE539A"/>
    <w:rsid w:val="3BFA7725"/>
    <w:rsid w:val="3C124496"/>
    <w:rsid w:val="3C72734A"/>
    <w:rsid w:val="3C834065"/>
    <w:rsid w:val="3DDD67A7"/>
    <w:rsid w:val="3DE61A7F"/>
    <w:rsid w:val="3E2F373B"/>
    <w:rsid w:val="3E5C3681"/>
    <w:rsid w:val="3E644A8D"/>
    <w:rsid w:val="3EA3431D"/>
    <w:rsid w:val="3F7D424A"/>
    <w:rsid w:val="3F890995"/>
    <w:rsid w:val="3FC13B88"/>
    <w:rsid w:val="3FFC101C"/>
    <w:rsid w:val="3FFE5942"/>
    <w:rsid w:val="40B54154"/>
    <w:rsid w:val="41036525"/>
    <w:rsid w:val="413C44BD"/>
    <w:rsid w:val="414D503E"/>
    <w:rsid w:val="41573C14"/>
    <w:rsid w:val="419F0A91"/>
    <w:rsid w:val="421C3283"/>
    <w:rsid w:val="423138B1"/>
    <w:rsid w:val="426824C9"/>
    <w:rsid w:val="42982C9D"/>
    <w:rsid w:val="42B03B19"/>
    <w:rsid w:val="42DC3171"/>
    <w:rsid w:val="42DD33D2"/>
    <w:rsid w:val="42ED142F"/>
    <w:rsid w:val="43357D4B"/>
    <w:rsid w:val="44EC6F7D"/>
    <w:rsid w:val="450914C0"/>
    <w:rsid w:val="45A9346A"/>
    <w:rsid w:val="45AB2AF3"/>
    <w:rsid w:val="45EA1A61"/>
    <w:rsid w:val="463D182F"/>
    <w:rsid w:val="46412279"/>
    <w:rsid w:val="464E1FF0"/>
    <w:rsid w:val="465342EF"/>
    <w:rsid w:val="466675F4"/>
    <w:rsid w:val="46800485"/>
    <w:rsid w:val="4685144D"/>
    <w:rsid w:val="46BD1C8C"/>
    <w:rsid w:val="46C620B0"/>
    <w:rsid w:val="46FE6296"/>
    <w:rsid w:val="476A4921"/>
    <w:rsid w:val="477F7194"/>
    <w:rsid w:val="479A777A"/>
    <w:rsid w:val="47ED5839"/>
    <w:rsid w:val="480E5A4A"/>
    <w:rsid w:val="4810454F"/>
    <w:rsid w:val="4832025F"/>
    <w:rsid w:val="484F2050"/>
    <w:rsid w:val="486B2A6B"/>
    <w:rsid w:val="4920287F"/>
    <w:rsid w:val="49EC55C0"/>
    <w:rsid w:val="49EE3EEF"/>
    <w:rsid w:val="49EF7646"/>
    <w:rsid w:val="4A38723F"/>
    <w:rsid w:val="4AA56BAE"/>
    <w:rsid w:val="4AAA0374"/>
    <w:rsid w:val="4B01466A"/>
    <w:rsid w:val="4B2E72AD"/>
    <w:rsid w:val="4B87536A"/>
    <w:rsid w:val="4BC13F3A"/>
    <w:rsid w:val="4BD45A02"/>
    <w:rsid w:val="4C0270AD"/>
    <w:rsid w:val="4C1E19DC"/>
    <w:rsid w:val="4C3B08F5"/>
    <w:rsid w:val="4C4B458B"/>
    <w:rsid w:val="4C85289C"/>
    <w:rsid w:val="4CC518E7"/>
    <w:rsid w:val="4D2D476D"/>
    <w:rsid w:val="4D626381"/>
    <w:rsid w:val="4DEE0710"/>
    <w:rsid w:val="4E01268C"/>
    <w:rsid w:val="4E3A73B3"/>
    <w:rsid w:val="4E534CF6"/>
    <w:rsid w:val="4F1418FD"/>
    <w:rsid w:val="4F3B332E"/>
    <w:rsid w:val="4FDA7B29"/>
    <w:rsid w:val="4FDE2637"/>
    <w:rsid w:val="4FF613BE"/>
    <w:rsid w:val="500E27F0"/>
    <w:rsid w:val="501222B3"/>
    <w:rsid w:val="50974594"/>
    <w:rsid w:val="50CF77F5"/>
    <w:rsid w:val="5104423A"/>
    <w:rsid w:val="515052A1"/>
    <w:rsid w:val="51CD67CD"/>
    <w:rsid w:val="51F62A89"/>
    <w:rsid w:val="52174B92"/>
    <w:rsid w:val="52195BA8"/>
    <w:rsid w:val="522E1CF6"/>
    <w:rsid w:val="527A5F1B"/>
    <w:rsid w:val="53373E0C"/>
    <w:rsid w:val="53734193"/>
    <w:rsid w:val="54895DDC"/>
    <w:rsid w:val="54A76AB0"/>
    <w:rsid w:val="54B71546"/>
    <w:rsid w:val="54BF0334"/>
    <w:rsid w:val="553E76D4"/>
    <w:rsid w:val="55570796"/>
    <w:rsid w:val="558C48E3"/>
    <w:rsid w:val="55A75279"/>
    <w:rsid w:val="55DF525E"/>
    <w:rsid w:val="55E91989"/>
    <w:rsid w:val="55FF3F9A"/>
    <w:rsid w:val="56206DD9"/>
    <w:rsid w:val="568F6F93"/>
    <w:rsid w:val="56946665"/>
    <w:rsid w:val="56D868F2"/>
    <w:rsid w:val="57046C65"/>
    <w:rsid w:val="57443698"/>
    <w:rsid w:val="57E50619"/>
    <w:rsid w:val="589F21BB"/>
    <w:rsid w:val="58A67A6A"/>
    <w:rsid w:val="58C3686E"/>
    <w:rsid w:val="59150A78"/>
    <w:rsid w:val="59413C36"/>
    <w:rsid w:val="59572B11"/>
    <w:rsid w:val="59633BAD"/>
    <w:rsid w:val="596B31AC"/>
    <w:rsid w:val="597A6E22"/>
    <w:rsid w:val="59844DD0"/>
    <w:rsid w:val="59911A66"/>
    <w:rsid w:val="5A1C4369"/>
    <w:rsid w:val="5ACB0C01"/>
    <w:rsid w:val="5B51736F"/>
    <w:rsid w:val="5B9A6DFB"/>
    <w:rsid w:val="5BC47FA4"/>
    <w:rsid w:val="5C666E48"/>
    <w:rsid w:val="5C895DFE"/>
    <w:rsid w:val="5CC44962"/>
    <w:rsid w:val="5CCB2C19"/>
    <w:rsid w:val="5D4C039F"/>
    <w:rsid w:val="5DC2642E"/>
    <w:rsid w:val="5DD24E5D"/>
    <w:rsid w:val="5DE8170E"/>
    <w:rsid w:val="5E6A3C96"/>
    <w:rsid w:val="5E6C5E8E"/>
    <w:rsid w:val="5EB84053"/>
    <w:rsid w:val="5EB97DCB"/>
    <w:rsid w:val="5EF6082D"/>
    <w:rsid w:val="5F524EDB"/>
    <w:rsid w:val="5F6743CD"/>
    <w:rsid w:val="5FBC4017"/>
    <w:rsid w:val="5FCF3ECC"/>
    <w:rsid w:val="5FDC47CF"/>
    <w:rsid w:val="605606A2"/>
    <w:rsid w:val="60B62814"/>
    <w:rsid w:val="60EB4BB4"/>
    <w:rsid w:val="611A0637"/>
    <w:rsid w:val="613320B7"/>
    <w:rsid w:val="61EB419F"/>
    <w:rsid w:val="61F21F72"/>
    <w:rsid w:val="621D42A9"/>
    <w:rsid w:val="62A72B49"/>
    <w:rsid w:val="62F5079B"/>
    <w:rsid w:val="63434380"/>
    <w:rsid w:val="63942E96"/>
    <w:rsid w:val="64536A4E"/>
    <w:rsid w:val="647C5B23"/>
    <w:rsid w:val="65387E45"/>
    <w:rsid w:val="65DD0843"/>
    <w:rsid w:val="66141254"/>
    <w:rsid w:val="66605E15"/>
    <w:rsid w:val="66E34891"/>
    <w:rsid w:val="67492634"/>
    <w:rsid w:val="67CC7ACA"/>
    <w:rsid w:val="67FC0AA6"/>
    <w:rsid w:val="6809591F"/>
    <w:rsid w:val="68740E33"/>
    <w:rsid w:val="68834BD3"/>
    <w:rsid w:val="68A61C58"/>
    <w:rsid w:val="68F87BBB"/>
    <w:rsid w:val="68FC2C9A"/>
    <w:rsid w:val="693C3AD3"/>
    <w:rsid w:val="69630708"/>
    <w:rsid w:val="69896722"/>
    <w:rsid w:val="69B85201"/>
    <w:rsid w:val="6A5D3C6A"/>
    <w:rsid w:val="6A797B25"/>
    <w:rsid w:val="6B173566"/>
    <w:rsid w:val="6B4D73C2"/>
    <w:rsid w:val="6B5E5F82"/>
    <w:rsid w:val="6B6317EA"/>
    <w:rsid w:val="6BF26DA2"/>
    <w:rsid w:val="6C500390"/>
    <w:rsid w:val="6C7153D2"/>
    <w:rsid w:val="6C924B09"/>
    <w:rsid w:val="6CAE45F3"/>
    <w:rsid w:val="6CC14A1B"/>
    <w:rsid w:val="6CC544A4"/>
    <w:rsid w:val="6CCA070A"/>
    <w:rsid w:val="6D2D0685"/>
    <w:rsid w:val="6D420006"/>
    <w:rsid w:val="6D850E3D"/>
    <w:rsid w:val="6DAC1227"/>
    <w:rsid w:val="6DC31233"/>
    <w:rsid w:val="6E100C1C"/>
    <w:rsid w:val="6E274D51"/>
    <w:rsid w:val="6E6E602D"/>
    <w:rsid w:val="6E7A1325"/>
    <w:rsid w:val="6E7A74F2"/>
    <w:rsid w:val="6E802A34"/>
    <w:rsid w:val="6EB53936"/>
    <w:rsid w:val="6EC61449"/>
    <w:rsid w:val="6EE85109"/>
    <w:rsid w:val="6F060E0B"/>
    <w:rsid w:val="6F1572A0"/>
    <w:rsid w:val="6F3E2352"/>
    <w:rsid w:val="6F447C73"/>
    <w:rsid w:val="6FAD03FC"/>
    <w:rsid w:val="6FE30931"/>
    <w:rsid w:val="701A4EF6"/>
    <w:rsid w:val="702A1CFF"/>
    <w:rsid w:val="703B0FFC"/>
    <w:rsid w:val="707F2800"/>
    <w:rsid w:val="70D50A94"/>
    <w:rsid w:val="70F14640"/>
    <w:rsid w:val="71046F0B"/>
    <w:rsid w:val="71174BDA"/>
    <w:rsid w:val="715C7C0B"/>
    <w:rsid w:val="71AD1965"/>
    <w:rsid w:val="71CF1988"/>
    <w:rsid w:val="72921175"/>
    <w:rsid w:val="72EC6569"/>
    <w:rsid w:val="736C58EB"/>
    <w:rsid w:val="73990E7F"/>
    <w:rsid w:val="739D75FF"/>
    <w:rsid w:val="73C9195C"/>
    <w:rsid w:val="73CE5975"/>
    <w:rsid w:val="73EF66B3"/>
    <w:rsid w:val="73F32D1E"/>
    <w:rsid w:val="74021C59"/>
    <w:rsid w:val="74433387"/>
    <w:rsid w:val="74B81BBE"/>
    <w:rsid w:val="751E14E8"/>
    <w:rsid w:val="75575526"/>
    <w:rsid w:val="756A7D0A"/>
    <w:rsid w:val="75C3293C"/>
    <w:rsid w:val="760E6E58"/>
    <w:rsid w:val="764D4B3C"/>
    <w:rsid w:val="76B632AE"/>
    <w:rsid w:val="76CF6FDB"/>
    <w:rsid w:val="76FC2343"/>
    <w:rsid w:val="773F310C"/>
    <w:rsid w:val="77E00BE2"/>
    <w:rsid w:val="77E20027"/>
    <w:rsid w:val="78764886"/>
    <w:rsid w:val="78931961"/>
    <w:rsid w:val="789C26E5"/>
    <w:rsid w:val="78A4106E"/>
    <w:rsid w:val="79294ED6"/>
    <w:rsid w:val="79304A14"/>
    <w:rsid w:val="793A3D6A"/>
    <w:rsid w:val="7A373CC9"/>
    <w:rsid w:val="7A4614FE"/>
    <w:rsid w:val="7A613399"/>
    <w:rsid w:val="7A861051"/>
    <w:rsid w:val="7A87163D"/>
    <w:rsid w:val="7A9279F6"/>
    <w:rsid w:val="7A9A5606"/>
    <w:rsid w:val="7AAE5B4A"/>
    <w:rsid w:val="7B2C3D2A"/>
    <w:rsid w:val="7B2F3497"/>
    <w:rsid w:val="7B5B3E0B"/>
    <w:rsid w:val="7B6A1639"/>
    <w:rsid w:val="7B7539D2"/>
    <w:rsid w:val="7B7C70C0"/>
    <w:rsid w:val="7BFF2E69"/>
    <w:rsid w:val="7C1B74AF"/>
    <w:rsid w:val="7C2460C7"/>
    <w:rsid w:val="7C577DAD"/>
    <w:rsid w:val="7C5F1B5A"/>
    <w:rsid w:val="7C99712A"/>
    <w:rsid w:val="7CF156D0"/>
    <w:rsid w:val="7D0138DE"/>
    <w:rsid w:val="7D031DA1"/>
    <w:rsid w:val="7D425704"/>
    <w:rsid w:val="7D6A4C5A"/>
    <w:rsid w:val="7D935F5F"/>
    <w:rsid w:val="7E321315"/>
    <w:rsid w:val="7F61488F"/>
    <w:rsid w:val="7F947D6D"/>
    <w:rsid w:val="7FA81FB6"/>
    <w:rsid w:val="7FCA0CDB"/>
    <w:rsid w:val="7FD75E62"/>
    <w:rsid w:val="7FE93462"/>
    <w:rsid w:val="7FEC7BA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nhideWhenUsed="0" w:uiPriority="0"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nhideWhenUsed="0" w:uiPriority="99" w:semiHidden="0" w:name="caption"/>
    <w:lsdException w:qFormat="1"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autoRedefine/>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autoRedefine/>
    <w:qFormat/>
    <w:uiPriority w:val="0"/>
    <w:pPr>
      <w:keepNext/>
      <w:tabs>
        <w:tab w:val="left" w:pos="0"/>
        <w:tab w:val="left" w:pos="851"/>
      </w:tabs>
      <w:snapToGrid w:val="0"/>
      <w:jc w:val="left"/>
      <w:textAlignment w:val="baseline"/>
      <w:outlineLvl w:val="3"/>
    </w:pPr>
    <w:rPr>
      <w:rFonts w:eastAsia="黑体"/>
      <w:b/>
      <w:bCs/>
      <w:snapToGrid w:val="0"/>
      <w:kern w:val="0"/>
      <w:sz w:val="24"/>
    </w:rPr>
  </w:style>
  <w:style w:type="character" w:default="1" w:styleId="39">
    <w:name w:val="Default Paragraph Font"/>
    <w:link w:val="40"/>
    <w:semiHidden/>
    <w:qFormat/>
    <w:uiPriority w:val="0"/>
    <w:rPr>
      <w:rFonts w:ascii="宋体"/>
      <w:sz w:val="18"/>
      <w:szCs w:val="18"/>
    </w:rPr>
  </w:style>
  <w:style w:type="table" w:default="1" w:styleId="37">
    <w:name w:val="Normal Table"/>
    <w:autoRedefine/>
    <w:semiHidden/>
    <w:qFormat/>
    <w:uiPriority w:val="0"/>
    <w:tblPr>
      <w:tblCellMar>
        <w:top w:w="0" w:type="dxa"/>
        <w:left w:w="108" w:type="dxa"/>
        <w:bottom w:w="0" w:type="dxa"/>
        <w:right w:w="108" w:type="dxa"/>
      </w:tblCellMar>
    </w:tblPr>
  </w:style>
  <w:style w:type="paragraph" w:styleId="6">
    <w:name w:val="Normal Indent"/>
    <w:basedOn w:val="1"/>
    <w:next w:val="7"/>
    <w:qFormat/>
    <w:uiPriority w:val="0"/>
    <w:pPr>
      <w:ind w:firstLine="420" w:firstLineChars="200"/>
    </w:pPr>
  </w:style>
  <w:style w:type="paragraph" w:styleId="7">
    <w:name w:val="toc 1"/>
    <w:basedOn w:val="1"/>
    <w:next w:val="1"/>
    <w:unhideWhenUsed/>
    <w:qFormat/>
    <w:uiPriority w:val="39"/>
    <w:pPr>
      <w:tabs>
        <w:tab w:val="right" w:leader="middleDot" w:pos="9061"/>
      </w:tabs>
      <w:spacing w:line="360" w:lineRule="auto"/>
      <w:jc w:val="center"/>
    </w:pPr>
    <w:rPr>
      <w:rFonts w:ascii="Times New Roman" w:hAnsi="Times New Roman"/>
      <w:b/>
      <w:sz w:val="24"/>
      <w:szCs w:val="24"/>
      <w:lang w:val="zh-CN"/>
    </w:rPr>
  </w:style>
  <w:style w:type="paragraph" w:styleId="8">
    <w:name w:val="caption"/>
    <w:basedOn w:val="1"/>
    <w:next w:val="1"/>
    <w:autoRedefine/>
    <w:qFormat/>
    <w:uiPriority w:val="99"/>
    <w:pPr>
      <w:spacing w:beforeLines="30" w:afterLines="30"/>
      <w:jc w:val="center"/>
    </w:pPr>
    <w:rPr>
      <w:rFonts w:eastAsia="黑体"/>
      <w:kern w:val="0"/>
      <w:sz w:val="20"/>
      <w:szCs w:val="20"/>
    </w:rPr>
  </w:style>
  <w:style w:type="paragraph" w:styleId="9">
    <w:name w:val="Document Map"/>
    <w:basedOn w:val="1"/>
    <w:autoRedefine/>
    <w:semiHidden/>
    <w:qFormat/>
    <w:uiPriority w:val="0"/>
    <w:pPr>
      <w:shd w:val="clear" w:color="auto" w:fill="000080"/>
    </w:pPr>
  </w:style>
  <w:style w:type="paragraph" w:styleId="10">
    <w:name w:val="annotation text"/>
    <w:basedOn w:val="1"/>
    <w:autoRedefine/>
    <w:qFormat/>
    <w:uiPriority w:val="0"/>
    <w:pPr>
      <w:jc w:val="left"/>
    </w:pPr>
  </w:style>
  <w:style w:type="paragraph" w:styleId="11">
    <w:name w:val="Salutation"/>
    <w:basedOn w:val="1"/>
    <w:next w:val="1"/>
    <w:qFormat/>
    <w:uiPriority w:val="0"/>
  </w:style>
  <w:style w:type="paragraph" w:styleId="12">
    <w:name w:val="Body Text 3"/>
    <w:basedOn w:val="1"/>
    <w:qFormat/>
    <w:uiPriority w:val="0"/>
    <w:rPr>
      <w:kern w:val="0"/>
      <w:sz w:val="24"/>
    </w:rPr>
  </w:style>
  <w:style w:type="paragraph" w:styleId="13">
    <w:name w:val="Body Text"/>
    <w:basedOn w:val="1"/>
    <w:next w:val="14"/>
    <w:link w:val="113"/>
    <w:autoRedefine/>
    <w:qFormat/>
    <w:uiPriority w:val="0"/>
    <w:pPr>
      <w:spacing w:after="120"/>
    </w:pPr>
  </w:style>
  <w:style w:type="paragraph" w:styleId="14">
    <w:name w:val="List Bullet 5"/>
    <w:basedOn w:val="1"/>
    <w:autoRedefine/>
    <w:qFormat/>
    <w:uiPriority w:val="0"/>
    <w:pPr>
      <w:numPr>
        <w:ilvl w:val="0"/>
        <w:numId w:val="1"/>
      </w:numPr>
    </w:pPr>
  </w:style>
  <w:style w:type="paragraph" w:styleId="15">
    <w:name w:val="Body Text Indent"/>
    <w:basedOn w:val="1"/>
    <w:next w:val="16"/>
    <w:link w:val="123"/>
    <w:autoRedefine/>
    <w:qFormat/>
    <w:uiPriority w:val="0"/>
    <w:pPr>
      <w:spacing w:before="240" w:line="360" w:lineRule="auto"/>
      <w:ind w:firstLine="482"/>
    </w:pPr>
    <w:rPr>
      <w:rFonts w:ascii="宋体" w:hAnsi="宋体"/>
      <w:sz w:val="24"/>
      <w:szCs w:val="24"/>
    </w:rPr>
  </w:style>
  <w:style w:type="paragraph" w:customStyle="1" w:styleId="16">
    <w:name w:val="样式 正文文本缩进 + 行距: 1.5 倍行距"/>
    <w:basedOn w:val="17"/>
    <w:next w:val="1"/>
    <w:autoRedefine/>
    <w:qFormat/>
    <w:uiPriority w:val="0"/>
    <w:pPr>
      <w:spacing w:before="0" w:after="120"/>
      <w:ind w:left="90" w:leftChars="32" w:firstLine="560" w:firstLineChars="200"/>
    </w:pPr>
    <w:rPr>
      <w:rFonts w:ascii="Times New Roman" w:hAnsi="Times New Roman" w:cs="宋体"/>
      <w:szCs w:val="20"/>
    </w:rPr>
  </w:style>
  <w:style w:type="paragraph" w:customStyle="1" w:styleId="17">
    <w:name w:val="Body Text Indent"/>
    <w:basedOn w:val="18"/>
    <w:next w:val="16"/>
    <w:qFormat/>
    <w:uiPriority w:val="0"/>
    <w:pPr>
      <w:widowControl w:val="0"/>
      <w:ind w:firstLine="480" w:firstLineChars="200"/>
      <w:jc w:val="both"/>
    </w:pPr>
    <w:rPr>
      <w:rFonts w:ascii="宋体" w:hAnsi="宋体"/>
      <w:kern w:val="2"/>
      <w:sz w:val="21"/>
      <w:szCs w:val="28"/>
      <w:lang w:val="en-US" w:eastAsia="zh-CN" w:bidi="ar-SA"/>
    </w:rPr>
  </w:style>
  <w:style w:type="paragraph" w:customStyle="1" w:styleId="18">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styleId="19">
    <w:name w:val="Plain Text"/>
    <w:basedOn w:val="1"/>
    <w:link w:val="119"/>
    <w:autoRedefine/>
    <w:qFormat/>
    <w:uiPriority w:val="0"/>
    <w:rPr>
      <w:rFonts w:ascii="宋体" w:hAnsi="Courier New" w:cs="Courier New"/>
      <w:szCs w:val="21"/>
    </w:rPr>
  </w:style>
  <w:style w:type="paragraph" w:styleId="20">
    <w:name w:val="Body Text Indent 2"/>
    <w:basedOn w:val="1"/>
    <w:next w:val="21"/>
    <w:link w:val="110"/>
    <w:autoRedefine/>
    <w:qFormat/>
    <w:uiPriority w:val="0"/>
    <w:pPr>
      <w:spacing w:line="360" w:lineRule="auto"/>
      <w:ind w:left="720" w:hanging="720"/>
    </w:pPr>
    <w:rPr>
      <w:rFonts w:ascii="宋体"/>
      <w:sz w:val="24"/>
    </w:rPr>
  </w:style>
  <w:style w:type="paragraph" w:customStyle="1" w:styleId="21">
    <w:name w:val="reader-word-layer reader-word-s46-2"/>
    <w:basedOn w:val="1"/>
    <w:next w:val="22"/>
    <w:autoRedefine/>
    <w:qFormat/>
    <w:uiPriority w:val="0"/>
    <w:pPr>
      <w:widowControl/>
      <w:spacing w:before="280" w:after="280" w:line="240" w:lineRule="auto"/>
      <w:jc w:val="both"/>
    </w:pPr>
    <w:rPr>
      <w:rFonts w:ascii="宋体"/>
      <w:sz w:val="24"/>
    </w:rPr>
  </w:style>
  <w:style w:type="paragraph" w:customStyle="1" w:styleId="22">
    <w:name w:val="xl35"/>
    <w:basedOn w:val="1"/>
    <w:next w:val="1"/>
    <w:autoRedefine/>
    <w:qFormat/>
    <w:uiPriority w:val="0"/>
    <w:pPr>
      <w:widowControl/>
      <w:pBdr>
        <w:top w:val="single" w:color="auto" w:sz="4" w:space="0"/>
        <w:left w:val="single" w:color="auto" w:sz="4" w:space="0"/>
        <w:bottom w:val="single" w:color="auto" w:sz="4" w:space="0"/>
        <w:right w:val="single" w:color="auto" w:sz="4" w:space="0"/>
      </w:pBdr>
      <w:spacing w:before="100" w:beforeLines="0" w:beforeAutospacing="1" w:after="100" w:afterLines="0" w:afterAutospacing="1"/>
      <w:jc w:val="right"/>
    </w:pPr>
    <w:rPr>
      <w:rFonts w:ascii="宋体" w:hAnsi="宋体" w:cs="宋体"/>
      <w:kern w:val="0"/>
      <w:sz w:val="24"/>
    </w:rPr>
  </w:style>
  <w:style w:type="paragraph" w:styleId="23">
    <w:name w:val="footer"/>
    <w:basedOn w:val="1"/>
    <w:autoRedefine/>
    <w:qFormat/>
    <w:uiPriority w:val="0"/>
    <w:pPr>
      <w:tabs>
        <w:tab w:val="center" w:pos="4153"/>
        <w:tab w:val="right" w:pos="8306"/>
      </w:tabs>
      <w:snapToGrid w:val="0"/>
      <w:jc w:val="left"/>
    </w:pPr>
    <w:rPr>
      <w:sz w:val="18"/>
      <w:szCs w:val="18"/>
    </w:rPr>
  </w:style>
  <w:style w:type="paragraph" w:styleId="24">
    <w:name w:val="envelope return"/>
    <w:basedOn w:val="1"/>
    <w:qFormat/>
    <w:uiPriority w:val="0"/>
    <w:pPr>
      <w:snapToGrid w:val="0"/>
    </w:pPr>
    <w:rPr>
      <w:rFonts w:ascii="Arial" w:hAnsi="Arial"/>
    </w:rPr>
  </w:style>
  <w:style w:type="paragraph" w:styleId="25">
    <w:name w:val="header"/>
    <w:basedOn w:val="1"/>
    <w:next w:val="26"/>
    <w:autoRedefine/>
    <w:qFormat/>
    <w:uiPriority w:val="99"/>
    <w:pPr>
      <w:pBdr>
        <w:bottom w:val="single" w:color="auto" w:sz="6" w:space="1"/>
      </w:pBdr>
      <w:tabs>
        <w:tab w:val="center" w:pos="4153"/>
        <w:tab w:val="right" w:pos="8306"/>
      </w:tabs>
      <w:snapToGrid w:val="0"/>
      <w:jc w:val="center"/>
    </w:pPr>
    <w:rPr>
      <w:sz w:val="18"/>
      <w:szCs w:val="18"/>
    </w:rPr>
  </w:style>
  <w:style w:type="paragraph" w:customStyle="1" w:styleId="26">
    <w:name w:val="样式5"/>
    <w:basedOn w:val="13"/>
    <w:next w:val="1"/>
    <w:link w:val="135"/>
    <w:autoRedefine/>
    <w:qFormat/>
    <w:uiPriority w:val="0"/>
    <w:pPr>
      <w:snapToGrid w:val="0"/>
      <w:spacing w:line="360" w:lineRule="auto"/>
      <w:ind w:firstLine="510"/>
    </w:pPr>
    <w:rPr>
      <w:rFonts w:ascii="宋体" w:hAnsi="宋体"/>
      <w:kern w:val="0"/>
      <w:sz w:val="24"/>
      <w:szCs w:val="24"/>
    </w:rPr>
  </w:style>
  <w:style w:type="paragraph" w:styleId="27">
    <w:name w:val="Subtitle"/>
    <w:basedOn w:val="1"/>
    <w:next w:val="1"/>
    <w:autoRedefine/>
    <w:qFormat/>
    <w:uiPriority w:val="0"/>
    <w:pPr>
      <w:keepNext/>
      <w:keepLines/>
      <w:snapToGrid w:val="0"/>
      <w:spacing w:line="480" w:lineRule="exact"/>
      <w:ind w:firstLine="482" w:firstLineChars="200"/>
    </w:pPr>
    <w:rPr>
      <w:rFonts w:ascii="Times New Roman" w:hAnsi="Times New Roman" w:cs="Times New Roman"/>
      <w:b/>
      <w:sz w:val="24"/>
    </w:rPr>
  </w:style>
  <w:style w:type="paragraph" w:styleId="28">
    <w:name w:val="List"/>
    <w:basedOn w:val="1"/>
    <w:autoRedefine/>
    <w:qFormat/>
    <w:uiPriority w:val="0"/>
    <w:pPr>
      <w:spacing w:line="320" w:lineRule="exact"/>
      <w:jc w:val="center"/>
    </w:pPr>
    <w:rPr>
      <w:sz w:val="20"/>
      <w:szCs w:val="24"/>
    </w:rPr>
  </w:style>
  <w:style w:type="paragraph" w:styleId="29">
    <w:name w:val="Body Text Indent 3"/>
    <w:basedOn w:val="1"/>
    <w:autoRedefine/>
    <w:qFormat/>
    <w:uiPriority w:val="0"/>
    <w:pPr>
      <w:spacing w:after="120"/>
      <w:ind w:left="420" w:leftChars="200"/>
    </w:pPr>
    <w:rPr>
      <w:sz w:val="16"/>
      <w:szCs w:val="16"/>
    </w:rPr>
  </w:style>
  <w:style w:type="paragraph" w:styleId="30">
    <w:name w:val="index 7"/>
    <w:basedOn w:val="1"/>
    <w:next w:val="1"/>
    <w:autoRedefine/>
    <w:qFormat/>
    <w:uiPriority w:val="0"/>
    <w:pPr>
      <w:ind w:left="1200" w:leftChars="1200"/>
    </w:pPr>
  </w:style>
  <w:style w:type="paragraph" w:styleId="31">
    <w:name w:val="table of figures"/>
    <w:basedOn w:val="1"/>
    <w:next w:val="1"/>
    <w:autoRedefine/>
    <w:qFormat/>
    <w:uiPriority w:val="0"/>
  </w:style>
  <w:style w:type="paragraph" w:styleId="32">
    <w:name w:val="Body Text 2"/>
    <w:basedOn w:val="1"/>
    <w:autoRedefine/>
    <w:qFormat/>
    <w:uiPriority w:val="0"/>
    <w:pPr>
      <w:spacing w:line="480" w:lineRule="exact"/>
    </w:pPr>
    <w:rPr>
      <w:rFonts w:ascii="宋体" w:hAnsi="宋体"/>
      <w:sz w:val="24"/>
      <w:szCs w:val="20"/>
    </w:rPr>
  </w:style>
  <w:style w:type="paragraph" w:styleId="33">
    <w:name w:val="HTML Preformatted"/>
    <w:basedOn w:val="1"/>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34">
    <w:name w:val="Normal (Web)"/>
    <w:basedOn w:val="1"/>
    <w:next w:val="30"/>
    <w:autoRedefine/>
    <w:qFormat/>
    <w:uiPriority w:val="0"/>
    <w:pPr>
      <w:spacing w:before="100" w:beforeAutospacing="1" w:after="100" w:afterAutospacing="1"/>
      <w:ind w:left="0" w:right="0"/>
      <w:jc w:val="left"/>
    </w:pPr>
    <w:rPr>
      <w:kern w:val="0"/>
      <w:sz w:val="24"/>
      <w:lang w:val="en-US" w:eastAsia="zh-CN" w:bidi="ar"/>
    </w:rPr>
  </w:style>
  <w:style w:type="paragraph" w:styleId="35">
    <w:name w:val="Body Text First Indent"/>
    <w:basedOn w:val="13"/>
    <w:next w:val="1"/>
    <w:autoRedefine/>
    <w:qFormat/>
    <w:uiPriority w:val="0"/>
    <w:pPr>
      <w:widowControl/>
      <w:adjustRightInd w:val="0"/>
      <w:snapToGrid w:val="0"/>
      <w:spacing w:line="336" w:lineRule="auto"/>
      <w:ind w:firstLine="200" w:firstLineChars="200"/>
    </w:pPr>
    <w:rPr>
      <w:rFonts w:hAnsi="宋体"/>
      <w:snapToGrid w:val="0"/>
      <w:color w:val="000000"/>
      <w:kern w:val="0"/>
    </w:rPr>
  </w:style>
  <w:style w:type="paragraph" w:styleId="36">
    <w:name w:val="Body Text First Indent 2"/>
    <w:basedOn w:val="15"/>
    <w:next w:val="1"/>
    <w:link w:val="122"/>
    <w:autoRedefine/>
    <w:qFormat/>
    <w:uiPriority w:val="0"/>
    <w:pPr>
      <w:spacing w:before="0" w:after="120" w:line="240" w:lineRule="auto"/>
      <w:ind w:left="420" w:leftChars="200" w:firstLine="420" w:firstLineChars="200"/>
    </w:pPr>
    <w:rPr>
      <w:rFonts w:ascii="Times New Roman"/>
      <w:sz w:val="21"/>
    </w:rPr>
  </w:style>
  <w:style w:type="table" w:styleId="38">
    <w:name w:val="Table Grid"/>
    <w:basedOn w:val="37"/>
    <w:autoRedefine/>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paragraph" w:customStyle="1" w:styleId="40">
    <w:name w:val="_Style 39"/>
    <w:basedOn w:val="9"/>
    <w:link w:val="39"/>
    <w:autoRedefine/>
    <w:qFormat/>
    <w:uiPriority w:val="0"/>
    <w:rPr>
      <w:rFonts w:ascii="宋体"/>
      <w:sz w:val="18"/>
      <w:szCs w:val="18"/>
    </w:rPr>
  </w:style>
  <w:style w:type="character" w:styleId="41">
    <w:name w:val="Strong"/>
    <w:basedOn w:val="39"/>
    <w:autoRedefine/>
    <w:qFormat/>
    <w:uiPriority w:val="22"/>
    <w:rPr>
      <w:b/>
      <w:bCs/>
    </w:rPr>
  </w:style>
  <w:style w:type="character" w:styleId="42">
    <w:name w:val="page number"/>
    <w:basedOn w:val="39"/>
    <w:autoRedefine/>
    <w:qFormat/>
    <w:uiPriority w:val="99"/>
    <w:rPr>
      <w:rFonts w:ascii="宋体" w:eastAsia="宋体" w:cs="宋体"/>
      <w:sz w:val="24"/>
      <w:szCs w:val="24"/>
    </w:rPr>
  </w:style>
  <w:style w:type="character" w:styleId="43">
    <w:name w:val="FollowedHyperlink"/>
    <w:basedOn w:val="39"/>
    <w:autoRedefine/>
    <w:qFormat/>
    <w:uiPriority w:val="0"/>
    <w:rPr>
      <w:color w:val="800080"/>
      <w:u w:val="none"/>
    </w:rPr>
  </w:style>
  <w:style w:type="character" w:styleId="44">
    <w:name w:val="Emphasis"/>
    <w:basedOn w:val="39"/>
    <w:autoRedefine/>
    <w:qFormat/>
    <w:uiPriority w:val="0"/>
  </w:style>
  <w:style w:type="character" w:styleId="45">
    <w:name w:val="Hyperlink"/>
    <w:basedOn w:val="39"/>
    <w:autoRedefine/>
    <w:qFormat/>
    <w:uiPriority w:val="99"/>
    <w:rPr>
      <w:rFonts w:cs="Times New Roman"/>
      <w:color w:val="3366CC"/>
      <w:u w:val="single"/>
    </w:rPr>
  </w:style>
  <w:style w:type="character" w:styleId="46">
    <w:name w:val="annotation reference"/>
    <w:basedOn w:val="39"/>
    <w:autoRedefine/>
    <w:semiHidden/>
    <w:qFormat/>
    <w:uiPriority w:val="0"/>
    <w:rPr>
      <w:rFonts w:cs="Times New Roman"/>
      <w:sz w:val="21"/>
    </w:rPr>
  </w:style>
  <w:style w:type="paragraph" w:customStyle="1" w:styleId="47">
    <w:name w:val="正文文本缩进1"/>
    <w:basedOn w:val="1"/>
    <w:next w:val="16"/>
    <w:autoRedefine/>
    <w:qFormat/>
    <w:uiPriority w:val="0"/>
    <w:pPr>
      <w:spacing w:line="560" w:lineRule="exact"/>
      <w:ind w:firstLine="560" w:firstLineChars="200"/>
    </w:pPr>
    <w:rPr>
      <w:rFonts w:ascii="宋体" w:hAnsi="宋体"/>
      <w:sz w:val="28"/>
    </w:rPr>
  </w:style>
  <w:style w:type="paragraph" w:customStyle="1" w:styleId="48">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49">
    <w:name w:val="+正文"/>
    <w:autoRedefine/>
    <w:qFormat/>
    <w:uiPriority w:val="0"/>
    <w:pPr>
      <w:widowControl w:val="0"/>
      <w:spacing w:line="360" w:lineRule="auto"/>
      <w:ind w:firstLine="200" w:firstLineChars="200"/>
      <w:jc w:val="both"/>
    </w:pPr>
    <w:rPr>
      <w:rFonts w:ascii="Times New Roman" w:hAnsi="Times New Roman" w:eastAsia="宋体" w:cs="Times New Roman"/>
      <w:kern w:val="2"/>
      <w:sz w:val="21"/>
      <w:szCs w:val="28"/>
      <w:lang w:val="en-US" w:eastAsia="zh-CN" w:bidi="ar-SA"/>
    </w:rPr>
  </w:style>
  <w:style w:type="paragraph" w:customStyle="1" w:styleId="50">
    <w:name w:val="正文1"/>
    <w:basedOn w:val="1"/>
    <w:next w:val="1"/>
    <w:autoRedefine/>
    <w:qFormat/>
    <w:uiPriority w:val="0"/>
    <w:pPr>
      <w:widowControl/>
      <w:spacing w:line="360" w:lineRule="auto"/>
      <w:ind w:firstLine="482"/>
    </w:pPr>
    <w:rPr>
      <w:kern w:val="0"/>
      <w:sz w:val="24"/>
    </w:rPr>
  </w:style>
  <w:style w:type="paragraph" w:customStyle="1" w:styleId="51">
    <w:name w:val="Default"/>
    <w:basedOn w:val="52"/>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52">
    <w:name w:val="纯文本1"/>
    <w:basedOn w:val="1"/>
    <w:autoRedefine/>
    <w:qFormat/>
    <w:uiPriority w:val="0"/>
    <w:pPr>
      <w:adjustRightInd w:val="0"/>
    </w:pPr>
    <w:rPr>
      <w:rFonts w:ascii="宋体" w:hAnsi="Courier New"/>
      <w:szCs w:val="20"/>
    </w:rPr>
  </w:style>
  <w:style w:type="paragraph" w:customStyle="1" w:styleId="53">
    <w:name w:val="样式35"/>
    <w:basedOn w:val="1"/>
    <w:next w:val="1"/>
    <w:autoRedefine/>
    <w:qFormat/>
    <w:uiPriority w:val="0"/>
    <w:pPr>
      <w:spacing w:line="312" w:lineRule="auto"/>
      <w:ind w:firstLine="567"/>
    </w:pPr>
    <w:rPr>
      <w:rFonts w:ascii="宋体"/>
      <w:sz w:val="28"/>
    </w:rPr>
  </w:style>
  <w:style w:type="paragraph" w:customStyle="1" w:styleId="54">
    <w:name w:val="样式 样式 样式 正文 行距: 固定值 25 磅 + 首行缩进:  2 字符1 + 行距: 固定值 24 磅"/>
    <w:basedOn w:val="55"/>
    <w:autoRedefine/>
    <w:qFormat/>
    <w:uiPriority w:val="0"/>
    <w:pPr>
      <w:spacing w:line="480" w:lineRule="exact"/>
    </w:pPr>
  </w:style>
  <w:style w:type="paragraph" w:customStyle="1" w:styleId="55">
    <w:name w:val="样式 样式 正文 行距: 固定值 25 磅 + 首行缩进:  2 字符1"/>
    <w:basedOn w:val="56"/>
    <w:autoRedefine/>
    <w:qFormat/>
    <w:uiPriority w:val="0"/>
    <w:pPr>
      <w:ind w:firstLine="480"/>
    </w:pPr>
    <w:rPr>
      <w:szCs w:val="20"/>
    </w:rPr>
  </w:style>
  <w:style w:type="paragraph" w:customStyle="1" w:styleId="56">
    <w:name w:val="样式 正文 行距: 固定值 25 磅"/>
    <w:basedOn w:val="1"/>
    <w:autoRedefine/>
    <w:qFormat/>
    <w:uiPriority w:val="0"/>
    <w:pPr>
      <w:spacing w:line="500" w:lineRule="exact"/>
    </w:pPr>
    <w:rPr>
      <w:rFonts w:cs="宋体"/>
    </w:rPr>
  </w:style>
  <w:style w:type="paragraph" w:customStyle="1" w:styleId="57">
    <w:name w:val="报告书正文"/>
    <w:basedOn w:val="1"/>
    <w:autoRedefine/>
    <w:qFormat/>
    <w:uiPriority w:val="0"/>
    <w:pPr>
      <w:spacing w:line="400" w:lineRule="exact"/>
      <w:ind w:firstLine="200" w:firstLineChars="200"/>
    </w:pPr>
    <w:rPr>
      <w:rFonts w:ascii="宋体" w:hAnsi="宋体" w:cs="宋体"/>
      <w:sz w:val="24"/>
      <w:szCs w:val="24"/>
    </w:rPr>
  </w:style>
  <w:style w:type="paragraph" w:customStyle="1" w:styleId="58">
    <w:name w:val="样式 样式 正文 首行缩进:  2 字符 + (中文) 楷体_GB2312 + 首行缩进:  2 字符"/>
    <w:basedOn w:val="1"/>
    <w:autoRedefine/>
    <w:qFormat/>
    <w:uiPriority w:val="0"/>
    <w:pPr>
      <w:adjustRightInd w:val="0"/>
      <w:snapToGrid w:val="0"/>
      <w:spacing w:line="500" w:lineRule="exact"/>
      <w:ind w:firstLine="480" w:firstLineChars="200"/>
    </w:pPr>
    <w:rPr>
      <w:rFonts w:cs="宋体"/>
      <w:sz w:val="24"/>
      <w:szCs w:val="20"/>
    </w:rPr>
  </w:style>
  <w:style w:type="paragraph" w:customStyle="1" w:styleId="59">
    <w:name w:val="Other|1"/>
    <w:basedOn w:val="1"/>
    <w:autoRedefine/>
    <w:qFormat/>
    <w:uiPriority w:val="0"/>
    <w:pPr>
      <w:widowControl w:val="0"/>
      <w:shd w:val="clear" w:color="auto" w:fill="auto"/>
      <w:jc w:val="center"/>
    </w:pPr>
    <w:rPr>
      <w:sz w:val="20"/>
      <w:szCs w:val="20"/>
      <w:u w:val="none"/>
      <w:shd w:val="clear" w:color="auto" w:fill="auto"/>
    </w:rPr>
  </w:style>
  <w:style w:type="paragraph" w:customStyle="1" w:styleId="60">
    <w:name w:val="表格填充1"/>
    <w:basedOn w:val="19"/>
    <w:autoRedefine/>
    <w:qFormat/>
    <w:uiPriority w:val="0"/>
    <w:pPr>
      <w:snapToGrid w:val="0"/>
    </w:pPr>
    <w:rPr>
      <w:rFonts w:ascii="Times New Roman" w:hAnsi="Times New Roman" w:eastAsia="仿宋_GB2312"/>
      <w:snapToGrid w:val="0"/>
      <w:sz w:val="28"/>
      <w:szCs w:val="24"/>
    </w:rPr>
  </w:style>
  <w:style w:type="paragraph" w:customStyle="1" w:styleId="61">
    <w:name w:val="样式 样式 样式 样式 小四 左 首行缩进:  2 字符 + 首行缩进:  2 字符 Char + 右  0 字符1 + 首行缩...3"/>
    <w:basedOn w:val="1"/>
    <w:autoRedefine/>
    <w:qFormat/>
    <w:uiPriority w:val="99"/>
    <w:pPr>
      <w:adjustRightInd w:val="0"/>
      <w:spacing w:line="360" w:lineRule="auto"/>
      <w:ind w:firstLine="480" w:firstLineChars="200"/>
      <w:jc w:val="left"/>
      <w:textAlignment w:val="baseline"/>
    </w:pPr>
    <w:rPr>
      <w:rFonts w:cs="宋体"/>
      <w:sz w:val="24"/>
      <w:szCs w:val="20"/>
    </w:rPr>
  </w:style>
  <w:style w:type="paragraph" w:customStyle="1" w:styleId="62">
    <w:name w:val="目录2"/>
    <w:basedOn w:val="1"/>
    <w:autoRedefine/>
    <w:qFormat/>
    <w:uiPriority w:val="0"/>
    <w:pPr>
      <w:jc w:val="left"/>
    </w:pPr>
    <w:rPr>
      <w:rFonts w:ascii="Times New Roman" w:hAnsi="Times New Roman"/>
      <w:b/>
      <w:sz w:val="24"/>
    </w:rPr>
  </w:style>
  <w:style w:type="paragraph" w:customStyle="1" w:styleId="63">
    <w:name w:val="报告书正文样式1"/>
    <w:basedOn w:val="64"/>
    <w:autoRedefine/>
    <w:qFormat/>
    <w:uiPriority w:val="0"/>
  </w:style>
  <w:style w:type="paragraph" w:customStyle="1" w:styleId="64">
    <w:name w:val="报告书表格"/>
    <w:basedOn w:val="1"/>
    <w:autoRedefine/>
    <w:qFormat/>
    <w:uiPriority w:val="0"/>
    <w:pPr>
      <w:adjustRightInd w:val="0"/>
      <w:spacing w:before="60" w:after="60" w:line="240" w:lineRule="atLeast"/>
      <w:jc w:val="center"/>
      <w:textAlignment w:val="baseline"/>
    </w:pPr>
    <w:rPr>
      <w:kern w:val="0"/>
      <w:sz w:val="28"/>
      <w:szCs w:val="20"/>
    </w:rPr>
  </w:style>
  <w:style w:type="paragraph" w:customStyle="1" w:styleId="65">
    <w:name w:val="正文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66">
    <w:name w:val="表格内容"/>
    <w:basedOn w:val="1"/>
    <w:link w:val="138"/>
    <w:autoRedefine/>
    <w:qFormat/>
    <w:uiPriority w:val="0"/>
    <w:pPr>
      <w:widowControl/>
      <w:adjustRightInd w:val="0"/>
      <w:snapToGrid w:val="0"/>
      <w:jc w:val="center"/>
    </w:pPr>
    <w:rPr>
      <w:szCs w:val="21"/>
    </w:rPr>
  </w:style>
  <w:style w:type="paragraph" w:customStyle="1" w:styleId="67">
    <w:name w:val="表文字"/>
    <w:basedOn w:val="1"/>
    <w:autoRedefine/>
    <w:qFormat/>
    <w:uiPriority w:val="0"/>
    <w:pPr>
      <w:overflowPunct w:val="0"/>
      <w:autoSpaceDE w:val="0"/>
      <w:autoSpaceDN w:val="0"/>
      <w:adjustRightInd w:val="0"/>
      <w:spacing w:before="156" w:beforeLines="50" w:line="360" w:lineRule="auto"/>
      <w:jc w:val="center"/>
      <w:textAlignment w:val="baseline"/>
    </w:pPr>
    <w:rPr>
      <w:kern w:val="0"/>
      <w:sz w:val="24"/>
    </w:rPr>
  </w:style>
  <w:style w:type="paragraph" w:customStyle="1" w:styleId="68">
    <w:name w:val="Table Paragraph"/>
    <w:basedOn w:val="1"/>
    <w:autoRedefine/>
    <w:qFormat/>
    <w:uiPriority w:val="1"/>
    <w:rPr>
      <w:rFonts w:ascii="宋体" w:hAnsi="宋体" w:cs="宋体"/>
      <w:lang w:val="zh-CN" w:bidi="zh-CN"/>
    </w:rPr>
  </w:style>
  <w:style w:type="paragraph" w:customStyle="1" w:styleId="69">
    <w:name w:val="二级标题"/>
    <w:basedOn w:val="1"/>
    <w:autoRedefine/>
    <w:qFormat/>
    <w:uiPriority w:val="0"/>
    <w:pPr>
      <w:adjustRightInd w:val="0"/>
      <w:spacing w:before="120" w:after="120" w:line="400" w:lineRule="atLeast"/>
      <w:textAlignment w:val="baseline"/>
    </w:pPr>
    <w:rPr>
      <w:rFonts w:eastAsia="黑体"/>
      <w:kern w:val="0"/>
      <w:sz w:val="28"/>
    </w:rPr>
  </w:style>
  <w:style w:type="paragraph" w:customStyle="1" w:styleId="70">
    <w:name w:val="表内容"/>
    <w:basedOn w:val="1"/>
    <w:autoRedefine/>
    <w:qFormat/>
    <w:uiPriority w:val="0"/>
    <w:pPr>
      <w:adjustRightInd w:val="0"/>
      <w:snapToGrid w:val="0"/>
      <w:jc w:val="center"/>
    </w:pPr>
    <w:rPr>
      <w:snapToGrid w:val="0"/>
      <w:kern w:val="0"/>
      <w:szCs w:val="21"/>
    </w:rPr>
  </w:style>
  <w:style w:type="paragraph" w:customStyle="1" w:styleId="71">
    <w:name w:val="中文报告书样式"/>
    <w:basedOn w:val="1"/>
    <w:autoRedefine/>
    <w:qFormat/>
    <w:uiPriority w:val="99"/>
    <w:pPr>
      <w:adjustRightInd w:val="0"/>
      <w:spacing w:line="480" w:lineRule="atLeast"/>
      <w:ind w:firstLine="482"/>
      <w:textAlignment w:val="baseline"/>
    </w:pPr>
    <w:rPr>
      <w:kern w:val="24"/>
      <w:sz w:val="24"/>
    </w:rPr>
  </w:style>
  <w:style w:type="paragraph" w:customStyle="1" w:styleId="72">
    <w:name w:val="图表文字"/>
    <w:basedOn w:val="1"/>
    <w:autoRedefine/>
    <w:qFormat/>
    <w:uiPriority w:val="0"/>
    <w:pPr>
      <w:spacing w:line="300" w:lineRule="exact"/>
      <w:jc w:val="center"/>
    </w:pPr>
    <w:rPr>
      <w:bCs/>
    </w:rPr>
  </w:style>
  <w:style w:type="paragraph" w:customStyle="1" w:styleId="73">
    <w:name w:val="表头"/>
    <w:basedOn w:val="50"/>
    <w:next w:val="74"/>
    <w:link w:val="107"/>
    <w:autoRedefine/>
    <w:qFormat/>
    <w:uiPriority w:val="0"/>
    <w:pPr>
      <w:spacing w:line="360" w:lineRule="auto"/>
      <w:jc w:val="center"/>
    </w:pPr>
    <w:rPr>
      <w:rFonts w:ascii="黑体" w:hAnsi="宋体" w:eastAsia="黑体"/>
      <w:sz w:val="24"/>
      <w:szCs w:val="24"/>
    </w:rPr>
  </w:style>
  <w:style w:type="paragraph" w:customStyle="1" w:styleId="74">
    <w:name w:val="表格编号"/>
    <w:basedOn w:val="1"/>
    <w:next w:val="1"/>
    <w:qFormat/>
    <w:uiPriority w:val="0"/>
    <w:pPr>
      <w:spacing w:line="60" w:lineRule="atLeast"/>
      <w:jc w:val="left"/>
    </w:pPr>
    <w:rPr>
      <w:spacing w:val="10"/>
      <w:kern w:val="0"/>
      <w:szCs w:val="21"/>
    </w:rPr>
  </w:style>
  <w:style w:type="paragraph" w:customStyle="1" w:styleId="75">
    <w:name w:val="正文缩进1"/>
    <w:basedOn w:val="1"/>
    <w:autoRedefine/>
    <w:qFormat/>
    <w:uiPriority w:val="99"/>
    <w:pPr>
      <w:ind w:firstLine="420"/>
    </w:pPr>
    <w:rPr>
      <w:kern w:val="0"/>
      <w:sz w:val="28"/>
      <w:szCs w:val="20"/>
    </w:rPr>
  </w:style>
  <w:style w:type="paragraph" w:customStyle="1" w:styleId="76">
    <w:name w:val="表格内文字格式"/>
    <w:basedOn w:val="1"/>
    <w:next w:val="1"/>
    <w:autoRedefine/>
    <w:qFormat/>
    <w:uiPriority w:val="0"/>
    <w:pPr>
      <w:adjustRightInd w:val="0"/>
      <w:snapToGrid w:val="0"/>
      <w:jc w:val="left"/>
    </w:pPr>
    <w:rPr>
      <w:szCs w:val="21"/>
    </w:rPr>
  </w:style>
  <w:style w:type="paragraph" w:customStyle="1" w:styleId="77">
    <w:name w:val="表格中"/>
    <w:autoRedefine/>
    <w:qFormat/>
    <w:uiPriority w:val="0"/>
    <w:pPr>
      <w:jc w:val="center"/>
    </w:pPr>
    <w:rPr>
      <w:rFonts w:ascii="Times New Roman" w:hAnsi="Times New Roman" w:eastAsia="宋体" w:cs="宋体"/>
      <w:sz w:val="21"/>
      <w:szCs w:val="22"/>
      <w:lang w:val="en-US" w:eastAsia="zh-CN" w:bidi="ar-SA"/>
    </w:rPr>
  </w:style>
  <w:style w:type="paragraph" w:customStyle="1" w:styleId="78">
    <w:name w:val="样式2"/>
    <w:autoRedefine/>
    <w:qFormat/>
    <w:uiPriority w:val="99"/>
    <w:pPr>
      <w:widowControl w:val="0"/>
      <w:spacing w:line="360" w:lineRule="auto"/>
    </w:pPr>
    <w:rPr>
      <w:rFonts w:ascii="Calibri" w:hAnsi="Calibri" w:eastAsia="宋体" w:cs="Times New Roman"/>
      <w:kern w:val="2"/>
      <w:sz w:val="21"/>
      <w:szCs w:val="24"/>
      <w:lang w:val="en-US" w:eastAsia="zh-CN" w:bidi="ar-SA"/>
    </w:rPr>
  </w:style>
  <w:style w:type="paragraph" w:customStyle="1" w:styleId="79">
    <w:name w:val="font0"/>
    <w:basedOn w:val="1"/>
    <w:autoRedefine/>
    <w:qFormat/>
    <w:uiPriority w:val="0"/>
    <w:pPr>
      <w:widowControl/>
      <w:spacing w:before="100" w:beforeAutospacing="1" w:after="100" w:afterAutospacing="1"/>
      <w:jc w:val="left"/>
    </w:pPr>
    <w:rPr>
      <w:rFonts w:hint="eastAsia" w:ascii="宋体" w:hAnsi="宋体"/>
      <w:kern w:val="0"/>
      <w:sz w:val="24"/>
      <w:szCs w:val="24"/>
    </w:rPr>
  </w:style>
  <w:style w:type="paragraph" w:customStyle="1" w:styleId="80">
    <w:name w:val="填表内容"/>
    <w:basedOn w:val="1"/>
    <w:autoRedefine/>
    <w:qFormat/>
    <w:uiPriority w:val="0"/>
    <w:pPr>
      <w:adjustRightInd w:val="0"/>
      <w:spacing w:line="480" w:lineRule="exact"/>
      <w:ind w:firstLine="560" w:firstLineChars="200"/>
      <w:jc w:val="left"/>
      <w:textAlignment w:val="baseline"/>
    </w:pPr>
    <w:rPr>
      <w:rFonts w:ascii="楷体_GB2312" w:eastAsia="楷体_GB2312"/>
      <w:sz w:val="28"/>
    </w:rPr>
  </w:style>
  <w:style w:type="paragraph" w:customStyle="1" w:styleId="81">
    <w:name w:val="谏壁正文chen"/>
    <w:basedOn w:val="1"/>
    <w:qFormat/>
    <w:uiPriority w:val="0"/>
    <w:pPr>
      <w:widowControl/>
      <w:adjustRightInd w:val="0"/>
      <w:ind w:firstLine="200"/>
      <w:jc w:val="left"/>
    </w:pPr>
    <w:rPr>
      <w:rFonts w:ascii="Calibri" w:hAnsi="Calibri"/>
      <w:kern w:val="0"/>
    </w:rPr>
  </w:style>
  <w:style w:type="paragraph" w:customStyle="1" w:styleId="82">
    <w:name w:val="2"/>
    <w:next w:val="15"/>
    <w:autoRedefine/>
    <w:qFormat/>
    <w:uiPriority w:val="0"/>
    <w:pPr>
      <w:widowControl w:val="0"/>
      <w:adjustRightInd w:val="0"/>
      <w:spacing w:line="520" w:lineRule="exact"/>
      <w:ind w:firstLine="567"/>
      <w:jc w:val="both"/>
    </w:pPr>
    <w:rPr>
      <w:rFonts w:ascii="仿宋_GB2312" w:hAnsi="Arial" w:eastAsia="仿宋_GB2312" w:cs="Arial"/>
      <w:color w:val="000000"/>
      <w:kern w:val="2"/>
      <w:sz w:val="28"/>
      <w:szCs w:val="28"/>
      <w:lang w:val="en-US" w:eastAsia="zh-CN" w:bidi="ar-SA"/>
    </w:rPr>
  </w:style>
  <w:style w:type="paragraph" w:customStyle="1" w:styleId="83">
    <w:name w:val="CEE正文"/>
    <w:basedOn w:val="1"/>
    <w:link w:val="118"/>
    <w:autoRedefine/>
    <w:qFormat/>
    <w:uiPriority w:val="0"/>
    <w:pPr>
      <w:spacing w:line="312" w:lineRule="auto"/>
      <w:ind w:firstLine="200" w:firstLineChars="200"/>
    </w:pPr>
    <w:rPr>
      <w:kern w:val="0"/>
      <w:sz w:val="24"/>
      <w:szCs w:val="24"/>
    </w:rPr>
  </w:style>
  <w:style w:type="paragraph" w:customStyle="1" w:styleId="84">
    <w:name w:val="正文啦"/>
    <w:basedOn w:val="1"/>
    <w:autoRedefine/>
    <w:qFormat/>
    <w:uiPriority w:val="0"/>
    <w:pPr>
      <w:spacing w:line="360" w:lineRule="auto"/>
      <w:ind w:firstLine="480" w:firstLineChars="200"/>
    </w:pPr>
    <w:rPr>
      <w:rFonts w:ascii="宋体" w:hAnsi="宋体"/>
      <w:bCs/>
      <w:sz w:val="24"/>
    </w:rPr>
  </w:style>
  <w:style w:type="paragraph" w:customStyle="1" w:styleId="85">
    <w:name w:val="A表头"/>
    <w:basedOn w:val="86"/>
    <w:autoRedefine/>
    <w:qFormat/>
    <w:uiPriority w:val="0"/>
    <w:pPr>
      <w:spacing w:line="240" w:lineRule="auto"/>
      <w:ind w:firstLine="0" w:firstLineChars="0"/>
      <w:jc w:val="center"/>
    </w:pPr>
    <w:rPr>
      <w:b/>
    </w:rPr>
  </w:style>
  <w:style w:type="paragraph" w:customStyle="1" w:styleId="86">
    <w:name w:val="A正文"/>
    <w:basedOn w:val="1"/>
    <w:autoRedefine/>
    <w:qFormat/>
    <w:uiPriority w:val="0"/>
    <w:pPr>
      <w:spacing w:line="360" w:lineRule="auto"/>
      <w:ind w:firstLine="480" w:firstLineChars="200"/>
    </w:pPr>
    <w:rPr>
      <w:kern w:val="0"/>
      <w:sz w:val="24"/>
    </w:rPr>
  </w:style>
  <w:style w:type="paragraph" w:customStyle="1" w:styleId="87">
    <w:name w:val="li_正文"/>
    <w:basedOn w:val="1"/>
    <w:autoRedefine/>
    <w:qFormat/>
    <w:uiPriority w:val="0"/>
    <w:pPr>
      <w:ind w:firstLine="200" w:firstLineChars="200"/>
      <w:jc w:val="left"/>
    </w:pPr>
    <w:rPr>
      <w:sz w:val="28"/>
      <w:szCs w:val="28"/>
    </w:rPr>
  </w:style>
  <w:style w:type="paragraph" w:customStyle="1" w:styleId="88">
    <w:name w:val="标题3"/>
    <w:basedOn w:val="1"/>
    <w:autoRedefine/>
    <w:qFormat/>
    <w:uiPriority w:val="0"/>
    <w:pPr>
      <w:spacing w:line="360" w:lineRule="auto"/>
      <w:outlineLvl w:val="2"/>
    </w:pPr>
    <w:rPr>
      <w:rFonts w:cs="宋体"/>
      <w:b/>
      <w:bCs/>
      <w:sz w:val="24"/>
      <w:szCs w:val="20"/>
    </w:rPr>
  </w:style>
  <w:style w:type="paragraph" w:customStyle="1" w:styleId="89">
    <w:name w:val="表格"/>
    <w:basedOn w:val="6"/>
    <w:link w:val="133"/>
    <w:autoRedefine/>
    <w:qFormat/>
    <w:uiPriority w:val="0"/>
    <w:pPr>
      <w:jc w:val="center"/>
    </w:pPr>
    <w:rPr>
      <w:rFonts w:ascii="Calibri" w:hAnsi="Calibri"/>
      <w:szCs w:val="22"/>
    </w:rPr>
  </w:style>
  <w:style w:type="paragraph" w:customStyle="1" w:styleId="90">
    <w:name w:val="样式"/>
    <w:autoRedefine/>
    <w:qFormat/>
    <w:uiPriority w:val="99"/>
    <w:pPr>
      <w:widowControl w:val="0"/>
      <w:autoSpaceDE w:val="0"/>
      <w:autoSpaceDN w:val="0"/>
      <w:adjustRightInd w:val="0"/>
      <w:jc w:val="center"/>
    </w:pPr>
    <w:rPr>
      <w:rFonts w:ascii="Times New Roman" w:hAnsi="Times New Roman" w:eastAsia="宋体" w:cs="Times New Roman"/>
      <w:sz w:val="24"/>
      <w:lang w:val="en-US" w:eastAsia="zh-CN" w:bidi="ar-SA"/>
    </w:rPr>
  </w:style>
  <w:style w:type="paragraph" w:customStyle="1" w:styleId="91">
    <w:name w:val="封面标准文稿编辑信息"/>
    <w:autoRedefine/>
    <w:qFormat/>
    <w:uiPriority w:val="0"/>
    <w:pPr>
      <w:spacing w:before="180" w:line="180" w:lineRule="exact"/>
      <w:jc w:val="center"/>
    </w:pPr>
    <w:rPr>
      <w:rFonts w:ascii="宋体" w:hAnsi="Times New Roman" w:eastAsia="宋体" w:cs="Times New Roman"/>
      <w:sz w:val="21"/>
      <w:szCs w:val="22"/>
      <w:lang w:val="en-US" w:eastAsia="zh-CN" w:bidi="ar-SA"/>
    </w:rPr>
  </w:style>
  <w:style w:type="paragraph" w:customStyle="1" w:styleId="92">
    <w:name w:val="样式 样式 样式 正文 首行缩进:  2 字符 + (中文) 楷体_GB2312 + 首行缩进:  2 字符 + 行距: 固定值..."/>
    <w:basedOn w:val="58"/>
    <w:autoRedefine/>
    <w:qFormat/>
    <w:uiPriority w:val="0"/>
    <w:pPr>
      <w:spacing w:line="490" w:lineRule="exact"/>
    </w:pPr>
  </w:style>
  <w:style w:type="paragraph" w:customStyle="1" w:styleId="93">
    <w:name w:val="p19"/>
    <w:basedOn w:val="1"/>
    <w:autoRedefine/>
    <w:qFormat/>
    <w:uiPriority w:val="0"/>
    <w:pPr>
      <w:widowControl/>
      <w:spacing w:line="360" w:lineRule="auto"/>
      <w:ind w:firstLine="420"/>
    </w:pPr>
    <w:rPr>
      <w:rFonts w:ascii="Times New Roman" w:hAnsi="Times New Roman"/>
      <w:kern w:val="0"/>
      <w:sz w:val="24"/>
      <w:szCs w:val="24"/>
    </w:rPr>
  </w:style>
  <w:style w:type="paragraph" w:customStyle="1" w:styleId="94">
    <w:name w:val="报告正文"/>
    <w:basedOn w:val="1"/>
    <w:autoRedefine/>
    <w:qFormat/>
    <w:uiPriority w:val="0"/>
    <w:pPr>
      <w:spacing w:line="360" w:lineRule="auto"/>
      <w:ind w:firstLine="200" w:firstLineChars="200"/>
      <w:jc w:val="left"/>
    </w:pPr>
    <w:rPr>
      <w:sz w:val="24"/>
    </w:rPr>
  </w:style>
  <w:style w:type="paragraph" w:customStyle="1" w:styleId="95">
    <w:name w:val="表标题"/>
    <w:basedOn w:val="1"/>
    <w:autoRedefine/>
    <w:qFormat/>
    <w:uiPriority w:val="0"/>
    <w:pPr>
      <w:spacing w:line="500" w:lineRule="exact"/>
      <w:ind w:firstLine="482"/>
      <w:jc w:val="center"/>
    </w:pPr>
    <w:rPr>
      <w:rFonts w:ascii="仿宋_GB2312" w:eastAsia="仿宋_GB2312"/>
      <w:b/>
      <w:bCs/>
      <w:kern w:val="0"/>
      <w:sz w:val="24"/>
      <w:szCs w:val="24"/>
    </w:rPr>
  </w:style>
  <w:style w:type="paragraph" w:customStyle="1" w:styleId="96">
    <w:name w:val="_Style 41"/>
    <w:basedOn w:val="1"/>
    <w:qFormat/>
    <w:uiPriority w:val="0"/>
  </w:style>
  <w:style w:type="paragraph" w:customStyle="1" w:styleId="97">
    <w:name w:val="表格内容样式"/>
    <w:basedOn w:val="1"/>
    <w:autoRedefine/>
    <w:qFormat/>
    <w:uiPriority w:val="0"/>
    <w:pPr>
      <w:tabs>
        <w:tab w:val="left" w:pos="540"/>
      </w:tabs>
      <w:spacing w:line="540" w:lineRule="exact"/>
      <w:ind w:firstLine="200" w:firstLineChars="200"/>
      <w:jc w:val="center"/>
    </w:pPr>
    <w:rPr>
      <w:rFonts w:ascii="宋体" w:hAnsi="宋体"/>
    </w:rPr>
  </w:style>
  <w:style w:type="paragraph" w:customStyle="1" w:styleId="98">
    <w:name w:val="HP正文"/>
    <w:basedOn w:val="1"/>
    <w:link w:val="125"/>
    <w:autoRedefine/>
    <w:qFormat/>
    <w:uiPriority w:val="0"/>
    <w:pPr>
      <w:jc w:val="left"/>
    </w:pPr>
  </w:style>
  <w:style w:type="paragraph" w:styleId="99">
    <w:name w:val="List Paragraph"/>
    <w:basedOn w:val="1"/>
    <w:autoRedefine/>
    <w:qFormat/>
    <w:uiPriority w:val="34"/>
    <w:pPr>
      <w:ind w:firstLine="420" w:firstLineChars="200"/>
    </w:pPr>
  </w:style>
  <w:style w:type="paragraph" w:customStyle="1" w:styleId="100">
    <w:name w:val="正文4号"/>
    <w:basedOn w:val="28"/>
    <w:autoRedefine/>
    <w:qFormat/>
    <w:uiPriority w:val="0"/>
    <w:pPr>
      <w:adjustRightInd w:val="0"/>
      <w:snapToGrid w:val="0"/>
      <w:spacing w:line="300" w:lineRule="auto"/>
      <w:ind w:left="200" w:firstLine="200" w:firstLineChars="200"/>
      <w:contextualSpacing/>
      <w:jc w:val="left"/>
    </w:pPr>
    <w:rPr>
      <w:rFonts w:ascii="仿宋_GB2312" w:hAnsi="仿宋_GB2312" w:eastAsia="仿宋_GB2312"/>
      <w:sz w:val="28"/>
      <w:szCs w:val="21"/>
    </w:rPr>
  </w:style>
  <w:style w:type="paragraph" w:customStyle="1" w:styleId="101">
    <w:name w:val="三级标题"/>
    <w:basedOn w:val="1"/>
    <w:qFormat/>
    <w:uiPriority w:val="0"/>
    <w:pPr>
      <w:spacing w:line="360" w:lineRule="auto"/>
      <w:ind w:firstLine="482" w:firstLineChars="200"/>
    </w:pPr>
    <w:rPr>
      <w:rFonts w:ascii="宋体" w:hAnsi="宋体"/>
      <w:b/>
      <w:bCs/>
      <w:sz w:val="24"/>
    </w:rPr>
  </w:style>
  <w:style w:type="paragraph" w:customStyle="1" w:styleId="102">
    <w:name w:val="xl22"/>
    <w:basedOn w:val="1"/>
    <w:autoRedefine/>
    <w:qFormat/>
    <w:uiPriority w:val="0"/>
    <w:pPr>
      <w:widowControl/>
      <w:spacing w:before="100" w:after="100"/>
      <w:jc w:val="center"/>
    </w:pPr>
    <w:rPr>
      <w:kern w:val="0"/>
      <w:sz w:val="24"/>
      <w:szCs w:val="24"/>
    </w:rPr>
  </w:style>
  <w:style w:type="paragraph" w:customStyle="1" w:styleId="103">
    <w:name w:val="正文样式3"/>
    <w:basedOn w:val="1"/>
    <w:autoRedefine/>
    <w:qFormat/>
    <w:uiPriority w:val="0"/>
    <w:pPr>
      <w:keepLines/>
      <w:adjustRightInd w:val="0"/>
      <w:spacing w:line="20" w:lineRule="atLeast"/>
      <w:jc w:val="center"/>
      <w:textAlignment w:val="baseline"/>
    </w:pPr>
    <w:rPr>
      <w:kern w:val="0"/>
      <w:sz w:val="24"/>
      <w:szCs w:val="20"/>
    </w:rPr>
  </w:style>
  <w:style w:type="paragraph" w:customStyle="1" w:styleId="104">
    <w:name w:val="Default1"/>
    <w:autoRedefine/>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5">
    <w:name w:val="正文小四首缩1.3行距"/>
    <w:basedOn w:val="1"/>
    <w:autoRedefine/>
    <w:qFormat/>
    <w:uiPriority w:val="0"/>
    <w:pPr>
      <w:widowControl/>
      <w:spacing w:line="312" w:lineRule="auto"/>
      <w:ind w:firstLine="420" w:firstLineChars="200"/>
      <w:jc w:val="left"/>
    </w:pPr>
    <w:rPr>
      <w:rFonts w:ascii="宋体" w:hAnsi="宋体"/>
      <w:kern w:val="0"/>
      <w:sz w:val="24"/>
      <w:szCs w:val="20"/>
    </w:rPr>
  </w:style>
  <w:style w:type="paragraph" w:customStyle="1" w:styleId="106">
    <w:name w:val=" Char"/>
    <w:basedOn w:val="1"/>
    <w:autoRedefine/>
    <w:qFormat/>
    <w:uiPriority w:val="0"/>
    <w:rPr>
      <w:rFonts w:ascii="Tahoma" w:hAnsi="Tahoma"/>
      <w:sz w:val="24"/>
      <w:szCs w:val="20"/>
    </w:rPr>
  </w:style>
  <w:style w:type="character" w:customStyle="1" w:styleId="107">
    <w:name w:val="表头 Char Char"/>
    <w:basedOn w:val="39"/>
    <w:link w:val="73"/>
    <w:autoRedefine/>
    <w:qFormat/>
    <w:uiPriority w:val="0"/>
    <w:rPr>
      <w:rFonts w:ascii="黑体" w:hAnsi="宋体" w:eastAsia="黑体"/>
      <w:kern w:val="2"/>
      <w:sz w:val="24"/>
      <w:szCs w:val="24"/>
    </w:rPr>
  </w:style>
  <w:style w:type="character" w:customStyle="1" w:styleId="108">
    <w:name w:val="apple-style-span"/>
    <w:autoRedefine/>
    <w:qFormat/>
    <w:uiPriority w:val="0"/>
  </w:style>
  <w:style w:type="character" w:customStyle="1" w:styleId="109">
    <w:name w:val="font81"/>
    <w:basedOn w:val="39"/>
    <w:qFormat/>
    <w:uiPriority w:val="0"/>
    <w:rPr>
      <w:rFonts w:hint="eastAsia" w:ascii="宋体" w:hAnsi="宋体" w:eastAsia="宋体" w:cs="宋体"/>
      <w:b/>
      <w:color w:val="000000"/>
      <w:sz w:val="18"/>
      <w:szCs w:val="18"/>
      <w:u w:val="none"/>
    </w:rPr>
  </w:style>
  <w:style w:type="character" w:customStyle="1" w:styleId="110">
    <w:name w:val="正文文本缩进 2 Char"/>
    <w:basedOn w:val="39"/>
    <w:link w:val="20"/>
    <w:autoRedefine/>
    <w:qFormat/>
    <w:uiPriority w:val="0"/>
    <w:rPr>
      <w:rFonts w:ascii="宋体"/>
      <w:kern w:val="2"/>
      <w:sz w:val="24"/>
    </w:rPr>
  </w:style>
  <w:style w:type="character" w:customStyle="1" w:styleId="111">
    <w:name w:val="text081"/>
    <w:qFormat/>
    <w:uiPriority w:val="0"/>
    <w:rPr>
      <w:color w:val="666666"/>
      <w:sz w:val="24"/>
      <w:szCs w:val="24"/>
    </w:rPr>
  </w:style>
  <w:style w:type="character" w:customStyle="1" w:styleId="112">
    <w:name w:val="font112"/>
    <w:basedOn w:val="39"/>
    <w:qFormat/>
    <w:uiPriority w:val="0"/>
    <w:rPr>
      <w:rFonts w:hint="default" w:ascii="Times New Roman" w:hAnsi="Times New Roman" w:cs="Times New Roman"/>
      <w:b/>
      <w:color w:val="000000"/>
      <w:sz w:val="18"/>
      <w:szCs w:val="18"/>
      <w:u w:val="none"/>
    </w:rPr>
  </w:style>
  <w:style w:type="character" w:customStyle="1" w:styleId="113">
    <w:name w:val="正文文本 Char"/>
    <w:basedOn w:val="39"/>
    <w:link w:val="13"/>
    <w:qFormat/>
    <w:uiPriority w:val="0"/>
    <w:rPr>
      <w:kern w:val="2"/>
      <w:sz w:val="21"/>
    </w:rPr>
  </w:style>
  <w:style w:type="character" w:customStyle="1" w:styleId="114">
    <w:name w:val="font51"/>
    <w:basedOn w:val="39"/>
    <w:qFormat/>
    <w:uiPriority w:val="0"/>
    <w:rPr>
      <w:rFonts w:hint="default" w:ascii="Times New Roman" w:hAnsi="Times New Roman" w:cs="Times New Roman"/>
      <w:b/>
      <w:color w:val="000000"/>
      <w:sz w:val="18"/>
      <w:szCs w:val="18"/>
      <w:u w:val="none"/>
    </w:rPr>
  </w:style>
  <w:style w:type="character" w:customStyle="1" w:styleId="115">
    <w:name w:val="font01"/>
    <w:basedOn w:val="39"/>
    <w:qFormat/>
    <w:uiPriority w:val="0"/>
    <w:rPr>
      <w:rFonts w:hint="eastAsia" w:ascii="宋体" w:hAnsi="宋体" w:eastAsia="宋体" w:cs="宋体"/>
      <w:b/>
      <w:color w:val="000000"/>
      <w:sz w:val="22"/>
      <w:szCs w:val="22"/>
      <w:u w:val="none"/>
    </w:rPr>
  </w:style>
  <w:style w:type="character" w:customStyle="1" w:styleId="116">
    <w:name w:val="font71"/>
    <w:basedOn w:val="39"/>
    <w:qFormat/>
    <w:uiPriority w:val="0"/>
    <w:rPr>
      <w:rFonts w:hint="default" w:ascii="Times New Roman" w:hAnsi="Times New Roman" w:cs="Times New Roman"/>
      <w:b/>
      <w:color w:val="000000"/>
      <w:sz w:val="22"/>
      <w:szCs w:val="22"/>
      <w:u w:val="none"/>
    </w:rPr>
  </w:style>
  <w:style w:type="character" w:customStyle="1" w:styleId="117">
    <w:name w:val="font181"/>
    <w:basedOn w:val="39"/>
    <w:autoRedefine/>
    <w:qFormat/>
    <w:uiPriority w:val="0"/>
    <w:rPr>
      <w:rFonts w:hint="default" w:ascii="Times New Roman" w:hAnsi="Times New Roman" w:cs="Times New Roman"/>
      <w:b/>
      <w:color w:val="000000"/>
      <w:sz w:val="18"/>
      <w:szCs w:val="18"/>
      <w:u w:val="none"/>
      <w:vertAlign w:val="superscript"/>
    </w:rPr>
  </w:style>
  <w:style w:type="character" w:customStyle="1" w:styleId="118">
    <w:name w:val="CEE正文 Char"/>
    <w:link w:val="83"/>
    <w:autoRedefine/>
    <w:qFormat/>
    <w:uiPriority w:val="0"/>
    <w:rPr>
      <w:sz w:val="24"/>
      <w:szCs w:val="24"/>
    </w:rPr>
  </w:style>
  <w:style w:type="character" w:customStyle="1" w:styleId="119">
    <w:name w:val="纯文本 Char2"/>
    <w:basedOn w:val="39"/>
    <w:link w:val="19"/>
    <w:qFormat/>
    <w:uiPriority w:val="0"/>
    <w:rPr>
      <w:rFonts w:ascii="宋体" w:hAnsi="Courier New" w:cs="Courier New"/>
      <w:kern w:val="2"/>
      <w:sz w:val="21"/>
      <w:szCs w:val="21"/>
    </w:rPr>
  </w:style>
  <w:style w:type="character" w:customStyle="1" w:styleId="120">
    <w:name w:val="font31"/>
    <w:basedOn w:val="39"/>
    <w:autoRedefine/>
    <w:qFormat/>
    <w:uiPriority w:val="0"/>
    <w:rPr>
      <w:rFonts w:hint="default" w:ascii="Times New Roman" w:hAnsi="Times New Roman" w:cs="Times New Roman"/>
      <w:b/>
      <w:color w:val="000000"/>
      <w:sz w:val="18"/>
      <w:szCs w:val="18"/>
      <w:u w:val="none"/>
    </w:rPr>
  </w:style>
  <w:style w:type="character" w:customStyle="1" w:styleId="121">
    <w:name w:val="fontstyle01"/>
    <w:qFormat/>
    <w:uiPriority w:val="0"/>
    <w:rPr>
      <w:rFonts w:hint="eastAsia" w:ascii="宋" w:eastAsia="宋"/>
      <w:color w:val="000000"/>
      <w:sz w:val="24"/>
      <w:szCs w:val="24"/>
    </w:rPr>
  </w:style>
  <w:style w:type="character" w:customStyle="1" w:styleId="122">
    <w:name w:val="正文首行缩进 2 Char"/>
    <w:basedOn w:val="123"/>
    <w:link w:val="36"/>
    <w:qFormat/>
    <w:uiPriority w:val="0"/>
    <w:rPr>
      <w:sz w:val="21"/>
    </w:rPr>
  </w:style>
  <w:style w:type="character" w:customStyle="1" w:styleId="123">
    <w:name w:val="正文文本缩进 Char"/>
    <w:link w:val="15"/>
    <w:qFormat/>
    <w:uiPriority w:val="0"/>
    <w:rPr>
      <w:rFonts w:ascii="宋体" w:hAnsi="宋体"/>
      <w:kern w:val="2"/>
      <w:sz w:val="24"/>
      <w:szCs w:val="24"/>
    </w:rPr>
  </w:style>
  <w:style w:type="character" w:customStyle="1" w:styleId="124">
    <w:name w:val="font91"/>
    <w:basedOn w:val="39"/>
    <w:qFormat/>
    <w:uiPriority w:val="0"/>
    <w:rPr>
      <w:rFonts w:hint="eastAsia" w:ascii="宋体" w:hAnsi="宋体" w:eastAsia="宋体" w:cs="宋体"/>
      <w:color w:val="000000"/>
      <w:sz w:val="16"/>
      <w:szCs w:val="16"/>
      <w:u w:val="none"/>
    </w:rPr>
  </w:style>
  <w:style w:type="character" w:customStyle="1" w:styleId="125">
    <w:name w:val="HP正文 Char"/>
    <w:link w:val="98"/>
    <w:autoRedefine/>
    <w:qFormat/>
    <w:locked/>
    <w:uiPriority w:val="0"/>
    <w:rPr>
      <w:kern w:val="2"/>
      <w:sz w:val="21"/>
    </w:rPr>
  </w:style>
  <w:style w:type="character" w:customStyle="1" w:styleId="126">
    <w:name w:val="font122"/>
    <w:basedOn w:val="39"/>
    <w:autoRedefine/>
    <w:qFormat/>
    <w:uiPriority w:val="0"/>
    <w:rPr>
      <w:rFonts w:hint="eastAsia" w:ascii="宋体" w:hAnsi="宋体" w:eastAsia="宋体" w:cs="宋体"/>
      <w:b/>
      <w:color w:val="000000"/>
      <w:sz w:val="18"/>
      <w:szCs w:val="18"/>
      <w:u w:val="none"/>
    </w:rPr>
  </w:style>
  <w:style w:type="character" w:customStyle="1" w:styleId="127">
    <w:name w:val="font121"/>
    <w:basedOn w:val="39"/>
    <w:autoRedefine/>
    <w:qFormat/>
    <w:uiPriority w:val="0"/>
    <w:rPr>
      <w:rFonts w:hint="default" w:ascii="Times New Roman" w:hAnsi="Times New Roman" w:cs="Times New Roman"/>
      <w:color w:val="000000"/>
      <w:sz w:val="18"/>
      <w:szCs w:val="18"/>
      <w:u w:val="none"/>
    </w:rPr>
  </w:style>
  <w:style w:type="character" w:customStyle="1" w:styleId="128">
    <w:name w:val="font131"/>
    <w:basedOn w:val="39"/>
    <w:qFormat/>
    <w:uiPriority w:val="0"/>
    <w:rPr>
      <w:rFonts w:hint="default" w:ascii="Times New Roman" w:hAnsi="Times New Roman" w:cs="Times New Roman"/>
      <w:color w:val="000000"/>
      <w:sz w:val="16"/>
      <w:szCs w:val="16"/>
      <w:u w:val="none"/>
    </w:rPr>
  </w:style>
  <w:style w:type="character" w:customStyle="1" w:styleId="129">
    <w:name w:val="font141"/>
    <w:basedOn w:val="39"/>
    <w:autoRedefine/>
    <w:qFormat/>
    <w:uiPriority w:val="0"/>
    <w:rPr>
      <w:rFonts w:hint="default" w:ascii="Times New Roman" w:hAnsi="Times New Roman" w:cs="Times New Roman"/>
      <w:b/>
      <w:color w:val="000000"/>
      <w:sz w:val="18"/>
      <w:szCs w:val="18"/>
      <w:u w:val="none"/>
      <w:vertAlign w:val="superscript"/>
    </w:rPr>
  </w:style>
  <w:style w:type="character" w:customStyle="1" w:styleId="130">
    <w:name w:val="font171"/>
    <w:basedOn w:val="39"/>
    <w:autoRedefine/>
    <w:qFormat/>
    <w:uiPriority w:val="0"/>
    <w:rPr>
      <w:rFonts w:hint="eastAsia" w:ascii="宋体" w:hAnsi="宋体" w:eastAsia="宋体" w:cs="宋体"/>
      <w:color w:val="000000"/>
      <w:sz w:val="18"/>
      <w:szCs w:val="18"/>
      <w:u w:val="none"/>
    </w:rPr>
  </w:style>
  <w:style w:type="character" w:customStyle="1" w:styleId="131">
    <w:name w:val="font191"/>
    <w:basedOn w:val="39"/>
    <w:qFormat/>
    <w:uiPriority w:val="0"/>
    <w:rPr>
      <w:rFonts w:hint="default" w:ascii="Times New Roman" w:hAnsi="Times New Roman" w:cs="Times New Roman"/>
      <w:b/>
      <w:color w:val="000000"/>
      <w:sz w:val="18"/>
      <w:szCs w:val="18"/>
      <w:u w:val="none"/>
    </w:rPr>
  </w:style>
  <w:style w:type="character" w:customStyle="1" w:styleId="132">
    <w:name w:val="font111"/>
    <w:basedOn w:val="39"/>
    <w:qFormat/>
    <w:uiPriority w:val="0"/>
    <w:rPr>
      <w:rFonts w:hint="eastAsia" w:ascii="宋体" w:hAnsi="宋体" w:eastAsia="宋体" w:cs="宋体"/>
      <w:color w:val="000000"/>
      <w:sz w:val="22"/>
      <w:szCs w:val="22"/>
      <w:u w:val="none"/>
    </w:rPr>
  </w:style>
  <w:style w:type="character" w:customStyle="1" w:styleId="133">
    <w:name w:val="表格 Char"/>
    <w:link w:val="89"/>
    <w:qFormat/>
    <w:uiPriority w:val="0"/>
    <w:rPr>
      <w:rFonts w:ascii="Calibri" w:hAnsi="Calibri"/>
      <w:kern w:val="2"/>
      <w:sz w:val="21"/>
      <w:szCs w:val="22"/>
    </w:rPr>
  </w:style>
  <w:style w:type="character" w:customStyle="1" w:styleId="134">
    <w:name w:val="font101"/>
    <w:basedOn w:val="39"/>
    <w:qFormat/>
    <w:uiPriority w:val="0"/>
    <w:rPr>
      <w:rFonts w:hint="default" w:ascii="Times New Roman" w:hAnsi="Times New Roman" w:cs="Times New Roman"/>
      <w:b/>
      <w:color w:val="000000"/>
      <w:sz w:val="18"/>
      <w:szCs w:val="18"/>
      <w:u w:val="none"/>
      <w:vertAlign w:val="superscript"/>
    </w:rPr>
  </w:style>
  <w:style w:type="character" w:customStyle="1" w:styleId="135">
    <w:name w:val="样式5 Char"/>
    <w:link w:val="26"/>
    <w:autoRedefine/>
    <w:qFormat/>
    <w:uiPriority w:val="0"/>
    <w:rPr>
      <w:rFonts w:ascii="宋体" w:hAnsi="宋体" w:cs="宋体"/>
      <w:sz w:val="24"/>
      <w:szCs w:val="24"/>
    </w:rPr>
  </w:style>
  <w:style w:type="character" w:customStyle="1" w:styleId="136">
    <w:name w:val="font151"/>
    <w:basedOn w:val="39"/>
    <w:qFormat/>
    <w:uiPriority w:val="0"/>
    <w:rPr>
      <w:rFonts w:hint="eastAsia" w:ascii="宋体" w:hAnsi="宋体" w:eastAsia="宋体" w:cs="宋体"/>
      <w:b/>
      <w:color w:val="000000"/>
      <w:sz w:val="18"/>
      <w:szCs w:val="18"/>
      <w:u w:val="none"/>
    </w:rPr>
  </w:style>
  <w:style w:type="character" w:customStyle="1" w:styleId="137">
    <w:name w:val="font11"/>
    <w:basedOn w:val="39"/>
    <w:qFormat/>
    <w:uiPriority w:val="0"/>
    <w:rPr>
      <w:rFonts w:hint="eastAsia" w:ascii="宋体" w:hAnsi="宋体" w:eastAsia="宋体" w:cs="宋体"/>
      <w:color w:val="000000"/>
      <w:sz w:val="22"/>
      <w:szCs w:val="22"/>
      <w:u w:val="none"/>
    </w:rPr>
  </w:style>
  <w:style w:type="character" w:customStyle="1" w:styleId="138">
    <w:name w:val="表格内容 Char1"/>
    <w:link w:val="66"/>
    <w:qFormat/>
    <w:uiPriority w:val="0"/>
    <w:rPr>
      <w:kern w:val="2"/>
      <w:sz w:val="21"/>
      <w:szCs w:val="21"/>
    </w:rPr>
  </w:style>
  <w:style w:type="character" w:customStyle="1" w:styleId="139">
    <w:name w:val="font41"/>
    <w:basedOn w:val="39"/>
    <w:qFormat/>
    <w:uiPriority w:val="0"/>
    <w:rPr>
      <w:rFonts w:hint="default" w:ascii="Times New Roman" w:hAnsi="Times New Roman" w:cs="Times New Roman"/>
      <w:b/>
      <w:color w:val="000000"/>
      <w:sz w:val="18"/>
      <w:szCs w:val="18"/>
      <w:u w:val="none"/>
    </w:rPr>
  </w:style>
  <w:style w:type="character" w:customStyle="1" w:styleId="140">
    <w:name w:val="font61"/>
    <w:basedOn w:val="39"/>
    <w:qFormat/>
    <w:uiPriority w:val="0"/>
    <w:rPr>
      <w:rFonts w:hint="default" w:ascii="Times New Roman" w:hAnsi="Times New Roman" w:cs="Times New Roman"/>
      <w:color w:val="000000"/>
      <w:sz w:val="22"/>
      <w:szCs w:val="22"/>
      <w:u w:val="none"/>
    </w:rPr>
  </w:style>
  <w:style w:type="character" w:customStyle="1" w:styleId="141">
    <w:name w:val="font201"/>
    <w:basedOn w:val="39"/>
    <w:qFormat/>
    <w:uiPriority w:val="0"/>
    <w:rPr>
      <w:rFonts w:hint="default" w:ascii="Times New Roman" w:hAnsi="Times New Roman" w:cs="Times New Roman"/>
      <w:color w:val="000000"/>
      <w:sz w:val="18"/>
      <w:szCs w:val="18"/>
      <w:u w:val="none"/>
    </w:rPr>
  </w:style>
  <w:style w:type="character" w:customStyle="1" w:styleId="142">
    <w:name w:val="disabled"/>
    <w:basedOn w:val="39"/>
    <w:qFormat/>
    <w:uiPriority w:val="0"/>
    <w:rPr>
      <w:vanish/>
    </w:rPr>
  </w:style>
  <w:style w:type="character" w:customStyle="1" w:styleId="143">
    <w:name w:val="znspantitle"/>
    <w:basedOn w:val="39"/>
    <w:qFormat/>
    <w:uiPriority w:val="0"/>
    <w:rPr>
      <w:b/>
      <w:bCs/>
      <w:color w:val="333333"/>
    </w:rPr>
  </w:style>
  <w:style w:type="paragraph" w:customStyle="1" w:styleId="144">
    <w:name w:val="样式 标题 3ReHead 3 WSAh3标题 3 Char标题 32标题 311Re11Head 3 WSA1..."/>
    <w:basedOn w:val="4"/>
    <w:qFormat/>
    <w:uiPriority w:val="99"/>
    <w:pPr>
      <w:keepNext w:val="0"/>
      <w:keepLines w:val="0"/>
      <w:widowControl/>
      <w:tabs>
        <w:tab w:val="left" w:pos="1260"/>
      </w:tabs>
      <w:adjustRightInd w:val="0"/>
      <w:spacing w:beforeLines="50" w:after="0" w:line="480" w:lineRule="exact"/>
      <w:ind w:firstLine="482" w:firstLineChars="200"/>
      <w:jc w:val="left"/>
    </w:pPr>
    <w:rPr>
      <w:rFonts w:ascii="黑体" w:eastAsia="黑体" w:cs="黑体"/>
      <w:color w:val="000000"/>
      <w:kern w:val="0"/>
      <w:sz w:val="24"/>
      <w:szCs w:val="24"/>
    </w:rPr>
  </w:style>
  <w:style w:type="paragraph" w:customStyle="1" w:styleId="145">
    <w:name w:val="1正文段落"/>
    <w:basedOn w:val="1"/>
    <w:autoRedefine/>
    <w:qFormat/>
    <w:uiPriority w:val="0"/>
    <w:pPr>
      <w:spacing w:line="360" w:lineRule="auto"/>
      <w:ind w:firstLine="200" w:firstLineChars="200"/>
    </w:pPr>
    <w:rPr>
      <w:rFonts w:ascii="Times New Roman" w:hAnsi="Times New Roman" w:eastAsia="宋体"/>
      <w:snapToGrid w:val="0"/>
      <w:kern w:val="0"/>
      <w:sz w:val="24"/>
      <w:szCs w:val="21"/>
    </w:rPr>
  </w:style>
  <w:style w:type="paragraph" w:customStyle="1" w:styleId="146">
    <w:name w:val="表头22"/>
    <w:basedOn w:val="1"/>
    <w:qFormat/>
    <w:uiPriority w:val="0"/>
    <w:pPr>
      <w:widowControl/>
      <w:jc w:val="center"/>
    </w:pPr>
    <w:rPr>
      <w:rFonts w:ascii="Times New Roman" w:hAnsi="Times New Roman" w:eastAsia="宋体" w:cs="Times New Roman"/>
      <w:b/>
      <w:kern w:val="0"/>
      <w:sz w:val="24"/>
      <w:szCs w:val="24"/>
    </w:rPr>
  </w:style>
  <w:style w:type="paragraph" w:customStyle="1" w:styleId="147">
    <w:name w:val="标题林峰"/>
    <w:next w:val="1"/>
    <w:qFormat/>
    <w:uiPriority w:val="0"/>
    <w:pPr>
      <w:adjustRightInd w:val="0"/>
      <w:snapToGrid w:val="0"/>
      <w:spacing w:line="360" w:lineRule="auto"/>
      <w:ind w:firstLine="200" w:firstLineChars="200"/>
    </w:pPr>
    <w:rPr>
      <w:rFonts w:ascii="Arial" w:hAnsi="Arial" w:eastAsia="宋体" w:cs="Times New Roman"/>
      <w:b/>
      <w:bCs/>
      <w:kern w:val="2"/>
      <w:sz w:val="28"/>
      <w:szCs w:val="28"/>
      <w:lang w:val="en-US" w:eastAsia="zh-CN" w:bidi="ar-SA"/>
    </w:rPr>
  </w:style>
  <w:style w:type="paragraph" w:customStyle="1" w:styleId="148">
    <w:name w:val="表文"/>
    <w:basedOn w:val="149"/>
    <w:qFormat/>
    <w:uiPriority w:val="0"/>
    <w:pPr>
      <w:spacing w:line="360" w:lineRule="exact"/>
      <w:ind w:firstLine="0" w:firstLineChars="0"/>
      <w:jc w:val="center"/>
    </w:pPr>
  </w:style>
  <w:style w:type="paragraph" w:customStyle="1" w:styleId="149">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150">
    <w:name w:val="p0"/>
    <w:basedOn w:val="1"/>
    <w:qFormat/>
    <w:uiPriority w:val="0"/>
    <w:pPr>
      <w:widowControl/>
    </w:pPr>
    <w:rPr>
      <w:kern w:val="0"/>
    </w:rPr>
  </w:style>
  <w:style w:type="character" w:customStyle="1" w:styleId="151">
    <w:name w:val="font21"/>
    <w:basedOn w:val="39"/>
    <w:autoRedefine/>
    <w:qFormat/>
    <w:uiPriority w:val="0"/>
    <w:rPr>
      <w:rFonts w:hint="eastAsia" w:ascii="仿宋_GB2312" w:eastAsia="仿宋_GB2312" w:cs="仿宋_GB2312"/>
      <w:color w:val="000000"/>
      <w:sz w:val="20"/>
      <w:szCs w:val="20"/>
      <w:u w:val="none"/>
    </w:rPr>
  </w:style>
  <w:style w:type="paragraph" w:customStyle="1" w:styleId="152">
    <w:name w:val="报告表正文"/>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character" w:customStyle="1" w:styleId="153">
    <w:name w:val="NormalCharacter"/>
    <w:link w:val="154"/>
    <w:semiHidden/>
    <w:qFormat/>
    <w:uiPriority w:val="0"/>
    <w:rPr>
      <w:kern w:val="2"/>
      <w:sz w:val="21"/>
      <w:szCs w:val="24"/>
      <w:lang w:val="en-US" w:eastAsia="zh-CN" w:bidi="ar-SA"/>
    </w:rPr>
  </w:style>
  <w:style w:type="paragraph" w:customStyle="1" w:styleId="154">
    <w:name w:val="UserStyle_46"/>
    <w:link w:val="153"/>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155">
    <w:name w:val="Table Normal"/>
    <w:semiHidden/>
    <w:unhideWhenUsed/>
    <w:qFormat/>
    <w:uiPriority w:val="0"/>
    <w:tblPr>
      <w:tblCellMar>
        <w:top w:w="0" w:type="dxa"/>
        <w:left w:w="0" w:type="dxa"/>
        <w:bottom w:w="0" w:type="dxa"/>
        <w:right w:w="0" w:type="dxa"/>
      </w:tblCellMar>
    </w:tblPr>
  </w:style>
  <w:style w:type="paragraph" w:customStyle="1" w:styleId="156">
    <w:name w:val="小标题"/>
    <w:basedOn w:val="149"/>
    <w:autoRedefine/>
    <w:qFormat/>
    <w:uiPriority w:val="0"/>
    <w:pPr>
      <w:widowControl w:val="0"/>
      <w:numPr>
        <w:ilvl w:val="0"/>
        <w:numId w:val="2"/>
      </w:numPr>
      <w:autoSpaceDE w:val="0"/>
      <w:autoSpaceDN w:val="0"/>
      <w:adjustRightInd w:val="0"/>
      <w:snapToGrid w:val="0"/>
      <w:spacing w:line="360" w:lineRule="auto"/>
      <w:ind w:left="0" w:firstLine="200" w:firstLineChars="200"/>
      <w:jc w:val="both"/>
    </w:pPr>
    <w:rPr>
      <w:rFonts w:ascii="Times New Roman" w:hAnsi="Times New Roman" w:eastAsia="宋体" w:cs="Times New Roman"/>
      <w:b/>
      <w:kern w:val="0"/>
      <w:sz w:val="21"/>
      <w:szCs w:val="21"/>
      <w:lang w:val="en-US" w:eastAsia="zh-CN" w:bidi="ar-SA"/>
    </w:rPr>
  </w:style>
  <w:style w:type="paragraph" w:customStyle="1" w:styleId="157">
    <w:name w:val="Table Text"/>
    <w:basedOn w:val="1"/>
    <w:semiHidden/>
    <w:qFormat/>
    <w:uiPriority w:val="0"/>
    <w:rPr>
      <w:rFonts w:ascii="宋体" w:hAnsi="宋体" w:eastAsia="宋体" w:cs="宋体"/>
      <w:sz w:val="24"/>
      <w:szCs w:val="24"/>
      <w:lang w:val="en-US" w:eastAsia="en-US" w:bidi="ar-SA"/>
    </w:rPr>
  </w:style>
  <w:style w:type="paragraph" w:customStyle="1" w:styleId="158">
    <w:name w:val="2.1.1"/>
    <w:basedOn w:val="1"/>
    <w:qFormat/>
    <w:uiPriority w:val="0"/>
    <w:pPr>
      <w:adjustRightInd/>
      <w:spacing w:line="240" w:lineRule="auto"/>
      <w:textAlignment w:val="auto"/>
    </w:pPr>
    <w:rPr>
      <w:kern w:val="2"/>
      <w:sz w:val="24"/>
      <w:szCs w:val="24"/>
    </w:rPr>
  </w:style>
  <w:style w:type="paragraph" w:customStyle="1" w:styleId="159">
    <w:name w:val="B正文"/>
    <w:basedOn w:val="1"/>
    <w:qFormat/>
    <w:uiPriority w:val="0"/>
    <w:pPr>
      <w:spacing w:line="360" w:lineRule="auto"/>
      <w:ind w:firstLine="200" w:firstLineChars="200"/>
    </w:pPr>
    <w:rPr>
      <w:rFonts w:ascii="Times New Roman" w:hAnsi="Times New Roman" w:eastAsia="宋体" w:cs="Times New Roman"/>
      <w:kern w:val="0"/>
      <w:sz w:val="24"/>
      <w:szCs w:val="24"/>
    </w:rPr>
  </w:style>
  <w:style w:type="paragraph" w:customStyle="1" w:styleId="160">
    <w:name w:val="正文C1"/>
    <w:basedOn w:val="36"/>
    <w:qFormat/>
    <w:uiPriority w:val="0"/>
    <w:pPr>
      <w:tabs>
        <w:tab w:val="left" w:pos="420"/>
        <w:tab w:val="left" w:pos="870"/>
        <w:tab w:val="left" w:pos="3150"/>
      </w:tabs>
      <w:autoSpaceDE w:val="0"/>
      <w:autoSpaceDN w:val="0"/>
      <w:adjustRightInd w:val="0"/>
      <w:snapToGrid w:val="0"/>
      <w:spacing w:after="0" w:line="336" w:lineRule="auto"/>
      <w:ind w:left="0" w:leftChars="0" w:firstLine="397" w:firstLineChars="0"/>
      <w:textAlignment w:val="baseline"/>
    </w:pPr>
    <w:rPr>
      <w:rFonts w:ascii="宋体"/>
      <w:kern w:val="0"/>
      <w:sz w:val="24"/>
      <w:szCs w:val="28"/>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wmf"/><Relationship Id="rId14" Type="http://schemas.openxmlformats.org/officeDocument/2006/relationships/image" Target="media/image5.wmf"/><Relationship Id="rId13" Type="http://schemas.openxmlformats.org/officeDocument/2006/relationships/image" Target="media/image4.wmf"/><Relationship Id="rId12" Type="http://schemas.openxmlformats.org/officeDocument/2006/relationships/image" Target="media/image3.wmf"/><Relationship Id="rId11" Type="http://schemas.openxmlformats.org/officeDocument/2006/relationships/image" Target="media/image2.png"/><Relationship Id="rId10" Type="http://schemas.openxmlformats.org/officeDocument/2006/relationships/image" Target="media/image1.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78</Pages>
  <Words>17646</Words>
  <Characters>18929</Characters>
  <Lines>1</Lines>
  <Paragraphs>1</Paragraphs>
  <TotalTime>11</TotalTime>
  <ScaleCrop>false</ScaleCrop>
  <LinksUpToDate>false</LinksUpToDate>
  <CharactersWithSpaces>19126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无处安放的青春</cp:lastModifiedBy>
  <cp:lastPrinted>2025-09-11T04:12:00Z</cp:lastPrinted>
  <dcterms:modified xsi:type="dcterms:W3CDTF">2026-03-25T08:35:20Z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A3813540FBAF4E2880088DB94CD7B33D_13</vt:lpwstr>
  </property>
  <property fmtid="{D5CDD505-2E9C-101B-9397-08002B2CF9AE}" pid="4" name="KSOTemplateDocerSaveRecord">
    <vt:lpwstr>eyJoZGlkIjoiYTczZmNlZjE2OWQxZDkzNGFkNmVmODg0ZjI0ZTRhZDkiLCJ1c2VySWQiOiIyMzc5OTI0MDQifQ==</vt:lpwstr>
  </property>
</Properties>
</file>