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87CF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简体" w:cs="方正小标宋简体"/>
          <w:b/>
          <w:bCs/>
          <w:i w:val="0"/>
          <w:iCs w:val="0"/>
          <w:caps w:val="0"/>
          <w:color w:val="auto"/>
          <w:spacing w:val="0"/>
          <w:sz w:val="44"/>
          <w:szCs w:val="44"/>
        </w:rPr>
      </w:pPr>
    </w:p>
    <w:p w14:paraId="02C071E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方正小标宋简体"/>
          <w:b/>
          <w:bCs/>
          <w:i w:val="0"/>
          <w:iCs w:val="0"/>
          <w:caps w:val="0"/>
          <w:color w:val="auto"/>
          <w:spacing w:val="0"/>
          <w:sz w:val="44"/>
          <w:szCs w:val="44"/>
          <w:lang w:val="en-US" w:eastAsia="zh-CN"/>
        </w:rPr>
      </w:pPr>
      <w:r>
        <w:rPr>
          <w:rFonts w:hint="eastAsia" w:ascii="Times New Roman" w:hAnsi="Times New Roman" w:eastAsia="方正小标宋简体" w:cs="方正小标宋简体"/>
          <w:b/>
          <w:bCs/>
          <w:i w:val="0"/>
          <w:iCs w:val="0"/>
          <w:caps w:val="0"/>
          <w:color w:val="auto"/>
          <w:spacing w:val="0"/>
          <w:sz w:val="44"/>
          <w:szCs w:val="44"/>
        </w:rPr>
        <w:t>泗水县</w:t>
      </w:r>
      <w:r>
        <w:rPr>
          <w:rFonts w:hint="eastAsia" w:ascii="Times New Roman" w:hAnsi="Times New Roman" w:eastAsia="方正小标宋简体" w:cs="方正小标宋简体"/>
          <w:b/>
          <w:bCs/>
          <w:i w:val="0"/>
          <w:iCs w:val="0"/>
          <w:caps w:val="0"/>
          <w:color w:val="auto"/>
          <w:spacing w:val="0"/>
          <w:sz w:val="44"/>
          <w:szCs w:val="44"/>
          <w:lang w:val="en-US" w:eastAsia="zh-CN"/>
        </w:rPr>
        <w:t>人</w:t>
      </w:r>
      <w:r>
        <w:rPr>
          <w:rFonts w:hint="eastAsia" w:eastAsia="方正小标宋简体" w:cs="方正小标宋简体"/>
          <w:b/>
          <w:bCs/>
          <w:i w:val="0"/>
          <w:iCs w:val="0"/>
          <w:caps w:val="0"/>
          <w:color w:val="auto"/>
          <w:spacing w:val="0"/>
          <w:sz w:val="44"/>
          <w:szCs w:val="44"/>
          <w:lang w:val="en-US" w:eastAsia="zh-CN"/>
        </w:rPr>
        <w:t>力资源和社会保障局</w:t>
      </w:r>
    </w:p>
    <w:p w14:paraId="4EE3AC3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简体" w:cs="方正小标宋简体"/>
          <w:b/>
          <w:bCs/>
          <w:i w:val="0"/>
          <w:iCs w:val="0"/>
          <w:caps w:val="0"/>
          <w:color w:val="auto"/>
          <w:spacing w:val="0"/>
          <w:sz w:val="44"/>
          <w:szCs w:val="44"/>
        </w:rPr>
      </w:pPr>
      <w:r>
        <w:rPr>
          <w:rFonts w:hint="eastAsia" w:ascii="Times New Roman" w:hAnsi="Times New Roman" w:eastAsia="方正小标宋简体" w:cs="方正小标宋简体"/>
          <w:b/>
          <w:bCs/>
          <w:i w:val="0"/>
          <w:iCs w:val="0"/>
          <w:caps w:val="0"/>
          <w:color w:val="auto"/>
          <w:spacing w:val="0"/>
          <w:sz w:val="44"/>
          <w:szCs w:val="44"/>
          <w:lang w:val="en-US" w:eastAsia="zh-CN"/>
        </w:rPr>
        <w:t>2</w:t>
      </w:r>
      <w:r>
        <w:rPr>
          <w:rFonts w:hint="eastAsia" w:ascii="Times New Roman" w:hAnsi="Times New Roman" w:eastAsia="方正小标宋简体" w:cs="方正小标宋简体"/>
          <w:b/>
          <w:bCs/>
          <w:i w:val="0"/>
          <w:iCs w:val="0"/>
          <w:caps w:val="0"/>
          <w:color w:val="auto"/>
          <w:spacing w:val="0"/>
          <w:sz w:val="44"/>
          <w:szCs w:val="44"/>
        </w:rPr>
        <w:t>02</w:t>
      </w:r>
      <w:r>
        <w:rPr>
          <w:rFonts w:hint="eastAsia" w:ascii="Times New Roman" w:hAnsi="Times New Roman" w:eastAsia="方正小标宋简体" w:cs="方正小标宋简体"/>
          <w:b/>
          <w:bCs/>
          <w:i w:val="0"/>
          <w:iCs w:val="0"/>
          <w:caps w:val="0"/>
          <w:color w:val="auto"/>
          <w:spacing w:val="0"/>
          <w:sz w:val="44"/>
          <w:szCs w:val="44"/>
          <w:lang w:val="en-US" w:eastAsia="zh-CN"/>
        </w:rPr>
        <w:t>5</w:t>
      </w:r>
      <w:r>
        <w:rPr>
          <w:rFonts w:hint="eastAsia" w:ascii="Times New Roman" w:hAnsi="Times New Roman" w:eastAsia="方正小标宋简体" w:cs="方正小标宋简体"/>
          <w:b/>
          <w:bCs/>
          <w:i w:val="0"/>
          <w:iCs w:val="0"/>
          <w:caps w:val="0"/>
          <w:color w:val="auto"/>
          <w:spacing w:val="0"/>
          <w:sz w:val="44"/>
          <w:szCs w:val="44"/>
        </w:rPr>
        <w:t>年政</w:t>
      </w:r>
      <w:bookmarkStart w:id="9" w:name="_GoBack"/>
      <w:bookmarkEnd w:id="9"/>
      <w:r>
        <w:rPr>
          <w:rFonts w:hint="eastAsia" w:ascii="Times New Roman" w:hAnsi="Times New Roman" w:eastAsia="方正小标宋简体" w:cs="方正小标宋简体"/>
          <w:b/>
          <w:bCs/>
          <w:i w:val="0"/>
          <w:iCs w:val="0"/>
          <w:caps w:val="0"/>
          <w:color w:val="auto"/>
          <w:spacing w:val="0"/>
          <w:sz w:val="44"/>
          <w:szCs w:val="44"/>
        </w:rPr>
        <w:t>府信息公开工作年度报告</w:t>
      </w:r>
    </w:p>
    <w:p w14:paraId="23C02577">
      <w:pPr>
        <w:ind w:firstLine="0" w:firstLineChars="0"/>
        <w:jc w:val="center"/>
        <w:rPr>
          <w:rFonts w:hint="eastAsia" w:ascii="Times New Roman" w:hAnsi="Times New Roman" w:eastAsia="方正小标宋简体" w:cs="方正小标宋简体"/>
          <w:b/>
          <w:bCs/>
          <w:i w:val="0"/>
          <w:iCs w:val="0"/>
          <w:caps w:val="0"/>
          <w:color w:val="auto"/>
          <w:spacing w:val="0"/>
          <w:sz w:val="44"/>
          <w:szCs w:val="44"/>
        </w:rPr>
      </w:pPr>
    </w:p>
    <w:p w14:paraId="1F3C6C52">
      <w:pPr>
        <w:keepNext w:val="0"/>
        <w:keepLines w:val="0"/>
        <w:pageBreakBefore w:val="0"/>
        <w:widowControl w:val="0"/>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仿宋简体" w:cs="方正仿宋简体"/>
          <w:b/>
          <w:color w:val="auto"/>
          <w:sz w:val="32"/>
          <w:szCs w:val="32"/>
        </w:rPr>
      </w:pPr>
      <w:r>
        <w:rPr>
          <w:rFonts w:hint="eastAsia" w:ascii="Times New Roman" w:hAnsi="Times New Roman" w:eastAsia="方正仿宋简体" w:cs="方正仿宋简体"/>
          <w:b/>
          <w:color w:val="auto"/>
          <w:sz w:val="32"/>
          <w:szCs w:val="32"/>
        </w:rPr>
        <w:t>本报告由泗水县人力资源和社会保障局按照《中华人民共和国政府信息公开条例》（以下简称《条例》）和《中华人民共和国政府信息公开工作年度报告格式》（国办公开办函〔2021〕30号）要求编制。</w:t>
      </w:r>
    </w:p>
    <w:p w14:paraId="2DDBD0E2">
      <w:pPr>
        <w:keepNext w:val="0"/>
        <w:keepLines w:val="0"/>
        <w:pageBreakBefore w:val="0"/>
        <w:widowControl w:val="0"/>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仿宋简体" w:cs="方正仿宋简体"/>
          <w:b/>
          <w:color w:val="auto"/>
          <w:sz w:val="32"/>
          <w:szCs w:val="32"/>
        </w:rPr>
      </w:pPr>
      <w:r>
        <w:rPr>
          <w:rFonts w:hint="eastAsia" w:ascii="Times New Roman" w:hAnsi="Times New Roman" w:eastAsia="方正仿宋简体" w:cs="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CA11C0D">
      <w:pPr>
        <w:keepNext w:val="0"/>
        <w:keepLines w:val="0"/>
        <w:pageBreakBefore w:val="0"/>
        <w:widowControl w:val="0"/>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仿宋简体" w:cs="方正仿宋简体"/>
          <w:b/>
          <w:color w:val="auto"/>
          <w:sz w:val="32"/>
          <w:szCs w:val="32"/>
        </w:rPr>
      </w:pPr>
      <w:r>
        <w:rPr>
          <w:rFonts w:hint="eastAsia" w:ascii="Times New Roman" w:hAnsi="Times New Roman" w:eastAsia="方正仿宋简体" w:cs="方正仿宋简体"/>
          <w:b/>
          <w:color w:val="auto"/>
          <w:sz w:val="32"/>
          <w:szCs w:val="32"/>
        </w:rPr>
        <w:t>本报告所列数据的统计期限自202</w:t>
      </w:r>
      <w:r>
        <w:rPr>
          <w:rFonts w:hint="eastAsia" w:ascii="Times New Roman" w:hAnsi="Times New Roman" w:eastAsia="方正仿宋简体" w:cs="方正仿宋简体"/>
          <w:b/>
          <w:color w:val="auto"/>
          <w:sz w:val="32"/>
          <w:szCs w:val="32"/>
          <w:lang w:val="en-US" w:eastAsia="zh-CN"/>
        </w:rPr>
        <w:t>5</w:t>
      </w:r>
      <w:r>
        <w:rPr>
          <w:rFonts w:hint="eastAsia" w:ascii="Times New Roman" w:hAnsi="Times New Roman" w:eastAsia="方正仿宋简体" w:cs="方正仿宋简体"/>
          <w:b/>
          <w:color w:val="auto"/>
          <w:sz w:val="32"/>
          <w:szCs w:val="32"/>
        </w:rPr>
        <w:t>年1月1日起202</w:t>
      </w:r>
      <w:r>
        <w:rPr>
          <w:rFonts w:hint="eastAsia" w:ascii="Times New Roman" w:hAnsi="Times New Roman" w:eastAsia="方正仿宋简体" w:cs="方正仿宋简体"/>
          <w:b/>
          <w:color w:val="auto"/>
          <w:sz w:val="32"/>
          <w:szCs w:val="32"/>
          <w:lang w:val="en-US" w:eastAsia="zh-CN"/>
        </w:rPr>
        <w:t>5</w:t>
      </w:r>
      <w:r>
        <w:rPr>
          <w:rFonts w:hint="eastAsia" w:ascii="Times New Roman" w:hAnsi="Times New Roman" w:eastAsia="方正仿宋简体" w:cs="方正仿宋简体"/>
          <w:b/>
          <w:color w:val="auto"/>
          <w:sz w:val="32"/>
          <w:szCs w:val="32"/>
        </w:rPr>
        <w:t>年12月31日止。本报告电子版可在“中国·泗水”政府门户网站（www.sishui.gov.cn）查阅或下载。如对本报告有疑问，请与泗水县人力资源和社会保障局联系（地址：泗水县中兴路10号，联系电话：0537-4221995）</w:t>
      </w:r>
    </w:p>
    <w:p w14:paraId="04BE4B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rPr>
      </w:pPr>
      <w:r>
        <w:rPr>
          <w:rFonts w:hint="eastAsia" w:ascii="Times New Roman" w:hAnsi="Times New Roman" w:eastAsia="方正黑体简体" w:cs="方正黑体简体"/>
          <w:b/>
          <w:bCs/>
          <w:i w:val="0"/>
          <w:iCs w:val="0"/>
          <w:caps w:val="0"/>
          <w:color w:val="auto"/>
          <w:spacing w:val="0"/>
          <w:sz w:val="32"/>
          <w:szCs w:val="32"/>
        </w:rPr>
        <w:t>一、总体情况</w:t>
      </w:r>
    </w:p>
    <w:p w14:paraId="576947D7">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仿宋简体" w:cs="方正仿宋简体"/>
          <w:b/>
          <w:color w:val="auto"/>
          <w:kern w:val="2"/>
          <w:sz w:val="32"/>
          <w:szCs w:val="32"/>
          <w:lang w:val="en-US" w:eastAsia="zh-CN" w:bidi="ar-SA"/>
        </w:rPr>
      </w:pPr>
      <w:r>
        <w:rPr>
          <w:rFonts w:hint="eastAsia" w:ascii="Times New Roman" w:hAnsi="Times New Roman" w:eastAsia="方正仿宋简体" w:cs="方正仿宋简体"/>
          <w:b/>
          <w:color w:val="auto"/>
          <w:kern w:val="2"/>
          <w:sz w:val="32"/>
          <w:szCs w:val="32"/>
          <w:lang w:val="en-US" w:eastAsia="zh-CN" w:bidi="ar-SA"/>
        </w:rPr>
        <w:t>2025年，县人力资源</w:t>
      </w:r>
      <w:r>
        <w:rPr>
          <w:rFonts w:hint="eastAsia" w:cs="方正仿宋简体"/>
          <w:b/>
          <w:color w:val="auto"/>
          <w:kern w:val="2"/>
          <w:sz w:val="32"/>
          <w:szCs w:val="32"/>
          <w:lang w:val="en-US" w:eastAsia="zh-CN" w:bidi="ar-SA"/>
        </w:rPr>
        <w:t>和</w:t>
      </w:r>
      <w:r>
        <w:rPr>
          <w:rFonts w:hint="eastAsia" w:ascii="Times New Roman" w:hAnsi="Times New Roman" w:eastAsia="方正仿宋简体" w:cs="方正仿宋简体"/>
          <w:b/>
          <w:color w:val="auto"/>
          <w:kern w:val="2"/>
          <w:sz w:val="32"/>
          <w:szCs w:val="32"/>
          <w:lang w:val="en-US" w:eastAsia="zh-CN" w:bidi="ar-SA"/>
        </w:rPr>
        <w:t>社会保障局紧扣人社中心工作和社会关切，加大主动公开力度，深化重点领域信息公开，更好发挥以公开促落实、强监管功能。</w:t>
      </w:r>
    </w:p>
    <w:p w14:paraId="7416560D">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楷体简体" w:cs="方正楷体简体"/>
          <w:b/>
          <w:color w:val="auto"/>
          <w:sz w:val="32"/>
          <w:szCs w:val="32"/>
          <w:lang w:val="en-US" w:eastAsia="zh-CN"/>
        </w:rPr>
      </w:pPr>
      <w:r>
        <w:rPr>
          <w:rFonts w:hint="eastAsia" w:ascii="Times New Roman" w:hAnsi="Times New Roman" w:eastAsia="方正楷体简体" w:cs="方正楷体简体"/>
          <w:b/>
          <w:color w:val="auto"/>
          <w:sz w:val="32"/>
          <w:szCs w:val="32"/>
          <w:lang w:val="en-US" w:eastAsia="zh-CN"/>
        </w:rPr>
        <w:t>（一）主动公开情况</w:t>
      </w:r>
    </w:p>
    <w:p w14:paraId="176FA632">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仿宋简体" w:cs="方正仿宋简体"/>
          <w:b/>
          <w:color w:val="auto"/>
          <w:sz w:val="32"/>
          <w:szCs w:val="32"/>
          <w:lang w:val="en-US" w:eastAsia="zh-CN"/>
        </w:rPr>
      </w:pPr>
      <w:r>
        <w:rPr>
          <w:rFonts w:hint="eastAsia" w:ascii="Times New Roman" w:hAnsi="Times New Roman" w:eastAsia="方正仿宋简体" w:cs="方正仿宋简体"/>
          <w:b/>
          <w:color w:val="auto"/>
          <w:sz w:val="32"/>
          <w:szCs w:val="32"/>
          <w:lang w:val="en-US" w:eastAsia="zh-CN"/>
        </w:rPr>
        <w:t>围绕部门核心职能与社会关切，本年度主动、及时发布并解读了新出台的政策文件及重要举措，同步公开就业创业、社会保障、劳动关系、人才人事等领域最新动态信息，共计196条。</w:t>
      </w:r>
    </w:p>
    <w:p w14:paraId="5497BC28">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楷体简体" w:cs="方正楷体简体"/>
          <w:b/>
          <w:color w:val="auto"/>
          <w:sz w:val="32"/>
          <w:szCs w:val="32"/>
          <w:lang w:val="en-US" w:eastAsia="zh-CN"/>
        </w:rPr>
      </w:pPr>
      <w:r>
        <w:rPr>
          <w:rFonts w:hint="eastAsia" w:ascii="Times New Roman" w:hAnsi="Times New Roman" w:eastAsia="方正楷体简体" w:cs="方正楷体简体"/>
          <w:b/>
          <w:color w:val="auto"/>
          <w:sz w:val="32"/>
          <w:szCs w:val="32"/>
          <w:lang w:val="en-US" w:eastAsia="zh-CN"/>
        </w:rPr>
        <w:t>（二）依申请公开情况</w:t>
      </w:r>
    </w:p>
    <w:p w14:paraId="50511EDA">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仿宋简体" w:cs="方正仿宋简体"/>
          <w:b/>
          <w:color w:val="auto"/>
          <w:kern w:val="2"/>
          <w:sz w:val="32"/>
          <w:szCs w:val="32"/>
          <w:lang w:val="en-US" w:eastAsia="zh-CN" w:bidi="ar-SA"/>
        </w:rPr>
      </w:pPr>
      <w:r>
        <w:rPr>
          <w:rFonts w:hint="eastAsia" w:ascii="Times New Roman" w:hAnsi="Times New Roman" w:eastAsia="方正仿宋简体" w:cs="方正仿宋简体"/>
          <w:b/>
          <w:color w:val="auto"/>
          <w:kern w:val="2"/>
          <w:sz w:val="32"/>
          <w:szCs w:val="32"/>
          <w:lang w:val="en-US" w:eastAsia="zh-CN" w:bidi="ar-SA"/>
        </w:rPr>
        <w:t>2025年，泗水县人力资源和社会保障局共收到群众政府信息公开申请6件，全部为自然人申请，比去年增加6件，未收取任何费用。申请内容涉及社保档案，均依照法规规定在法定期限内予以答复，答复率100%。因政府信息公开引发行政复议6件，未发生后续行政诉讼。</w:t>
      </w:r>
    </w:p>
    <w:p w14:paraId="2E0B1719">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楷体简体" w:cs="方正楷体简体"/>
          <w:b/>
          <w:color w:val="auto"/>
          <w:sz w:val="32"/>
          <w:szCs w:val="32"/>
          <w:lang w:val="en-US" w:eastAsia="zh-CN"/>
        </w:rPr>
      </w:pPr>
      <w:r>
        <w:rPr>
          <w:rFonts w:hint="eastAsia" w:ascii="Times New Roman" w:hAnsi="Times New Roman" w:eastAsia="方正楷体简体" w:cs="方正楷体简体"/>
          <w:b/>
          <w:color w:val="auto"/>
          <w:sz w:val="32"/>
          <w:szCs w:val="32"/>
          <w:lang w:val="en-US" w:eastAsia="zh-CN"/>
        </w:rPr>
        <w:t>（三）政府信息管理情况</w:t>
      </w:r>
    </w:p>
    <w:p w14:paraId="397FA8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仿宋简体" w:cs="方正仿宋简体"/>
          <w:b/>
          <w:color w:val="auto"/>
          <w:kern w:val="2"/>
          <w:sz w:val="32"/>
          <w:szCs w:val="32"/>
          <w:lang w:val="en-US" w:eastAsia="zh-CN" w:bidi="ar-SA"/>
        </w:rPr>
      </w:pPr>
      <w:r>
        <w:rPr>
          <w:rFonts w:hint="eastAsia" w:ascii="Times New Roman" w:hAnsi="Times New Roman" w:eastAsia="方正仿宋简体" w:cs="方正仿宋简体"/>
          <w:b/>
          <w:color w:val="auto"/>
          <w:kern w:val="2"/>
          <w:sz w:val="32"/>
          <w:szCs w:val="32"/>
          <w:lang w:val="en-US" w:eastAsia="zh-CN" w:bidi="ar-SA"/>
        </w:rPr>
        <w:t>一是进一步明确信息公开的责任主体、制度规范和运行监管要求。二是严格落实信息发布“三审三校”制度，做到多人校对、分级审核，确保表述规范、内容准确，杜绝出现歧义或误导性内容。三是持续深化政务公开平台规范管理，聚焦网站内容更新、系统运维、安全防护等关键环节，常态化开展全流程排查与动态监测，确保信息发布渠道运行稳定、内容准确、安全可控。</w:t>
      </w:r>
    </w:p>
    <w:p w14:paraId="054DF95B">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楷体简体" w:cs="方正楷体简体"/>
          <w:b/>
          <w:color w:val="auto"/>
          <w:sz w:val="32"/>
          <w:szCs w:val="32"/>
          <w:lang w:val="en-US" w:eastAsia="zh-CN"/>
        </w:rPr>
      </w:pPr>
      <w:r>
        <w:rPr>
          <w:rFonts w:hint="eastAsia" w:ascii="Times New Roman" w:hAnsi="Times New Roman" w:eastAsia="方正楷体简体" w:cs="方正楷体简体"/>
          <w:b/>
          <w:color w:val="auto"/>
          <w:sz w:val="32"/>
          <w:szCs w:val="32"/>
          <w:lang w:val="en-US" w:eastAsia="zh-CN"/>
        </w:rPr>
        <w:t>（四）政府信息公开平台建设情况</w:t>
      </w:r>
    </w:p>
    <w:p w14:paraId="16290DD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仿宋简体" w:cs="方正仿宋简体"/>
          <w:b/>
          <w:color w:val="auto"/>
          <w:kern w:val="2"/>
          <w:sz w:val="32"/>
          <w:szCs w:val="32"/>
          <w:lang w:val="en-US" w:eastAsia="zh-CN" w:bidi="ar-SA"/>
        </w:rPr>
      </w:pPr>
      <w:r>
        <w:rPr>
          <w:rFonts w:hint="eastAsia" w:ascii="Times New Roman" w:hAnsi="Times New Roman" w:eastAsia="方正仿宋简体" w:cs="方正仿宋简体"/>
          <w:b/>
          <w:color w:val="auto"/>
          <w:kern w:val="2"/>
          <w:sz w:val="32"/>
          <w:szCs w:val="32"/>
          <w:lang w:val="en-US" w:eastAsia="zh-CN" w:bidi="ar-SA"/>
        </w:rPr>
        <w:t>我们将持续强化政府门户网站作为政务公开首要平台的功能定位，着力优化平台架构、完善服务功能，将网站打造成统一规范、便捷高效的人社政务公开主阵地。同时，将根据业务发展及公众需求，动态调整和优化我局信息公开目录，确保网站栏目科学、内容精准、更新及时。</w:t>
      </w:r>
    </w:p>
    <w:p w14:paraId="23CB521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仿宋简体" w:cs="方正仿宋简体"/>
          <w:b/>
          <w:color w:val="auto"/>
          <w:kern w:val="2"/>
          <w:sz w:val="32"/>
          <w:szCs w:val="32"/>
          <w:lang w:val="en-US" w:eastAsia="zh-CN" w:bidi="ar-SA"/>
        </w:rPr>
      </w:pPr>
      <w:r>
        <w:rPr>
          <w:rFonts w:hint="eastAsia" w:ascii="Times New Roman" w:hAnsi="Times New Roman" w:eastAsia="方正仿宋简体" w:cs="方正仿宋简体"/>
          <w:b/>
          <w:color w:val="auto"/>
          <w:kern w:val="2"/>
          <w:sz w:val="32"/>
          <w:szCs w:val="32"/>
          <w:lang w:val="en-US" w:eastAsia="zh-CN" w:bidi="ar-SA"/>
        </w:rPr>
        <w:t>此外，我局将充分发挥政务新媒体传播优势，建立健全信息联动发布机制。精心筛选与群众利益密切相关的政策信息、服务动态，以图文、音视频等公众喜闻乐见的形式进行生动解读和及时推送，形成网站与新媒体平台功能互补、协同发力的公开矩阵，持续扩大信息覆盖面和政策到达率。</w:t>
      </w:r>
    </w:p>
    <w:p w14:paraId="180B4D46">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楷体简体" w:cs="方正楷体简体"/>
          <w:b/>
          <w:color w:val="auto"/>
          <w:sz w:val="32"/>
          <w:szCs w:val="32"/>
          <w:lang w:val="en-US" w:eastAsia="zh-CN"/>
        </w:rPr>
      </w:pPr>
      <w:r>
        <w:rPr>
          <w:rFonts w:hint="eastAsia" w:ascii="Times New Roman" w:hAnsi="Times New Roman" w:eastAsia="方正楷体简体" w:cs="方正楷体简体"/>
          <w:b/>
          <w:color w:val="auto"/>
          <w:sz w:val="32"/>
          <w:szCs w:val="32"/>
          <w:lang w:val="en-US" w:eastAsia="zh-CN"/>
        </w:rPr>
        <w:t>（五）监督保障情况</w:t>
      </w:r>
    </w:p>
    <w:p w14:paraId="442B69BC">
      <w:pPr>
        <w:keepNext w:val="0"/>
        <w:keepLines w:val="0"/>
        <w:pageBreakBefore w:val="0"/>
        <w:widowControl w:val="0"/>
        <w:shd w:val="clear"/>
        <w:kinsoku/>
        <w:wordWrap/>
        <w:overflowPunct/>
        <w:topLinePunct w:val="0"/>
        <w:autoSpaceDE/>
        <w:autoSpaceDN/>
        <w:bidi w:val="0"/>
        <w:adjustRightInd/>
        <w:snapToGrid/>
        <w:spacing w:line="580" w:lineRule="exact"/>
        <w:ind w:leftChars="0" w:right="0" w:rightChars="0" w:firstLine="643" w:firstLineChars="200"/>
        <w:jc w:val="both"/>
        <w:textAlignment w:val="auto"/>
        <w:rPr>
          <w:rFonts w:hint="eastAsia" w:ascii="Times New Roman" w:hAnsi="Times New Roman" w:eastAsia="方正仿宋简体" w:cs="方正仿宋简体"/>
          <w:b/>
          <w:color w:val="auto"/>
          <w:kern w:val="2"/>
          <w:sz w:val="32"/>
          <w:szCs w:val="32"/>
          <w:lang w:val="en-US" w:eastAsia="zh-CN" w:bidi="ar-SA"/>
        </w:rPr>
      </w:pPr>
      <w:r>
        <w:rPr>
          <w:rFonts w:hint="eastAsia" w:ascii="Times New Roman" w:hAnsi="Times New Roman" w:eastAsia="方正仿宋简体" w:cs="方正仿宋简体"/>
          <w:b/>
          <w:color w:val="auto"/>
          <w:kern w:val="2"/>
          <w:sz w:val="32"/>
          <w:szCs w:val="32"/>
          <w:lang w:val="en-US" w:eastAsia="zh-CN" w:bidi="ar-SA"/>
        </w:rPr>
        <w:t>一是持续强化对政务公开工作的统筹协调，明晰内设机构及相关单位的公开职责与分工，健全“牵头有方、分工有序、协同有效”的工作运行机制。二是规范日常运作，及时通过上级培训会议领会最新政策要求，并在内部严格执行规范化的信息采编、审核与发布流程，确保公开工作的规范性与时效性。三是狠抓问题整改，针对上级下发的政务公开工作提示，做到认真研究、全程跟进，确保各项反馈意见及时有效整改到位，形成工作闭环。</w:t>
      </w:r>
    </w:p>
    <w:p w14:paraId="36EAE8E2">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rPr>
      </w:pPr>
      <w:r>
        <w:rPr>
          <w:rFonts w:hint="eastAsia" w:ascii="Times New Roman" w:hAnsi="Times New Roman" w:eastAsia="方正黑体简体" w:cs="方正黑体简体"/>
          <w:b/>
          <w:bCs/>
          <w:i w:val="0"/>
          <w:iCs w:val="0"/>
          <w:caps w:val="0"/>
          <w:color w:val="auto"/>
          <w:spacing w:val="0"/>
          <w:kern w:val="0"/>
          <w:sz w:val="32"/>
          <w:szCs w:val="32"/>
          <w:lang w:val="en-US" w:eastAsia="zh-CN" w:bidi="ar"/>
        </w:rPr>
        <w:t>二、</w:t>
      </w:r>
      <w:r>
        <w:rPr>
          <w:rFonts w:hint="eastAsia" w:ascii="Times New Roman" w:hAnsi="Times New Roman" w:eastAsia="方正黑体简体" w:cs="方正黑体简体"/>
          <w:b/>
          <w:bCs/>
          <w:i w:val="0"/>
          <w:iCs w:val="0"/>
          <w:caps w:val="0"/>
          <w:color w:val="auto"/>
          <w:spacing w:val="0"/>
          <w:sz w:val="32"/>
          <w:szCs w:val="32"/>
        </w:rPr>
        <w:t>主动公开政府信息情况</w:t>
      </w:r>
    </w:p>
    <w:tbl>
      <w:tblPr>
        <w:tblStyle w:val="5"/>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2211"/>
        <w:gridCol w:w="2211"/>
        <w:gridCol w:w="2211"/>
        <w:gridCol w:w="2211"/>
      </w:tblGrid>
      <w:tr w14:paraId="1B0D2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740" w:type="dxa"/>
            <w:gridSpan w:val="4"/>
            <w:tcBorders>
              <w:tl2br w:val="nil"/>
              <w:tr2bl w:val="nil"/>
            </w:tcBorders>
            <w:shd w:val="clear" w:color="auto" w:fill="C6D9F1"/>
            <w:noWrap w:val="0"/>
            <w:tcMar>
              <w:left w:w="57" w:type="dxa"/>
              <w:right w:w="57" w:type="dxa"/>
            </w:tcMar>
            <w:vAlign w:val="center"/>
          </w:tcPr>
          <w:p w14:paraId="687928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黑体简体" w:cs="方正黑体简体"/>
                <w:b/>
                <w:bCs w:val="0"/>
                <w:color w:val="auto"/>
                <w:sz w:val="28"/>
                <w:szCs w:val="28"/>
              </w:rPr>
            </w:pPr>
            <w:r>
              <w:rPr>
                <w:rFonts w:hint="eastAsia" w:ascii="Times New Roman" w:hAnsi="Times New Roman" w:eastAsia="方正黑体简体" w:cs="方正黑体简体"/>
                <w:b/>
                <w:bCs w:val="0"/>
                <w:color w:val="auto"/>
                <w:kern w:val="0"/>
                <w:sz w:val="28"/>
                <w:szCs w:val="28"/>
                <w:lang w:val="en-US" w:eastAsia="zh-CN" w:bidi="ar"/>
              </w:rPr>
              <w:t>第二十条第（一）项</w:t>
            </w:r>
          </w:p>
        </w:tc>
      </w:tr>
      <w:tr w14:paraId="1AD8D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52FE4D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信息内容</w:t>
            </w:r>
          </w:p>
        </w:tc>
        <w:tc>
          <w:tcPr>
            <w:tcW w:w="2435" w:type="dxa"/>
            <w:tcBorders>
              <w:tl2br w:val="nil"/>
              <w:tr2bl w:val="nil"/>
            </w:tcBorders>
            <w:noWrap w:val="0"/>
            <w:tcMar>
              <w:left w:w="57" w:type="dxa"/>
              <w:right w:w="57" w:type="dxa"/>
            </w:tcMar>
            <w:vAlign w:val="center"/>
          </w:tcPr>
          <w:p w14:paraId="4DE291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本年制发件数</w:t>
            </w:r>
          </w:p>
        </w:tc>
        <w:tc>
          <w:tcPr>
            <w:tcW w:w="2435" w:type="dxa"/>
            <w:tcBorders>
              <w:tl2br w:val="nil"/>
              <w:tr2bl w:val="nil"/>
            </w:tcBorders>
            <w:noWrap w:val="0"/>
            <w:tcMar>
              <w:left w:w="57" w:type="dxa"/>
              <w:right w:w="57" w:type="dxa"/>
            </w:tcMar>
            <w:vAlign w:val="center"/>
          </w:tcPr>
          <w:p w14:paraId="7ACBFD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本年废止件数</w:t>
            </w:r>
          </w:p>
        </w:tc>
        <w:tc>
          <w:tcPr>
            <w:tcW w:w="2435" w:type="dxa"/>
            <w:tcBorders>
              <w:tl2br w:val="nil"/>
              <w:tr2bl w:val="nil"/>
            </w:tcBorders>
            <w:noWrap w:val="0"/>
            <w:tcMar>
              <w:left w:w="57" w:type="dxa"/>
              <w:right w:w="57" w:type="dxa"/>
            </w:tcMar>
            <w:vAlign w:val="center"/>
          </w:tcPr>
          <w:p w14:paraId="4AF12E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现行有效件数</w:t>
            </w:r>
          </w:p>
        </w:tc>
      </w:tr>
      <w:tr w14:paraId="0372D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5BCF3E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规章</w:t>
            </w:r>
          </w:p>
        </w:tc>
        <w:tc>
          <w:tcPr>
            <w:tcW w:w="2435" w:type="dxa"/>
            <w:tcBorders>
              <w:tl2br w:val="nil"/>
              <w:tr2bl w:val="nil"/>
            </w:tcBorders>
            <w:noWrap w:val="0"/>
            <w:tcMar>
              <w:left w:w="57" w:type="dxa"/>
              <w:right w:w="57" w:type="dxa"/>
            </w:tcMar>
            <w:vAlign w:val="center"/>
          </w:tcPr>
          <w:p w14:paraId="005DA5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c>
          <w:tcPr>
            <w:tcW w:w="2435" w:type="dxa"/>
            <w:tcBorders>
              <w:tl2br w:val="nil"/>
              <w:tr2bl w:val="nil"/>
            </w:tcBorders>
            <w:noWrap w:val="0"/>
            <w:tcMar>
              <w:left w:w="57" w:type="dxa"/>
              <w:right w:w="57" w:type="dxa"/>
            </w:tcMar>
            <w:vAlign w:val="center"/>
          </w:tcPr>
          <w:p w14:paraId="4472E2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c>
          <w:tcPr>
            <w:tcW w:w="2435" w:type="dxa"/>
            <w:tcBorders>
              <w:tl2br w:val="nil"/>
              <w:tr2bl w:val="nil"/>
            </w:tcBorders>
            <w:noWrap w:val="0"/>
            <w:tcMar>
              <w:left w:w="57" w:type="dxa"/>
              <w:right w:w="57" w:type="dxa"/>
            </w:tcMar>
            <w:vAlign w:val="center"/>
          </w:tcPr>
          <w:p w14:paraId="65F5D1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r>
      <w:tr w14:paraId="5A3D7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6FE785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行政规范性文件</w:t>
            </w:r>
          </w:p>
        </w:tc>
        <w:tc>
          <w:tcPr>
            <w:tcW w:w="2435" w:type="dxa"/>
            <w:tcBorders>
              <w:tl2br w:val="nil"/>
              <w:tr2bl w:val="nil"/>
            </w:tcBorders>
            <w:noWrap w:val="0"/>
            <w:tcMar>
              <w:left w:w="57" w:type="dxa"/>
              <w:right w:w="57" w:type="dxa"/>
            </w:tcMar>
            <w:vAlign w:val="center"/>
          </w:tcPr>
          <w:p w14:paraId="3FB7D8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c>
          <w:tcPr>
            <w:tcW w:w="2435" w:type="dxa"/>
            <w:tcBorders>
              <w:tl2br w:val="nil"/>
              <w:tr2bl w:val="nil"/>
            </w:tcBorders>
            <w:noWrap w:val="0"/>
            <w:tcMar>
              <w:left w:w="57" w:type="dxa"/>
              <w:right w:w="57" w:type="dxa"/>
            </w:tcMar>
            <w:vAlign w:val="center"/>
          </w:tcPr>
          <w:p w14:paraId="5ADFB6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c>
          <w:tcPr>
            <w:tcW w:w="2435" w:type="dxa"/>
            <w:tcBorders>
              <w:tl2br w:val="nil"/>
              <w:tr2bl w:val="nil"/>
            </w:tcBorders>
            <w:noWrap w:val="0"/>
            <w:tcMar>
              <w:left w:w="57" w:type="dxa"/>
              <w:right w:w="57" w:type="dxa"/>
            </w:tcMar>
            <w:vAlign w:val="center"/>
          </w:tcPr>
          <w:p w14:paraId="340578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r>
      <w:tr w14:paraId="4615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740" w:type="dxa"/>
            <w:gridSpan w:val="4"/>
            <w:tcBorders>
              <w:tl2br w:val="nil"/>
              <w:tr2bl w:val="nil"/>
            </w:tcBorders>
            <w:shd w:val="clear" w:color="auto" w:fill="C6D9F1"/>
            <w:noWrap w:val="0"/>
            <w:tcMar>
              <w:left w:w="57" w:type="dxa"/>
              <w:right w:w="57" w:type="dxa"/>
            </w:tcMar>
            <w:vAlign w:val="center"/>
          </w:tcPr>
          <w:p w14:paraId="594AF4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黑体简体" w:cs="方正黑体简体"/>
                <w:b/>
                <w:bCs w:val="0"/>
                <w:color w:val="auto"/>
                <w:sz w:val="28"/>
                <w:szCs w:val="28"/>
              </w:rPr>
            </w:pPr>
            <w:r>
              <w:rPr>
                <w:rFonts w:hint="eastAsia" w:ascii="Times New Roman" w:hAnsi="Times New Roman" w:eastAsia="方正黑体简体" w:cs="方正黑体简体"/>
                <w:b/>
                <w:bCs w:val="0"/>
                <w:color w:val="auto"/>
                <w:kern w:val="0"/>
                <w:sz w:val="28"/>
                <w:szCs w:val="28"/>
                <w:lang w:val="en-US" w:eastAsia="zh-CN" w:bidi="ar"/>
              </w:rPr>
              <w:t>第二十条第（五）项</w:t>
            </w:r>
          </w:p>
        </w:tc>
      </w:tr>
      <w:tr w14:paraId="2AF0F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2F8863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信息内容</w:t>
            </w:r>
          </w:p>
        </w:tc>
        <w:tc>
          <w:tcPr>
            <w:tcW w:w="7305" w:type="dxa"/>
            <w:gridSpan w:val="3"/>
            <w:tcBorders>
              <w:tl2br w:val="nil"/>
              <w:tr2bl w:val="nil"/>
            </w:tcBorders>
            <w:noWrap w:val="0"/>
            <w:tcMar>
              <w:left w:w="57" w:type="dxa"/>
              <w:right w:w="57" w:type="dxa"/>
            </w:tcMar>
            <w:vAlign w:val="center"/>
          </w:tcPr>
          <w:p w14:paraId="4D0750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本年处理决定数量</w:t>
            </w:r>
          </w:p>
        </w:tc>
      </w:tr>
      <w:tr w14:paraId="7EE19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273620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行政许可</w:t>
            </w:r>
          </w:p>
        </w:tc>
        <w:tc>
          <w:tcPr>
            <w:tcW w:w="7305" w:type="dxa"/>
            <w:gridSpan w:val="3"/>
            <w:tcBorders>
              <w:tl2br w:val="nil"/>
              <w:tr2bl w:val="nil"/>
            </w:tcBorders>
            <w:noWrap w:val="0"/>
            <w:tcMar>
              <w:left w:w="57" w:type="dxa"/>
              <w:right w:w="57" w:type="dxa"/>
            </w:tcMar>
            <w:vAlign w:val="center"/>
          </w:tcPr>
          <w:p w14:paraId="1F560F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r>
      <w:tr w14:paraId="1D218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740" w:type="dxa"/>
            <w:gridSpan w:val="4"/>
            <w:tcBorders>
              <w:tl2br w:val="nil"/>
              <w:tr2bl w:val="nil"/>
            </w:tcBorders>
            <w:shd w:val="clear" w:color="auto" w:fill="C6D9F1"/>
            <w:noWrap w:val="0"/>
            <w:tcMar>
              <w:left w:w="57" w:type="dxa"/>
              <w:right w:w="57" w:type="dxa"/>
            </w:tcMar>
            <w:vAlign w:val="center"/>
          </w:tcPr>
          <w:p w14:paraId="0D268C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黑体简体" w:cs="方正黑体简体"/>
                <w:b/>
                <w:bCs w:val="0"/>
                <w:color w:val="auto"/>
                <w:sz w:val="28"/>
                <w:szCs w:val="28"/>
              </w:rPr>
            </w:pPr>
            <w:r>
              <w:rPr>
                <w:rFonts w:hint="eastAsia" w:ascii="Times New Roman" w:hAnsi="Times New Roman" w:eastAsia="方正黑体简体" w:cs="方正黑体简体"/>
                <w:b/>
                <w:bCs w:val="0"/>
                <w:color w:val="auto"/>
                <w:kern w:val="0"/>
                <w:sz w:val="28"/>
                <w:szCs w:val="28"/>
                <w:lang w:val="en-US" w:eastAsia="zh-CN" w:bidi="ar"/>
              </w:rPr>
              <w:t>第二十条第（六）项</w:t>
            </w:r>
          </w:p>
        </w:tc>
      </w:tr>
      <w:tr w14:paraId="24774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1A92E3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信息内容</w:t>
            </w:r>
          </w:p>
        </w:tc>
        <w:tc>
          <w:tcPr>
            <w:tcW w:w="7305" w:type="dxa"/>
            <w:gridSpan w:val="3"/>
            <w:tcBorders>
              <w:tl2br w:val="nil"/>
              <w:tr2bl w:val="nil"/>
            </w:tcBorders>
            <w:noWrap w:val="0"/>
            <w:tcMar>
              <w:left w:w="57" w:type="dxa"/>
              <w:right w:w="57" w:type="dxa"/>
            </w:tcMar>
            <w:vAlign w:val="center"/>
          </w:tcPr>
          <w:p w14:paraId="0A13BD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本年处理决定数量</w:t>
            </w:r>
          </w:p>
        </w:tc>
      </w:tr>
      <w:tr w14:paraId="085A7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550A80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行政处罚</w:t>
            </w:r>
          </w:p>
        </w:tc>
        <w:tc>
          <w:tcPr>
            <w:tcW w:w="7305" w:type="dxa"/>
            <w:gridSpan w:val="3"/>
            <w:tcBorders>
              <w:tl2br w:val="nil"/>
              <w:tr2bl w:val="nil"/>
            </w:tcBorders>
            <w:noWrap w:val="0"/>
            <w:tcMar>
              <w:left w:w="57" w:type="dxa"/>
              <w:right w:w="57" w:type="dxa"/>
            </w:tcMar>
            <w:vAlign w:val="center"/>
          </w:tcPr>
          <w:p w14:paraId="0096C1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1</w:t>
            </w:r>
          </w:p>
        </w:tc>
      </w:tr>
      <w:tr w14:paraId="16937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6A219C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行政强制</w:t>
            </w:r>
          </w:p>
        </w:tc>
        <w:tc>
          <w:tcPr>
            <w:tcW w:w="7305" w:type="dxa"/>
            <w:gridSpan w:val="3"/>
            <w:tcBorders>
              <w:tl2br w:val="nil"/>
              <w:tr2bl w:val="nil"/>
            </w:tcBorders>
            <w:noWrap w:val="0"/>
            <w:tcMar>
              <w:left w:w="57" w:type="dxa"/>
              <w:right w:w="57" w:type="dxa"/>
            </w:tcMar>
            <w:vAlign w:val="center"/>
          </w:tcPr>
          <w:p w14:paraId="3E2983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r>
      <w:tr w14:paraId="0D87B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740" w:type="dxa"/>
            <w:gridSpan w:val="4"/>
            <w:tcBorders>
              <w:tl2br w:val="nil"/>
              <w:tr2bl w:val="nil"/>
            </w:tcBorders>
            <w:shd w:val="clear" w:color="auto" w:fill="C6D9F1"/>
            <w:noWrap w:val="0"/>
            <w:tcMar>
              <w:left w:w="57" w:type="dxa"/>
              <w:right w:w="57" w:type="dxa"/>
            </w:tcMar>
            <w:vAlign w:val="center"/>
          </w:tcPr>
          <w:p w14:paraId="1E832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黑体简体" w:cs="方正黑体简体"/>
                <w:b/>
                <w:bCs w:val="0"/>
                <w:color w:val="auto"/>
                <w:sz w:val="28"/>
                <w:szCs w:val="28"/>
              </w:rPr>
            </w:pPr>
            <w:r>
              <w:rPr>
                <w:rFonts w:hint="eastAsia" w:ascii="Times New Roman" w:hAnsi="Times New Roman" w:eastAsia="方正黑体简体" w:cs="方正黑体简体"/>
                <w:b/>
                <w:bCs w:val="0"/>
                <w:color w:val="auto"/>
                <w:kern w:val="0"/>
                <w:sz w:val="28"/>
                <w:szCs w:val="28"/>
                <w:lang w:val="en-US" w:eastAsia="zh-CN" w:bidi="ar"/>
              </w:rPr>
              <w:t>第二十条第（八）项</w:t>
            </w:r>
          </w:p>
        </w:tc>
      </w:tr>
      <w:tr w14:paraId="7EF6C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4107FD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信息内容</w:t>
            </w:r>
          </w:p>
        </w:tc>
        <w:tc>
          <w:tcPr>
            <w:tcW w:w="7305" w:type="dxa"/>
            <w:gridSpan w:val="3"/>
            <w:tcBorders>
              <w:tl2br w:val="nil"/>
              <w:tr2bl w:val="nil"/>
            </w:tcBorders>
            <w:noWrap w:val="0"/>
            <w:tcMar>
              <w:left w:w="57" w:type="dxa"/>
              <w:right w:w="57" w:type="dxa"/>
            </w:tcMar>
            <w:vAlign w:val="center"/>
          </w:tcPr>
          <w:p w14:paraId="7CCC75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本年收费金额（单位：万元）</w:t>
            </w:r>
          </w:p>
        </w:tc>
      </w:tr>
      <w:tr w14:paraId="26361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35" w:type="dxa"/>
            <w:tcBorders>
              <w:tl2br w:val="nil"/>
              <w:tr2bl w:val="nil"/>
            </w:tcBorders>
            <w:noWrap w:val="0"/>
            <w:tcMar>
              <w:left w:w="57" w:type="dxa"/>
              <w:right w:w="57" w:type="dxa"/>
            </w:tcMar>
            <w:vAlign w:val="center"/>
          </w:tcPr>
          <w:p w14:paraId="0D48F4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方正仿宋简体"/>
                <w:b/>
                <w:bCs w:val="0"/>
                <w:color w:val="auto"/>
                <w:sz w:val="28"/>
                <w:szCs w:val="28"/>
              </w:rPr>
            </w:pPr>
            <w:r>
              <w:rPr>
                <w:rFonts w:hint="eastAsia" w:ascii="Times New Roman" w:hAnsi="Times New Roman" w:eastAsia="方正仿宋简体" w:cs="方正仿宋简体"/>
                <w:b/>
                <w:bCs w:val="0"/>
                <w:color w:val="auto"/>
                <w:kern w:val="0"/>
                <w:sz w:val="28"/>
                <w:szCs w:val="28"/>
                <w:lang w:val="en-US" w:eastAsia="zh-CN" w:bidi="ar"/>
              </w:rPr>
              <w:t>行政事业性收费</w:t>
            </w:r>
          </w:p>
        </w:tc>
        <w:tc>
          <w:tcPr>
            <w:tcW w:w="7305" w:type="dxa"/>
            <w:gridSpan w:val="3"/>
            <w:tcBorders>
              <w:tl2br w:val="nil"/>
              <w:tr2bl w:val="nil"/>
            </w:tcBorders>
            <w:noWrap w:val="0"/>
            <w:tcMar>
              <w:left w:w="57" w:type="dxa"/>
              <w:right w:w="57" w:type="dxa"/>
            </w:tcMar>
            <w:vAlign w:val="center"/>
          </w:tcPr>
          <w:p w14:paraId="0E1FE0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方正仿宋简体" w:cs="方正仿宋简体"/>
                <w:b/>
                <w:bCs w:val="0"/>
                <w:color w:val="auto"/>
                <w:sz w:val="28"/>
                <w:szCs w:val="28"/>
                <w:lang w:val="en-US" w:eastAsia="zh-CN"/>
              </w:rPr>
            </w:pPr>
            <w:r>
              <w:rPr>
                <w:rFonts w:hint="eastAsia" w:ascii="Times New Roman" w:hAnsi="Times New Roman" w:eastAsia="方正仿宋简体" w:cs="方正仿宋简体"/>
                <w:b/>
                <w:bCs w:val="0"/>
                <w:color w:val="auto"/>
                <w:sz w:val="28"/>
                <w:szCs w:val="28"/>
                <w:lang w:val="en-US" w:eastAsia="zh-CN"/>
              </w:rPr>
              <w:t>0</w:t>
            </w:r>
          </w:p>
        </w:tc>
      </w:tr>
    </w:tbl>
    <w:p w14:paraId="58842F5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rPr>
      </w:pPr>
      <w:r>
        <w:rPr>
          <w:rFonts w:hint="eastAsia" w:ascii="Times New Roman" w:hAnsi="Times New Roman" w:eastAsia="方正黑体简体" w:cs="方正黑体简体"/>
          <w:b/>
          <w:bCs/>
          <w:i w:val="0"/>
          <w:iCs w:val="0"/>
          <w:caps w:val="0"/>
          <w:color w:val="auto"/>
          <w:spacing w:val="0"/>
          <w:kern w:val="0"/>
          <w:sz w:val="32"/>
          <w:szCs w:val="32"/>
          <w:lang w:val="en-US" w:eastAsia="zh-CN" w:bidi="ar"/>
        </w:rPr>
        <w:t>三、</w:t>
      </w:r>
      <w:r>
        <w:rPr>
          <w:rFonts w:hint="eastAsia" w:ascii="Times New Roman" w:hAnsi="Times New Roman" w:eastAsia="方正黑体简体" w:cs="方正黑体简体"/>
          <w:b/>
          <w:bCs/>
          <w:i w:val="0"/>
          <w:iCs w:val="0"/>
          <w:caps w:val="0"/>
          <w:color w:val="auto"/>
          <w:spacing w:val="0"/>
          <w:sz w:val="32"/>
          <w:szCs w:val="32"/>
        </w:rPr>
        <w:t>收到和处理政府信息公开申请情况</w:t>
      </w:r>
    </w:p>
    <w:tbl>
      <w:tblPr>
        <w:tblStyle w:val="5"/>
        <w:tblW w:w="89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729"/>
        <w:gridCol w:w="3546"/>
        <w:gridCol w:w="451"/>
        <w:gridCol w:w="600"/>
        <w:gridCol w:w="715"/>
        <w:gridCol w:w="656"/>
        <w:gridCol w:w="636"/>
        <w:gridCol w:w="512"/>
        <w:gridCol w:w="502"/>
      </w:tblGrid>
      <w:tr w14:paraId="3A3FE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842" w:type="dxa"/>
            <w:gridSpan w:val="3"/>
            <w:vMerge w:val="restart"/>
            <w:tcBorders>
              <w:tl2br w:val="nil"/>
              <w:tr2bl w:val="nil"/>
            </w:tcBorders>
            <w:noWrap w:val="0"/>
            <w:tcMar>
              <w:left w:w="57" w:type="dxa"/>
              <w:right w:w="57" w:type="dxa"/>
            </w:tcMar>
            <w:vAlign w:val="center"/>
          </w:tcPr>
          <w:p w14:paraId="5DE150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kern w:val="0"/>
                <w:sz w:val="21"/>
                <w:szCs w:val="21"/>
              </w:rPr>
            </w:pPr>
            <w:r>
              <w:rPr>
                <w:rFonts w:hint="eastAsia" w:ascii="Times New Roman" w:hAnsi="Times New Roman" w:eastAsia="方正黑体简体" w:cs="方正黑体简体"/>
                <w:b/>
                <w:bCs/>
                <w:color w:val="auto"/>
                <w:kern w:val="0"/>
                <w:sz w:val="21"/>
                <w:szCs w:val="21"/>
              </w:rPr>
              <w:t>（本列数据的勾稽关系为：第一项加第二项之和，等于第三项加第四项之和）</w:t>
            </w:r>
          </w:p>
        </w:tc>
        <w:tc>
          <w:tcPr>
            <w:tcW w:w="4072" w:type="dxa"/>
            <w:gridSpan w:val="7"/>
            <w:tcBorders>
              <w:tl2br w:val="nil"/>
              <w:tr2bl w:val="nil"/>
            </w:tcBorders>
            <w:noWrap w:val="0"/>
            <w:tcMar>
              <w:left w:w="57" w:type="dxa"/>
              <w:right w:w="57" w:type="dxa"/>
            </w:tcMar>
            <w:vAlign w:val="center"/>
          </w:tcPr>
          <w:p w14:paraId="33D0754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申请人情况</w:t>
            </w:r>
          </w:p>
        </w:tc>
      </w:tr>
      <w:tr w14:paraId="4E748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842" w:type="dxa"/>
            <w:gridSpan w:val="3"/>
            <w:vMerge w:val="continue"/>
            <w:tcBorders>
              <w:tl2br w:val="nil"/>
              <w:tr2bl w:val="nil"/>
            </w:tcBorders>
            <w:noWrap w:val="0"/>
            <w:tcMar>
              <w:left w:w="57" w:type="dxa"/>
              <w:right w:w="57" w:type="dxa"/>
            </w:tcMar>
            <w:vAlign w:val="center"/>
          </w:tcPr>
          <w:p w14:paraId="11A152E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黑体简体" w:cs="方正黑体简体"/>
                <w:b/>
                <w:bCs/>
                <w:color w:val="auto"/>
                <w:kern w:val="0"/>
                <w:sz w:val="21"/>
                <w:szCs w:val="21"/>
              </w:rPr>
            </w:pPr>
          </w:p>
        </w:tc>
        <w:tc>
          <w:tcPr>
            <w:tcW w:w="451" w:type="dxa"/>
            <w:vMerge w:val="restart"/>
            <w:tcBorders>
              <w:tl2br w:val="nil"/>
              <w:tr2bl w:val="nil"/>
            </w:tcBorders>
            <w:noWrap w:val="0"/>
            <w:tcMar>
              <w:left w:w="57" w:type="dxa"/>
              <w:right w:w="57" w:type="dxa"/>
            </w:tcMar>
            <w:vAlign w:val="center"/>
          </w:tcPr>
          <w:p w14:paraId="3890D88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自然人</w:t>
            </w:r>
          </w:p>
        </w:tc>
        <w:tc>
          <w:tcPr>
            <w:tcW w:w="3119" w:type="dxa"/>
            <w:gridSpan w:val="5"/>
            <w:tcBorders>
              <w:tl2br w:val="nil"/>
              <w:tr2bl w:val="nil"/>
            </w:tcBorders>
            <w:noWrap w:val="0"/>
            <w:tcMar>
              <w:left w:w="57" w:type="dxa"/>
              <w:right w:w="57" w:type="dxa"/>
            </w:tcMar>
            <w:vAlign w:val="center"/>
          </w:tcPr>
          <w:p w14:paraId="30C3277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法人或其他组织</w:t>
            </w:r>
          </w:p>
        </w:tc>
        <w:tc>
          <w:tcPr>
            <w:tcW w:w="502" w:type="dxa"/>
            <w:vMerge w:val="restart"/>
            <w:tcBorders>
              <w:tl2br w:val="nil"/>
              <w:tr2bl w:val="nil"/>
            </w:tcBorders>
            <w:noWrap w:val="0"/>
            <w:tcMar>
              <w:left w:w="57" w:type="dxa"/>
              <w:right w:w="57" w:type="dxa"/>
            </w:tcMar>
            <w:vAlign w:val="center"/>
          </w:tcPr>
          <w:p w14:paraId="63A9596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总计</w:t>
            </w:r>
          </w:p>
        </w:tc>
      </w:tr>
      <w:tr w14:paraId="5D44A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842" w:type="dxa"/>
            <w:gridSpan w:val="3"/>
            <w:vMerge w:val="continue"/>
            <w:tcBorders>
              <w:tl2br w:val="nil"/>
              <w:tr2bl w:val="nil"/>
            </w:tcBorders>
            <w:noWrap w:val="0"/>
            <w:tcMar>
              <w:left w:w="57" w:type="dxa"/>
              <w:right w:w="57" w:type="dxa"/>
            </w:tcMar>
            <w:vAlign w:val="center"/>
          </w:tcPr>
          <w:p w14:paraId="647689B0">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黑体简体" w:cs="方正黑体简体"/>
                <w:b/>
                <w:bCs/>
                <w:color w:val="auto"/>
                <w:kern w:val="0"/>
                <w:sz w:val="21"/>
                <w:szCs w:val="21"/>
              </w:rPr>
            </w:pPr>
          </w:p>
        </w:tc>
        <w:tc>
          <w:tcPr>
            <w:tcW w:w="451" w:type="dxa"/>
            <w:vMerge w:val="continue"/>
            <w:tcBorders>
              <w:tl2br w:val="nil"/>
              <w:tr2bl w:val="nil"/>
            </w:tcBorders>
            <w:noWrap w:val="0"/>
            <w:tcMar>
              <w:left w:w="57" w:type="dxa"/>
              <w:right w:w="57" w:type="dxa"/>
            </w:tcMar>
            <w:vAlign w:val="center"/>
          </w:tcPr>
          <w:p w14:paraId="288C274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p>
        </w:tc>
        <w:tc>
          <w:tcPr>
            <w:tcW w:w="600" w:type="dxa"/>
            <w:tcBorders>
              <w:tl2br w:val="nil"/>
              <w:tr2bl w:val="nil"/>
            </w:tcBorders>
            <w:noWrap w:val="0"/>
            <w:tcMar>
              <w:left w:w="57" w:type="dxa"/>
              <w:right w:w="57" w:type="dxa"/>
            </w:tcMar>
            <w:vAlign w:val="center"/>
          </w:tcPr>
          <w:p w14:paraId="3294AA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商业企业</w:t>
            </w:r>
          </w:p>
        </w:tc>
        <w:tc>
          <w:tcPr>
            <w:tcW w:w="715" w:type="dxa"/>
            <w:tcBorders>
              <w:tl2br w:val="nil"/>
              <w:tr2bl w:val="nil"/>
            </w:tcBorders>
            <w:noWrap w:val="0"/>
            <w:tcMar>
              <w:left w:w="57" w:type="dxa"/>
              <w:right w:w="57" w:type="dxa"/>
            </w:tcMar>
            <w:vAlign w:val="center"/>
          </w:tcPr>
          <w:p w14:paraId="45EFE10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科研机构</w:t>
            </w:r>
          </w:p>
        </w:tc>
        <w:tc>
          <w:tcPr>
            <w:tcW w:w="656" w:type="dxa"/>
            <w:tcBorders>
              <w:tl2br w:val="nil"/>
              <w:tr2bl w:val="nil"/>
            </w:tcBorders>
            <w:noWrap w:val="0"/>
            <w:tcMar>
              <w:left w:w="57" w:type="dxa"/>
              <w:right w:w="57" w:type="dxa"/>
            </w:tcMar>
            <w:vAlign w:val="center"/>
          </w:tcPr>
          <w:p w14:paraId="2F07DAA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社会公益组织</w:t>
            </w:r>
          </w:p>
        </w:tc>
        <w:tc>
          <w:tcPr>
            <w:tcW w:w="636" w:type="dxa"/>
            <w:tcBorders>
              <w:tl2br w:val="nil"/>
              <w:tr2bl w:val="nil"/>
            </w:tcBorders>
            <w:noWrap w:val="0"/>
            <w:tcMar>
              <w:left w:w="57" w:type="dxa"/>
              <w:right w:w="57" w:type="dxa"/>
            </w:tcMar>
            <w:vAlign w:val="center"/>
          </w:tcPr>
          <w:p w14:paraId="65D0B9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法律服务机构</w:t>
            </w:r>
          </w:p>
        </w:tc>
        <w:tc>
          <w:tcPr>
            <w:tcW w:w="512" w:type="dxa"/>
            <w:tcBorders>
              <w:tl2br w:val="nil"/>
              <w:tr2bl w:val="nil"/>
            </w:tcBorders>
            <w:noWrap w:val="0"/>
            <w:tcMar>
              <w:left w:w="57" w:type="dxa"/>
              <w:right w:w="57" w:type="dxa"/>
            </w:tcMar>
            <w:vAlign w:val="center"/>
          </w:tcPr>
          <w:p w14:paraId="02BF31B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黑体简体" w:cs="方正黑体简体"/>
                <w:b/>
                <w:bCs/>
                <w:color w:val="auto"/>
                <w:sz w:val="21"/>
                <w:szCs w:val="21"/>
              </w:rPr>
            </w:pPr>
            <w:r>
              <w:rPr>
                <w:rFonts w:hint="eastAsia" w:ascii="Times New Roman" w:hAnsi="Times New Roman" w:eastAsia="方正黑体简体" w:cs="方正黑体简体"/>
                <w:b/>
                <w:bCs/>
                <w:color w:val="auto"/>
                <w:sz w:val="21"/>
                <w:szCs w:val="21"/>
              </w:rPr>
              <w:t>其他</w:t>
            </w:r>
          </w:p>
        </w:tc>
        <w:tc>
          <w:tcPr>
            <w:tcW w:w="502" w:type="dxa"/>
            <w:vMerge w:val="continue"/>
            <w:tcBorders>
              <w:tl2br w:val="nil"/>
              <w:tr2bl w:val="nil"/>
            </w:tcBorders>
            <w:noWrap w:val="0"/>
            <w:tcMar>
              <w:left w:w="57" w:type="dxa"/>
              <w:right w:w="57" w:type="dxa"/>
            </w:tcMar>
            <w:vAlign w:val="center"/>
          </w:tcPr>
          <w:p w14:paraId="669CE82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sz w:val="21"/>
                <w:szCs w:val="21"/>
              </w:rPr>
            </w:pPr>
          </w:p>
        </w:tc>
      </w:tr>
      <w:tr w14:paraId="1829A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842" w:type="dxa"/>
            <w:gridSpan w:val="3"/>
            <w:tcBorders>
              <w:tl2br w:val="nil"/>
              <w:tr2bl w:val="nil"/>
            </w:tcBorders>
            <w:noWrap w:val="0"/>
            <w:tcMar>
              <w:left w:w="57" w:type="dxa"/>
              <w:right w:w="57" w:type="dxa"/>
            </w:tcMar>
            <w:vAlign w:val="center"/>
          </w:tcPr>
          <w:p w14:paraId="0AA80A5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一、</w:t>
            </w:r>
            <w:bookmarkStart w:id="0" w:name="_Hlk66973412"/>
            <w:r>
              <w:rPr>
                <w:rFonts w:hint="eastAsia" w:ascii="Times New Roman" w:hAnsi="Times New Roman" w:eastAsia="方正仿宋简体" w:cs="方正仿宋简体"/>
                <w:b/>
                <w:bCs/>
                <w:color w:val="auto"/>
                <w:kern w:val="0"/>
                <w:sz w:val="21"/>
                <w:szCs w:val="21"/>
              </w:rPr>
              <w:t>本年新收政府信息公开申请数量</w:t>
            </w:r>
            <w:bookmarkEnd w:id="0"/>
          </w:p>
        </w:tc>
        <w:tc>
          <w:tcPr>
            <w:tcW w:w="451" w:type="dxa"/>
            <w:tcBorders>
              <w:tl2br w:val="nil"/>
              <w:tr2bl w:val="nil"/>
            </w:tcBorders>
            <w:noWrap w:val="0"/>
            <w:tcMar>
              <w:left w:w="57" w:type="dxa"/>
              <w:right w:w="57" w:type="dxa"/>
            </w:tcMar>
            <w:vAlign w:val="center"/>
          </w:tcPr>
          <w:p w14:paraId="3D1BB7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6</w:t>
            </w:r>
          </w:p>
        </w:tc>
        <w:tc>
          <w:tcPr>
            <w:tcW w:w="600" w:type="dxa"/>
            <w:tcBorders>
              <w:tl2br w:val="nil"/>
              <w:tr2bl w:val="nil"/>
            </w:tcBorders>
            <w:noWrap w:val="0"/>
            <w:tcMar>
              <w:left w:w="57" w:type="dxa"/>
              <w:right w:w="57" w:type="dxa"/>
            </w:tcMar>
            <w:vAlign w:val="center"/>
          </w:tcPr>
          <w:p w14:paraId="2BF0F3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41C74E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3637F8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10F487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783814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4CBCF5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6</w:t>
            </w:r>
          </w:p>
        </w:tc>
      </w:tr>
      <w:tr w14:paraId="2EDAB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842" w:type="dxa"/>
            <w:gridSpan w:val="3"/>
            <w:tcBorders>
              <w:tl2br w:val="nil"/>
              <w:tr2bl w:val="nil"/>
            </w:tcBorders>
            <w:noWrap w:val="0"/>
            <w:tcMar>
              <w:left w:w="57" w:type="dxa"/>
              <w:right w:w="57" w:type="dxa"/>
            </w:tcMar>
            <w:vAlign w:val="center"/>
          </w:tcPr>
          <w:p w14:paraId="3B1F6F73">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二、上年结转政府信息公开申请数量</w:t>
            </w:r>
          </w:p>
        </w:tc>
        <w:tc>
          <w:tcPr>
            <w:tcW w:w="451" w:type="dxa"/>
            <w:tcBorders>
              <w:tl2br w:val="nil"/>
              <w:tr2bl w:val="nil"/>
            </w:tcBorders>
            <w:noWrap w:val="0"/>
            <w:tcMar>
              <w:left w:w="57" w:type="dxa"/>
              <w:right w:w="57" w:type="dxa"/>
            </w:tcMar>
            <w:vAlign w:val="center"/>
          </w:tcPr>
          <w:p w14:paraId="0B6866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2F12DC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394F3A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0641A0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63D821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0656B4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512B8E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59AC7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vMerge w:val="restart"/>
            <w:tcBorders>
              <w:tl2br w:val="nil"/>
              <w:tr2bl w:val="nil"/>
            </w:tcBorders>
            <w:noWrap w:val="0"/>
            <w:tcMar>
              <w:left w:w="57" w:type="dxa"/>
              <w:right w:w="57" w:type="dxa"/>
            </w:tcMar>
            <w:vAlign w:val="center"/>
          </w:tcPr>
          <w:p w14:paraId="06A5D74D">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三、本年度办理结果</w:t>
            </w:r>
          </w:p>
        </w:tc>
        <w:tc>
          <w:tcPr>
            <w:tcW w:w="4275" w:type="dxa"/>
            <w:gridSpan w:val="2"/>
            <w:tcBorders>
              <w:tl2br w:val="nil"/>
              <w:tr2bl w:val="nil"/>
            </w:tcBorders>
            <w:noWrap w:val="0"/>
            <w:tcMar>
              <w:left w:w="57" w:type="dxa"/>
              <w:right w:w="57" w:type="dxa"/>
            </w:tcMar>
            <w:vAlign w:val="center"/>
          </w:tcPr>
          <w:p w14:paraId="0A13AC89">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（一）予以公开</w:t>
            </w:r>
          </w:p>
        </w:tc>
        <w:tc>
          <w:tcPr>
            <w:tcW w:w="451" w:type="dxa"/>
            <w:tcBorders>
              <w:tl2br w:val="nil"/>
              <w:tr2bl w:val="nil"/>
            </w:tcBorders>
            <w:noWrap w:val="0"/>
            <w:tcMar>
              <w:left w:w="57" w:type="dxa"/>
              <w:right w:w="57" w:type="dxa"/>
            </w:tcMar>
            <w:vAlign w:val="center"/>
          </w:tcPr>
          <w:p w14:paraId="1F88EC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6</w:t>
            </w:r>
          </w:p>
        </w:tc>
        <w:tc>
          <w:tcPr>
            <w:tcW w:w="600" w:type="dxa"/>
            <w:tcBorders>
              <w:tl2br w:val="nil"/>
              <w:tr2bl w:val="nil"/>
            </w:tcBorders>
            <w:noWrap w:val="0"/>
            <w:tcMar>
              <w:left w:w="57" w:type="dxa"/>
              <w:right w:w="57" w:type="dxa"/>
            </w:tcMar>
            <w:vAlign w:val="center"/>
          </w:tcPr>
          <w:p w14:paraId="5E3520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63332D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023876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0FEC89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4528D5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5385EF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6</w:t>
            </w:r>
          </w:p>
        </w:tc>
      </w:tr>
      <w:tr w14:paraId="0E725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vMerge w:val="continue"/>
            <w:tcBorders>
              <w:tl2br w:val="nil"/>
              <w:tr2bl w:val="nil"/>
            </w:tcBorders>
            <w:noWrap w:val="0"/>
            <w:tcMar>
              <w:left w:w="57" w:type="dxa"/>
              <w:right w:w="57" w:type="dxa"/>
            </w:tcMar>
            <w:vAlign w:val="center"/>
          </w:tcPr>
          <w:p w14:paraId="2E538DA4">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4275" w:type="dxa"/>
            <w:gridSpan w:val="2"/>
            <w:tcBorders>
              <w:tl2br w:val="nil"/>
              <w:tr2bl w:val="nil"/>
            </w:tcBorders>
            <w:noWrap w:val="0"/>
            <w:tcMar>
              <w:left w:w="57" w:type="dxa"/>
              <w:right w:w="57" w:type="dxa"/>
            </w:tcMar>
            <w:vAlign w:val="center"/>
          </w:tcPr>
          <w:p w14:paraId="511C5AFF">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（二）部分公开（</w:t>
            </w:r>
            <w:bookmarkStart w:id="1" w:name="_Hlk66973981"/>
            <w:r>
              <w:rPr>
                <w:rFonts w:hint="eastAsia" w:ascii="Times New Roman" w:hAnsi="Times New Roman" w:eastAsia="方正仿宋简体" w:cs="方正仿宋简体"/>
                <w:b/>
                <w:bCs/>
                <w:color w:val="auto"/>
                <w:kern w:val="0"/>
                <w:sz w:val="21"/>
                <w:szCs w:val="21"/>
              </w:rPr>
              <w:t>区分处理的，只计这一情形，不计其他情形</w:t>
            </w:r>
            <w:bookmarkEnd w:id="1"/>
            <w:r>
              <w:rPr>
                <w:rFonts w:hint="eastAsia" w:ascii="Times New Roman" w:hAnsi="Times New Roman" w:eastAsia="方正仿宋简体" w:cs="方正仿宋简体"/>
                <w:b/>
                <w:bCs/>
                <w:color w:val="auto"/>
                <w:kern w:val="0"/>
                <w:sz w:val="21"/>
                <w:szCs w:val="21"/>
              </w:rPr>
              <w:t>）</w:t>
            </w:r>
          </w:p>
        </w:tc>
        <w:tc>
          <w:tcPr>
            <w:tcW w:w="451" w:type="dxa"/>
            <w:tcBorders>
              <w:tl2br w:val="nil"/>
              <w:tr2bl w:val="nil"/>
            </w:tcBorders>
            <w:noWrap w:val="0"/>
            <w:tcMar>
              <w:left w:w="57" w:type="dxa"/>
              <w:right w:w="57" w:type="dxa"/>
            </w:tcMar>
            <w:vAlign w:val="center"/>
          </w:tcPr>
          <w:p w14:paraId="1FEA07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381AC0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7C36E6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6664E3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527952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3376DD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1F4D1A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r>
      <w:tr w14:paraId="0B68D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40E6FB2F">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restart"/>
            <w:tcBorders>
              <w:tl2br w:val="nil"/>
              <w:tr2bl w:val="nil"/>
            </w:tcBorders>
            <w:noWrap w:val="0"/>
            <w:tcMar>
              <w:left w:w="57" w:type="dxa"/>
              <w:right w:w="57" w:type="dxa"/>
            </w:tcMar>
            <w:vAlign w:val="center"/>
          </w:tcPr>
          <w:p w14:paraId="7EF4B3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（三）</w:t>
            </w:r>
          </w:p>
          <w:p w14:paraId="579A7F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不予</w:t>
            </w:r>
          </w:p>
          <w:p w14:paraId="48C8B0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公开</w:t>
            </w:r>
          </w:p>
        </w:tc>
        <w:tc>
          <w:tcPr>
            <w:tcW w:w="3546" w:type="dxa"/>
            <w:tcBorders>
              <w:tl2br w:val="nil"/>
              <w:tr2bl w:val="nil"/>
            </w:tcBorders>
            <w:noWrap w:val="0"/>
            <w:tcMar>
              <w:left w:w="57" w:type="dxa"/>
              <w:right w:w="57" w:type="dxa"/>
            </w:tcMar>
            <w:vAlign w:val="center"/>
          </w:tcPr>
          <w:p w14:paraId="551E7894">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1.属于国家秘密</w:t>
            </w:r>
          </w:p>
        </w:tc>
        <w:tc>
          <w:tcPr>
            <w:tcW w:w="451" w:type="dxa"/>
            <w:tcBorders>
              <w:tl2br w:val="nil"/>
              <w:tr2bl w:val="nil"/>
            </w:tcBorders>
            <w:noWrap w:val="0"/>
            <w:tcMar>
              <w:left w:w="57" w:type="dxa"/>
              <w:right w:w="57" w:type="dxa"/>
            </w:tcMar>
            <w:vAlign w:val="center"/>
          </w:tcPr>
          <w:p w14:paraId="015C2C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180896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22EB5E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7F5D4A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64780C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05E032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21E0F8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6AC2B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0848FC48">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2E0570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1EE0EA03">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2.</w:t>
            </w:r>
            <w:bookmarkStart w:id="2" w:name="_Hlk66974104"/>
            <w:r>
              <w:rPr>
                <w:rFonts w:hint="eastAsia" w:ascii="Times New Roman" w:hAnsi="Times New Roman" w:eastAsia="方正仿宋简体" w:cs="方正仿宋简体"/>
                <w:b/>
                <w:bCs/>
                <w:color w:val="auto"/>
                <w:sz w:val="21"/>
                <w:szCs w:val="21"/>
              </w:rPr>
              <w:t>其他法律行政法规禁止公开</w:t>
            </w:r>
            <w:bookmarkEnd w:id="2"/>
          </w:p>
        </w:tc>
        <w:tc>
          <w:tcPr>
            <w:tcW w:w="451" w:type="dxa"/>
            <w:tcBorders>
              <w:tl2br w:val="nil"/>
              <w:tr2bl w:val="nil"/>
            </w:tcBorders>
            <w:noWrap w:val="0"/>
            <w:tcMar>
              <w:left w:w="57" w:type="dxa"/>
              <w:right w:w="57" w:type="dxa"/>
            </w:tcMar>
            <w:vAlign w:val="center"/>
          </w:tcPr>
          <w:p w14:paraId="758FB2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5DF808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4C4CA6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41CE3A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2EA837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16D51C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54FD6C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3DB92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3788C673">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51BD9B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5DF130E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3.危及“三安全一稳定”</w:t>
            </w:r>
          </w:p>
        </w:tc>
        <w:tc>
          <w:tcPr>
            <w:tcW w:w="451" w:type="dxa"/>
            <w:tcBorders>
              <w:tl2br w:val="nil"/>
              <w:tr2bl w:val="nil"/>
            </w:tcBorders>
            <w:noWrap w:val="0"/>
            <w:tcMar>
              <w:left w:w="57" w:type="dxa"/>
              <w:right w:w="57" w:type="dxa"/>
            </w:tcMar>
            <w:vAlign w:val="center"/>
          </w:tcPr>
          <w:p w14:paraId="5EB1F2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6B86B3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5198B1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0D28CD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231F4D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43BE73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040C21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163F7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5892A26B">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7B7895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26D5276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4.</w:t>
            </w:r>
            <w:bookmarkStart w:id="3" w:name="_Hlk66974290"/>
            <w:r>
              <w:rPr>
                <w:rFonts w:hint="eastAsia" w:ascii="Times New Roman" w:hAnsi="Times New Roman" w:eastAsia="方正仿宋简体" w:cs="方正仿宋简体"/>
                <w:b/>
                <w:bCs/>
                <w:color w:val="auto"/>
                <w:sz w:val="21"/>
                <w:szCs w:val="21"/>
              </w:rPr>
              <w:t>保护第三方合法权益</w:t>
            </w:r>
            <w:bookmarkEnd w:id="3"/>
          </w:p>
        </w:tc>
        <w:tc>
          <w:tcPr>
            <w:tcW w:w="451" w:type="dxa"/>
            <w:tcBorders>
              <w:tl2br w:val="nil"/>
              <w:tr2bl w:val="nil"/>
            </w:tcBorders>
            <w:noWrap w:val="0"/>
            <w:tcMar>
              <w:left w:w="57" w:type="dxa"/>
              <w:right w:w="57" w:type="dxa"/>
            </w:tcMar>
            <w:vAlign w:val="center"/>
          </w:tcPr>
          <w:p w14:paraId="30764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6DD888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110511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2AA517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695A03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65066B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21B1D2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3C20A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71403A06">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34F9FA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7A71D08C">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5.属于三类内部事务信息</w:t>
            </w:r>
          </w:p>
        </w:tc>
        <w:tc>
          <w:tcPr>
            <w:tcW w:w="451" w:type="dxa"/>
            <w:tcBorders>
              <w:tl2br w:val="nil"/>
              <w:tr2bl w:val="nil"/>
            </w:tcBorders>
            <w:noWrap w:val="0"/>
            <w:tcMar>
              <w:left w:w="57" w:type="dxa"/>
              <w:right w:w="57" w:type="dxa"/>
            </w:tcMar>
            <w:vAlign w:val="center"/>
          </w:tcPr>
          <w:p w14:paraId="759B83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3F8B7C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7BC7FC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2CEC53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28269F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515B69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0FDEED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38174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689D4EDC">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06987F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6F450259">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6.</w:t>
            </w:r>
            <w:bookmarkStart w:id="4" w:name="_Hlk66974555"/>
            <w:r>
              <w:rPr>
                <w:rFonts w:hint="eastAsia" w:ascii="Times New Roman" w:hAnsi="Times New Roman" w:eastAsia="方正仿宋简体" w:cs="方正仿宋简体"/>
                <w:b/>
                <w:bCs/>
                <w:color w:val="auto"/>
                <w:sz w:val="21"/>
                <w:szCs w:val="21"/>
              </w:rPr>
              <w:t>属于四类过程性信息</w:t>
            </w:r>
            <w:bookmarkEnd w:id="4"/>
          </w:p>
        </w:tc>
        <w:tc>
          <w:tcPr>
            <w:tcW w:w="451" w:type="dxa"/>
            <w:tcBorders>
              <w:tl2br w:val="nil"/>
              <w:tr2bl w:val="nil"/>
            </w:tcBorders>
            <w:noWrap w:val="0"/>
            <w:tcMar>
              <w:left w:w="57" w:type="dxa"/>
              <w:right w:w="57" w:type="dxa"/>
            </w:tcMar>
            <w:vAlign w:val="center"/>
          </w:tcPr>
          <w:p w14:paraId="41B5B3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6465B5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5660BA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7733C3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2C84D1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31950E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70350E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1708A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05C21BD6">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65376C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19D60CA4">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7.属于行政执法案卷</w:t>
            </w:r>
          </w:p>
        </w:tc>
        <w:tc>
          <w:tcPr>
            <w:tcW w:w="451" w:type="dxa"/>
            <w:tcBorders>
              <w:tl2br w:val="nil"/>
              <w:tr2bl w:val="nil"/>
            </w:tcBorders>
            <w:noWrap w:val="0"/>
            <w:tcMar>
              <w:left w:w="57" w:type="dxa"/>
              <w:right w:w="57" w:type="dxa"/>
            </w:tcMar>
            <w:vAlign w:val="center"/>
          </w:tcPr>
          <w:p w14:paraId="4B0D39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0A4239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7CC129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0595F8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0CD3DD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688EB2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5E3937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07BED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283EB02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21FC92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33B2A01F">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8.</w:t>
            </w:r>
            <w:bookmarkStart w:id="5" w:name="_Hlk66975211"/>
            <w:r>
              <w:rPr>
                <w:rFonts w:hint="eastAsia" w:ascii="Times New Roman" w:hAnsi="Times New Roman" w:eastAsia="方正仿宋简体" w:cs="方正仿宋简体"/>
                <w:b/>
                <w:bCs/>
                <w:color w:val="auto"/>
                <w:sz w:val="21"/>
                <w:szCs w:val="21"/>
              </w:rPr>
              <w:t>属于行政查询事项</w:t>
            </w:r>
            <w:bookmarkEnd w:id="5"/>
          </w:p>
        </w:tc>
        <w:tc>
          <w:tcPr>
            <w:tcW w:w="451" w:type="dxa"/>
            <w:tcBorders>
              <w:tl2br w:val="nil"/>
              <w:tr2bl w:val="nil"/>
            </w:tcBorders>
            <w:noWrap w:val="0"/>
            <w:tcMar>
              <w:left w:w="57" w:type="dxa"/>
              <w:right w:w="57" w:type="dxa"/>
            </w:tcMar>
            <w:vAlign w:val="center"/>
          </w:tcPr>
          <w:p w14:paraId="22DD86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470149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119AD5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657C50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6E5C41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15BE54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47FB3B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0149B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55710AB9">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restart"/>
            <w:tcBorders>
              <w:tl2br w:val="nil"/>
              <w:tr2bl w:val="nil"/>
            </w:tcBorders>
            <w:noWrap w:val="0"/>
            <w:tcMar>
              <w:left w:w="57" w:type="dxa"/>
              <w:right w:w="57" w:type="dxa"/>
            </w:tcMar>
            <w:vAlign w:val="center"/>
          </w:tcPr>
          <w:p w14:paraId="165DAD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（四）</w:t>
            </w:r>
          </w:p>
          <w:p w14:paraId="54F137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无法</w:t>
            </w:r>
          </w:p>
          <w:p w14:paraId="1AE449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提供</w:t>
            </w:r>
          </w:p>
        </w:tc>
        <w:tc>
          <w:tcPr>
            <w:tcW w:w="3546" w:type="dxa"/>
            <w:tcBorders>
              <w:tl2br w:val="nil"/>
              <w:tr2bl w:val="nil"/>
            </w:tcBorders>
            <w:noWrap w:val="0"/>
            <w:tcMar>
              <w:left w:w="57" w:type="dxa"/>
              <w:right w:w="57" w:type="dxa"/>
            </w:tcMar>
            <w:vAlign w:val="center"/>
          </w:tcPr>
          <w:p w14:paraId="17E80F2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1.本机关不掌握相关政府信息</w:t>
            </w:r>
          </w:p>
        </w:tc>
        <w:tc>
          <w:tcPr>
            <w:tcW w:w="451" w:type="dxa"/>
            <w:tcBorders>
              <w:tl2br w:val="nil"/>
              <w:tr2bl w:val="nil"/>
            </w:tcBorders>
            <w:noWrap w:val="0"/>
            <w:tcMar>
              <w:left w:w="57" w:type="dxa"/>
              <w:right w:w="57" w:type="dxa"/>
            </w:tcMar>
            <w:vAlign w:val="center"/>
          </w:tcPr>
          <w:p w14:paraId="6A2EE9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0111EA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52A94A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0EC6CE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6EB52A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582A2C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073F1C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0</w:t>
            </w:r>
          </w:p>
        </w:tc>
      </w:tr>
      <w:tr w14:paraId="26828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47E63F40">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5E21BE1B">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50EFDC4C">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2.</w:t>
            </w:r>
            <w:bookmarkStart w:id="6" w:name="_Hlk66975392"/>
            <w:r>
              <w:rPr>
                <w:rFonts w:hint="eastAsia" w:ascii="Times New Roman" w:hAnsi="Times New Roman" w:eastAsia="方正仿宋简体" w:cs="方正仿宋简体"/>
                <w:b/>
                <w:bCs/>
                <w:color w:val="auto"/>
                <w:sz w:val="21"/>
                <w:szCs w:val="21"/>
              </w:rPr>
              <w:t>没有现成信息需要另行制作</w:t>
            </w:r>
            <w:bookmarkEnd w:id="6"/>
          </w:p>
        </w:tc>
        <w:tc>
          <w:tcPr>
            <w:tcW w:w="451" w:type="dxa"/>
            <w:tcBorders>
              <w:tl2br w:val="nil"/>
              <w:tr2bl w:val="nil"/>
            </w:tcBorders>
            <w:noWrap w:val="0"/>
            <w:tcMar>
              <w:left w:w="57" w:type="dxa"/>
              <w:right w:w="57" w:type="dxa"/>
            </w:tcMar>
            <w:vAlign w:val="center"/>
          </w:tcPr>
          <w:p w14:paraId="1A661B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12CECA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4298FA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7A1A66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183170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285E70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109FD3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279CE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66A1A6D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12FD861A">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4572E12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3.</w:t>
            </w:r>
            <w:bookmarkStart w:id="7" w:name="_Hlk66975466"/>
            <w:r>
              <w:rPr>
                <w:rFonts w:hint="eastAsia" w:ascii="Times New Roman" w:hAnsi="Times New Roman" w:eastAsia="方正仿宋简体" w:cs="方正仿宋简体"/>
                <w:b/>
                <w:bCs/>
                <w:color w:val="auto"/>
                <w:sz w:val="21"/>
                <w:szCs w:val="21"/>
              </w:rPr>
              <w:t>补正后申请内容仍不明确</w:t>
            </w:r>
            <w:bookmarkEnd w:id="7"/>
          </w:p>
        </w:tc>
        <w:tc>
          <w:tcPr>
            <w:tcW w:w="451" w:type="dxa"/>
            <w:tcBorders>
              <w:tl2br w:val="nil"/>
              <w:tr2bl w:val="nil"/>
            </w:tcBorders>
            <w:noWrap w:val="0"/>
            <w:tcMar>
              <w:left w:w="57" w:type="dxa"/>
              <w:right w:w="57" w:type="dxa"/>
            </w:tcMar>
            <w:vAlign w:val="center"/>
          </w:tcPr>
          <w:p w14:paraId="75CEFF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522087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5015A8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767DC2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3ADFE7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0392CB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49B5F7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44DEF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299A17E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restart"/>
            <w:tcBorders>
              <w:tl2br w:val="nil"/>
              <w:tr2bl w:val="nil"/>
            </w:tcBorders>
            <w:noWrap w:val="0"/>
            <w:tcMar>
              <w:left w:w="57" w:type="dxa"/>
              <w:right w:w="57" w:type="dxa"/>
            </w:tcMar>
            <w:vAlign w:val="center"/>
          </w:tcPr>
          <w:p w14:paraId="50CA53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（五）不予</w:t>
            </w:r>
          </w:p>
          <w:p w14:paraId="3EECBC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处理</w:t>
            </w:r>
          </w:p>
        </w:tc>
        <w:tc>
          <w:tcPr>
            <w:tcW w:w="3546" w:type="dxa"/>
            <w:tcBorders>
              <w:tl2br w:val="nil"/>
              <w:tr2bl w:val="nil"/>
            </w:tcBorders>
            <w:noWrap w:val="0"/>
            <w:tcMar>
              <w:left w:w="57" w:type="dxa"/>
              <w:right w:w="57" w:type="dxa"/>
            </w:tcMar>
            <w:vAlign w:val="center"/>
          </w:tcPr>
          <w:p w14:paraId="7D4B96CF">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1.</w:t>
            </w:r>
            <w:bookmarkStart w:id="8" w:name="_Hlk66975537"/>
            <w:r>
              <w:rPr>
                <w:rFonts w:hint="eastAsia" w:ascii="Times New Roman" w:hAnsi="Times New Roman" w:eastAsia="方正仿宋简体" w:cs="方正仿宋简体"/>
                <w:b/>
                <w:bCs/>
                <w:color w:val="auto"/>
                <w:sz w:val="21"/>
                <w:szCs w:val="21"/>
              </w:rPr>
              <w:t>信访举报投诉类申请</w:t>
            </w:r>
            <w:bookmarkEnd w:id="8"/>
          </w:p>
        </w:tc>
        <w:tc>
          <w:tcPr>
            <w:tcW w:w="451" w:type="dxa"/>
            <w:tcBorders>
              <w:tl2br w:val="nil"/>
              <w:tr2bl w:val="nil"/>
            </w:tcBorders>
            <w:noWrap w:val="0"/>
            <w:tcMar>
              <w:left w:w="57" w:type="dxa"/>
              <w:right w:w="57" w:type="dxa"/>
            </w:tcMar>
            <w:vAlign w:val="center"/>
          </w:tcPr>
          <w:p w14:paraId="5726EE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7A96E2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4478AE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2206F7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24F122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38CFE2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2477FB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55A4C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76129C8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78139F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3918DDA6">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2.重复申请</w:t>
            </w:r>
          </w:p>
        </w:tc>
        <w:tc>
          <w:tcPr>
            <w:tcW w:w="451" w:type="dxa"/>
            <w:tcBorders>
              <w:tl2br w:val="nil"/>
              <w:tr2bl w:val="nil"/>
            </w:tcBorders>
            <w:noWrap w:val="0"/>
            <w:tcMar>
              <w:left w:w="57" w:type="dxa"/>
              <w:right w:w="57" w:type="dxa"/>
            </w:tcMar>
            <w:vAlign w:val="center"/>
          </w:tcPr>
          <w:p w14:paraId="12EE50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5E7283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299CE4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24B96F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7BB33E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0CFB2B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07280E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19375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532310D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18AAEB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2F47387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3.要求提供公开出版物</w:t>
            </w:r>
          </w:p>
        </w:tc>
        <w:tc>
          <w:tcPr>
            <w:tcW w:w="451" w:type="dxa"/>
            <w:tcBorders>
              <w:tl2br w:val="nil"/>
              <w:tr2bl w:val="nil"/>
            </w:tcBorders>
            <w:noWrap w:val="0"/>
            <w:tcMar>
              <w:left w:w="57" w:type="dxa"/>
              <w:right w:w="57" w:type="dxa"/>
            </w:tcMar>
            <w:vAlign w:val="center"/>
          </w:tcPr>
          <w:p w14:paraId="08E085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333779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289D38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43AE85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636AEC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577129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1CBB53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6277C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567" w:type="dxa"/>
            <w:vMerge w:val="continue"/>
            <w:tcBorders>
              <w:tl2br w:val="nil"/>
              <w:tr2bl w:val="nil"/>
            </w:tcBorders>
            <w:noWrap w:val="0"/>
            <w:tcMar>
              <w:left w:w="57" w:type="dxa"/>
              <w:right w:w="57" w:type="dxa"/>
            </w:tcMar>
            <w:vAlign w:val="center"/>
          </w:tcPr>
          <w:p w14:paraId="6A95F7E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13109E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038E11DC">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4.无正当理由大量反复申请</w:t>
            </w:r>
          </w:p>
        </w:tc>
        <w:tc>
          <w:tcPr>
            <w:tcW w:w="451" w:type="dxa"/>
            <w:tcBorders>
              <w:tl2br w:val="nil"/>
              <w:tr2bl w:val="nil"/>
            </w:tcBorders>
            <w:noWrap w:val="0"/>
            <w:tcMar>
              <w:left w:w="57" w:type="dxa"/>
              <w:right w:w="57" w:type="dxa"/>
            </w:tcMar>
            <w:vAlign w:val="center"/>
          </w:tcPr>
          <w:p w14:paraId="36A8AC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1D0B40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3766B2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110C2B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5CD581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3D7CB2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47C55F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5D108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vMerge w:val="continue"/>
            <w:tcBorders>
              <w:tl2br w:val="nil"/>
              <w:tr2bl w:val="nil"/>
            </w:tcBorders>
            <w:noWrap w:val="0"/>
            <w:tcMar>
              <w:left w:w="57" w:type="dxa"/>
              <w:right w:w="57" w:type="dxa"/>
            </w:tcMar>
            <w:vAlign w:val="center"/>
          </w:tcPr>
          <w:p w14:paraId="088AEB54">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561DB3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26B4113B">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5.要求行政机关确认或重新</w:t>
            </w:r>
          </w:p>
          <w:p w14:paraId="35D1AF5E">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出具已获取信息</w:t>
            </w:r>
          </w:p>
        </w:tc>
        <w:tc>
          <w:tcPr>
            <w:tcW w:w="451" w:type="dxa"/>
            <w:tcBorders>
              <w:tl2br w:val="nil"/>
              <w:tr2bl w:val="nil"/>
            </w:tcBorders>
            <w:noWrap w:val="0"/>
            <w:tcMar>
              <w:left w:w="57" w:type="dxa"/>
              <w:right w:w="57" w:type="dxa"/>
            </w:tcMar>
            <w:vAlign w:val="center"/>
          </w:tcPr>
          <w:p w14:paraId="097757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300F9A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1B0637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75C6BB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0A347C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65A0B2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0A8589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1BF88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vMerge w:val="continue"/>
            <w:tcBorders>
              <w:tl2br w:val="nil"/>
              <w:tr2bl w:val="nil"/>
            </w:tcBorders>
            <w:noWrap w:val="0"/>
            <w:tcMar>
              <w:left w:w="57" w:type="dxa"/>
              <w:right w:w="57" w:type="dxa"/>
            </w:tcMar>
            <w:vAlign w:val="center"/>
          </w:tcPr>
          <w:p w14:paraId="41E68FC8">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restart"/>
            <w:tcBorders>
              <w:tl2br w:val="nil"/>
              <w:tr2bl w:val="nil"/>
            </w:tcBorders>
            <w:noWrap w:val="0"/>
            <w:tcMar>
              <w:left w:w="57" w:type="dxa"/>
              <w:right w:w="57" w:type="dxa"/>
            </w:tcMar>
            <w:vAlign w:val="center"/>
          </w:tcPr>
          <w:p w14:paraId="090B34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（六）其他</w:t>
            </w:r>
          </w:p>
          <w:p w14:paraId="7EA942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处理</w:t>
            </w:r>
          </w:p>
        </w:tc>
        <w:tc>
          <w:tcPr>
            <w:tcW w:w="3546" w:type="dxa"/>
            <w:tcBorders>
              <w:tl2br w:val="nil"/>
              <w:tr2bl w:val="nil"/>
            </w:tcBorders>
            <w:noWrap w:val="0"/>
            <w:tcMar>
              <w:left w:w="57" w:type="dxa"/>
              <w:right w:w="57" w:type="dxa"/>
            </w:tcMar>
            <w:vAlign w:val="center"/>
          </w:tcPr>
          <w:p w14:paraId="19CDE7B1">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1.申请人无正当理由逾期不补正、行政机关不再处理其政府信息公开申请</w:t>
            </w:r>
          </w:p>
        </w:tc>
        <w:tc>
          <w:tcPr>
            <w:tcW w:w="451" w:type="dxa"/>
            <w:tcBorders>
              <w:tl2br w:val="nil"/>
              <w:tr2bl w:val="nil"/>
            </w:tcBorders>
            <w:noWrap w:val="0"/>
            <w:tcMar>
              <w:left w:w="57" w:type="dxa"/>
              <w:right w:w="57" w:type="dxa"/>
            </w:tcMar>
            <w:vAlign w:val="center"/>
          </w:tcPr>
          <w:p w14:paraId="6899CE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7BFFCD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6F35E6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3D179D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3C10FB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3499EA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632DD7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1BB92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vMerge w:val="continue"/>
            <w:tcBorders>
              <w:tl2br w:val="nil"/>
              <w:tr2bl w:val="nil"/>
            </w:tcBorders>
            <w:noWrap w:val="0"/>
            <w:tcMar>
              <w:left w:w="57" w:type="dxa"/>
              <w:right w:w="57" w:type="dxa"/>
            </w:tcMar>
            <w:vAlign w:val="center"/>
          </w:tcPr>
          <w:p w14:paraId="79C54B16">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51A43AB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69B27506">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2.申请人逾期未按收费通知要求缴纳费用、行政机关不再处理其政府信息公开申请</w:t>
            </w:r>
          </w:p>
        </w:tc>
        <w:tc>
          <w:tcPr>
            <w:tcW w:w="451" w:type="dxa"/>
            <w:tcBorders>
              <w:tl2br w:val="nil"/>
              <w:tr2bl w:val="nil"/>
            </w:tcBorders>
            <w:noWrap w:val="0"/>
            <w:tcMar>
              <w:left w:w="57" w:type="dxa"/>
              <w:right w:w="57" w:type="dxa"/>
            </w:tcMar>
            <w:vAlign w:val="center"/>
          </w:tcPr>
          <w:p w14:paraId="0E300C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366346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68A343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4AD651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3F0D14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0357AC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4EB39B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480C0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vMerge w:val="continue"/>
            <w:tcBorders>
              <w:tl2br w:val="nil"/>
              <w:tr2bl w:val="nil"/>
            </w:tcBorders>
            <w:noWrap w:val="0"/>
            <w:tcMar>
              <w:left w:w="57" w:type="dxa"/>
              <w:right w:w="57" w:type="dxa"/>
            </w:tcMar>
            <w:vAlign w:val="center"/>
          </w:tcPr>
          <w:p w14:paraId="26376383">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729" w:type="dxa"/>
            <w:vMerge w:val="continue"/>
            <w:tcBorders>
              <w:tl2br w:val="nil"/>
              <w:tr2bl w:val="nil"/>
            </w:tcBorders>
            <w:noWrap w:val="0"/>
            <w:tcMar>
              <w:left w:w="57" w:type="dxa"/>
              <w:right w:w="57" w:type="dxa"/>
            </w:tcMar>
            <w:vAlign w:val="center"/>
          </w:tcPr>
          <w:p w14:paraId="20B6B90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3546" w:type="dxa"/>
            <w:tcBorders>
              <w:tl2br w:val="nil"/>
              <w:tr2bl w:val="nil"/>
            </w:tcBorders>
            <w:noWrap w:val="0"/>
            <w:tcMar>
              <w:left w:w="57" w:type="dxa"/>
              <w:right w:w="57" w:type="dxa"/>
            </w:tcMar>
            <w:vAlign w:val="center"/>
          </w:tcPr>
          <w:p w14:paraId="231797EB">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sz w:val="21"/>
                <w:szCs w:val="21"/>
              </w:rPr>
            </w:pPr>
            <w:r>
              <w:rPr>
                <w:rFonts w:hint="eastAsia" w:ascii="Times New Roman" w:hAnsi="Times New Roman" w:eastAsia="方正仿宋简体" w:cs="方正仿宋简体"/>
                <w:b/>
                <w:bCs/>
                <w:color w:val="auto"/>
                <w:sz w:val="21"/>
                <w:szCs w:val="21"/>
              </w:rPr>
              <w:t>3.其他</w:t>
            </w:r>
          </w:p>
        </w:tc>
        <w:tc>
          <w:tcPr>
            <w:tcW w:w="451" w:type="dxa"/>
            <w:tcBorders>
              <w:tl2br w:val="nil"/>
              <w:tr2bl w:val="nil"/>
            </w:tcBorders>
            <w:noWrap w:val="0"/>
            <w:tcMar>
              <w:left w:w="57" w:type="dxa"/>
              <w:right w:w="57" w:type="dxa"/>
            </w:tcMar>
            <w:vAlign w:val="center"/>
          </w:tcPr>
          <w:p w14:paraId="6200AA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0C99B9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00CB41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483F3F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638F65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0CD30B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32B425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r w14:paraId="03387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67" w:type="dxa"/>
            <w:vMerge w:val="continue"/>
            <w:tcBorders>
              <w:tl2br w:val="nil"/>
              <w:tr2bl w:val="nil"/>
            </w:tcBorders>
            <w:noWrap w:val="0"/>
            <w:tcMar>
              <w:left w:w="57" w:type="dxa"/>
              <w:right w:w="57" w:type="dxa"/>
            </w:tcMar>
            <w:vAlign w:val="center"/>
          </w:tcPr>
          <w:p w14:paraId="58B28160">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p>
        </w:tc>
        <w:tc>
          <w:tcPr>
            <w:tcW w:w="4275" w:type="dxa"/>
            <w:gridSpan w:val="2"/>
            <w:tcBorders>
              <w:tl2br w:val="nil"/>
              <w:tr2bl w:val="nil"/>
            </w:tcBorders>
            <w:noWrap w:val="0"/>
            <w:tcMar>
              <w:left w:w="57" w:type="dxa"/>
              <w:right w:w="57" w:type="dxa"/>
            </w:tcMar>
            <w:vAlign w:val="center"/>
          </w:tcPr>
          <w:p w14:paraId="448D6361">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（七）总计</w:t>
            </w:r>
          </w:p>
        </w:tc>
        <w:tc>
          <w:tcPr>
            <w:tcW w:w="451" w:type="dxa"/>
            <w:tcBorders>
              <w:tl2br w:val="nil"/>
              <w:tr2bl w:val="nil"/>
            </w:tcBorders>
            <w:noWrap w:val="0"/>
            <w:tcMar>
              <w:left w:w="57" w:type="dxa"/>
              <w:right w:w="57" w:type="dxa"/>
            </w:tcMar>
            <w:vAlign w:val="center"/>
          </w:tcPr>
          <w:p w14:paraId="647352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6</w:t>
            </w:r>
          </w:p>
        </w:tc>
        <w:tc>
          <w:tcPr>
            <w:tcW w:w="600" w:type="dxa"/>
            <w:tcBorders>
              <w:tl2br w:val="nil"/>
              <w:tr2bl w:val="nil"/>
            </w:tcBorders>
            <w:noWrap w:val="0"/>
            <w:tcMar>
              <w:left w:w="57" w:type="dxa"/>
              <w:right w:w="57" w:type="dxa"/>
            </w:tcMar>
            <w:vAlign w:val="center"/>
          </w:tcPr>
          <w:p w14:paraId="0B5924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45401E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6D2957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7A569D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563858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5DD2AB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lang w:val="en-US" w:eastAsia="zh-CN"/>
              </w:rPr>
            </w:pPr>
            <w:r>
              <w:rPr>
                <w:rFonts w:hint="eastAsia" w:ascii="Times New Roman" w:hAnsi="Times New Roman" w:eastAsia="方正仿宋简体" w:cs="方正仿宋简体"/>
                <w:b/>
                <w:bCs/>
                <w:color w:val="auto"/>
                <w:kern w:val="0"/>
                <w:sz w:val="21"/>
                <w:szCs w:val="21"/>
                <w:lang w:val="en-US" w:eastAsia="zh-CN"/>
              </w:rPr>
              <w:t>6</w:t>
            </w:r>
          </w:p>
        </w:tc>
      </w:tr>
      <w:tr w14:paraId="24B0A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842" w:type="dxa"/>
            <w:gridSpan w:val="3"/>
            <w:tcBorders>
              <w:tl2br w:val="nil"/>
              <w:tr2bl w:val="nil"/>
            </w:tcBorders>
            <w:noWrap w:val="0"/>
            <w:tcMar>
              <w:left w:w="57" w:type="dxa"/>
              <w:right w:w="57" w:type="dxa"/>
            </w:tcMar>
            <w:vAlign w:val="center"/>
          </w:tcPr>
          <w:p w14:paraId="3EFA4AB2">
            <w:pPr>
              <w:keepNext w:val="0"/>
              <w:keepLines w:val="0"/>
              <w:pageBreakBefore w:val="0"/>
              <w:widowControl/>
              <w:kinsoku/>
              <w:wordWrap/>
              <w:overflowPunct/>
              <w:topLinePunct w:val="0"/>
              <w:autoSpaceDE/>
              <w:autoSpaceDN/>
              <w:bidi w:val="0"/>
              <w:adjustRightInd/>
              <w:snapToGrid/>
              <w:spacing w:line="240" w:lineRule="exact"/>
              <w:ind w:firstLine="0" w:firstLineChars="0"/>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rPr>
              <w:t>四、结转下年度继续办理</w:t>
            </w:r>
          </w:p>
        </w:tc>
        <w:tc>
          <w:tcPr>
            <w:tcW w:w="451" w:type="dxa"/>
            <w:tcBorders>
              <w:tl2br w:val="nil"/>
              <w:tr2bl w:val="nil"/>
            </w:tcBorders>
            <w:noWrap w:val="0"/>
            <w:tcMar>
              <w:left w:w="57" w:type="dxa"/>
              <w:right w:w="57" w:type="dxa"/>
            </w:tcMar>
            <w:vAlign w:val="center"/>
          </w:tcPr>
          <w:p w14:paraId="06BBB6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00" w:type="dxa"/>
            <w:tcBorders>
              <w:tl2br w:val="nil"/>
              <w:tr2bl w:val="nil"/>
            </w:tcBorders>
            <w:noWrap w:val="0"/>
            <w:tcMar>
              <w:left w:w="57" w:type="dxa"/>
              <w:right w:w="57" w:type="dxa"/>
            </w:tcMar>
            <w:vAlign w:val="center"/>
          </w:tcPr>
          <w:p w14:paraId="6033B9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715" w:type="dxa"/>
            <w:tcBorders>
              <w:tl2br w:val="nil"/>
              <w:tr2bl w:val="nil"/>
            </w:tcBorders>
            <w:noWrap w:val="0"/>
            <w:tcMar>
              <w:left w:w="57" w:type="dxa"/>
              <w:right w:w="57" w:type="dxa"/>
            </w:tcMar>
            <w:vAlign w:val="center"/>
          </w:tcPr>
          <w:p w14:paraId="2BF0C8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56" w:type="dxa"/>
            <w:tcBorders>
              <w:tl2br w:val="nil"/>
              <w:tr2bl w:val="nil"/>
            </w:tcBorders>
            <w:noWrap w:val="0"/>
            <w:tcMar>
              <w:left w:w="57" w:type="dxa"/>
              <w:right w:w="57" w:type="dxa"/>
            </w:tcMar>
            <w:vAlign w:val="center"/>
          </w:tcPr>
          <w:p w14:paraId="07802F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636" w:type="dxa"/>
            <w:tcBorders>
              <w:tl2br w:val="nil"/>
              <w:tr2bl w:val="nil"/>
            </w:tcBorders>
            <w:noWrap w:val="0"/>
            <w:tcMar>
              <w:left w:w="57" w:type="dxa"/>
              <w:right w:w="57" w:type="dxa"/>
            </w:tcMar>
            <w:vAlign w:val="center"/>
          </w:tcPr>
          <w:p w14:paraId="40AAA4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12" w:type="dxa"/>
            <w:tcBorders>
              <w:tl2br w:val="nil"/>
              <w:tr2bl w:val="nil"/>
            </w:tcBorders>
            <w:noWrap w:val="0"/>
            <w:tcMar>
              <w:left w:w="57" w:type="dxa"/>
              <w:right w:w="57" w:type="dxa"/>
            </w:tcMar>
            <w:vAlign w:val="center"/>
          </w:tcPr>
          <w:p w14:paraId="0E3E75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c>
          <w:tcPr>
            <w:tcW w:w="502" w:type="dxa"/>
            <w:tcBorders>
              <w:tl2br w:val="nil"/>
              <w:tr2bl w:val="nil"/>
            </w:tcBorders>
            <w:noWrap w:val="0"/>
            <w:tcMar>
              <w:left w:w="57" w:type="dxa"/>
              <w:right w:w="57" w:type="dxa"/>
            </w:tcMar>
            <w:vAlign w:val="center"/>
          </w:tcPr>
          <w:p w14:paraId="730827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简体" w:cs="方正仿宋简体"/>
                <w:b/>
                <w:bCs/>
                <w:color w:val="auto"/>
                <w:kern w:val="0"/>
                <w:sz w:val="21"/>
                <w:szCs w:val="21"/>
              </w:rPr>
            </w:pPr>
            <w:r>
              <w:rPr>
                <w:rFonts w:hint="eastAsia" w:ascii="Times New Roman" w:hAnsi="Times New Roman" w:eastAsia="方正仿宋简体" w:cs="方正仿宋简体"/>
                <w:b/>
                <w:bCs/>
                <w:color w:val="auto"/>
                <w:kern w:val="0"/>
                <w:sz w:val="21"/>
                <w:szCs w:val="21"/>
                <w:lang w:val="en-US" w:eastAsia="zh-CN"/>
              </w:rPr>
              <w:t>0</w:t>
            </w:r>
          </w:p>
        </w:tc>
      </w:tr>
    </w:tbl>
    <w:p w14:paraId="7351B4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rPr>
      </w:pPr>
      <w:r>
        <w:rPr>
          <w:rFonts w:hint="eastAsia" w:ascii="Times New Roman" w:hAnsi="Times New Roman" w:eastAsia="方正黑体简体" w:cs="方正黑体简体"/>
          <w:b/>
          <w:bCs/>
          <w:i w:val="0"/>
          <w:iCs w:val="0"/>
          <w:caps w:val="0"/>
          <w:color w:val="auto"/>
          <w:spacing w:val="0"/>
          <w:sz w:val="32"/>
          <w:szCs w:val="32"/>
        </w:rPr>
        <w:t>四、政府信息公开行政复议、行政诉讼情况</w:t>
      </w:r>
    </w:p>
    <w:tbl>
      <w:tblPr>
        <w:tblStyle w:val="5"/>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88"/>
        <w:gridCol w:w="588"/>
        <w:gridCol w:w="588"/>
        <w:gridCol w:w="588"/>
        <w:gridCol w:w="589"/>
        <w:gridCol w:w="589"/>
        <w:gridCol w:w="589"/>
        <w:gridCol w:w="590"/>
        <w:gridCol w:w="590"/>
        <w:gridCol w:w="590"/>
        <w:gridCol w:w="591"/>
        <w:gridCol w:w="591"/>
        <w:gridCol w:w="591"/>
        <w:gridCol w:w="591"/>
        <w:gridCol w:w="591"/>
      </w:tblGrid>
      <w:tr w14:paraId="7A5E0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245" w:type="dxa"/>
            <w:gridSpan w:val="5"/>
            <w:tcBorders>
              <w:tl2br w:val="nil"/>
              <w:tr2bl w:val="nil"/>
            </w:tcBorders>
            <w:noWrap w:val="0"/>
            <w:tcMar>
              <w:left w:w="108" w:type="dxa"/>
              <w:right w:w="108" w:type="dxa"/>
            </w:tcMar>
            <w:vAlign w:val="center"/>
          </w:tcPr>
          <w:p w14:paraId="557E208A">
            <w:pPr>
              <w:jc w:val="center"/>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lang w:val="en-US" w:eastAsia="zh-CN"/>
              </w:rPr>
              <w:t>行政复议</w:t>
            </w:r>
          </w:p>
        </w:tc>
        <w:tc>
          <w:tcPr>
            <w:tcW w:w="6503" w:type="dxa"/>
            <w:gridSpan w:val="10"/>
            <w:tcBorders>
              <w:tl2br w:val="nil"/>
              <w:tr2bl w:val="nil"/>
            </w:tcBorders>
            <w:noWrap w:val="0"/>
            <w:tcMar>
              <w:left w:w="108" w:type="dxa"/>
              <w:right w:w="108" w:type="dxa"/>
            </w:tcMar>
            <w:vAlign w:val="center"/>
          </w:tcPr>
          <w:p w14:paraId="41D74BBB">
            <w:pPr>
              <w:jc w:val="center"/>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lang w:val="en-US" w:eastAsia="zh-CN"/>
              </w:rPr>
              <w:t>行政诉讼</w:t>
            </w:r>
          </w:p>
        </w:tc>
      </w:tr>
      <w:tr w14:paraId="570C7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49" w:type="dxa"/>
            <w:vMerge w:val="restart"/>
            <w:tcBorders>
              <w:tl2br w:val="nil"/>
              <w:tr2bl w:val="nil"/>
            </w:tcBorders>
            <w:noWrap w:val="0"/>
            <w:tcMar>
              <w:left w:w="108" w:type="dxa"/>
              <w:right w:w="108" w:type="dxa"/>
            </w:tcMar>
            <w:vAlign w:val="center"/>
          </w:tcPr>
          <w:p w14:paraId="23951232">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结果维持</w:t>
            </w:r>
          </w:p>
        </w:tc>
        <w:tc>
          <w:tcPr>
            <w:tcW w:w="649" w:type="dxa"/>
            <w:vMerge w:val="restart"/>
            <w:tcBorders>
              <w:tl2br w:val="nil"/>
              <w:tr2bl w:val="nil"/>
            </w:tcBorders>
            <w:noWrap w:val="0"/>
            <w:tcMar>
              <w:left w:w="108" w:type="dxa"/>
              <w:right w:w="108" w:type="dxa"/>
            </w:tcMar>
            <w:vAlign w:val="center"/>
          </w:tcPr>
          <w:p w14:paraId="531DAFFB">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结果纠正</w:t>
            </w:r>
          </w:p>
        </w:tc>
        <w:tc>
          <w:tcPr>
            <w:tcW w:w="649" w:type="dxa"/>
            <w:vMerge w:val="restart"/>
            <w:tcBorders>
              <w:tl2br w:val="nil"/>
              <w:tr2bl w:val="nil"/>
            </w:tcBorders>
            <w:noWrap w:val="0"/>
            <w:tcMar>
              <w:left w:w="108" w:type="dxa"/>
              <w:right w:w="108" w:type="dxa"/>
            </w:tcMar>
            <w:vAlign w:val="center"/>
          </w:tcPr>
          <w:p w14:paraId="69CC5582">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其他结果</w:t>
            </w:r>
          </w:p>
        </w:tc>
        <w:tc>
          <w:tcPr>
            <w:tcW w:w="649" w:type="dxa"/>
            <w:vMerge w:val="restart"/>
            <w:tcBorders>
              <w:tl2br w:val="nil"/>
              <w:tr2bl w:val="nil"/>
            </w:tcBorders>
            <w:noWrap w:val="0"/>
            <w:tcMar>
              <w:left w:w="108" w:type="dxa"/>
              <w:right w:w="108" w:type="dxa"/>
            </w:tcMar>
            <w:vAlign w:val="center"/>
          </w:tcPr>
          <w:p w14:paraId="51B01460">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尚未审结</w:t>
            </w:r>
          </w:p>
        </w:tc>
        <w:tc>
          <w:tcPr>
            <w:tcW w:w="649" w:type="dxa"/>
            <w:vMerge w:val="restart"/>
            <w:tcBorders>
              <w:tl2br w:val="nil"/>
              <w:tr2bl w:val="nil"/>
            </w:tcBorders>
            <w:noWrap w:val="0"/>
            <w:tcMar>
              <w:left w:w="108" w:type="dxa"/>
              <w:right w:w="108" w:type="dxa"/>
            </w:tcMar>
            <w:vAlign w:val="center"/>
          </w:tcPr>
          <w:p w14:paraId="35319C4E">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总计</w:t>
            </w:r>
          </w:p>
        </w:tc>
        <w:tc>
          <w:tcPr>
            <w:tcW w:w="3248" w:type="dxa"/>
            <w:gridSpan w:val="5"/>
            <w:tcBorders>
              <w:tl2br w:val="nil"/>
              <w:tr2bl w:val="nil"/>
            </w:tcBorders>
            <w:noWrap w:val="0"/>
            <w:tcMar>
              <w:left w:w="108" w:type="dxa"/>
              <w:right w:w="108" w:type="dxa"/>
            </w:tcMar>
            <w:vAlign w:val="center"/>
          </w:tcPr>
          <w:p w14:paraId="667CFAE5">
            <w:pPr>
              <w:jc w:val="center"/>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lang w:val="en-US" w:eastAsia="zh-CN"/>
              </w:rPr>
              <w:t>未经复议直接起诉</w:t>
            </w:r>
          </w:p>
        </w:tc>
        <w:tc>
          <w:tcPr>
            <w:tcW w:w="3255" w:type="dxa"/>
            <w:gridSpan w:val="5"/>
            <w:tcBorders>
              <w:tl2br w:val="nil"/>
              <w:tr2bl w:val="nil"/>
            </w:tcBorders>
            <w:noWrap w:val="0"/>
            <w:tcMar>
              <w:left w:w="108" w:type="dxa"/>
              <w:right w:w="108" w:type="dxa"/>
            </w:tcMar>
            <w:vAlign w:val="center"/>
          </w:tcPr>
          <w:p w14:paraId="53F819D4">
            <w:pPr>
              <w:jc w:val="center"/>
              <w:rPr>
                <w:rFonts w:hint="eastAsia" w:ascii="Times New Roman" w:hAnsi="Times New Roman" w:eastAsia="方正黑体简体" w:cs="方正黑体简体"/>
                <w:b/>
                <w:bCs/>
                <w:sz w:val="28"/>
                <w:szCs w:val="28"/>
              </w:rPr>
            </w:pPr>
            <w:r>
              <w:rPr>
                <w:rFonts w:hint="eastAsia" w:ascii="Times New Roman" w:hAnsi="Times New Roman" w:eastAsia="方正黑体简体" w:cs="方正黑体简体"/>
                <w:b/>
                <w:bCs/>
                <w:sz w:val="28"/>
                <w:szCs w:val="28"/>
                <w:lang w:val="en-US" w:eastAsia="zh-CN"/>
              </w:rPr>
              <w:t>复议后起诉</w:t>
            </w:r>
          </w:p>
        </w:tc>
      </w:tr>
      <w:tr w14:paraId="616D7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649" w:type="dxa"/>
            <w:vMerge w:val="continue"/>
            <w:tcBorders>
              <w:tl2br w:val="nil"/>
              <w:tr2bl w:val="nil"/>
            </w:tcBorders>
            <w:noWrap w:val="0"/>
            <w:tcMar>
              <w:left w:w="108" w:type="dxa"/>
              <w:right w:w="108" w:type="dxa"/>
            </w:tcMar>
            <w:vAlign w:val="center"/>
          </w:tcPr>
          <w:p w14:paraId="2AD851AC">
            <w:pPr>
              <w:jc w:val="center"/>
              <w:rPr>
                <w:rFonts w:hint="eastAsia" w:ascii="Times New Roman" w:hAnsi="Times New Roman" w:eastAsia="方正仿宋简体" w:cs="方正仿宋简体"/>
                <w:b/>
                <w:bCs/>
                <w:sz w:val="28"/>
                <w:szCs w:val="28"/>
              </w:rPr>
            </w:pPr>
          </w:p>
        </w:tc>
        <w:tc>
          <w:tcPr>
            <w:tcW w:w="649" w:type="dxa"/>
            <w:vMerge w:val="continue"/>
            <w:tcBorders>
              <w:tl2br w:val="nil"/>
              <w:tr2bl w:val="nil"/>
            </w:tcBorders>
            <w:noWrap w:val="0"/>
            <w:tcMar>
              <w:left w:w="108" w:type="dxa"/>
              <w:right w:w="108" w:type="dxa"/>
            </w:tcMar>
            <w:vAlign w:val="center"/>
          </w:tcPr>
          <w:p w14:paraId="23113AB9">
            <w:pPr>
              <w:jc w:val="center"/>
              <w:rPr>
                <w:rFonts w:hint="eastAsia" w:ascii="Times New Roman" w:hAnsi="Times New Roman" w:eastAsia="方正仿宋简体" w:cs="方正仿宋简体"/>
                <w:b/>
                <w:bCs/>
                <w:sz w:val="28"/>
                <w:szCs w:val="28"/>
              </w:rPr>
            </w:pPr>
          </w:p>
        </w:tc>
        <w:tc>
          <w:tcPr>
            <w:tcW w:w="649" w:type="dxa"/>
            <w:vMerge w:val="continue"/>
            <w:tcBorders>
              <w:tl2br w:val="nil"/>
              <w:tr2bl w:val="nil"/>
            </w:tcBorders>
            <w:noWrap w:val="0"/>
            <w:tcMar>
              <w:left w:w="108" w:type="dxa"/>
              <w:right w:w="108" w:type="dxa"/>
            </w:tcMar>
            <w:vAlign w:val="center"/>
          </w:tcPr>
          <w:p w14:paraId="27DEA568">
            <w:pPr>
              <w:jc w:val="center"/>
              <w:rPr>
                <w:rFonts w:hint="eastAsia" w:ascii="Times New Roman" w:hAnsi="Times New Roman" w:eastAsia="方正仿宋简体" w:cs="方正仿宋简体"/>
                <w:b/>
                <w:bCs/>
                <w:sz w:val="28"/>
                <w:szCs w:val="28"/>
              </w:rPr>
            </w:pPr>
          </w:p>
        </w:tc>
        <w:tc>
          <w:tcPr>
            <w:tcW w:w="649" w:type="dxa"/>
            <w:vMerge w:val="continue"/>
            <w:tcBorders>
              <w:tl2br w:val="nil"/>
              <w:tr2bl w:val="nil"/>
            </w:tcBorders>
            <w:noWrap w:val="0"/>
            <w:tcMar>
              <w:left w:w="108" w:type="dxa"/>
              <w:right w:w="108" w:type="dxa"/>
            </w:tcMar>
            <w:vAlign w:val="center"/>
          </w:tcPr>
          <w:p w14:paraId="6E3F55D5">
            <w:pPr>
              <w:jc w:val="center"/>
              <w:rPr>
                <w:rFonts w:hint="eastAsia" w:ascii="Times New Roman" w:hAnsi="Times New Roman" w:eastAsia="方正仿宋简体" w:cs="方正仿宋简体"/>
                <w:b/>
                <w:bCs/>
                <w:sz w:val="28"/>
                <w:szCs w:val="28"/>
              </w:rPr>
            </w:pPr>
          </w:p>
        </w:tc>
        <w:tc>
          <w:tcPr>
            <w:tcW w:w="649" w:type="dxa"/>
            <w:vMerge w:val="continue"/>
            <w:tcBorders>
              <w:tl2br w:val="nil"/>
              <w:tr2bl w:val="nil"/>
            </w:tcBorders>
            <w:noWrap w:val="0"/>
            <w:tcMar>
              <w:left w:w="108" w:type="dxa"/>
              <w:right w:w="108" w:type="dxa"/>
            </w:tcMar>
            <w:vAlign w:val="center"/>
          </w:tcPr>
          <w:p w14:paraId="29A40BB1">
            <w:pPr>
              <w:jc w:val="center"/>
              <w:rPr>
                <w:rFonts w:hint="eastAsia" w:ascii="Times New Roman" w:hAnsi="Times New Roman" w:eastAsia="方正仿宋简体" w:cs="方正仿宋简体"/>
                <w:b/>
                <w:bCs/>
                <w:sz w:val="28"/>
                <w:szCs w:val="28"/>
              </w:rPr>
            </w:pPr>
          </w:p>
        </w:tc>
        <w:tc>
          <w:tcPr>
            <w:tcW w:w="649" w:type="dxa"/>
            <w:tcBorders>
              <w:tl2br w:val="nil"/>
              <w:tr2bl w:val="nil"/>
            </w:tcBorders>
            <w:noWrap w:val="0"/>
            <w:tcMar>
              <w:left w:w="108" w:type="dxa"/>
              <w:right w:w="108" w:type="dxa"/>
            </w:tcMar>
            <w:vAlign w:val="center"/>
          </w:tcPr>
          <w:p w14:paraId="13A1F774">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结果维持</w:t>
            </w:r>
          </w:p>
        </w:tc>
        <w:tc>
          <w:tcPr>
            <w:tcW w:w="649" w:type="dxa"/>
            <w:tcBorders>
              <w:tl2br w:val="nil"/>
              <w:tr2bl w:val="nil"/>
            </w:tcBorders>
            <w:noWrap w:val="0"/>
            <w:tcMar>
              <w:left w:w="108" w:type="dxa"/>
              <w:right w:w="108" w:type="dxa"/>
            </w:tcMar>
            <w:vAlign w:val="center"/>
          </w:tcPr>
          <w:p w14:paraId="1C5E3775">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结果纠正</w:t>
            </w:r>
          </w:p>
        </w:tc>
        <w:tc>
          <w:tcPr>
            <w:tcW w:w="650" w:type="dxa"/>
            <w:tcBorders>
              <w:tl2br w:val="nil"/>
              <w:tr2bl w:val="nil"/>
            </w:tcBorders>
            <w:noWrap w:val="0"/>
            <w:tcMar>
              <w:left w:w="108" w:type="dxa"/>
              <w:right w:w="108" w:type="dxa"/>
            </w:tcMar>
            <w:vAlign w:val="center"/>
          </w:tcPr>
          <w:p w14:paraId="3432CF08">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其他结果</w:t>
            </w:r>
          </w:p>
        </w:tc>
        <w:tc>
          <w:tcPr>
            <w:tcW w:w="650" w:type="dxa"/>
            <w:tcBorders>
              <w:tl2br w:val="nil"/>
              <w:tr2bl w:val="nil"/>
            </w:tcBorders>
            <w:noWrap w:val="0"/>
            <w:tcMar>
              <w:left w:w="108" w:type="dxa"/>
              <w:right w:w="108" w:type="dxa"/>
            </w:tcMar>
            <w:vAlign w:val="center"/>
          </w:tcPr>
          <w:p w14:paraId="233C1D49">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尚未审结</w:t>
            </w:r>
          </w:p>
        </w:tc>
        <w:tc>
          <w:tcPr>
            <w:tcW w:w="650" w:type="dxa"/>
            <w:tcBorders>
              <w:tl2br w:val="nil"/>
              <w:tr2bl w:val="nil"/>
            </w:tcBorders>
            <w:noWrap w:val="0"/>
            <w:tcMar>
              <w:left w:w="108" w:type="dxa"/>
              <w:right w:w="108" w:type="dxa"/>
            </w:tcMar>
            <w:vAlign w:val="center"/>
          </w:tcPr>
          <w:p w14:paraId="5F46FF6E">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总计</w:t>
            </w:r>
          </w:p>
        </w:tc>
        <w:tc>
          <w:tcPr>
            <w:tcW w:w="651" w:type="dxa"/>
            <w:tcBorders>
              <w:tl2br w:val="nil"/>
              <w:tr2bl w:val="nil"/>
            </w:tcBorders>
            <w:noWrap w:val="0"/>
            <w:tcMar>
              <w:left w:w="108" w:type="dxa"/>
              <w:right w:w="108" w:type="dxa"/>
            </w:tcMar>
            <w:vAlign w:val="center"/>
          </w:tcPr>
          <w:p w14:paraId="730F78EA">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结果维持</w:t>
            </w:r>
          </w:p>
        </w:tc>
        <w:tc>
          <w:tcPr>
            <w:tcW w:w="651" w:type="dxa"/>
            <w:tcBorders>
              <w:tl2br w:val="nil"/>
              <w:tr2bl w:val="nil"/>
            </w:tcBorders>
            <w:noWrap w:val="0"/>
            <w:tcMar>
              <w:left w:w="108" w:type="dxa"/>
              <w:right w:w="108" w:type="dxa"/>
            </w:tcMar>
            <w:vAlign w:val="center"/>
          </w:tcPr>
          <w:p w14:paraId="2E0409BC">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结果纠正</w:t>
            </w:r>
          </w:p>
        </w:tc>
        <w:tc>
          <w:tcPr>
            <w:tcW w:w="651" w:type="dxa"/>
            <w:tcBorders>
              <w:tl2br w:val="nil"/>
              <w:tr2bl w:val="nil"/>
            </w:tcBorders>
            <w:noWrap w:val="0"/>
            <w:tcMar>
              <w:left w:w="108" w:type="dxa"/>
              <w:right w:w="108" w:type="dxa"/>
            </w:tcMar>
            <w:vAlign w:val="center"/>
          </w:tcPr>
          <w:p w14:paraId="49E23FD3">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其他结果</w:t>
            </w:r>
          </w:p>
        </w:tc>
        <w:tc>
          <w:tcPr>
            <w:tcW w:w="651" w:type="dxa"/>
            <w:tcBorders>
              <w:tl2br w:val="nil"/>
              <w:tr2bl w:val="nil"/>
            </w:tcBorders>
            <w:noWrap w:val="0"/>
            <w:tcMar>
              <w:left w:w="108" w:type="dxa"/>
              <w:right w:w="108" w:type="dxa"/>
            </w:tcMar>
            <w:vAlign w:val="center"/>
          </w:tcPr>
          <w:p w14:paraId="023CB006">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尚未审结</w:t>
            </w:r>
          </w:p>
        </w:tc>
        <w:tc>
          <w:tcPr>
            <w:tcW w:w="651" w:type="dxa"/>
            <w:tcBorders>
              <w:tl2br w:val="nil"/>
              <w:tr2bl w:val="nil"/>
            </w:tcBorders>
            <w:noWrap w:val="0"/>
            <w:tcMar>
              <w:left w:w="108" w:type="dxa"/>
              <w:right w:w="108" w:type="dxa"/>
            </w:tcMar>
            <w:vAlign w:val="center"/>
          </w:tcPr>
          <w:p w14:paraId="6A7E315E">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总计</w:t>
            </w:r>
          </w:p>
        </w:tc>
      </w:tr>
      <w:tr w14:paraId="2B34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72" w:hRule="atLeast"/>
          <w:jc w:val="center"/>
        </w:trPr>
        <w:tc>
          <w:tcPr>
            <w:tcW w:w="649" w:type="dxa"/>
            <w:tcBorders>
              <w:tl2br w:val="nil"/>
              <w:tr2bl w:val="nil"/>
            </w:tcBorders>
            <w:noWrap w:val="0"/>
            <w:tcMar>
              <w:left w:w="108" w:type="dxa"/>
              <w:right w:w="108" w:type="dxa"/>
            </w:tcMar>
            <w:vAlign w:val="center"/>
          </w:tcPr>
          <w:p w14:paraId="0031FE1B">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0</w:t>
            </w:r>
          </w:p>
        </w:tc>
        <w:tc>
          <w:tcPr>
            <w:tcW w:w="649" w:type="dxa"/>
            <w:tcBorders>
              <w:tl2br w:val="nil"/>
              <w:tr2bl w:val="nil"/>
            </w:tcBorders>
            <w:noWrap w:val="0"/>
            <w:tcMar>
              <w:left w:w="108" w:type="dxa"/>
              <w:right w:w="108" w:type="dxa"/>
            </w:tcMar>
            <w:vAlign w:val="center"/>
          </w:tcPr>
          <w:p w14:paraId="4238C343">
            <w:pPr>
              <w:jc w:val="center"/>
              <w:rPr>
                <w:rFonts w:hint="eastAsia" w:ascii="Times New Roman" w:hAnsi="Times New Roman" w:eastAsia="方正仿宋简体" w:cs="方正仿宋简体"/>
                <w:b/>
                <w:bCs/>
                <w:sz w:val="28"/>
                <w:szCs w:val="28"/>
                <w:lang w:val="en-US" w:eastAsia="zh-CN"/>
              </w:rPr>
            </w:pPr>
            <w:r>
              <w:rPr>
                <w:rFonts w:hint="eastAsia" w:ascii="Times New Roman" w:hAnsi="Times New Roman" w:eastAsia="方正仿宋简体" w:cs="方正仿宋简体"/>
                <w:b/>
                <w:bCs/>
                <w:sz w:val="28"/>
                <w:szCs w:val="28"/>
                <w:lang w:val="en-US" w:eastAsia="zh-CN"/>
              </w:rPr>
              <w:t>6</w:t>
            </w:r>
          </w:p>
        </w:tc>
        <w:tc>
          <w:tcPr>
            <w:tcW w:w="649" w:type="dxa"/>
            <w:tcBorders>
              <w:tl2br w:val="nil"/>
              <w:tr2bl w:val="nil"/>
            </w:tcBorders>
            <w:noWrap w:val="0"/>
            <w:tcMar>
              <w:left w:w="108" w:type="dxa"/>
              <w:right w:w="108" w:type="dxa"/>
            </w:tcMar>
            <w:vAlign w:val="center"/>
          </w:tcPr>
          <w:p w14:paraId="371C7A79">
            <w:pPr>
              <w:jc w:val="center"/>
              <w:rPr>
                <w:rFonts w:hint="eastAsia" w:ascii="Times New Roman" w:hAnsi="Times New Roman" w:eastAsia="方正仿宋简体" w:cs="方正仿宋简体"/>
                <w:b/>
                <w:bCs/>
                <w:sz w:val="28"/>
                <w:szCs w:val="28"/>
                <w:lang w:val="en-US" w:eastAsia="zh-CN"/>
              </w:rPr>
            </w:pPr>
            <w:r>
              <w:rPr>
                <w:rFonts w:hint="eastAsia" w:ascii="Times New Roman" w:hAnsi="Times New Roman" w:eastAsia="方正仿宋简体" w:cs="方正仿宋简体"/>
                <w:b/>
                <w:bCs/>
                <w:sz w:val="28"/>
                <w:szCs w:val="28"/>
                <w:lang w:val="en-US" w:eastAsia="zh-CN"/>
              </w:rPr>
              <w:t>0</w:t>
            </w:r>
          </w:p>
        </w:tc>
        <w:tc>
          <w:tcPr>
            <w:tcW w:w="649" w:type="dxa"/>
            <w:tcBorders>
              <w:tl2br w:val="nil"/>
              <w:tr2bl w:val="nil"/>
            </w:tcBorders>
            <w:noWrap w:val="0"/>
            <w:tcMar>
              <w:left w:w="108" w:type="dxa"/>
              <w:right w:w="108" w:type="dxa"/>
            </w:tcMar>
            <w:vAlign w:val="center"/>
          </w:tcPr>
          <w:p w14:paraId="2C9E5EA9">
            <w:pPr>
              <w:jc w:val="center"/>
              <w:rPr>
                <w:rFonts w:hint="eastAsia" w:ascii="Times New Roman" w:hAnsi="Times New Roman" w:eastAsia="方正仿宋简体" w:cs="方正仿宋简体"/>
                <w:b/>
                <w:bCs/>
                <w:sz w:val="28"/>
                <w:szCs w:val="28"/>
                <w:lang w:val="en-US" w:eastAsia="zh-CN"/>
              </w:rPr>
            </w:pPr>
            <w:r>
              <w:rPr>
                <w:rFonts w:hint="eastAsia" w:ascii="Times New Roman" w:hAnsi="Times New Roman" w:eastAsia="方正仿宋简体" w:cs="方正仿宋简体"/>
                <w:b/>
                <w:bCs/>
                <w:sz w:val="28"/>
                <w:szCs w:val="28"/>
                <w:lang w:val="en-US" w:eastAsia="zh-CN"/>
              </w:rPr>
              <w:t>0</w:t>
            </w:r>
          </w:p>
        </w:tc>
        <w:tc>
          <w:tcPr>
            <w:tcW w:w="649" w:type="dxa"/>
            <w:tcBorders>
              <w:tl2br w:val="nil"/>
              <w:tr2bl w:val="nil"/>
            </w:tcBorders>
            <w:noWrap w:val="0"/>
            <w:tcMar>
              <w:left w:w="108" w:type="dxa"/>
              <w:right w:w="108" w:type="dxa"/>
            </w:tcMar>
            <w:vAlign w:val="center"/>
          </w:tcPr>
          <w:p w14:paraId="205A0F07">
            <w:pPr>
              <w:jc w:val="center"/>
              <w:rPr>
                <w:rFonts w:hint="eastAsia" w:ascii="Times New Roman" w:hAnsi="Times New Roman" w:eastAsia="方正仿宋简体" w:cs="方正仿宋简体"/>
                <w:b/>
                <w:bCs/>
                <w:sz w:val="28"/>
                <w:szCs w:val="28"/>
                <w:lang w:val="en-US" w:eastAsia="zh-CN"/>
              </w:rPr>
            </w:pPr>
            <w:r>
              <w:rPr>
                <w:rFonts w:hint="eastAsia" w:ascii="Times New Roman" w:hAnsi="Times New Roman" w:eastAsia="方正仿宋简体" w:cs="方正仿宋简体"/>
                <w:b/>
                <w:bCs/>
                <w:sz w:val="28"/>
                <w:szCs w:val="28"/>
                <w:lang w:val="en-US" w:eastAsia="zh-CN"/>
              </w:rPr>
              <w:t>6</w:t>
            </w:r>
          </w:p>
        </w:tc>
        <w:tc>
          <w:tcPr>
            <w:tcW w:w="649" w:type="dxa"/>
            <w:tcBorders>
              <w:tl2br w:val="nil"/>
              <w:tr2bl w:val="nil"/>
            </w:tcBorders>
            <w:noWrap w:val="0"/>
            <w:tcMar>
              <w:left w:w="108" w:type="dxa"/>
              <w:right w:w="108" w:type="dxa"/>
            </w:tcMar>
            <w:vAlign w:val="center"/>
          </w:tcPr>
          <w:p w14:paraId="65049F21">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0</w:t>
            </w:r>
          </w:p>
        </w:tc>
        <w:tc>
          <w:tcPr>
            <w:tcW w:w="649" w:type="dxa"/>
            <w:tcBorders>
              <w:tl2br w:val="nil"/>
              <w:tr2bl w:val="nil"/>
            </w:tcBorders>
            <w:noWrap w:val="0"/>
            <w:tcMar>
              <w:left w:w="108" w:type="dxa"/>
              <w:right w:w="108" w:type="dxa"/>
            </w:tcMar>
            <w:vAlign w:val="center"/>
          </w:tcPr>
          <w:p w14:paraId="747E7FA2">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0</w:t>
            </w:r>
          </w:p>
        </w:tc>
        <w:tc>
          <w:tcPr>
            <w:tcW w:w="650" w:type="dxa"/>
            <w:tcBorders>
              <w:tl2br w:val="nil"/>
              <w:tr2bl w:val="nil"/>
            </w:tcBorders>
            <w:noWrap w:val="0"/>
            <w:tcMar>
              <w:left w:w="108" w:type="dxa"/>
              <w:right w:w="108" w:type="dxa"/>
            </w:tcMar>
            <w:vAlign w:val="center"/>
          </w:tcPr>
          <w:p w14:paraId="531FF951">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0</w:t>
            </w:r>
          </w:p>
        </w:tc>
        <w:tc>
          <w:tcPr>
            <w:tcW w:w="650" w:type="dxa"/>
            <w:tcBorders>
              <w:tl2br w:val="nil"/>
              <w:tr2bl w:val="nil"/>
            </w:tcBorders>
            <w:noWrap w:val="0"/>
            <w:tcMar>
              <w:left w:w="108" w:type="dxa"/>
              <w:right w:w="108" w:type="dxa"/>
            </w:tcMar>
            <w:vAlign w:val="center"/>
          </w:tcPr>
          <w:p w14:paraId="2EB740A9">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0</w:t>
            </w:r>
          </w:p>
        </w:tc>
        <w:tc>
          <w:tcPr>
            <w:tcW w:w="650" w:type="dxa"/>
            <w:tcBorders>
              <w:tl2br w:val="nil"/>
              <w:tr2bl w:val="nil"/>
            </w:tcBorders>
            <w:noWrap w:val="0"/>
            <w:tcMar>
              <w:left w:w="108" w:type="dxa"/>
              <w:right w:w="108" w:type="dxa"/>
            </w:tcMar>
            <w:vAlign w:val="center"/>
          </w:tcPr>
          <w:p w14:paraId="788C9DF1">
            <w:pPr>
              <w:jc w:val="center"/>
              <w:rPr>
                <w:rFonts w:hint="eastAsia" w:ascii="Times New Roman" w:hAnsi="Times New Roman" w:eastAsia="方正仿宋简体" w:cs="方正仿宋简体"/>
                <w:b/>
                <w:bCs/>
                <w:sz w:val="28"/>
                <w:szCs w:val="28"/>
                <w:lang w:val="en-US"/>
              </w:rPr>
            </w:pPr>
            <w:r>
              <w:rPr>
                <w:rFonts w:hint="eastAsia" w:ascii="Times New Roman" w:hAnsi="Times New Roman" w:eastAsia="方正仿宋简体" w:cs="方正仿宋简体"/>
                <w:b/>
                <w:bCs/>
                <w:sz w:val="28"/>
                <w:szCs w:val="28"/>
                <w:lang w:val="en-US" w:eastAsia="zh-CN"/>
              </w:rPr>
              <w:t>0</w:t>
            </w:r>
          </w:p>
        </w:tc>
        <w:tc>
          <w:tcPr>
            <w:tcW w:w="651" w:type="dxa"/>
            <w:tcBorders>
              <w:tl2br w:val="nil"/>
              <w:tr2bl w:val="nil"/>
            </w:tcBorders>
            <w:noWrap w:val="0"/>
            <w:tcMar>
              <w:left w:w="108" w:type="dxa"/>
              <w:right w:w="108" w:type="dxa"/>
            </w:tcMar>
            <w:vAlign w:val="center"/>
          </w:tcPr>
          <w:p w14:paraId="48834592">
            <w:pPr>
              <w:jc w:val="center"/>
              <w:rPr>
                <w:rFonts w:hint="eastAsia" w:ascii="Times New Roman" w:hAnsi="Times New Roman" w:eastAsia="方正仿宋简体" w:cs="方正仿宋简体"/>
                <w:b/>
                <w:bCs/>
                <w:sz w:val="28"/>
                <w:szCs w:val="28"/>
              </w:rPr>
            </w:pPr>
            <w:r>
              <w:rPr>
                <w:rFonts w:hint="eastAsia" w:ascii="Times New Roman" w:hAnsi="Times New Roman" w:eastAsia="方正仿宋简体" w:cs="方正仿宋简体"/>
                <w:b/>
                <w:bCs/>
                <w:sz w:val="28"/>
                <w:szCs w:val="28"/>
                <w:lang w:val="en-US" w:eastAsia="zh-CN"/>
              </w:rPr>
              <w:t>0</w:t>
            </w:r>
          </w:p>
        </w:tc>
        <w:tc>
          <w:tcPr>
            <w:tcW w:w="651" w:type="dxa"/>
            <w:tcBorders>
              <w:tl2br w:val="nil"/>
              <w:tr2bl w:val="nil"/>
            </w:tcBorders>
            <w:noWrap w:val="0"/>
            <w:tcMar>
              <w:left w:w="108" w:type="dxa"/>
              <w:right w:w="108" w:type="dxa"/>
            </w:tcMar>
            <w:vAlign w:val="center"/>
          </w:tcPr>
          <w:p w14:paraId="7FEB5CE5">
            <w:pPr>
              <w:jc w:val="center"/>
              <w:rPr>
                <w:rFonts w:hint="eastAsia" w:ascii="Times New Roman" w:hAnsi="Times New Roman" w:eastAsia="方正仿宋简体" w:cs="方正仿宋简体"/>
                <w:b/>
                <w:bCs/>
                <w:sz w:val="28"/>
                <w:szCs w:val="28"/>
                <w:lang w:val="en-US"/>
              </w:rPr>
            </w:pPr>
            <w:r>
              <w:rPr>
                <w:rFonts w:hint="eastAsia" w:ascii="Times New Roman" w:hAnsi="Times New Roman" w:eastAsia="方正仿宋简体" w:cs="方正仿宋简体"/>
                <w:b/>
                <w:bCs/>
                <w:sz w:val="28"/>
                <w:szCs w:val="28"/>
                <w:lang w:val="en-US" w:eastAsia="zh-CN"/>
              </w:rPr>
              <w:t>0</w:t>
            </w:r>
          </w:p>
        </w:tc>
        <w:tc>
          <w:tcPr>
            <w:tcW w:w="651" w:type="dxa"/>
            <w:tcBorders>
              <w:tl2br w:val="nil"/>
              <w:tr2bl w:val="nil"/>
            </w:tcBorders>
            <w:noWrap w:val="0"/>
            <w:tcMar>
              <w:left w:w="108" w:type="dxa"/>
              <w:right w:w="108" w:type="dxa"/>
            </w:tcMar>
            <w:vAlign w:val="center"/>
          </w:tcPr>
          <w:p w14:paraId="3665E1C9">
            <w:pPr>
              <w:jc w:val="center"/>
              <w:rPr>
                <w:rFonts w:hint="eastAsia" w:ascii="Times New Roman" w:hAnsi="Times New Roman" w:eastAsia="方正仿宋简体" w:cs="方正仿宋简体"/>
                <w:b/>
                <w:bCs/>
                <w:sz w:val="28"/>
                <w:szCs w:val="28"/>
                <w:lang w:val="en-US" w:eastAsia="zh-CN"/>
              </w:rPr>
            </w:pPr>
            <w:r>
              <w:rPr>
                <w:rFonts w:hint="eastAsia" w:ascii="Times New Roman" w:hAnsi="Times New Roman" w:eastAsia="方正仿宋简体" w:cs="方正仿宋简体"/>
                <w:b/>
                <w:bCs/>
                <w:sz w:val="28"/>
                <w:szCs w:val="28"/>
                <w:lang w:val="en-US" w:eastAsia="zh-CN"/>
              </w:rPr>
              <w:t>0</w:t>
            </w:r>
          </w:p>
        </w:tc>
        <w:tc>
          <w:tcPr>
            <w:tcW w:w="651" w:type="dxa"/>
            <w:tcBorders>
              <w:tl2br w:val="nil"/>
              <w:tr2bl w:val="nil"/>
            </w:tcBorders>
            <w:noWrap w:val="0"/>
            <w:tcMar>
              <w:left w:w="108" w:type="dxa"/>
              <w:right w:w="108" w:type="dxa"/>
            </w:tcMar>
            <w:vAlign w:val="center"/>
          </w:tcPr>
          <w:p w14:paraId="6918E942">
            <w:pPr>
              <w:jc w:val="center"/>
              <w:rPr>
                <w:rFonts w:hint="eastAsia" w:ascii="Times New Roman" w:hAnsi="Times New Roman" w:eastAsia="方正仿宋简体" w:cs="方正仿宋简体"/>
                <w:b/>
                <w:bCs/>
                <w:sz w:val="28"/>
                <w:szCs w:val="28"/>
                <w:lang w:val="en-US" w:eastAsia="zh-CN"/>
              </w:rPr>
            </w:pPr>
            <w:r>
              <w:rPr>
                <w:rFonts w:hint="eastAsia" w:ascii="Times New Roman" w:hAnsi="Times New Roman" w:eastAsia="方正仿宋简体" w:cs="方正仿宋简体"/>
                <w:b/>
                <w:bCs/>
                <w:sz w:val="28"/>
                <w:szCs w:val="28"/>
                <w:lang w:val="en-US" w:eastAsia="zh-CN"/>
              </w:rPr>
              <w:t>0</w:t>
            </w:r>
          </w:p>
        </w:tc>
        <w:tc>
          <w:tcPr>
            <w:tcW w:w="651" w:type="dxa"/>
            <w:tcBorders>
              <w:tl2br w:val="nil"/>
              <w:tr2bl w:val="nil"/>
            </w:tcBorders>
            <w:noWrap w:val="0"/>
            <w:tcMar>
              <w:left w:w="108" w:type="dxa"/>
              <w:right w:w="108" w:type="dxa"/>
            </w:tcMar>
            <w:vAlign w:val="center"/>
          </w:tcPr>
          <w:p w14:paraId="6EF78073">
            <w:pPr>
              <w:jc w:val="center"/>
              <w:rPr>
                <w:rFonts w:hint="eastAsia" w:ascii="Times New Roman" w:hAnsi="Times New Roman" w:eastAsia="方正仿宋简体" w:cs="方正仿宋简体"/>
                <w:b/>
                <w:bCs/>
                <w:sz w:val="28"/>
                <w:szCs w:val="28"/>
                <w:lang w:val="en-US" w:eastAsia="zh-CN"/>
              </w:rPr>
            </w:pPr>
            <w:r>
              <w:rPr>
                <w:rFonts w:hint="eastAsia" w:ascii="Times New Roman" w:hAnsi="Times New Roman" w:eastAsia="方正仿宋简体" w:cs="方正仿宋简体"/>
                <w:b/>
                <w:bCs/>
                <w:sz w:val="28"/>
                <w:szCs w:val="28"/>
                <w:lang w:val="en-US" w:eastAsia="zh-CN"/>
              </w:rPr>
              <w:t>0</w:t>
            </w:r>
          </w:p>
        </w:tc>
      </w:tr>
    </w:tbl>
    <w:p w14:paraId="01DCC5F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rPr>
      </w:pPr>
      <w:r>
        <w:rPr>
          <w:rFonts w:hint="eastAsia" w:ascii="Times New Roman" w:hAnsi="Times New Roman" w:eastAsia="方正黑体简体" w:cs="方正黑体简体"/>
          <w:b/>
          <w:bCs/>
          <w:i w:val="0"/>
          <w:iCs w:val="0"/>
          <w:caps w:val="0"/>
          <w:color w:val="auto"/>
          <w:spacing w:val="0"/>
          <w:sz w:val="32"/>
          <w:szCs w:val="32"/>
        </w:rPr>
        <w:t>五、存在的主要问题及改进情况主要问题：</w:t>
      </w:r>
    </w:p>
    <w:p w14:paraId="31F6758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仿宋简体" w:cs="方正仿宋简体"/>
          <w:b/>
          <w:bCs/>
          <w:i w:val="0"/>
          <w:iCs w:val="0"/>
          <w:caps w:val="0"/>
          <w:color w:val="auto"/>
          <w:spacing w:val="0"/>
          <w:sz w:val="32"/>
          <w:szCs w:val="32"/>
          <w:lang w:val="en-US" w:eastAsia="zh-CN"/>
        </w:rPr>
        <w:t>对于政务公开工作还存在一些问题和不足。一是主动公开责任落实不到位，局内科室主动公开意识有待加强；二是政策解读质量有待提高，负责人解读较少的问题</w:t>
      </w:r>
      <w:r>
        <w:rPr>
          <w:rFonts w:hint="eastAsia" w:cs="方正仿宋简体"/>
          <w:b/>
          <w:bCs/>
          <w:i w:val="0"/>
          <w:iCs w:val="0"/>
          <w:caps w:val="0"/>
          <w:color w:val="auto"/>
          <w:spacing w:val="0"/>
          <w:sz w:val="32"/>
          <w:szCs w:val="32"/>
          <w:lang w:val="en-US" w:eastAsia="zh-CN"/>
        </w:rPr>
        <w:t>。</w:t>
      </w:r>
    </w:p>
    <w:p w14:paraId="36511E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仿宋简体" w:cs="方正仿宋简体"/>
          <w:b/>
          <w:bCs/>
          <w:i w:val="0"/>
          <w:iCs w:val="0"/>
          <w:caps w:val="0"/>
          <w:color w:val="auto"/>
          <w:spacing w:val="0"/>
          <w:sz w:val="32"/>
          <w:szCs w:val="32"/>
          <w:lang w:val="en-US" w:eastAsia="zh-CN"/>
        </w:rPr>
        <w:t>针对当前政务公开工作存在的不足，下一步我们将着力从责任落实与解读深化两个方面加以改进：</w:t>
      </w:r>
    </w:p>
    <w:p w14:paraId="00C9416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仿宋简体" w:cs="方正仿宋简体"/>
          <w:b/>
          <w:bCs/>
          <w:i w:val="0"/>
          <w:iCs w:val="0"/>
          <w:caps w:val="0"/>
          <w:color w:val="auto"/>
          <w:spacing w:val="0"/>
          <w:sz w:val="32"/>
          <w:szCs w:val="32"/>
          <w:lang w:val="en-US" w:eastAsia="zh-CN"/>
        </w:rPr>
        <w:t>首先，完善责任体系与协同机制。进一步细化局内政务公开职责分工，压实各科室主动公开的主体责任。通过定期召开工作交流会、开展针对性培训等方式，增强全员的公开意识与能力，推动形成由办公室统筹协调、各业务科室密切配合、常态化开展信息发布的联动工作格局，确保应公开尽公开。</w:t>
      </w:r>
    </w:p>
    <w:p w14:paraId="0AB995B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仿宋简体" w:cs="方正仿宋简体"/>
          <w:b/>
          <w:bCs/>
          <w:i w:val="0"/>
          <w:iCs w:val="0"/>
          <w:caps w:val="0"/>
          <w:color w:val="auto"/>
          <w:spacing w:val="0"/>
          <w:sz w:val="32"/>
          <w:szCs w:val="32"/>
          <w:lang w:val="en-US" w:eastAsia="zh-CN"/>
        </w:rPr>
        <w:t>其次，提升政策解读效果与丰富性。在政策出台时，同步策划、制作高质量解读产品。注重运用典型案例、具体数据和图表图解、短视频、动画等直观形式，对政策的出台背景、核心条款、惠民利企举措等进行通俗化阐释。同时，积极拓展解读渠道，鼓励和支持部门负责人通过新闻发布会、撰写解读文章、接受权威访谈等方式，进行深入解读和权威发声，增强政策的传播力与影响力。</w:t>
      </w:r>
    </w:p>
    <w:p w14:paraId="6FC935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黑体简体" w:cs="方正黑体简体"/>
          <w:b/>
          <w:bCs/>
          <w:i w:val="0"/>
          <w:iCs w:val="0"/>
          <w:caps w:val="0"/>
          <w:color w:val="auto"/>
          <w:spacing w:val="0"/>
          <w:sz w:val="32"/>
          <w:szCs w:val="32"/>
          <w:lang w:val="en-US" w:eastAsia="zh-CN"/>
        </w:rPr>
      </w:pPr>
      <w:r>
        <w:rPr>
          <w:rFonts w:hint="eastAsia" w:ascii="Times New Roman" w:hAnsi="Times New Roman" w:eastAsia="方正黑体简体" w:cs="方正黑体简体"/>
          <w:b/>
          <w:bCs/>
          <w:i w:val="0"/>
          <w:iCs w:val="0"/>
          <w:caps w:val="0"/>
          <w:color w:val="auto"/>
          <w:spacing w:val="0"/>
          <w:sz w:val="32"/>
          <w:szCs w:val="32"/>
          <w:lang w:val="en-US" w:eastAsia="zh-CN"/>
        </w:rPr>
        <w:t>六、其他需要报告的事项</w:t>
      </w:r>
    </w:p>
    <w:p w14:paraId="235D36E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楷体简体" w:cs="方正楷体简体"/>
          <w:b/>
          <w:color w:val="auto"/>
          <w:kern w:val="2"/>
          <w:sz w:val="32"/>
          <w:szCs w:val="32"/>
          <w:lang w:val="en-US" w:eastAsia="zh-CN" w:bidi="ar-SA"/>
        </w:rPr>
        <w:t>（一）依据《政府信息公开信息处理费管理办法》收取信息处理费的情况：</w:t>
      </w:r>
      <w:r>
        <w:rPr>
          <w:rFonts w:hint="eastAsia" w:ascii="Times New Roman" w:hAnsi="Times New Roman" w:eastAsia="方正仿宋简体" w:cs="方正仿宋简体"/>
          <w:b/>
          <w:bCs/>
          <w:i w:val="0"/>
          <w:iCs w:val="0"/>
          <w:caps w:val="0"/>
          <w:color w:val="auto"/>
          <w:spacing w:val="0"/>
          <w:sz w:val="32"/>
          <w:szCs w:val="32"/>
          <w:lang w:val="en-US" w:eastAsia="zh-CN"/>
        </w:rPr>
        <w:t>2025年，泗水县人力资源和社会保障局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14:paraId="108A7DC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楷体简体" w:cs="方正楷体简体"/>
          <w:b/>
          <w:color w:val="auto"/>
          <w:kern w:val="2"/>
          <w:sz w:val="32"/>
          <w:szCs w:val="32"/>
          <w:lang w:val="en-US" w:eastAsia="zh-CN" w:bidi="ar-SA"/>
        </w:rPr>
        <w:t>（二）本行政机关落实上级年度政务公开工作要点情况：</w:t>
      </w:r>
      <w:r>
        <w:rPr>
          <w:rFonts w:hint="eastAsia" w:ascii="Times New Roman" w:hAnsi="Times New Roman" w:eastAsia="方正仿宋简体" w:cs="方正仿宋简体"/>
          <w:b/>
          <w:bCs/>
          <w:i w:val="0"/>
          <w:iCs w:val="0"/>
          <w:caps w:val="0"/>
          <w:color w:val="auto"/>
          <w:spacing w:val="0"/>
          <w:sz w:val="32"/>
          <w:szCs w:val="32"/>
          <w:lang w:val="en-US" w:eastAsia="zh-CN"/>
        </w:rPr>
        <w:t>严格按照通知要求，细化任务目标，落实责任分工，不断提升政务公开能力水平。对稳岗就业等重点领域分栏目进行公开，对动态类栏目按时限进行公开。</w:t>
      </w:r>
    </w:p>
    <w:p w14:paraId="2489C5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eastAsia"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楷体简体" w:cs="方正楷体简体"/>
          <w:b/>
          <w:color w:val="auto"/>
          <w:kern w:val="2"/>
          <w:sz w:val="32"/>
          <w:szCs w:val="32"/>
          <w:lang w:val="en-US" w:eastAsia="zh-CN" w:bidi="ar-SA"/>
        </w:rPr>
        <w:t>（三）本行政机关人大代表建议和政协提案办理结果公开情况：</w:t>
      </w:r>
      <w:r>
        <w:rPr>
          <w:rFonts w:hint="eastAsia" w:ascii="Times New Roman" w:hAnsi="Times New Roman" w:eastAsia="方正仿宋简体" w:cs="方正仿宋简体"/>
          <w:b/>
          <w:bCs/>
          <w:i w:val="0"/>
          <w:iCs w:val="0"/>
          <w:caps w:val="0"/>
          <w:color w:val="auto"/>
          <w:spacing w:val="0"/>
          <w:sz w:val="32"/>
          <w:szCs w:val="32"/>
          <w:lang w:val="en-US" w:eastAsia="zh-CN"/>
        </w:rPr>
        <w:t>2025年泗水县人力资源和社会保障局共收到6件政协提案、3件人大建议，全部出具答复意见，实现了办理答复率、满意率100%。</w:t>
      </w:r>
    </w:p>
    <w:p w14:paraId="0CBD29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rPr>
          <w:rFonts w:hint="default" w:ascii="Times New Roman" w:hAnsi="Times New Roman" w:eastAsia="方正仿宋简体" w:cs="方正仿宋简体"/>
          <w:b/>
          <w:bCs/>
          <w:i w:val="0"/>
          <w:iCs w:val="0"/>
          <w:caps w:val="0"/>
          <w:color w:val="auto"/>
          <w:spacing w:val="0"/>
          <w:sz w:val="32"/>
          <w:szCs w:val="32"/>
          <w:lang w:val="en-US" w:eastAsia="zh-CN"/>
        </w:rPr>
      </w:pPr>
      <w:r>
        <w:rPr>
          <w:rFonts w:hint="eastAsia" w:ascii="Times New Roman" w:hAnsi="Times New Roman" w:eastAsia="方正楷体简体" w:cs="方正楷体简体"/>
          <w:b/>
          <w:color w:val="auto"/>
          <w:kern w:val="2"/>
          <w:sz w:val="32"/>
          <w:szCs w:val="32"/>
          <w:lang w:val="en-US" w:eastAsia="zh-CN" w:bidi="ar-SA"/>
        </w:rPr>
        <w:t>（四）本行政机关年度政务公开工作创新情况：</w:t>
      </w:r>
      <w:r>
        <w:rPr>
          <w:rFonts w:hint="eastAsia" w:ascii="Times New Roman" w:hAnsi="Times New Roman" w:eastAsia="方正仿宋简体" w:cs="方正仿宋简体"/>
          <w:b/>
          <w:bCs/>
          <w:i w:val="0"/>
          <w:iCs w:val="0"/>
          <w:caps w:val="0"/>
          <w:color w:val="auto"/>
          <w:spacing w:val="0"/>
          <w:sz w:val="32"/>
          <w:szCs w:val="32"/>
          <w:lang w:val="en-US" w:eastAsia="zh-CN"/>
        </w:rPr>
        <w:t>无。</w:t>
      </w:r>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EC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80133">
                          <w:pPr>
                            <w:pStyle w:val="2"/>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980133">
                    <w:pPr>
                      <w:pStyle w:val="2"/>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22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s>
  <w:rsids>
    <w:rsidRoot w:val="553A3A74"/>
    <w:rsid w:val="003B195D"/>
    <w:rsid w:val="01A4698D"/>
    <w:rsid w:val="023A109F"/>
    <w:rsid w:val="02457A2C"/>
    <w:rsid w:val="03364348"/>
    <w:rsid w:val="03707AB9"/>
    <w:rsid w:val="04BC0364"/>
    <w:rsid w:val="05B66C8F"/>
    <w:rsid w:val="086159A4"/>
    <w:rsid w:val="09C83435"/>
    <w:rsid w:val="0BB772BD"/>
    <w:rsid w:val="100267CD"/>
    <w:rsid w:val="14471E43"/>
    <w:rsid w:val="14975EF3"/>
    <w:rsid w:val="19B33E37"/>
    <w:rsid w:val="19BF56CB"/>
    <w:rsid w:val="19C72DC1"/>
    <w:rsid w:val="1BFF241E"/>
    <w:rsid w:val="1C2208E7"/>
    <w:rsid w:val="1CBF1F60"/>
    <w:rsid w:val="1E035981"/>
    <w:rsid w:val="203B04ED"/>
    <w:rsid w:val="222E1FA2"/>
    <w:rsid w:val="22332840"/>
    <w:rsid w:val="22D94AB8"/>
    <w:rsid w:val="23A86EF3"/>
    <w:rsid w:val="24A202F3"/>
    <w:rsid w:val="251F62EF"/>
    <w:rsid w:val="264F5DE7"/>
    <w:rsid w:val="27492919"/>
    <w:rsid w:val="28932C21"/>
    <w:rsid w:val="2BFD08C4"/>
    <w:rsid w:val="30D37E45"/>
    <w:rsid w:val="31430372"/>
    <w:rsid w:val="31A5777F"/>
    <w:rsid w:val="333224EE"/>
    <w:rsid w:val="3557548F"/>
    <w:rsid w:val="376477E4"/>
    <w:rsid w:val="38B05B8F"/>
    <w:rsid w:val="3B256C04"/>
    <w:rsid w:val="3C985175"/>
    <w:rsid w:val="41503020"/>
    <w:rsid w:val="4187463D"/>
    <w:rsid w:val="41A07CDB"/>
    <w:rsid w:val="4614088C"/>
    <w:rsid w:val="47717685"/>
    <w:rsid w:val="48775B70"/>
    <w:rsid w:val="489A1C0F"/>
    <w:rsid w:val="4AFD524C"/>
    <w:rsid w:val="4CE82290"/>
    <w:rsid w:val="4D8350A8"/>
    <w:rsid w:val="4F2D3943"/>
    <w:rsid w:val="4FD459DC"/>
    <w:rsid w:val="50306C0B"/>
    <w:rsid w:val="50B11AF9"/>
    <w:rsid w:val="51C252AD"/>
    <w:rsid w:val="52234D72"/>
    <w:rsid w:val="553A3A74"/>
    <w:rsid w:val="5A067E59"/>
    <w:rsid w:val="5BB029AE"/>
    <w:rsid w:val="5BD347B4"/>
    <w:rsid w:val="5C983278"/>
    <w:rsid w:val="658B7DA8"/>
    <w:rsid w:val="66AC2B2E"/>
    <w:rsid w:val="69361AA8"/>
    <w:rsid w:val="697F058F"/>
    <w:rsid w:val="6A4E4FCB"/>
    <w:rsid w:val="6B405AFC"/>
    <w:rsid w:val="6CB5703F"/>
    <w:rsid w:val="6DDB1B0C"/>
    <w:rsid w:val="6F5D2C01"/>
    <w:rsid w:val="74341F76"/>
    <w:rsid w:val="78EF5A91"/>
    <w:rsid w:val="7A1F1469"/>
    <w:rsid w:val="7D165E47"/>
    <w:rsid w:val="7D7635FF"/>
    <w:rsid w:val="7E89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2927</Words>
  <Characters>3019</Characters>
  <Lines>0</Lines>
  <Paragraphs>0</Paragraphs>
  <TotalTime>7</TotalTime>
  <ScaleCrop>false</ScaleCrop>
  <LinksUpToDate>false</LinksUpToDate>
  <CharactersWithSpaces>3019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2026-01-15T01:01:00Z</dcterms:created>
  <dc:creator>张亮</dc:creator>
  <cp:lastModifiedBy>张亮</cp:lastModifiedBy>
  <dcterms:modified xsi:type="dcterms:W3CDTF">2026-01-26T08:23:47Z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600021A4C22C4736848186025018491E_11</vt:lpwstr>
  </property>
  <property fmtid="{D5CDD505-2E9C-101B-9397-08002B2CF9AE}" pid="4" name="KSOTemplateDocerSaveRecord">
    <vt:lpwstr>eyJoZGlkIjoiYzkzNGUxZmVmMTEyOGI2ZTBmYjY4MzZhNGMzYTY2ZmMiLCJ1c2VySWQiOiIxNjg1NDExMTExIn0=</vt:lpwstr>
  </property>
</Properties>
</file>