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4570D0">
      <w:pPr>
        <w:adjustRightInd w:val="0"/>
        <w:snapToGrid w:val="0"/>
        <w:jc w:val="center"/>
        <w:outlineLvl w:val="0"/>
        <w:rPr>
          <w:rFonts w:hint="eastAsia" w:ascii="宋体" w:hAnsi="宋体" w:cs="宋体"/>
          <w:b/>
          <w:color w:val="auto"/>
          <w:sz w:val="72"/>
          <w:szCs w:val="72"/>
        </w:rPr>
      </w:pPr>
      <w:r>
        <w:rPr>
          <w:rFonts w:hint="eastAsia" w:ascii="宋体" w:hAnsi="宋体" w:cs="宋体"/>
          <w:b/>
          <w:color w:val="auto"/>
          <w:sz w:val="72"/>
          <w:szCs w:val="72"/>
        </w:rPr>
        <w:t>建设项目环境影响报告表</w:t>
      </w:r>
    </w:p>
    <w:p w14:paraId="67A3D6A2">
      <w:pPr>
        <w:adjustRightInd w:val="0"/>
        <w:snapToGrid w:val="0"/>
        <w:spacing w:before="192" w:beforeLines="80"/>
        <w:jc w:val="center"/>
        <w:rPr>
          <w:rFonts w:hint="eastAsia" w:ascii="宋体" w:hAnsi="宋体" w:cs="宋体"/>
          <w:b/>
          <w:color w:val="auto"/>
          <w:sz w:val="48"/>
          <w:szCs w:val="48"/>
        </w:rPr>
      </w:pPr>
      <w:r>
        <w:rPr>
          <w:rFonts w:hint="eastAsia" w:ascii="宋体" w:hAnsi="宋体" w:cs="宋体"/>
          <w:b/>
          <w:color w:val="auto"/>
          <w:sz w:val="48"/>
          <w:szCs w:val="48"/>
        </w:rPr>
        <w:t>（污染影响类）</w:t>
      </w:r>
    </w:p>
    <w:p w14:paraId="23766B12">
      <w:pPr>
        <w:adjustRightInd w:val="0"/>
        <w:snapToGrid w:val="0"/>
        <w:spacing w:before="192" w:beforeLines="80"/>
        <w:jc w:val="center"/>
        <w:rPr>
          <w:rFonts w:hint="eastAsia" w:ascii="宋体" w:hAnsi="宋体" w:cs="宋体"/>
          <w:b/>
          <w:color w:val="auto"/>
          <w:sz w:val="48"/>
          <w:szCs w:val="48"/>
        </w:rPr>
      </w:pPr>
    </w:p>
    <w:p w14:paraId="369B62A2">
      <w:pPr>
        <w:adjustRightInd w:val="0"/>
        <w:snapToGrid w:val="0"/>
        <w:spacing w:before="192" w:beforeLines="80"/>
        <w:jc w:val="center"/>
        <w:rPr>
          <w:rFonts w:hint="eastAsia" w:ascii="宋体" w:hAnsi="宋体" w:cs="宋体"/>
          <w:b/>
          <w:color w:val="auto"/>
          <w:sz w:val="48"/>
          <w:szCs w:val="48"/>
        </w:rPr>
      </w:pPr>
    </w:p>
    <w:p w14:paraId="39B43E8A">
      <w:pPr>
        <w:adjustRightInd w:val="0"/>
        <w:snapToGrid w:val="0"/>
        <w:spacing w:before="192" w:beforeLines="80"/>
        <w:jc w:val="center"/>
        <w:rPr>
          <w:rFonts w:hint="eastAsia" w:ascii="宋体" w:hAnsi="宋体" w:cs="宋体"/>
          <w:b/>
          <w:color w:val="auto"/>
          <w:sz w:val="48"/>
          <w:szCs w:val="48"/>
        </w:rPr>
      </w:pPr>
    </w:p>
    <w:p w14:paraId="1A02BBA4">
      <w:pPr>
        <w:adjustRightInd w:val="0"/>
        <w:snapToGrid w:val="0"/>
        <w:spacing w:before="192" w:beforeLines="80"/>
        <w:jc w:val="center"/>
        <w:rPr>
          <w:rFonts w:hint="eastAsia" w:ascii="宋体" w:hAnsi="宋体" w:cs="宋体"/>
          <w:b/>
          <w:color w:val="auto"/>
          <w:sz w:val="48"/>
          <w:szCs w:val="48"/>
        </w:rPr>
      </w:pPr>
    </w:p>
    <w:p w14:paraId="4D41635F">
      <w:pPr>
        <w:adjustRightInd w:val="0"/>
        <w:snapToGrid w:val="0"/>
        <w:spacing w:before="192" w:beforeLines="80"/>
        <w:jc w:val="center"/>
        <w:rPr>
          <w:rFonts w:hint="eastAsia" w:ascii="宋体" w:hAnsi="宋体" w:cs="宋体"/>
          <w:b/>
          <w:color w:val="auto"/>
          <w:sz w:val="48"/>
          <w:szCs w:val="48"/>
        </w:rPr>
      </w:pPr>
    </w:p>
    <w:p w14:paraId="4CDB81A3">
      <w:pPr>
        <w:adjustRightInd w:val="0"/>
        <w:snapToGrid w:val="0"/>
        <w:spacing w:before="192" w:beforeLines="80"/>
        <w:jc w:val="center"/>
        <w:rPr>
          <w:rFonts w:hint="eastAsia" w:ascii="宋体" w:hAnsi="宋体" w:cs="宋体"/>
          <w:b/>
          <w:color w:val="auto"/>
          <w:sz w:val="48"/>
          <w:szCs w:val="48"/>
        </w:rPr>
      </w:pPr>
    </w:p>
    <w:p w14:paraId="2769EDBD">
      <w:pPr>
        <w:keepNext w:val="0"/>
        <w:keepLines w:val="0"/>
        <w:pageBreakBefore w:val="0"/>
        <w:widowControl w:val="0"/>
        <w:kinsoku/>
        <w:wordWrap/>
        <w:overflowPunct/>
        <w:topLinePunct w:val="0"/>
        <w:autoSpaceDE/>
        <w:autoSpaceDN/>
        <w:bidi w:val="0"/>
        <w:adjustRightInd w:val="0"/>
        <w:snapToGrid w:val="0"/>
        <w:spacing w:line="288" w:lineRule="auto"/>
        <w:ind w:left="1600" w:hanging="1606" w:hangingChars="500"/>
        <w:jc w:val="left"/>
        <w:textAlignment w:val="auto"/>
        <w:rPr>
          <w:rFonts w:hint="default" w:ascii="宋体" w:hAnsi="宋体" w:eastAsia="宋体" w:cs="宋体"/>
          <w:b/>
          <w:color w:val="auto"/>
          <w:sz w:val="32"/>
          <w:szCs w:val="32"/>
          <w:u w:val="single"/>
          <w:lang w:val="en-US" w:eastAsia="zh-CN"/>
        </w:rPr>
      </w:pPr>
      <w:r>
        <w:rPr>
          <w:rFonts w:hint="eastAsia" w:ascii="宋体" w:hAnsi="宋体" w:cs="宋体"/>
          <w:b/>
          <w:color w:val="auto"/>
          <w:sz w:val="32"/>
          <w:szCs w:val="32"/>
        </w:rPr>
        <w:t>项目名称：</w:t>
      </w:r>
      <w:r>
        <w:rPr>
          <w:rFonts w:hint="eastAsia" w:ascii="宋体" w:hAnsi="宋体" w:cs="宋体"/>
          <w:b/>
          <w:color w:val="auto"/>
          <w:sz w:val="32"/>
          <w:szCs w:val="32"/>
          <w:u w:val="single"/>
          <w:lang w:eastAsia="zh-CN"/>
        </w:rPr>
        <w:t>欣达新材料（山东）有限公司</w:t>
      </w:r>
      <w:r>
        <w:rPr>
          <w:rFonts w:hint="eastAsia" w:ascii="宋体" w:hAnsi="宋体" w:cs="宋体"/>
          <w:b/>
          <w:color w:val="auto"/>
          <w:sz w:val="32"/>
          <w:szCs w:val="32"/>
          <w:u w:val="single"/>
          <w:lang w:val="en-US" w:eastAsia="zh-CN"/>
        </w:rPr>
        <w:t xml:space="preserve">年产20000吨新型环保密封材料项目                                    </w:t>
      </w:r>
    </w:p>
    <w:p w14:paraId="590A2F96">
      <w:pPr>
        <w:keepNext w:val="0"/>
        <w:keepLines w:val="0"/>
        <w:pageBreakBefore w:val="0"/>
        <w:widowControl w:val="0"/>
        <w:kinsoku/>
        <w:wordWrap/>
        <w:overflowPunct/>
        <w:topLinePunct w:val="0"/>
        <w:autoSpaceDE/>
        <w:autoSpaceDN/>
        <w:bidi w:val="0"/>
        <w:adjustRightInd w:val="0"/>
        <w:spacing w:line="288" w:lineRule="auto"/>
        <w:textAlignment w:val="auto"/>
        <w:rPr>
          <w:rFonts w:hint="default" w:ascii="宋体" w:hAnsi="宋体" w:eastAsia="宋体" w:cs="宋体"/>
          <w:b/>
          <w:color w:val="auto"/>
          <w:sz w:val="32"/>
          <w:szCs w:val="32"/>
          <w:u w:val="single"/>
          <w:lang w:val="en-US" w:eastAsia="zh-CN"/>
        </w:rPr>
      </w:pPr>
      <w:r>
        <w:rPr>
          <w:rFonts w:hint="eastAsia" w:ascii="宋体" w:hAnsi="宋体" w:cs="宋体"/>
          <w:b/>
          <w:color w:val="auto"/>
          <w:sz w:val="32"/>
          <w:szCs w:val="32"/>
        </w:rPr>
        <w:t>建设单位</w:t>
      </w:r>
      <w:r>
        <w:rPr>
          <w:rFonts w:hint="eastAsia" w:ascii="宋体" w:hAnsi="宋体" w:cs="宋体"/>
          <w:b/>
          <w:color w:val="auto"/>
          <w:sz w:val="32"/>
          <w:szCs w:val="32"/>
          <w:vertAlign w:val="subscript"/>
        </w:rPr>
        <w:t>（盖章）</w:t>
      </w:r>
      <w:r>
        <w:rPr>
          <w:rFonts w:hint="eastAsia" w:ascii="宋体" w:hAnsi="宋体" w:cs="宋体"/>
          <w:b/>
          <w:color w:val="auto"/>
          <w:sz w:val="32"/>
          <w:szCs w:val="32"/>
        </w:rPr>
        <w:t>：</w:t>
      </w:r>
      <w:r>
        <w:rPr>
          <w:rFonts w:hint="eastAsia" w:ascii="宋体" w:hAnsi="宋体" w:cs="宋体"/>
          <w:b/>
          <w:color w:val="auto"/>
          <w:sz w:val="32"/>
          <w:szCs w:val="32"/>
          <w:u w:val="single"/>
          <w:lang w:eastAsia="zh-CN"/>
        </w:rPr>
        <w:t>欣达新材料（山东）有限公司</w:t>
      </w:r>
      <w:r>
        <w:rPr>
          <w:rFonts w:hint="eastAsia" w:ascii="宋体" w:hAnsi="宋体" w:cs="宋体"/>
          <w:b/>
          <w:color w:val="auto"/>
          <w:sz w:val="32"/>
          <w:szCs w:val="32"/>
          <w:u w:val="single"/>
        </w:rPr>
        <w:t xml:space="preserve"> </w:t>
      </w:r>
      <w:r>
        <w:rPr>
          <w:rFonts w:hint="eastAsia" w:ascii="宋体" w:hAnsi="宋体" w:cs="宋体"/>
          <w:b/>
          <w:color w:val="auto"/>
          <w:sz w:val="32"/>
          <w:szCs w:val="32"/>
          <w:u w:val="single"/>
          <w:lang w:val="en-US" w:eastAsia="zh-CN"/>
        </w:rPr>
        <w:t xml:space="preserve">                     </w:t>
      </w:r>
    </w:p>
    <w:p w14:paraId="674442F0">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hint="default" w:ascii="宋体" w:hAnsi="宋体" w:eastAsia="宋体" w:cs="宋体"/>
          <w:b/>
          <w:color w:val="auto"/>
          <w:sz w:val="32"/>
          <w:szCs w:val="32"/>
          <w:u w:val="single"/>
          <w:lang w:val="en-US" w:eastAsia="zh-CN"/>
        </w:rPr>
      </w:pPr>
      <w:r>
        <w:rPr>
          <w:rFonts w:hint="eastAsia" w:ascii="宋体" w:hAnsi="宋体" w:cs="宋体"/>
          <w:b/>
          <w:color w:val="auto"/>
          <w:sz w:val="32"/>
          <w:szCs w:val="32"/>
        </w:rPr>
        <w:t>编制日期：</w:t>
      </w:r>
      <w:r>
        <w:rPr>
          <w:rFonts w:hint="eastAsia" w:ascii="宋体" w:hAnsi="宋体" w:cs="宋体"/>
          <w:b/>
          <w:color w:val="auto"/>
          <w:sz w:val="32"/>
          <w:szCs w:val="32"/>
          <w:u w:val="single"/>
        </w:rPr>
        <w:t xml:space="preserve">        202</w:t>
      </w:r>
      <w:r>
        <w:rPr>
          <w:rFonts w:hint="eastAsia" w:ascii="宋体" w:hAnsi="宋体" w:cs="宋体"/>
          <w:b/>
          <w:color w:val="auto"/>
          <w:sz w:val="32"/>
          <w:szCs w:val="32"/>
          <w:u w:val="single"/>
          <w:lang w:val="en-US" w:eastAsia="zh-CN"/>
        </w:rPr>
        <w:t>5</w:t>
      </w:r>
      <w:r>
        <w:rPr>
          <w:rFonts w:hint="eastAsia" w:ascii="宋体" w:hAnsi="宋体" w:cs="宋体"/>
          <w:b/>
          <w:color w:val="auto"/>
          <w:sz w:val="32"/>
          <w:szCs w:val="32"/>
          <w:u w:val="single"/>
        </w:rPr>
        <w:t>年</w:t>
      </w:r>
      <w:r>
        <w:rPr>
          <w:rFonts w:hint="eastAsia" w:ascii="宋体" w:hAnsi="宋体" w:cs="宋体"/>
          <w:b/>
          <w:color w:val="auto"/>
          <w:sz w:val="32"/>
          <w:szCs w:val="32"/>
          <w:u w:val="single"/>
          <w:lang w:val="en-US" w:eastAsia="zh-CN"/>
        </w:rPr>
        <w:t>02</w:t>
      </w:r>
      <w:r>
        <w:rPr>
          <w:rFonts w:hint="eastAsia" w:ascii="宋体" w:hAnsi="宋体" w:cs="宋体"/>
          <w:b/>
          <w:color w:val="auto"/>
          <w:sz w:val="32"/>
          <w:szCs w:val="32"/>
          <w:u w:val="single"/>
        </w:rPr>
        <w:t xml:space="preserve">月              </w:t>
      </w:r>
      <w:r>
        <w:rPr>
          <w:rFonts w:hint="eastAsia" w:ascii="宋体" w:hAnsi="宋体" w:cs="宋体"/>
          <w:b/>
          <w:color w:val="auto"/>
          <w:sz w:val="32"/>
          <w:szCs w:val="32"/>
          <w:u w:val="single"/>
          <w:lang w:val="en-US" w:eastAsia="zh-CN"/>
        </w:rPr>
        <w:t xml:space="preserve">               </w:t>
      </w:r>
    </w:p>
    <w:p w14:paraId="590D27D8">
      <w:pPr>
        <w:adjustRightInd w:val="0"/>
        <w:snapToGrid w:val="0"/>
        <w:spacing w:line="288" w:lineRule="auto"/>
        <w:jc w:val="center"/>
        <w:rPr>
          <w:rFonts w:hint="eastAsia" w:ascii="宋体" w:hAnsi="宋体" w:cs="宋体"/>
          <w:b/>
          <w:bCs/>
          <w:color w:val="auto"/>
          <w:sz w:val="32"/>
          <w:szCs w:val="32"/>
        </w:rPr>
      </w:pPr>
    </w:p>
    <w:p w14:paraId="743D85B4">
      <w:pPr>
        <w:adjustRightInd w:val="0"/>
        <w:snapToGrid w:val="0"/>
        <w:spacing w:line="288" w:lineRule="auto"/>
        <w:jc w:val="center"/>
        <w:rPr>
          <w:rFonts w:hint="eastAsia" w:ascii="宋体" w:hAnsi="宋体" w:cs="宋体"/>
          <w:b/>
          <w:bCs/>
          <w:color w:val="auto"/>
          <w:sz w:val="36"/>
          <w:szCs w:val="36"/>
        </w:rPr>
      </w:pPr>
      <w:r>
        <w:rPr>
          <w:rFonts w:hint="eastAsia" w:ascii="宋体" w:hAnsi="宋体" w:cs="宋体"/>
          <w:b/>
          <w:bCs/>
          <w:color w:val="auto"/>
          <w:sz w:val="32"/>
          <w:szCs w:val="32"/>
        </w:rPr>
        <w:t>中华人民共和国生态环境部制</w:t>
      </w:r>
    </w:p>
    <w:p w14:paraId="13D44F39">
      <w:pPr>
        <w:adjustRightInd w:val="0"/>
        <w:snapToGrid w:val="0"/>
        <w:spacing w:line="288" w:lineRule="auto"/>
        <w:ind w:firstLine="1040"/>
        <w:rPr>
          <w:rFonts w:hint="eastAsia" w:ascii="宋体" w:hAnsi="宋体" w:cs="宋体"/>
          <w:color w:val="auto"/>
          <w:sz w:val="36"/>
          <w:szCs w:val="36"/>
        </w:rPr>
        <w:sectPr>
          <w:footerReference r:id="rId5" w:type="default"/>
          <w:footerReference r:id="rId6" w:type="even"/>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14:paraId="2C5EE9B3">
      <w:pPr>
        <w:pStyle w:val="3"/>
        <w:bidi w:val="0"/>
        <w:rPr>
          <w:rFonts w:hint="eastAsia"/>
          <w:color w:val="auto"/>
        </w:rPr>
      </w:pPr>
      <w:r>
        <w:rPr>
          <w:rFonts w:hint="eastAsia"/>
          <w:color w:val="auto"/>
        </w:rPr>
        <w:t>一、建设项目基本情况</w:t>
      </w:r>
    </w:p>
    <w:tbl>
      <w:tblPr>
        <w:tblStyle w:val="33"/>
        <w:tblW w:w="908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094"/>
        <w:gridCol w:w="753"/>
        <w:gridCol w:w="2155"/>
        <w:gridCol w:w="1534"/>
        <w:gridCol w:w="3544"/>
      </w:tblGrid>
      <w:tr w14:paraId="0E28F8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847" w:type="dxa"/>
            <w:gridSpan w:val="2"/>
            <w:noWrap w:val="0"/>
            <w:tcMar>
              <w:top w:w="16" w:type="dxa"/>
              <w:left w:w="16" w:type="dxa"/>
              <w:right w:w="16" w:type="dxa"/>
            </w:tcMar>
            <w:vAlign w:val="center"/>
          </w:tcPr>
          <w:p w14:paraId="1EE88C0D">
            <w:pPr>
              <w:adjustRightInd w:val="0"/>
              <w:snapToGrid w:val="0"/>
              <w:spacing w:line="240" w:lineRule="auto"/>
              <w:jc w:val="center"/>
              <w:rPr>
                <w:rFonts w:hint="default" w:ascii="Times New Roman" w:hAnsi="Times New Roman" w:cs="Times New Roman"/>
                <w:color w:val="auto"/>
                <w:szCs w:val="24"/>
              </w:rPr>
            </w:pPr>
            <w:r>
              <w:rPr>
                <w:rFonts w:hint="default" w:ascii="Times New Roman" w:hAnsi="Times New Roman" w:cs="Times New Roman"/>
                <w:color w:val="auto"/>
                <w:szCs w:val="24"/>
              </w:rPr>
              <w:t>建设项目名称</w:t>
            </w:r>
          </w:p>
        </w:tc>
        <w:tc>
          <w:tcPr>
            <w:tcW w:w="7233" w:type="dxa"/>
            <w:gridSpan w:val="3"/>
            <w:noWrap w:val="0"/>
            <w:vAlign w:val="center"/>
          </w:tcPr>
          <w:p w14:paraId="20D8E0AA">
            <w:pPr>
              <w:adjustRightInd w:val="0"/>
              <w:snapToGrid w:val="0"/>
              <w:spacing w:line="240" w:lineRule="auto"/>
              <w:jc w:val="center"/>
              <w:rPr>
                <w:rFonts w:hint="default" w:ascii="Times New Roman" w:hAnsi="Times New Roman" w:eastAsia="宋体" w:cs="Times New Roman"/>
                <w:color w:val="auto"/>
                <w:szCs w:val="24"/>
                <w:lang w:eastAsia="zh-CN"/>
              </w:rPr>
            </w:pPr>
            <w:r>
              <w:rPr>
                <w:rFonts w:hint="default" w:ascii="Times New Roman" w:hAnsi="Times New Roman" w:cs="Times New Roman"/>
                <w:color w:val="auto"/>
                <w:szCs w:val="24"/>
                <w:lang w:eastAsia="zh-CN"/>
              </w:rPr>
              <w:t>年产20000吨新型环保密封材料项目</w:t>
            </w:r>
          </w:p>
        </w:tc>
      </w:tr>
      <w:tr w14:paraId="5534C9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18" w:hRule="atLeast"/>
          <w:jc w:val="center"/>
        </w:trPr>
        <w:tc>
          <w:tcPr>
            <w:tcW w:w="1847" w:type="dxa"/>
            <w:gridSpan w:val="2"/>
            <w:noWrap w:val="0"/>
            <w:tcMar>
              <w:top w:w="16" w:type="dxa"/>
              <w:left w:w="16" w:type="dxa"/>
              <w:right w:w="16" w:type="dxa"/>
            </w:tcMar>
            <w:vAlign w:val="center"/>
          </w:tcPr>
          <w:p w14:paraId="3A2717CB">
            <w:pPr>
              <w:adjustRightInd w:val="0"/>
              <w:snapToGrid w:val="0"/>
              <w:spacing w:line="240" w:lineRule="auto"/>
              <w:jc w:val="center"/>
              <w:rPr>
                <w:rFonts w:hint="default" w:ascii="Times New Roman" w:hAnsi="Times New Roman" w:cs="Times New Roman"/>
                <w:color w:val="auto"/>
                <w:szCs w:val="24"/>
              </w:rPr>
            </w:pPr>
            <w:r>
              <w:rPr>
                <w:rFonts w:hint="default" w:ascii="Times New Roman" w:hAnsi="Times New Roman" w:cs="Times New Roman"/>
                <w:color w:val="auto"/>
                <w:szCs w:val="24"/>
              </w:rPr>
              <w:t>项目代码</w:t>
            </w:r>
          </w:p>
        </w:tc>
        <w:tc>
          <w:tcPr>
            <w:tcW w:w="7233" w:type="dxa"/>
            <w:gridSpan w:val="3"/>
            <w:noWrap w:val="0"/>
            <w:vAlign w:val="center"/>
          </w:tcPr>
          <w:p w14:paraId="40557883">
            <w:pPr>
              <w:adjustRightInd w:val="0"/>
              <w:snapToGrid w:val="0"/>
              <w:spacing w:line="240" w:lineRule="auto"/>
              <w:jc w:val="center"/>
              <w:rPr>
                <w:rFonts w:hint="default" w:ascii="Times New Roman" w:hAnsi="Times New Roman" w:eastAsia="宋体" w:cs="Times New Roman"/>
                <w:color w:val="auto"/>
                <w:szCs w:val="24"/>
                <w:lang w:val="en-US" w:eastAsia="zh-CN"/>
              </w:rPr>
            </w:pPr>
            <w:r>
              <w:rPr>
                <w:rFonts w:hint="default" w:ascii="Times New Roman" w:hAnsi="Times New Roman" w:cs="Times New Roman"/>
                <w:color w:val="auto"/>
                <w:szCs w:val="24"/>
                <w:lang w:val="en-US" w:eastAsia="zh-CN"/>
              </w:rPr>
              <w:t>2501-370831-04-01-775599</w:t>
            </w:r>
          </w:p>
        </w:tc>
      </w:tr>
      <w:tr w14:paraId="08993F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76" w:hRule="atLeast"/>
          <w:jc w:val="center"/>
        </w:trPr>
        <w:tc>
          <w:tcPr>
            <w:tcW w:w="1847" w:type="dxa"/>
            <w:gridSpan w:val="2"/>
            <w:noWrap w:val="0"/>
            <w:tcMar>
              <w:top w:w="16" w:type="dxa"/>
              <w:left w:w="16" w:type="dxa"/>
              <w:right w:w="16" w:type="dxa"/>
            </w:tcMar>
            <w:vAlign w:val="center"/>
          </w:tcPr>
          <w:p w14:paraId="2EDB3D77">
            <w:pPr>
              <w:adjustRightInd w:val="0"/>
              <w:snapToGrid w:val="0"/>
              <w:spacing w:line="240" w:lineRule="auto"/>
              <w:jc w:val="center"/>
              <w:rPr>
                <w:rFonts w:hint="default" w:ascii="Times New Roman" w:hAnsi="Times New Roman" w:cs="Times New Roman"/>
                <w:color w:val="auto"/>
                <w:szCs w:val="24"/>
              </w:rPr>
            </w:pPr>
            <w:r>
              <w:rPr>
                <w:rFonts w:hint="default" w:ascii="Times New Roman" w:hAnsi="Times New Roman" w:cs="Times New Roman"/>
                <w:color w:val="auto"/>
                <w:szCs w:val="24"/>
              </w:rPr>
              <w:t>建设单位联系人</w:t>
            </w:r>
          </w:p>
        </w:tc>
        <w:tc>
          <w:tcPr>
            <w:tcW w:w="2155" w:type="dxa"/>
            <w:noWrap w:val="0"/>
            <w:vAlign w:val="center"/>
          </w:tcPr>
          <w:p w14:paraId="1BEE2ADE">
            <w:pPr>
              <w:adjustRightInd w:val="0"/>
              <w:snapToGrid w:val="0"/>
              <w:spacing w:line="240" w:lineRule="auto"/>
              <w:jc w:val="center"/>
              <w:rPr>
                <w:rFonts w:hint="default" w:ascii="Times New Roman" w:hAnsi="Times New Roman" w:eastAsia="宋体" w:cs="Times New Roman"/>
                <w:color w:val="auto"/>
                <w:szCs w:val="24"/>
                <w:lang w:val="en-US" w:eastAsia="zh-CN"/>
              </w:rPr>
            </w:pPr>
            <w:r>
              <w:rPr>
                <w:rFonts w:hint="default" w:ascii="Times New Roman" w:hAnsi="Times New Roman" w:cs="Times New Roman"/>
                <w:color w:val="auto"/>
                <w:szCs w:val="24"/>
                <w:lang w:val="en-US" w:eastAsia="zh-CN"/>
              </w:rPr>
              <w:t>何俊杰</w:t>
            </w:r>
          </w:p>
        </w:tc>
        <w:tc>
          <w:tcPr>
            <w:tcW w:w="1534" w:type="dxa"/>
            <w:noWrap w:val="0"/>
            <w:vAlign w:val="center"/>
          </w:tcPr>
          <w:p w14:paraId="625C769A">
            <w:pPr>
              <w:adjustRightInd w:val="0"/>
              <w:snapToGrid w:val="0"/>
              <w:spacing w:line="240" w:lineRule="auto"/>
              <w:jc w:val="center"/>
              <w:rPr>
                <w:rFonts w:hint="default" w:ascii="Times New Roman" w:hAnsi="Times New Roman" w:cs="Times New Roman"/>
                <w:color w:val="auto"/>
                <w:szCs w:val="24"/>
              </w:rPr>
            </w:pPr>
            <w:r>
              <w:rPr>
                <w:rFonts w:hint="default" w:ascii="Times New Roman" w:hAnsi="Times New Roman" w:cs="Times New Roman"/>
                <w:color w:val="auto"/>
                <w:szCs w:val="24"/>
              </w:rPr>
              <w:t>联系方式</w:t>
            </w:r>
          </w:p>
        </w:tc>
        <w:tc>
          <w:tcPr>
            <w:tcW w:w="3544" w:type="dxa"/>
            <w:noWrap w:val="0"/>
            <w:vAlign w:val="center"/>
          </w:tcPr>
          <w:p w14:paraId="61E36201">
            <w:pPr>
              <w:adjustRightInd w:val="0"/>
              <w:snapToGrid w:val="0"/>
              <w:spacing w:line="240" w:lineRule="auto"/>
              <w:jc w:val="center"/>
              <w:rPr>
                <w:rFonts w:hint="default" w:ascii="Times New Roman" w:hAnsi="Times New Roman" w:eastAsia="宋体" w:cs="Times New Roman"/>
                <w:color w:val="auto"/>
                <w:szCs w:val="24"/>
                <w:lang w:val="en-US" w:eastAsia="zh-CN"/>
              </w:rPr>
            </w:pPr>
            <w:r>
              <w:rPr>
                <w:rFonts w:hint="default" w:ascii="Times New Roman" w:hAnsi="Times New Roman" w:cs="Times New Roman"/>
                <w:color w:val="auto"/>
                <w:szCs w:val="24"/>
                <w:lang w:val="en-US" w:eastAsia="zh-CN"/>
              </w:rPr>
              <w:t>18863701939</w:t>
            </w:r>
          </w:p>
        </w:tc>
      </w:tr>
      <w:tr w14:paraId="02B486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1" w:hRule="atLeast"/>
          <w:jc w:val="center"/>
        </w:trPr>
        <w:tc>
          <w:tcPr>
            <w:tcW w:w="1847" w:type="dxa"/>
            <w:gridSpan w:val="2"/>
            <w:noWrap w:val="0"/>
            <w:tcMar>
              <w:top w:w="16" w:type="dxa"/>
              <w:left w:w="16" w:type="dxa"/>
              <w:right w:w="16" w:type="dxa"/>
            </w:tcMar>
            <w:vAlign w:val="center"/>
          </w:tcPr>
          <w:p w14:paraId="3ECD574B">
            <w:pPr>
              <w:adjustRightInd w:val="0"/>
              <w:snapToGrid w:val="0"/>
              <w:spacing w:line="240" w:lineRule="auto"/>
              <w:jc w:val="center"/>
              <w:rPr>
                <w:rFonts w:hint="default" w:ascii="Times New Roman" w:hAnsi="Times New Roman" w:cs="Times New Roman"/>
                <w:color w:val="auto"/>
                <w:szCs w:val="24"/>
              </w:rPr>
            </w:pPr>
            <w:r>
              <w:rPr>
                <w:rFonts w:hint="default" w:ascii="Times New Roman" w:hAnsi="Times New Roman" w:cs="Times New Roman"/>
                <w:color w:val="auto"/>
                <w:szCs w:val="24"/>
              </w:rPr>
              <w:t>建设地点</w:t>
            </w:r>
          </w:p>
        </w:tc>
        <w:tc>
          <w:tcPr>
            <w:tcW w:w="7233" w:type="dxa"/>
            <w:gridSpan w:val="3"/>
            <w:noWrap w:val="0"/>
            <w:vAlign w:val="center"/>
          </w:tcPr>
          <w:p w14:paraId="16516E25">
            <w:pPr>
              <w:adjustRightInd w:val="0"/>
              <w:snapToGrid w:val="0"/>
              <w:spacing w:line="240" w:lineRule="auto"/>
              <w:jc w:val="center"/>
              <w:rPr>
                <w:rFonts w:hint="default" w:ascii="Times New Roman" w:hAnsi="Times New Roman" w:cs="Times New Roman"/>
                <w:color w:val="auto"/>
                <w:szCs w:val="24"/>
                <w:lang w:val="en-US"/>
              </w:rPr>
            </w:pPr>
            <w:r>
              <w:rPr>
                <w:rFonts w:hint="default" w:ascii="Times New Roman" w:hAnsi="Times New Roman" w:cs="Times New Roman"/>
                <w:color w:val="auto"/>
                <w:szCs w:val="24"/>
                <w:u w:val="single"/>
              </w:rPr>
              <w:t>山东</w:t>
            </w:r>
            <w:r>
              <w:rPr>
                <w:rFonts w:hint="default" w:ascii="Times New Roman" w:hAnsi="Times New Roman" w:cs="Times New Roman"/>
                <w:color w:val="auto"/>
                <w:szCs w:val="24"/>
              </w:rPr>
              <w:t>省</w:t>
            </w:r>
            <w:r>
              <w:rPr>
                <w:rFonts w:hint="default" w:ascii="Times New Roman" w:hAnsi="Times New Roman" w:cs="Times New Roman"/>
                <w:color w:val="auto"/>
                <w:szCs w:val="24"/>
                <w:u w:val="single"/>
              </w:rPr>
              <w:t>济宁</w:t>
            </w:r>
            <w:r>
              <w:rPr>
                <w:rFonts w:hint="default" w:ascii="Times New Roman" w:hAnsi="Times New Roman" w:cs="Times New Roman"/>
                <w:color w:val="auto"/>
                <w:szCs w:val="24"/>
              </w:rPr>
              <w:t>市</w:t>
            </w:r>
            <w:r>
              <w:rPr>
                <w:rFonts w:hint="default" w:ascii="Times New Roman" w:hAnsi="Times New Roman" w:cs="Times New Roman"/>
                <w:color w:val="auto"/>
                <w:szCs w:val="24"/>
                <w:u w:val="single"/>
                <w:lang w:val="en-US" w:eastAsia="zh-CN"/>
              </w:rPr>
              <w:t>泗水县</w:t>
            </w:r>
            <w:r>
              <w:rPr>
                <w:rFonts w:hint="default" w:ascii="Times New Roman" w:hAnsi="Times New Roman" w:cs="Times New Roman"/>
                <w:color w:val="auto"/>
                <w:szCs w:val="24"/>
                <w:u w:val="none"/>
                <w:lang w:val="en-US" w:eastAsia="zh-CN"/>
              </w:rPr>
              <w:t>金庄镇</w:t>
            </w:r>
            <w:r>
              <w:rPr>
                <w:rFonts w:hint="default" w:ascii="Times New Roman" w:hAnsi="Times New Roman" w:cs="Times New Roman"/>
                <w:color w:val="FF0000"/>
                <w:szCs w:val="24"/>
                <w:u w:val="none"/>
                <w:lang w:val="en-US" w:eastAsia="zh-CN"/>
              </w:rPr>
              <w:t>卞庄创业园</w:t>
            </w:r>
            <w:r>
              <w:rPr>
                <w:rFonts w:hint="default" w:ascii="Times New Roman" w:hAnsi="Times New Roman" w:cs="Times New Roman"/>
                <w:color w:val="auto"/>
                <w:szCs w:val="24"/>
                <w:u w:val="none"/>
                <w:lang w:val="en-US" w:eastAsia="zh-CN"/>
              </w:rPr>
              <w:t>A7车间</w:t>
            </w:r>
          </w:p>
        </w:tc>
      </w:tr>
      <w:tr w14:paraId="142DDB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847" w:type="dxa"/>
            <w:gridSpan w:val="2"/>
            <w:noWrap w:val="0"/>
            <w:tcMar>
              <w:top w:w="16" w:type="dxa"/>
              <w:left w:w="16" w:type="dxa"/>
              <w:right w:w="16" w:type="dxa"/>
            </w:tcMar>
            <w:vAlign w:val="center"/>
          </w:tcPr>
          <w:p w14:paraId="26590D33">
            <w:pPr>
              <w:adjustRightInd w:val="0"/>
              <w:snapToGrid w:val="0"/>
              <w:spacing w:line="240" w:lineRule="auto"/>
              <w:jc w:val="center"/>
              <w:rPr>
                <w:rFonts w:hint="default" w:ascii="Times New Roman" w:hAnsi="Times New Roman" w:cs="Times New Roman"/>
                <w:color w:val="auto"/>
                <w:szCs w:val="24"/>
              </w:rPr>
            </w:pPr>
            <w:r>
              <w:rPr>
                <w:rFonts w:hint="default" w:ascii="Times New Roman" w:hAnsi="Times New Roman" w:cs="Times New Roman"/>
                <w:color w:val="auto"/>
                <w:szCs w:val="24"/>
              </w:rPr>
              <w:t>地理坐标</w:t>
            </w:r>
          </w:p>
        </w:tc>
        <w:tc>
          <w:tcPr>
            <w:tcW w:w="7233" w:type="dxa"/>
            <w:gridSpan w:val="3"/>
            <w:noWrap w:val="0"/>
            <w:vAlign w:val="center"/>
          </w:tcPr>
          <w:p w14:paraId="10A9BB37">
            <w:pPr>
              <w:spacing w:line="240" w:lineRule="auto"/>
              <w:jc w:val="center"/>
              <w:rPr>
                <w:rFonts w:hint="default" w:ascii="Times New Roman" w:hAnsi="Times New Roman" w:cs="Times New Roman"/>
                <w:color w:val="auto"/>
                <w:szCs w:val="24"/>
              </w:rPr>
            </w:pPr>
            <w:r>
              <w:rPr>
                <w:rFonts w:hint="default" w:ascii="Times New Roman" w:hAnsi="Times New Roman" w:cs="Times New Roman"/>
                <w:color w:val="auto"/>
              </w:rPr>
              <w:t>（东经</w:t>
            </w:r>
            <w:r>
              <w:rPr>
                <w:rFonts w:hint="default" w:ascii="Times New Roman" w:hAnsi="Times New Roman" w:cs="Times New Roman"/>
                <w:color w:val="auto"/>
                <w:u w:val="single"/>
              </w:rPr>
              <w:t xml:space="preserve"> 11</w:t>
            </w:r>
            <w:r>
              <w:rPr>
                <w:rFonts w:hint="default" w:ascii="Times New Roman" w:hAnsi="Times New Roman" w:cs="Times New Roman"/>
                <w:color w:val="auto"/>
                <w:u w:val="single"/>
                <w:lang w:val="en-US" w:eastAsia="zh-CN"/>
              </w:rPr>
              <w:t>7</w:t>
            </w:r>
            <w:r>
              <w:rPr>
                <w:rFonts w:hint="default" w:ascii="Times New Roman" w:hAnsi="Times New Roman" w:cs="Times New Roman"/>
                <w:color w:val="auto"/>
                <w:u w:val="single"/>
              </w:rPr>
              <w:t xml:space="preserve"> </w:t>
            </w:r>
            <w:r>
              <w:rPr>
                <w:rFonts w:hint="default" w:ascii="Times New Roman" w:hAnsi="Times New Roman" w:cs="Times New Roman"/>
                <w:color w:val="auto"/>
              </w:rPr>
              <w:t>度</w:t>
            </w:r>
            <w:r>
              <w:rPr>
                <w:rFonts w:hint="default" w:ascii="Times New Roman" w:hAnsi="Times New Roman" w:cs="Times New Roman"/>
                <w:color w:val="auto"/>
                <w:u w:val="single"/>
              </w:rPr>
              <w:t xml:space="preserve"> </w:t>
            </w:r>
            <w:r>
              <w:rPr>
                <w:rFonts w:hint="default" w:ascii="Times New Roman" w:hAnsi="Times New Roman" w:cs="Times New Roman"/>
                <w:color w:val="auto"/>
                <w:u w:val="single"/>
                <w:lang w:val="en-US" w:eastAsia="zh-CN"/>
              </w:rPr>
              <w:t>8</w:t>
            </w:r>
            <w:r>
              <w:rPr>
                <w:rFonts w:hint="default" w:ascii="Times New Roman" w:hAnsi="Times New Roman" w:cs="Times New Roman"/>
                <w:color w:val="auto"/>
              </w:rPr>
              <w:t>分</w:t>
            </w:r>
            <w:r>
              <w:rPr>
                <w:rFonts w:hint="default" w:ascii="Times New Roman" w:hAnsi="Times New Roman" w:cs="Times New Roman"/>
                <w:color w:val="auto"/>
                <w:u w:val="single"/>
              </w:rPr>
              <w:t xml:space="preserve"> </w:t>
            </w:r>
            <w:r>
              <w:rPr>
                <w:rFonts w:hint="default" w:ascii="Times New Roman" w:hAnsi="Times New Roman" w:cs="Times New Roman"/>
                <w:color w:val="auto"/>
                <w:u w:val="single"/>
                <w:lang w:val="en-US" w:eastAsia="zh-CN"/>
              </w:rPr>
              <w:t>22.166</w:t>
            </w:r>
            <w:r>
              <w:rPr>
                <w:rFonts w:hint="default" w:ascii="Times New Roman" w:hAnsi="Times New Roman" w:cs="Times New Roman"/>
                <w:color w:val="auto"/>
                <w:u w:val="single"/>
              </w:rPr>
              <w:t xml:space="preserve"> </w:t>
            </w:r>
            <w:r>
              <w:rPr>
                <w:rFonts w:hint="default" w:ascii="Times New Roman" w:hAnsi="Times New Roman" w:cs="Times New Roman"/>
                <w:color w:val="auto"/>
              </w:rPr>
              <w:t>秒，北纬</w:t>
            </w:r>
            <w:r>
              <w:rPr>
                <w:rFonts w:hint="default" w:ascii="Times New Roman" w:hAnsi="Times New Roman" w:cs="Times New Roman"/>
                <w:color w:val="auto"/>
                <w:u w:val="single"/>
              </w:rPr>
              <w:t xml:space="preserve"> 35 </w:t>
            </w:r>
            <w:r>
              <w:rPr>
                <w:rFonts w:hint="default" w:ascii="Times New Roman" w:hAnsi="Times New Roman" w:cs="Times New Roman"/>
                <w:color w:val="auto"/>
              </w:rPr>
              <w:t>度</w:t>
            </w:r>
            <w:r>
              <w:rPr>
                <w:rFonts w:hint="default" w:ascii="Times New Roman" w:hAnsi="Times New Roman" w:cs="Times New Roman"/>
                <w:color w:val="auto"/>
                <w:u w:val="single"/>
              </w:rPr>
              <w:t xml:space="preserve"> </w:t>
            </w:r>
            <w:r>
              <w:rPr>
                <w:rFonts w:hint="default" w:ascii="Times New Roman" w:hAnsi="Times New Roman" w:cs="Times New Roman"/>
                <w:color w:val="auto"/>
                <w:u w:val="single"/>
                <w:lang w:val="en-US" w:eastAsia="zh-CN"/>
              </w:rPr>
              <w:t>37</w:t>
            </w:r>
            <w:r>
              <w:rPr>
                <w:rFonts w:hint="default" w:ascii="Times New Roman" w:hAnsi="Times New Roman" w:cs="Times New Roman"/>
                <w:color w:val="auto"/>
              </w:rPr>
              <w:t>分</w:t>
            </w:r>
            <w:r>
              <w:rPr>
                <w:rFonts w:hint="default" w:ascii="Times New Roman" w:hAnsi="Times New Roman" w:cs="Times New Roman"/>
                <w:color w:val="auto"/>
                <w:u w:val="single"/>
              </w:rPr>
              <w:t xml:space="preserve"> </w:t>
            </w:r>
            <w:r>
              <w:rPr>
                <w:rFonts w:hint="default" w:ascii="Times New Roman" w:hAnsi="Times New Roman" w:cs="Times New Roman"/>
                <w:color w:val="auto"/>
                <w:u w:val="single"/>
                <w:lang w:val="en-US" w:eastAsia="zh-CN"/>
              </w:rPr>
              <w:t>21.577</w:t>
            </w:r>
            <w:r>
              <w:rPr>
                <w:rFonts w:hint="default" w:ascii="Times New Roman" w:hAnsi="Times New Roman" w:cs="Times New Roman"/>
                <w:color w:val="auto"/>
                <w:u w:val="single"/>
              </w:rPr>
              <w:t xml:space="preserve"> </w:t>
            </w:r>
            <w:r>
              <w:rPr>
                <w:rFonts w:hint="default" w:ascii="Times New Roman" w:hAnsi="Times New Roman" w:cs="Times New Roman"/>
                <w:color w:val="auto"/>
              </w:rPr>
              <w:t>秒）</w:t>
            </w:r>
          </w:p>
        </w:tc>
      </w:tr>
      <w:tr w14:paraId="1B13F2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91" w:hRule="atLeast"/>
          <w:jc w:val="center"/>
        </w:trPr>
        <w:tc>
          <w:tcPr>
            <w:tcW w:w="1847" w:type="dxa"/>
            <w:gridSpan w:val="2"/>
            <w:noWrap w:val="0"/>
            <w:tcMar>
              <w:top w:w="16" w:type="dxa"/>
              <w:left w:w="16" w:type="dxa"/>
              <w:right w:w="16" w:type="dxa"/>
            </w:tcMar>
            <w:vAlign w:val="center"/>
          </w:tcPr>
          <w:p w14:paraId="5AE393B9">
            <w:pPr>
              <w:adjustRightInd w:val="0"/>
              <w:snapToGrid w:val="0"/>
              <w:spacing w:line="24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国民经济</w:t>
            </w:r>
          </w:p>
          <w:p w14:paraId="13F623EA">
            <w:pPr>
              <w:adjustRightInd w:val="0"/>
              <w:snapToGrid w:val="0"/>
              <w:spacing w:line="24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行业类别</w:t>
            </w:r>
          </w:p>
        </w:tc>
        <w:tc>
          <w:tcPr>
            <w:tcW w:w="2155" w:type="dxa"/>
            <w:noWrap w:val="0"/>
            <w:vAlign w:val="center"/>
          </w:tcPr>
          <w:p w14:paraId="0A87CCF3">
            <w:pPr>
              <w:adjustRightInd w:val="0"/>
              <w:snapToGrid w:val="0"/>
              <w:spacing w:line="240" w:lineRule="auto"/>
              <w:jc w:val="center"/>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Cs w:val="24"/>
                <w:lang w:eastAsia="zh-CN"/>
              </w:rPr>
              <w:t>C</w:t>
            </w:r>
            <w:r>
              <w:rPr>
                <w:rFonts w:hint="default" w:ascii="Times New Roman" w:hAnsi="Times New Roman" w:cs="Times New Roman"/>
                <w:color w:val="auto"/>
                <w:szCs w:val="24"/>
                <w:lang w:val="en-US" w:eastAsia="zh-CN"/>
              </w:rPr>
              <w:t>2646密封用填料及类似品制造</w:t>
            </w:r>
          </w:p>
        </w:tc>
        <w:tc>
          <w:tcPr>
            <w:tcW w:w="1534" w:type="dxa"/>
            <w:noWrap w:val="0"/>
            <w:vAlign w:val="center"/>
          </w:tcPr>
          <w:p w14:paraId="15E0A70B">
            <w:pPr>
              <w:adjustRightInd w:val="0"/>
              <w:snapToGrid w:val="0"/>
              <w:spacing w:line="240" w:lineRule="auto"/>
              <w:jc w:val="center"/>
              <w:rPr>
                <w:rFonts w:hint="default" w:ascii="Times New Roman" w:hAnsi="Times New Roman" w:cs="Times New Roman"/>
                <w:color w:val="auto"/>
                <w:szCs w:val="24"/>
              </w:rPr>
            </w:pPr>
            <w:bookmarkStart w:id="0" w:name="_Hlk49843745"/>
            <w:r>
              <w:rPr>
                <w:rFonts w:hint="default" w:ascii="Times New Roman" w:hAnsi="Times New Roman" w:cs="Times New Roman"/>
                <w:color w:val="auto"/>
                <w:szCs w:val="24"/>
              </w:rPr>
              <w:t>建设项目</w:t>
            </w:r>
          </w:p>
          <w:p w14:paraId="45541858">
            <w:pPr>
              <w:adjustRightInd w:val="0"/>
              <w:snapToGrid w:val="0"/>
              <w:spacing w:line="240" w:lineRule="auto"/>
              <w:jc w:val="center"/>
              <w:rPr>
                <w:rFonts w:hint="default" w:ascii="Times New Roman" w:hAnsi="Times New Roman" w:cs="Times New Roman"/>
                <w:color w:val="auto"/>
                <w:szCs w:val="24"/>
              </w:rPr>
            </w:pPr>
            <w:r>
              <w:rPr>
                <w:rFonts w:hint="default" w:ascii="Times New Roman" w:hAnsi="Times New Roman" w:cs="Times New Roman"/>
                <w:color w:val="auto"/>
                <w:szCs w:val="24"/>
              </w:rPr>
              <w:t>行业类别</w:t>
            </w:r>
            <w:bookmarkEnd w:id="0"/>
          </w:p>
        </w:tc>
        <w:tc>
          <w:tcPr>
            <w:tcW w:w="3544" w:type="dxa"/>
            <w:noWrap w:val="0"/>
            <w:vAlign w:val="center"/>
          </w:tcPr>
          <w:p w14:paraId="4363A793">
            <w:pPr>
              <w:adjustRightInd w:val="0"/>
              <w:snapToGrid w:val="0"/>
              <w:spacing w:line="240" w:lineRule="auto"/>
              <w:rPr>
                <w:rFonts w:hint="default" w:ascii="Times New Roman" w:hAnsi="Times New Roman" w:eastAsia="宋体" w:cs="Times New Roman"/>
                <w:color w:val="auto"/>
                <w:szCs w:val="24"/>
                <w:lang w:val="en-US" w:eastAsia="zh-CN"/>
              </w:rPr>
            </w:pPr>
            <w:r>
              <w:rPr>
                <w:rFonts w:hint="default" w:ascii="Times New Roman" w:hAnsi="Times New Roman" w:eastAsia="宋体" w:cs="Times New Roman"/>
                <w:color w:val="auto"/>
                <w:szCs w:val="24"/>
                <w:lang w:val="en-US" w:eastAsia="zh-CN"/>
              </w:rPr>
              <w:t>二十三、化学原料和化学制品制造业—涂料、油墨、颜料及类似产品制造264—单纯物理分离、物理提纯、混合、分装的</w:t>
            </w:r>
          </w:p>
        </w:tc>
      </w:tr>
      <w:tr w14:paraId="354457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847" w:type="dxa"/>
            <w:gridSpan w:val="2"/>
            <w:noWrap w:val="0"/>
            <w:tcMar>
              <w:top w:w="16" w:type="dxa"/>
              <w:left w:w="16" w:type="dxa"/>
              <w:right w:w="16" w:type="dxa"/>
            </w:tcMar>
            <w:vAlign w:val="center"/>
          </w:tcPr>
          <w:p w14:paraId="6AADC7F5">
            <w:pPr>
              <w:adjustRightInd w:val="0"/>
              <w:snapToGrid w:val="0"/>
              <w:spacing w:line="240" w:lineRule="auto"/>
              <w:jc w:val="center"/>
              <w:rPr>
                <w:rFonts w:hint="default" w:ascii="Times New Roman" w:hAnsi="Times New Roman" w:cs="Times New Roman"/>
                <w:color w:val="auto"/>
                <w:szCs w:val="24"/>
              </w:rPr>
            </w:pPr>
            <w:r>
              <w:rPr>
                <w:rFonts w:hint="default" w:ascii="Times New Roman" w:hAnsi="Times New Roman" w:cs="Times New Roman"/>
                <w:color w:val="auto"/>
                <w:szCs w:val="24"/>
              </w:rPr>
              <w:t>建设性质</w:t>
            </w:r>
          </w:p>
        </w:tc>
        <w:tc>
          <w:tcPr>
            <w:tcW w:w="2155" w:type="dxa"/>
            <w:noWrap w:val="0"/>
            <w:vAlign w:val="center"/>
          </w:tcPr>
          <w:p w14:paraId="53460F90">
            <w:pPr>
              <w:spacing w:line="240" w:lineRule="auto"/>
              <w:jc w:val="left"/>
              <w:rPr>
                <w:rFonts w:hint="default" w:ascii="Times New Roman" w:hAnsi="Times New Roman" w:cs="Times New Roman"/>
                <w:color w:val="auto"/>
                <w:szCs w:val="24"/>
              </w:rPr>
            </w:pPr>
            <w:r>
              <w:rPr>
                <w:rFonts w:hint="default" w:ascii="Times New Roman" w:hAnsi="Times New Roman" w:cs="Times New Roman"/>
                <w:color w:val="auto"/>
                <w:szCs w:val="24"/>
              </w:rPr>
              <w:sym w:font="Wingdings 2" w:char="0052"/>
            </w:r>
            <w:r>
              <w:rPr>
                <w:rFonts w:hint="default" w:ascii="Times New Roman" w:hAnsi="Times New Roman" w:cs="Times New Roman"/>
                <w:color w:val="auto"/>
                <w:szCs w:val="24"/>
              </w:rPr>
              <w:t>新建（迁建）</w:t>
            </w:r>
          </w:p>
          <w:p w14:paraId="709FE069">
            <w:pPr>
              <w:spacing w:line="240" w:lineRule="auto"/>
              <w:jc w:val="left"/>
              <w:rPr>
                <w:rFonts w:hint="default" w:ascii="Times New Roman" w:hAnsi="Times New Roman" w:cs="Times New Roman"/>
                <w:color w:val="auto"/>
                <w:szCs w:val="24"/>
              </w:rPr>
            </w:pPr>
            <w:r>
              <w:rPr>
                <w:rFonts w:hint="default" w:ascii="Times New Roman" w:hAnsi="Times New Roman" w:cs="Times New Roman"/>
                <w:color w:val="auto"/>
                <w:szCs w:val="24"/>
              </w:rPr>
              <w:sym w:font="Wingdings 2" w:char="00A3"/>
            </w:r>
            <w:r>
              <w:rPr>
                <w:rFonts w:hint="default" w:ascii="Times New Roman" w:hAnsi="Times New Roman" w:cs="Times New Roman"/>
                <w:color w:val="auto"/>
                <w:szCs w:val="24"/>
              </w:rPr>
              <w:t>改建</w:t>
            </w:r>
          </w:p>
          <w:p w14:paraId="222AD07D">
            <w:pPr>
              <w:spacing w:line="240" w:lineRule="auto"/>
              <w:jc w:val="left"/>
              <w:rPr>
                <w:rFonts w:hint="default" w:ascii="Times New Roman" w:hAnsi="Times New Roman" w:cs="Times New Roman"/>
                <w:color w:val="auto"/>
                <w:szCs w:val="24"/>
              </w:rPr>
            </w:pPr>
            <w:r>
              <w:rPr>
                <w:rFonts w:hint="default" w:ascii="Times New Roman" w:hAnsi="Times New Roman" w:cs="Times New Roman"/>
                <w:color w:val="auto"/>
                <w:szCs w:val="24"/>
              </w:rPr>
              <w:sym w:font="Wingdings 2" w:char="00A3"/>
            </w:r>
            <w:r>
              <w:rPr>
                <w:rFonts w:hint="default" w:ascii="Times New Roman" w:hAnsi="Times New Roman" w:cs="Times New Roman"/>
                <w:color w:val="auto"/>
                <w:szCs w:val="24"/>
              </w:rPr>
              <w:t>扩建</w:t>
            </w:r>
          </w:p>
          <w:p w14:paraId="60D5CAB0">
            <w:pPr>
              <w:spacing w:line="240" w:lineRule="auto"/>
              <w:jc w:val="left"/>
              <w:rPr>
                <w:rFonts w:hint="default" w:ascii="Times New Roman" w:hAnsi="Times New Roman" w:cs="Times New Roman"/>
                <w:color w:val="auto"/>
                <w:szCs w:val="24"/>
              </w:rPr>
            </w:pPr>
            <w:r>
              <w:rPr>
                <w:rFonts w:hint="default" w:ascii="Times New Roman" w:hAnsi="Times New Roman" w:cs="Times New Roman"/>
                <w:color w:val="auto"/>
                <w:szCs w:val="24"/>
              </w:rPr>
              <w:sym w:font="Wingdings 2" w:char="00A3"/>
            </w:r>
            <w:r>
              <w:rPr>
                <w:rFonts w:hint="default" w:ascii="Times New Roman" w:hAnsi="Times New Roman" w:cs="Times New Roman"/>
                <w:color w:val="auto"/>
                <w:szCs w:val="24"/>
              </w:rPr>
              <w:t>技术改造</w:t>
            </w:r>
          </w:p>
        </w:tc>
        <w:tc>
          <w:tcPr>
            <w:tcW w:w="1534" w:type="dxa"/>
            <w:noWrap w:val="0"/>
            <w:vAlign w:val="center"/>
          </w:tcPr>
          <w:p w14:paraId="7FCC1139">
            <w:pPr>
              <w:adjustRightInd w:val="0"/>
              <w:snapToGrid w:val="0"/>
              <w:spacing w:line="240" w:lineRule="auto"/>
              <w:jc w:val="center"/>
              <w:rPr>
                <w:rFonts w:hint="default" w:ascii="Times New Roman" w:hAnsi="Times New Roman" w:cs="Times New Roman"/>
                <w:color w:val="auto"/>
                <w:szCs w:val="24"/>
              </w:rPr>
            </w:pPr>
            <w:r>
              <w:rPr>
                <w:rFonts w:hint="default" w:ascii="Times New Roman" w:hAnsi="Times New Roman" w:cs="Times New Roman"/>
                <w:color w:val="auto"/>
                <w:szCs w:val="24"/>
              </w:rPr>
              <w:t>建设项目</w:t>
            </w:r>
          </w:p>
          <w:p w14:paraId="64839958">
            <w:pPr>
              <w:adjustRightInd w:val="0"/>
              <w:snapToGrid w:val="0"/>
              <w:spacing w:line="240" w:lineRule="auto"/>
              <w:jc w:val="center"/>
              <w:rPr>
                <w:rFonts w:hint="default" w:ascii="Times New Roman" w:hAnsi="Times New Roman" w:cs="Times New Roman"/>
                <w:color w:val="auto"/>
                <w:szCs w:val="24"/>
              </w:rPr>
            </w:pPr>
            <w:r>
              <w:rPr>
                <w:rFonts w:hint="default" w:ascii="Times New Roman" w:hAnsi="Times New Roman" w:cs="Times New Roman"/>
                <w:color w:val="auto"/>
                <w:szCs w:val="24"/>
              </w:rPr>
              <w:t>申报情形</w:t>
            </w:r>
          </w:p>
        </w:tc>
        <w:tc>
          <w:tcPr>
            <w:tcW w:w="3544" w:type="dxa"/>
            <w:noWrap w:val="0"/>
            <w:vAlign w:val="center"/>
          </w:tcPr>
          <w:p w14:paraId="417C3065">
            <w:pPr>
              <w:spacing w:line="240" w:lineRule="auto"/>
              <w:jc w:val="left"/>
              <w:rPr>
                <w:rFonts w:hint="default" w:ascii="Times New Roman" w:hAnsi="Times New Roman" w:cs="Times New Roman"/>
                <w:color w:val="auto"/>
                <w:szCs w:val="24"/>
              </w:rPr>
            </w:pPr>
            <w:r>
              <w:rPr>
                <w:rFonts w:hint="default" w:ascii="Times New Roman" w:hAnsi="Times New Roman" w:cs="Times New Roman"/>
                <w:color w:val="auto"/>
                <w:szCs w:val="24"/>
              </w:rPr>
              <w:sym w:font="Wingdings 2" w:char="0052"/>
            </w:r>
            <w:r>
              <w:rPr>
                <w:rFonts w:hint="default" w:ascii="Times New Roman" w:hAnsi="Times New Roman" w:cs="Times New Roman"/>
                <w:color w:val="auto"/>
                <w:szCs w:val="24"/>
              </w:rPr>
              <w:t xml:space="preserve">首次申报项目             </w:t>
            </w:r>
          </w:p>
          <w:p w14:paraId="0CE69169">
            <w:pPr>
              <w:spacing w:line="240" w:lineRule="auto"/>
              <w:jc w:val="left"/>
              <w:rPr>
                <w:rFonts w:hint="default" w:ascii="Times New Roman" w:hAnsi="Times New Roman" w:cs="Times New Roman"/>
                <w:color w:val="auto"/>
                <w:szCs w:val="24"/>
              </w:rPr>
            </w:pPr>
            <w:r>
              <w:rPr>
                <w:rFonts w:hint="default" w:ascii="Times New Roman" w:hAnsi="Times New Roman" w:cs="Times New Roman"/>
                <w:color w:val="auto"/>
                <w:szCs w:val="24"/>
              </w:rPr>
              <w:sym w:font="Wingdings 2" w:char="00A3"/>
            </w:r>
            <w:r>
              <w:rPr>
                <w:rFonts w:hint="default" w:ascii="Times New Roman" w:hAnsi="Times New Roman" w:cs="Times New Roman"/>
                <w:color w:val="auto"/>
                <w:szCs w:val="24"/>
              </w:rPr>
              <w:t>不予批准后再次申报项目</w:t>
            </w:r>
          </w:p>
          <w:p w14:paraId="7B37D4A1">
            <w:pPr>
              <w:spacing w:line="240" w:lineRule="auto"/>
              <w:jc w:val="left"/>
              <w:rPr>
                <w:rFonts w:hint="default" w:ascii="Times New Roman" w:hAnsi="Times New Roman" w:cs="Times New Roman"/>
                <w:color w:val="auto"/>
                <w:szCs w:val="24"/>
              </w:rPr>
            </w:pPr>
            <w:r>
              <w:rPr>
                <w:rFonts w:hint="default" w:ascii="Times New Roman" w:hAnsi="Times New Roman" w:cs="Times New Roman"/>
                <w:color w:val="auto"/>
                <w:szCs w:val="24"/>
              </w:rPr>
              <w:sym w:font="Wingdings 2" w:char="00A3"/>
            </w:r>
            <w:r>
              <w:rPr>
                <w:rFonts w:hint="default" w:ascii="Times New Roman" w:hAnsi="Times New Roman" w:cs="Times New Roman"/>
                <w:color w:val="auto"/>
                <w:szCs w:val="24"/>
              </w:rPr>
              <w:t xml:space="preserve">超五年重新审核项目     </w:t>
            </w:r>
          </w:p>
          <w:p w14:paraId="1DE22EF2">
            <w:pPr>
              <w:spacing w:line="240" w:lineRule="auto"/>
              <w:jc w:val="left"/>
              <w:rPr>
                <w:rFonts w:hint="default" w:ascii="Times New Roman" w:hAnsi="Times New Roman" w:cs="Times New Roman"/>
                <w:color w:val="auto"/>
                <w:szCs w:val="24"/>
              </w:rPr>
            </w:pPr>
            <w:r>
              <w:rPr>
                <w:rFonts w:hint="default" w:ascii="Times New Roman" w:hAnsi="Times New Roman" w:cs="Times New Roman"/>
                <w:color w:val="auto"/>
                <w:szCs w:val="24"/>
              </w:rPr>
              <w:sym w:font="Wingdings 2" w:char="00A3"/>
            </w:r>
            <w:r>
              <w:rPr>
                <w:rFonts w:hint="default" w:ascii="Times New Roman" w:hAnsi="Times New Roman" w:cs="Times New Roman"/>
                <w:color w:val="auto"/>
                <w:szCs w:val="24"/>
              </w:rPr>
              <w:t>重大变动重新报批项目</w:t>
            </w:r>
          </w:p>
        </w:tc>
      </w:tr>
      <w:tr w14:paraId="06DAD7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97" w:hRule="atLeast"/>
          <w:jc w:val="center"/>
        </w:trPr>
        <w:tc>
          <w:tcPr>
            <w:tcW w:w="1847" w:type="dxa"/>
            <w:gridSpan w:val="2"/>
            <w:noWrap w:val="0"/>
            <w:tcMar>
              <w:top w:w="16" w:type="dxa"/>
              <w:left w:w="16" w:type="dxa"/>
              <w:right w:w="16" w:type="dxa"/>
            </w:tcMar>
            <w:vAlign w:val="center"/>
          </w:tcPr>
          <w:p w14:paraId="066ABB8F">
            <w:pPr>
              <w:adjustRightInd w:val="0"/>
              <w:snapToGrid w:val="0"/>
              <w:spacing w:line="240" w:lineRule="auto"/>
              <w:jc w:val="center"/>
              <w:rPr>
                <w:rFonts w:hint="default" w:ascii="Times New Roman" w:hAnsi="Times New Roman" w:cs="Times New Roman"/>
                <w:color w:val="auto"/>
                <w:szCs w:val="24"/>
              </w:rPr>
            </w:pPr>
            <w:r>
              <w:rPr>
                <w:rFonts w:hint="default" w:ascii="Times New Roman" w:hAnsi="Times New Roman" w:cs="Times New Roman"/>
                <w:color w:val="auto"/>
                <w:szCs w:val="24"/>
              </w:rPr>
              <w:t>项目审批（核准/备案）部门</w:t>
            </w:r>
          </w:p>
          <w:p w14:paraId="2CB0585F">
            <w:pPr>
              <w:adjustRightInd w:val="0"/>
              <w:snapToGrid w:val="0"/>
              <w:spacing w:line="240" w:lineRule="auto"/>
              <w:jc w:val="center"/>
              <w:rPr>
                <w:rFonts w:hint="default" w:ascii="Times New Roman" w:hAnsi="Times New Roman" w:cs="Times New Roman"/>
                <w:color w:val="auto"/>
                <w:szCs w:val="24"/>
              </w:rPr>
            </w:pPr>
            <w:r>
              <w:rPr>
                <w:rFonts w:hint="default" w:ascii="Times New Roman" w:hAnsi="Times New Roman" w:cs="Times New Roman"/>
                <w:color w:val="auto"/>
                <w:szCs w:val="24"/>
              </w:rPr>
              <w:t>（选填）</w:t>
            </w:r>
          </w:p>
        </w:tc>
        <w:tc>
          <w:tcPr>
            <w:tcW w:w="2155" w:type="dxa"/>
            <w:noWrap w:val="0"/>
            <w:vAlign w:val="center"/>
          </w:tcPr>
          <w:p w14:paraId="0B16CCA5">
            <w:pPr>
              <w:adjustRightInd w:val="0"/>
              <w:snapToGrid w:val="0"/>
              <w:spacing w:line="240" w:lineRule="auto"/>
              <w:jc w:val="center"/>
              <w:rPr>
                <w:rFonts w:hint="default" w:ascii="Times New Roman" w:hAnsi="Times New Roman" w:eastAsia="宋体" w:cs="Times New Roman"/>
                <w:color w:val="auto"/>
                <w:szCs w:val="24"/>
                <w:lang w:val="en-US" w:eastAsia="zh-CN"/>
              </w:rPr>
            </w:pPr>
            <w:r>
              <w:rPr>
                <w:rFonts w:hint="default" w:ascii="Times New Roman" w:hAnsi="Times New Roman" w:cs="Times New Roman"/>
                <w:color w:val="auto"/>
                <w:lang w:val="en-US" w:eastAsia="zh-CN"/>
              </w:rPr>
              <w:t>泗水县</w:t>
            </w:r>
            <w:r>
              <w:rPr>
                <w:rFonts w:hint="eastAsia" w:cs="Times New Roman"/>
                <w:color w:val="auto"/>
                <w:lang w:val="en-US" w:eastAsia="zh-CN"/>
              </w:rPr>
              <w:t>行政</w:t>
            </w:r>
            <w:r>
              <w:rPr>
                <w:rFonts w:hint="default" w:ascii="Times New Roman" w:hAnsi="Times New Roman" w:cs="Times New Roman"/>
                <w:color w:val="auto"/>
                <w:lang w:val="en-US" w:eastAsia="zh-CN"/>
              </w:rPr>
              <w:t>审批服务局</w:t>
            </w:r>
          </w:p>
        </w:tc>
        <w:tc>
          <w:tcPr>
            <w:tcW w:w="1534" w:type="dxa"/>
            <w:noWrap w:val="0"/>
            <w:vAlign w:val="center"/>
          </w:tcPr>
          <w:p w14:paraId="4151DCC4">
            <w:pPr>
              <w:adjustRightInd w:val="0"/>
              <w:snapToGrid w:val="0"/>
              <w:spacing w:line="240" w:lineRule="auto"/>
              <w:jc w:val="center"/>
              <w:rPr>
                <w:rFonts w:hint="default" w:ascii="Times New Roman" w:hAnsi="Times New Roman" w:cs="Times New Roman"/>
                <w:color w:val="auto"/>
                <w:szCs w:val="24"/>
              </w:rPr>
            </w:pPr>
            <w:r>
              <w:rPr>
                <w:rFonts w:hint="default" w:ascii="Times New Roman" w:hAnsi="Times New Roman" w:cs="Times New Roman"/>
                <w:color w:val="auto"/>
                <w:szCs w:val="24"/>
              </w:rPr>
              <w:t>项目审批（核准/备案）文号（选填）</w:t>
            </w:r>
          </w:p>
        </w:tc>
        <w:tc>
          <w:tcPr>
            <w:tcW w:w="3544" w:type="dxa"/>
            <w:noWrap w:val="0"/>
            <w:vAlign w:val="center"/>
          </w:tcPr>
          <w:p w14:paraId="15C4DF3A">
            <w:pPr>
              <w:adjustRightInd w:val="0"/>
              <w:snapToGrid w:val="0"/>
              <w:spacing w:line="240" w:lineRule="auto"/>
              <w:jc w:val="center"/>
              <w:rPr>
                <w:rFonts w:hint="default" w:ascii="Times New Roman" w:hAnsi="Times New Roman" w:eastAsia="宋体" w:cs="Times New Roman"/>
                <w:color w:val="auto"/>
                <w:szCs w:val="24"/>
                <w:lang w:eastAsia="zh-CN"/>
              </w:rPr>
            </w:pPr>
            <w:r>
              <w:rPr>
                <w:rFonts w:hint="default" w:ascii="Times New Roman" w:hAnsi="Times New Roman" w:cs="Times New Roman"/>
                <w:color w:val="auto"/>
                <w:szCs w:val="24"/>
                <w:lang w:val="en-US" w:eastAsia="zh-CN"/>
              </w:rPr>
              <w:t>2501-370831-04-01-775599</w:t>
            </w:r>
          </w:p>
        </w:tc>
      </w:tr>
      <w:tr w14:paraId="1AFC6E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847" w:type="dxa"/>
            <w:gridSpan w:val="2"/>
            <w:noWrap w:val="0"/>
            <w:tcMar>
              <w:top w:w="16" w:type="dxa"/>
              <w:left w:w="16" w:type="dxa"/>
              <w:right w:w="16" w:type="dxa"/>
            </w:tcMar>
            <w:vAlign w:val="center"/>
          </w:tcPr>
          <w:p w14:paraId="2B977F9B">
            <w:pPr>
              <w:adjustRightInd w:val="0"/>
              <w:snapToGrid w:val="0"/>
              <w:spacing w:line="240" w:lineRule="auto"/>
              <w:jc w:val="center"/>
              <w:rPr>
                <w:rFonts w:hint="default" w:ascii="Times New Roman" w:hAnsi="Times New Roman" w:cs="Times New Roman"/>
                <w:color w:val="auto"/>
                <w:szCs w:val="24"/>
              </w:rPr>
            </w:pPr>
            <w:r>
              <w:rPr>
                <w:rFonts w:hint="default" w:ascii="Times New Roman" w:hAnsi="Times New Roman" w:cs="Times New Roman"/>
                <w:color w:val="auto"/>
                <w:szCs w:val="24"/>
              </w:rPr>
              <w:t>总投资（万元）</w:t>
            </w:r>
          </w:p>
        </w:tc>
        <w:tc>
          <w:tcPr>
            <w:tcW w:w="2155" w:type="dxa"/>
            <w:noWrap w:val="0"/>
            <w:vAlign w:val="center"/>
          </w:tcPr>
          <w:p w14:paraId="5A30366B">
            <w:pPr>
              <w:adjustRightInd w:val="0"/>
              <w:snapToGrid w:val="0"/>
              <w:spacing w:line="240" w:lineRule="auto"/>
              <w:jc w:val="center"/>
              <w:rPr>
                <w:rFonts w:hint="default" w:ascii="Times New Roman" w:hAnsi="Times New Roman" w:cs="Times New Roman"/>
                <w:color w:val="auto"/>
                <w:szCs w:val="24"/>
                <w:lang w:val="en-US"/>
              </w:rPr>
            </w:pPr>
            <w:r>
              <w:rPr>
                <w:rFonts w:hint="default" w:ascii="Times New Roman" w:hAnsi="Times New Roman" w:cs="Times New Roman"/>
                <w:color w:val="auto"/>
                <w:szCs w:val="24"/>
                <w:lang w:val="en-US" w:eastAsia="zh-CN"/>
              </w:rPr>
              <w:t>3000</w:t>
            </w:r>
          </w:p>
        </w:tc>
        <w:tc>
          <w:tcPr>
            <w:tcW w:w="1534" w:type="dxa"/>
            <w:noWrap w:val="0"/>
            <w:tcMar>
              <w:top w:w="16" w:type="dxa"/>
              <w:left w:w="16" w:type="dxa"/>
              <w:right w:w="16" w:type="dxa"/>
            </w:tcMar>
            <w:vAlign w:val="center"/>
          </w:tcPr>
          <w:p w14:paraId="50454B44">
            <w:pPr>
              <w:adjustRightInd w:val="0"/>
              <w:snapToGrid w:val="0"/>
              <w:spacing w:line="240" w:lineRule="auto"/>
              <w:jc w:val="center"/>
              <w:rPr>
                <w:rFonts w:hint="default" w:ascii="Times New Roman" w:hAnsi="Times New Roman" w:cs="Times New Roman"/>
                <w:color w:val="auto"/>
                <w:szCs w:val="24"/>
              </w:rPr>
            </w:pPr>
            <w:r>
              <w:rPr>
                <w:rFonts w:hint="default" w:ascii="Times New Roman" w:hAnsi="Times New Roman" w:cs="Times New Roman"/>
                <w:color w:val="auto"/>
                <w:szCs w:val="24"/>
              </w:rPr>
              <w:t>环保投资（万元）</w:t>
            </w:r>
          </w:p>
        </w:tc>
        <w:tc>
          <w:tcPr>
            <w:tcW w:w="3544" w:type="dxa"/>
            <w:noWrap w:val="0"/>
            <w:vAlign w:val="center"/>
          </w:tcPr>
          <w:p w14:paraId="3A29AB65">
            <w:pPr>
              <w:adjustRightInd w:val="0"/>
              <w:snapToGrid w:val="0"/>
              <w:spacing w:line="240" w:lineRule="auto"/>
              <w:jc w:val="center"/>
              <w:rPr>
                <w:rFonts w:hint="default" w:ascii="Times New Roman" w:hAnsi="Times New Roman" w:cs="Times New Roman"/>
                <w:color w:val="auto"/>
                <w:szCs w:val="24"/>
                <w:lang w:val="en-US"/>
              </w:rPr>
            </w:pPr>
            <w:r>
              <w:rPr>
                <w:rFonts w:hint="default" w:ascii="Times New Roman" w:hAnsi="Times New Roman" w:cs="Times New Roman"/>
                <w:color w:val="auto"/>
                <w:szCs w:val="24"/>
                <w:lang w:val="en-US" w:eastAsia="zh-CN"/>
              </w:rPr>
              <w:t>50</w:t>
            </w:r>
          </w:p>
        </w:tc>
      </w:tr>
      <w:tr w14:paraId="542506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847" w:type="dxa"/>
            <w:gridSpan w:val="2"/>
            <w:noWrap w:val="0"/>
            <w:tcMar>
              <w:top w:w="16" w:type="dxa"/>
              <w:left w:w="16" w:type="dxa"/>
              <w:right w:w="16" w:type="dxa"/>
            </w:tcMar>
            <w:vAlign w:val="center"/>
          </w:tcPr>
          <w:p w14:paraId="44ECD54E">
            <w:pPr>
              <w:adjustRightInd w:val="0"/>
              <w:snapToGrid w:val="0"/>
              <w:spacing w:line="240" w:lineRule="auto"/>
              <w:jc w:val="center"/>
              <w:rPr>
                <w:rFonts w:hint="default" w:ascii="Times New Roman" w:hAnsi="Times New Roman" w:cs="Times New Roman"/>
                <w:color w:val="auto"/>
                <w:szCs w:val="24"/>
              </w:rPr>
            </w:pPr>
            <w:r>
              <w:rPr>
                <w:rFonts w:hint="default" w:ascii="Times New Roman" w:hAnsi="Times New Roman" w:cs="Times New Roman"/>
                <w:color w:val="auto"/>
                <w:szCs w:val="24"/>
              </w:rPr>
              <w:t>环保投资占比（%）</w:t>
            </w:r>
          </w:p>
        </w:tc>
        <w:tc>
          <w:tcPr>
            <w:tcW w:w="2155" w:type="dxa"/>
            <w:noWrap w:val="0"/>
            <w:vAlign w:val="center"/>
          </w:tcPr>
          <w:p w14:paraId="69D4BBCF">
            <w:pPr>
              <w:adjustRightInd w:val="0"/>
              <w:snapToGrid w:val="0"/>
              <w:spacing w:line="240" w:lineRule="auto"/>
              <w:jc w:val="center"/>
              <w:rPr>
                <w:rFonts w:hint="default" w:ascii="Times New Roman" w:hAnsi="Times New Roman" w:cs="Times New Roman"/>
                <w:color w:val="auto"/>
                <w:szCs w:val="24"/>
              </w:rPr>
            </w:pPr>
            <w:r>
              <w:rPr>
                <w:rFonts w:hint="default" w:ascii="Times New Roman" w:hAnsi="Times New Roman" w:cs="Times New Roman"/>
                <w:color w:val="auto"/>
                <w:szCs w:val="24"/>
                <w:lang w:val="en-US" w:eastAsia="zh-CN"/>
              </w:rPr>
              <w:t>1.67</w:t>
            </w:r>
            <w:r>
              <w:rPr>
                <w:rFonts w:hint="default" w:ascii="Times New Roman" w:hAnsi="Times New Roman" w:cs="Times New Roman"/>
                <w:color w:val="auto"/>
                <w:szCs w:val="24"/>
              </w:rPr>
              <w:t>%</w:t>
            </w:r>
          </w:p>
        </w:tc>
        <w:tc>
          <w:tcPr>
            <w:tcW w:w="1534" w:type="dxa"/>
            <w:noWrap w:val="0"/>
            <w:tcMar>
              <w:top w:w="16" w:type="dxa"/>
              <w:left w:w="16" w:type="dxa"/>
              <w:right w:w="16" w:type="dxa"/>
            </w:tcMar>
            <w:vAlign w:val="center"/>
          </w:tcPr>
          <w:p w14:paraId="54DDEA4C">
            <w:pPr>
              <w:adjustRightInd w:val="0"/>
              <w:snapToGrid w:val="0"/>
              <w:spacing w:line="240" w:lineRule="auto"/>
              <w:jc w:val="center"/>
              <w:rPr>
                <w:rFonts w:hint="default" w:ascii="Times New Roman" w:hAnsi="Times New Roman" w:cs="Times New Roman"/>
                <w:color w:val="auto"/>
                <w:szCs w:val="24"/>
              </w:rPr>
            </w:pPr>
            <w:r>
              <w:rPr>
                <w:rFonts w:hint="default" w:ascii="Times New Roman" w:hAnsi="Times New Roman" w:cs="Times New Roman"/>
                <w:color w:val="auto"/>
                <w:szCs w:val="24"/>
              </w:rPr>
              <w:t>施工工期</w:t>
            </w:r>
          </w:p>
        </w:tc>
        <w:tc>
          <w:tcPr>
            <w:tcW w:w="3544" w:type="dxa"/>
            <w:noWrap w:val="0"/>
            <w:vAlign w:val="center"/>
          </w:tcPr>
          <w:p w14:paraId="2EBBE1C3">
            <w:pPr>
              <w:adjustRightInd w:val="0"/>
              <w:snapToGrid w:val="0"/>
              <w:spacing w:line="240" w:lineRule="auto"/>
              <w:jc w:val="center"/>
              <w:rPr>
                <w:rFonts w:hint="default" w:ascii="Times New Roman" w:hAnsi="Times New Roman" w:cs="Times New Roman"/>
                <w:color w:val="auto"/>
                <w:szCs w:val="24"/>
              </w:rPr>
            </w:pPr>
            <w:r>
              <w:rPr>
                <w:rFonts w:hint="default" w:ascii="Times New Roman" w:hAnsi="Times New Roman" w:cs="Times New Roman"/>
                <w:color w:val="auto"/>
                <w:szCs w:val="24"/>
                <w:lang w:val="en-US" w:eastAsia="zh-CN"/>
              </w:rPr>
              <w:t>3</w:t>
            </w:r>
            <w:r>
              <w:rPr>
                <w:rFonts w:hint="default" w:ascii="Times New Roman" w:hAnsi="Times New Roman" w:cs="Times New Roman"/>
                <w:color w:val="auto"/>
                <w:szCs w:val="24"/>
              </w:rPr>
              <w:t>个月</w:t>
            </w:r>
          </w:p>
        </w:tc>
      </w:tr>
      <w:tr w14:paraId="2ED3AE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847" w:type="dxa"/>
            <w:gridSpan w:val="2"/>
            <w:noWrap w:val="0"/>
            <w:tcMar>
              <w:top w:w="16" w:type="dxa"/>
              <w:left w:w="16" w:type="dxa"/>
              <w:right w:w="16" w:type="dxa"/>
            </w:tcMar>
            <w:vAlign w:val="center"/>
          </w:tcPr>
          <w:p w14:paraId="2B82AEA6">
            <w:pPr>
              <w:adjustRightInd w:val="0"/>
              <w:snapToGrid w:val="0"/>
              <w:spacing w:line="240" w:lineRule="auto"/>
              <w:jc w:val="center"/>
              <w:rPr>
                <w:rFonts w:hint="default" w:ascii="Times New Roman" w:hAnsi="Times New Roman" w:cs="Times New Roman"/>
                <w:color w:val="auto"/>
                <w:szCs w:val="24"/>
              </w:rPr>
            </w:pPr>
            <w:r>
              <w:rPr>
                <w:rFonts w:hint="default" w:ascii="Times New Roman" w:hAnsi="Times New Roman" w:cs="Times New Roman"/>
                <w:color w:val="auto"/>
                <w:szCs w:val="24"/>
              </w:rPr>
              <w:t>是否开工建设</w:t>
            </w:r>
          </w:p>
        </w:tc>
        <w:tc>
          <w:tcPr>
            <w:tcW w:w="2155" w:type="dxa"/>
            <w:noWrap w:val="0"/>
            <w:vAlign w:val="center"/>
          </w:tcPr>
          <w:p w14:paraId="223EFD50">
            <w:pPr>
              <w:adjustRightInd w:val="0"/>
              <w:snapToGrid w:val="0"/>
              <w:spacing w:line="240" w:lineRule="auto"/>
              <w:rPr>
                <w:rFonts w:hint="default" w:ascii="Times New Roman" w:hAnsi="Times New Roman" w:cs="Times New Roman"/>
                <w:color w:val="auto"/>
                <w:szCs w:val="24"/>
              </w:rPr>
            </w:pPr>
            <w:r>
              <w:rPr>
                <w:rFonts w:hint="default" w:ascii="Times New Roman" w:hAnsi="Times New Roman" w:cs="Times New Roman"/>
                <w:color w:val="auto"/>
                <w:szCs w:val="24"/>
              </w:rPr>
              <w:sym w:font="Wingdings 2" w:char="0052"/>
            </w:r>
            <w:r>
              <w:rPr>
                <w:rFonts w:hint="default" w:ascii="Times New Roman" w:hAnsi="Times New Roman" w:cs="Times New Roman"/>
                <w:color w:val="auto"/>
                <w:szCs w:val="24"/>
              </w:rPr>
              <w:t>否</w:t>
            </w:r>
          </w:p>
          <w:p w14:paraId="10039858">
            <w:pPr>
              <w:pStyle w:val="3"/>
              <w:spacing w:line="240" w:lineRule="auto"/>
              <w:rPr>
                <w:rFonts w:hint="default" w:ascii="Times New Roman" w:hAnsi="Times New Roman" w:eastAsia="宋体" w:cs="Times New Roman"/>
                <w:b/>
                <w:bCs w:val="0"/>
                <w:color w:val="auto"/>
                <w:sz w:val="24"/>
                <w:szCs w:val="24"/>
              </w:rPr>
            </w:pPr>
            <w:r>
              <w:rPr>
                <w:rFonts w:hint="default" w:ascii="Times New Roman" w:hAnsi="Times New Roman" w:eastAsia="宋体" w:cs="Times New Roman"/>
                <w:b w:val="0"/>
                <w:bCs/>
                <w:color w:val="auto"/>
                <w:sz w:val="24"/>
                <w:szCs w:val="24"/>
              </w:rPr>
              <w:sym w:font="Wingdings 2" w:char="00A3"/>
            </w:r>
            <w:r>
              <w:rPr>
                <w:rFonts w:hint="default" w:ascii="Times New Roman" w:hAnsi="Times New Roman" w:eastAsia="宋体" w:cs="Times New Roman"/>
                <w:b w:val="0"/>
                <w:bCs/>
                <w:color w:val="auto"/>
                <w:sz w:val="24"/>
                <w:szCs w:val="24"/>
              </w:rPr>
              <w:t>是：</w:t>
            </w:r>
            <w:r>
              <w:rPr>
                <w:rFonts w:hint="default" w:ascii="Times New Roman" w:hAnsi="Times New Roman" w:eastAsia="宋体" w:cs="Times New Roman"/>
                <w:b w:val="0"/>
                <w:bCs/>
                <w:color w:val="auto"/>
                <w:sz w:val="24"/>
                <w:szCs w:val="24"/>
                <w:u w:val="single"/>
              </w:rPr>
              <w:t xml:space="preserve">             </w:t>
            </w:r>
          </w:p>
        </w:tc>
        <w:tc>
          <w:tcPr>
            <w:tcW w:w="1534" w:type="dxa"/>
            <w:noWrap w:val="0"/>
            <w:tcMar>
              <w:top w:w="16" w:type="dxa"/>
              <w:left w:w="16" w:type="dxa"/>
              <w:right w:w="16" w:type="dxa"/>
            </w:tcMar>
            <w:vAlign w:val="center"/>
          </w:tcPr>
          <w:p w14:paraId="6D2FE4D0">
            <w:pPr>
              <w:adjustRightInd w:val="0"/>
              <w:snapToGrid w:val="0"/>
              <w:spacing w:line="240" w:lineRule="auto"/>
              <w:jc w:val="center"/>
              <w:rPr>
                <w:rFonts w:hint="default" w:ascii="Times New Roman" w:hAnsi="Times New Roman" w:cs="Times New Roman"/>
                <w:color w:val="auto"/>
                <w:spacing w:val="-6"/>
                <w:szCs w:val="24"/>
              </w:rPr>
            </w:pPr>
            <w:r>
              <w:rPr>
                <w:rFonts w:hint="default" w:ascii="Times New Roman" w:hAnsi="Times New Roman" w:cs="Times New Roman"/>
                <w:color w:val="auto"/>
                <w:spacing w:val="-6"/>
                <w:szCs w:val="24"/>
              </w:rPr>
              <w:t>用地（用海）</w:t>
            </w:r>
          </w:p>
          <w:p w14:paraId="25CBB556">
            <w:pPr>
              <w:adjustRightInd w:val="0"/>
              <w:snapToGrid w:val="0"/>
              <w:spacing w:line="240" w:lineRule="auto"/>
              <w:jc w:val="center"/>
              <w:rPr>
                <w:rFonts w:hint="default" w:ascii="Times New Roman" w:hAnsi="Times New Roman" w:cs="Times New Roman"/>
                <w:color w:val="auto"/>
                <w:szCs w:val="24"/>
              </w:rPr>
            </w:pPr>
            <w:r>
              <w:rPr>
                <w:rFonts w:hint="default" w:ascii="Times New Roman" w:hAnsi="Times New Roman" w:cs="Times New Roman"/>
                <w:color w:val="auto"/>
                <w:spacing w:val="-6"/>
                <w:szCs w:val="24"/>
              </w:rPr>
              <w:t>面积（m</w:t>
            </w:r>
            <w:r>
              <w:rPr>
                <w:rFonts w:hint="default" w:ascii="Times New Roman" w:hAnsi="Times New Roman" w:cs="Times New Roman"/>
                <w:color w:val="auto"/>
                <w:spacing w:val="-6"/>
                <w:szCs w:val="24"/>
                <w:vertAlign w:val="superscript"/>
              </w:rPr>
              <w:t>2</w:t>
            </w:r>
            <w:r>
              <w:rPr>
                <w:rFonts w:hint="default" w:ascii="Times New Roman" w:hAnsi="Times New Roman" w:cs="Times New Roman"/>
                <w:color w:val="auto"/>
                <w:spacing w:val="-6"/>
                <w:szCs w:val="24"/>
              </w:rPr>
              <w:t>）</w:t>
            </w:r>
          </w:p>
        </w:tc>
        <w:tc>
          <w:tcPr>
            <w:tcW w:w="3544" w:type="dxa"/>
            <w:noWrap w:val="0"/>
            <w:vAlign w:val="center"/>
          </w:tcPr>
          <w:p w14:paraId="414AB97C">
            <w:pPr>
              <w:adjustRightInd w:val="0"/>
              <w:snapToGrid w:val="0"/>
              <w:spacing w:line="240" w:lineRule="auto"/>
              <w:jc w:val="center"/>
              <w:rPr>
                <w:rFonts w:hint="default" w:ascii="Times New Roman" w:hAnsi="Times New Roman" w:eastAsia="宋体" w:cs="Times New Roman"/>
                <w:color w:val="auto"/>
                <w:szCs w:val="24"/>
                <w:lang w:val="en-US" w:eastAsia="zh-CN"/>
              </w:rPr>
            </w:pPr>
            <w:r>
              <w:rPr>
                <w:rFonts w:hint="default" w:ascii="Times New Roman" w:hAnsi="Times New Roman" w:cs="Times New Roman"/>
                <w:color w:val="auto"/>
                <w:szCs w:val="24"/>
                <w:lang w:val="en-US" w:eastAsia="zh-CN"/>
              </w:rPr>
              <w:t>36</w:t>
            </w:r>
            <w:r>
              <w:rPr>
                <w:rFonts w:hint="eastAsia" w:cs="Times New Roman"/>
                <w:color w:val="auto"/>
                <w:szCs w:val="24"/>
                <w:lang w:val="en-US" w:eastAsia="zh-CN"/>
              </w:rPr>
              <w:t>8</w:t>
            </w:r>
            <w:r>
              <w:rPr>
                <w:rFonts w:hint="default" w:ascii="Times New Roman" w:hAnsi="Times New Roman" w:cs="Times New Roman"/>
                <w:color w:val="auto"/>
                <w:szCs w:val="24"/>
                <w:lang w:val="en-US" w:eastAsia="zh-CN"/>
              </w:rPr>
              <w:t>0</w:t>
            </w:r>
          </w:p>
        </w:tc>
      </w:tr>
      <w:tr w14:paraId="4BE827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1847" w:type="dxa"/>
            <w:gridSpan w:val="2"/>
            <w:noWrap w:val="0"/>
            <w:vAlign w:val="center"/>
          </w:tcPr>
          <w:p w14:paraId="24E4D673">
            <w:pPr>
              <w:autoSpaceDE w:val="0"/>
              <w:autoSpaceDN w:val="0"/>
              <w:adjustRightInd w:val="0"/>
              <w:snapToGrid w:val="0"/>
              <w:spacing w:line="240" w:lineRule="auto"/>
              <w:jc w:val="center"/>
              <w:rPr>
                <w:rFonts w:hint="default" w:ascii="Times New Roman" w:hAnsi="Times New Roman" w:cs="Times New Roman"/>
                <w:color w:val="auto"/>
                <w:kern w:val="0"/>
                <w:szCs w:val="24"/>
              </w:rPr>
            </w:pPr>
            <w:r>
              <w:rPr>
                <w:rFonts w:hint="default" w:ascii="Times New Roman" w:hAnsi="Times New Roman" w:cs="Times New Roman"/>
                <w:color w:val="auto"/>
                <w:kern w:val="0"/>
                <w:szCs w:val="24"/>
              </w:rPr>
              <w:t>专项评价设置情况</w:t>
            </w:r>
          </w:p>
        </w:tc>
        <w:tc>
          <w:tcPr>
            <w:tcW w:w="7233" w:type="dxa"/>
            <w:gridSpan w:val="3"/>
            <w:noWrap w:val="0"/>
            <w:vAlign w:val="center"/>
          </w:tcPr>
          <w:p w14:paraId="10DC38D9">
            <w:pPr>
              <w:autoSpaceDE w:val="0"/>
              <w:autoSpaceDN w:val="0"/>
              <w:adjustRightInd w:val="0"/>
              <w:snapToGrid w:val="0"/>
              <w:spacing w:line="360" w:lineRule="auto"/>
              <w:ind w:firstLine="480" w:firstLineChars="200"/>
              <w:jc w:val="both"/>
              <w:rPr>
                <w:rFonts w:hint="default" w:ascii="Times New Roman" w:hAnsi="Times New Roman" w:cs="Times New Roman"/>
                <w:color w:val="auto"/>
                <w:kern w:val="0"/>
                <w:szCs w:val="24"/>
              </w:rPr>
            </w:pPr>
            <w:r>
              <w:rPr>
                <w:rFonts w:hint="default" w:ascii="Times New Roman" w:hAnsi="Times New Roman" w:cs="Times New Roman"/>
                <w:color w:val="auto"/>
                <w:kern w:val="0"/>
                <w:szCs w:val="24"/>
              </w:rPr>
              <w:t>根据《建设项目环境影响报告表编制技术指南（污染影响类）（试行）》表1专项评价设置原则表，本项目无需设置专项评价。</w:t>
            </w:r>
          </w:p>
        </w:tc>
      </w:tr>
      <w:tr w14:paraId="40B0F6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847" w:type="dxa"/>
            <w:gridSpan w:val="2"/>
            <w:noWrap w:val="0"/>
            <w:vAlign w:val="center"/>
          </w:tcPr>
          <w:p w14:paraId="3D6949B8">
            <w:pPr>
              <w:autoSpaceDE w:val="0"/>
              <w:autoSpaceDN w:val="0"/>
              <w:adjustRightInd w:val="0"/>
              <w:snapToGrid w:val="0"/>
              <w:spacing w:line="240" w:lineRule="auto"/>
              <w:jc w:val="center"/>
              <w:rPr>
                <w:rFonts w:hint="default" w:ascii="Times New Roman" w:hAnsi="Times New Roman" w:cs="Times New Roman"/>
                <w:color w:val="auto"/>
                <w:kern w:val="0"/>
                <w:szCs w:val="24"/>
              </w:rPr>
            </w:pPr>
            <w:r>
              <w:rPr>
                <w:rFonts w:hint="default" w:ascii="Times New Roman" w:hAnsi="Times New Roman" w:cs="Times New Roman"/>
                <w:color w:val="auto"/>
                <w:szCs w:val="24"/>
              </w:rPr>
              <w:t>规划情况</w:t>
            </w:r>
          </w:p>
        </w:tc>
        <w:tc>
          <w:tcPr>
            <w:tcW w:w="7233" w:type="dxa"/>
            <w:gridSpan w:val="3"/>
            <w:noWrap w:val="0"/>
            <w:vAlign w:val="center"/>
          </w:tcPr>
          <w:p w14:paraId="385D2C6D">
            <w:pPr>
              <w:spacing w:line="360" w:lineRule="auto"/>
              <w:jc w:val="both"/>
              <w:rPr>
                <w:rFonts w:hint="default" w:ascii="Times New Roman" w:hAnsi="Times New Roman" w:eastAsia="宋体" w:cs="Times New Roman"/>
                <w:color w:val="auto"/>
                <w:kern w:val="0"/>
                <w:szCs w:val="24"/>
                <w:lang w:eastAsia="zh-CN"/>
              </w:rPr>
            </w:pPr>
            <w:r>
              <w:rPr>
                <w:rFonts w:hint="default" w:ascii="Times New Roman" w:hAnsi="Times New Roman" w:cs="Times New Roman"/>
                <w:color w:val="auto"/>
                <w:kern w:val="0"/>
                <w:szCs w:val="24"/>
                <w:lang w:val="en-US" w:eastAsia="zh-CN"/>
              </w:rPr>
              <w:t>1、</w:t>
            </w:r>
            <w:r>
              <w:rPr>
                <w:rFonts w:hint="default" w:ascii="Times New Roman" w:hAnsi="Times New Roman" w:eastAsia="宋体" w:cs="Times New Roman"/>
                <w:color w:val="auto"/>
                <w:kern w:val="0"/>
                <w:szCs w:val="24"/>
                <w:lang w:eastAsia="zh-CN"/>
              </w:rPr>
              <w:t>规划名称：《泗水金庄镇卞庄工业园规划》（2021-2035年）</w:t>
            </w:r>
            <w:r>
              <w:rPr>
                <w:rFonts w:hint="default" w:ascii="Times New Roman" w:hAnsi="Times New Roman" w:cs="Times New Roman"/>
                <w:color w:val="auto"/>
                <w:kern w:val="0"/>
                <w:szCs w:val="24"/>
                <w:lang w:eastAsia="zh-CN"/>
              </w:rPr>
              <w:t>；</w:t>
            </w:r>
          </w:p>
          <w:p w14:paraId="1DD5713F">
            <w:pPr>
              <w:spacing w:line="360" w:lineRule="auto"/>
              <w:jc w:val="both"/>
              <w:rPr>
                <w:rFonts w:hint="default" w:ascii="Times New Roman" w:hAnsi="Times New Roman" w:eastAsia="宋体" w:cs="Times New Roman"/>
                <w:color w:val="auto"/>
                <w:kern w:val="0"/>
                <w:szCs w:val="24"/>
                <w:lang w:eastAsia="zh-CN"/>
              </w:rPr>
            </w:pPr>
            <w:r>
              <w:rPr>
                <w:rFonts w:hint="default" w:ascii="Times New Roman" w:hAnsi="Times New Roman" w:eastAsia="宋体" w:cs="Times New Roman"/>
                <w:color w:val="auto"/>
                <w:kern w:val="0"/>
                <w:szCs w:val="24"/>
                <w:lang w:eastAsia="zh-CN"/>
              </w:rPr>
              <w:t>审批机关：泗水县金庄镇人民政府</w:t>
            </w:r>
            <w:r>
              <w:rPr>
                <w:rFonts w:hint="default" w:ascii="Times New Roman" w:hAnsi="Times New Roman" w:cs="Times New Roman"/>
                <w:color w:val="auto"/>
                <w:kern w:val="0"/>
                <w:szCs w:val="24"/>
                <w:lang w:eastAsia="zh-CN"/>
              </w:rPr>
              <w:t>；</w:t>
            </w:r>
          </w:p>
          <w:p w14:paraId="5C4D4D8C">
            <w:pPr>
              <w:spacing w:line="360" w:lineRule="auto"/>
              <w:jc w:val="both"/>
              <w:rPr>
                <w:rFonts w:hint="default" w:ascii="Times New Roman" w:hAnsi="Times New Roman" w:eastAsia="宋体" w:cs="Times New Roman"/>
                <w:color w:val="auto"/>
                <w:kern w:val="0"/>
                <w:szCs w:val="24"/>
                <w:lang w:eastAsia="zh-CN"/>
              </w:rPr>
            </w:pPr>
            <w:r>
              <w:rPr>
                <w:rFonts w:hint="default" w:ascii="Times New Roman" w:hAnsi="Times New Roman" w:eastAsia="宋体" w:cs="Times New Roman"/>
                <w:color w:val="auto"/>
                <w:kern w:val="0"/>
                <w:szCs w:val="24"/>
                <w:lang w:eastAsia="zh-CN"/>
              </w:rPr>
              <w:t>审批文件及文号：</w:t>
            </w:r>
            <w:r>
              <w:rPr>
                <w:rFonts w:hint="default" w:ascii="Times New Roman" w:hAnsi="Times New Roman" w:eastAsia="宋体" w:cs="Times New Roman"/>
                <w:color w:val="auto"/>
                <w:sz w:val="24"/>
                <w:szCs w:val="24"/>
                <w:lang w:val="en-US" w:eastAsia="zh-CN"/>
              </w:rPr>
              <w:t>《关于设立金庄镇卞庄工业园的意见》（金政发</w:t>
            </w:r>
            <w:r>
              <w:rPr>
                <w:rFonts w:hint="default" w:ascii="Times New Roman" w:hAnsi="Times New Roman" w:eastAsia="宋体" w:cs="Times New Roman"/>
                <w:color w:val="auto"/>
                <w:sz w:val="24"/>
                <w:szCs w:val="24"/>
                <w:lang w:val="zh-CN" w:eastAsia="zh-CN"/>
              </w:rPr>
              <w:t>[20</w:t>
            </w:r>
            <w:r>
              <w:rPr>
                <w:rFonts w:hint="default" w:ascii="Times New Roman" w:hAnsi="Times New Roman" w:eastAsia="宋体" w:cs="Times New Roman"/>
                <w:color w:val="auto"/>
                <w:sz w:val="24"/>
                <w:szCs w:val="24"/>
                <w:lang w:val="en-US" w:eastAsia="zh-CN"/>
              </w:rPr>
              <w:t>24</w:t>
            </w:r>
            <w:r>
              <w:rPr>
                <w:rFonts w:hint="default" w:ascii="Times New Roman" w:hAnsi="Times New Roman" w:eastAsia="宋体" w:cs="Times New Roman"/>
                <w:color w:val="auto"/>
                <w:sz w:val="24"/>
                <w:szCs w:val="24"/>
                <w:lang w:val="zh-CN" w:eastAsia="zh-CN"/>
              </w:rPr>
              <w:t>]</w:t>
            </w:r>
            <w:r>
              <w:rPr>
                <w:rFonts w:hint="default" w:ascii="Times New Roman" w:hAnsi="Times New Roman" w:eastAsia="宋体" w:cs="Times New Roman"/>
                <w:color w:val="auto"/>
                <w:sz w:val="24"/>
                <w:szCs w:val="24"/>
                <w:lang w:val="en-US" w:eastAsia="zh-CN"/>
              </w:rPr>
              <w:t>34</w:t>
            </w:r>
            <w:r>
              <w:rPr>
                <w:rFonts w:hint="default" w:ascii="Times New Roman" w:hAnsi="Times New Roman" w:eastAsia="宋体" w:cs="Times New Roman"/>
                <w:color w:val="auto"/>
                <w:sz w:val="24"/>
                <w:szCs w:val="24"/>
                <w:lang w:val="zh-CN" w:eastAsia="zh-CN"/>
              </w:rPr>
              <w:t>号，</w:t>
            </w:r>
            <w:r>
              <w:rPr>
                <w:rFonts w:hint="default" w:ascii="Times New Roman" w:hAnsi="Times New Roman" w:eastAsia="宋体" w:cs="Times New Roman"/>
                <w:color w:val="FF0000"/>
                <w:sz w:val="24"/>
                <w:szCs w:val="24"/>
                <w:lang w:val="en-US" w:eastAsia="zh-CN"/>
              </w:rPr>
              <w:t>202</w:t>
            </w:r>
            <w:r>
              <w:rPr>
                <w:rFonts w:hint="eastAsia" w:cs="Times New Roman"/>
                <w:color w:val="FF0000"/>
                <w:sz w:val="24"/>
                <w:szCs w:val="24"/>
                <w:lang w:val="en-US" w:eastAsia="zh-CN"/>
              </w:rPr>
              <w:t>4</w:t>
            </w:r>
            <w:r>
              <w:rPr>
                <w:rFonts w:hint="default" w:ascii="Times New Roman" w:hAnsi="Times New Roman" w:eastAsia="宋体" w:cs="Times New Roman"/>
                <w:color w:val="auto"/>
                <w:sz w:val="24"/>
                <w:szCs w:val="24"/>
                <w:lang w:val="en-US" w:eastAsia="zh-CN"/>
              </w:rPr>
              <w:t>年4月16日）</w:t>
            </w:r>
            <w:r>
              <w:rPr>
                <w:rFonts w:hint="default" w:ascii="Times New Roman" w:hAnsi="Times New Roman" w:cs="Times New Roman"/>
                <w:color w:val="auto"/>
                <w:kern w:val="0"/>
                <w:szCs w:val="24"/>
                <w:lang w:eastAsia="zh-CN"/>
              </w:rPr>
              <w:t>。</w:t>
            </w:r>
          </w:p>
        </w:tc>
      </w:tr>
      <w:tr w14:paraId="034546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847" w:type="dxa"/>
            <w:gridSpan w:val="2"/>
            <w:noWrap w:val="0"/>
            <w:vAlign w:val="center"/>
          </w:tcPr>
          <w:p w14:paraId="2AC4D3AB">
            <w:pPr>
              <w:adjustRightInd w:val="0"/>
              <w:snapToGrid w:val="0"/>
              <w:spacing w:line="240" w:lineRule="auto"/>
              <w:jc w:val="center"/>
              <w:rPr>
                <w:rFonts w:hint="default" w:ascii="Times New Roman" w:hAnsi="Times New Roman" w:cs="Times New Roman"/>
                <w:color w:val="auto"/>
                <w:kern w:val="0"/>
                <w:szCs w:val="24"/>
              </w:rPr>
            </w:pPr>
            <w:r>
              <w:rPr>
                <w:rFonts w:hint="default" w:ascii="Times New Roman" w:hAnsi="Times New Roman" w:cs="Times New Roman"/>
                <w:color w:val="auto"/>
                <w:szCs w:val="24"/>
              </w:rPr>
              <w:t>规划环境影响评价情况</w:t>
            </w:r>
          </w:p>
        </w:tc>
        <w:tc>
          <w:tcPr>
            <w:tcW w:w="7233" w:type="dxa"/>
            <w:gridSpan w:val="3"/>
            <w:noWrap w:val="0"/>
            <w:vAlign w:val="center"/>
          </w:tcPr>
          <w:p w14:paraId="64F8C1DB">
            <w:pPr>
              <w:bidi w:val="0"/>
              <w:spacing w:line="360" w:lineRule="auto"/>
              <w:jc w:val="both"/>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规划环境影响评价文件名称：《泗水金庄镇卞庄工业园规划（2021-2035年）环境影响报告书》；</w:t>
            </w:r>
          </w:p>
          <w:p w14:paraId="330383D3">
            <w:pPr>
              <w:bidi w:val="0"/>
              <w:spacing w:line="360" w:lineRule="auto"/>
              <w:jc w:val="both"/>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召集审查机关：济宁市生态环境局；</w:t>
            </w:r>
          </w:p>
          <w:p w14:paraId="0D8A48F2">
            <w:pPr>
              <w:bidi w:val="0"/>
              <w:spacing w:line="360" w:lineRule="auto"/>
              <w:jc w:val="both"/>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审查文件名称及文号：《关于泗水金庄镇卞庄工业园规划（2021-2035年）环境影响报告书的审查意见》（泗环审[2024]9号，2024年7月26日）。</w:t>
            </w:r>
          </w:p>
        </w:tc>
      </w:tr>
      <w:tr w14:paraId="256447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393" w:hRule="atLeast"/>
          <w:jc w:val="center"/>
        </w:trPr>
        <w:tc>
          <w:tcPr>
            <w:tcW w:w="1094" w:type="dxa"/>
            <w:noWrap w:val="0"/>
            <w:vAlign w:val="center"/>
          </w:tcPr>
          <w:p w14:paraId="19C98C32">
            <w:pPr>
              <w:autoSpaceDE w:val="0"/>
              <w:autoSpaceDN w:val="0"/>
              <w:adjustRightInd w:val="0"/>
              <w:snapToGrid w:val="0"/>
              <w:spacing w:line="240" w:lineRule="auto"/>
              <w:jc w:val="center"/>
              <w:rPr>
                <w:rFonts w:hint="default" w:ascii="Times New Roman" w:hAnsi="Times New Roman" w:cs="Times New Roman"/>
                <w:color w:val="auto"/>
                <w:kern w:val="0"/>
                <w:szCs w:val="24"/>
              </w:rPr>
            </w:pPr>
            <w:r>
              <w:rPr>
                <w:rFonts w:hint="default" w:ascii="Times New Roman" w:hAnsi="Times New Roman" w:cs="Times New Roman"/>
                <w:color w:val="auto"/>
                <w:kern w:val="0"/>
                <w:szCs w:val="24"/>
              </w:rPr>
              <w:t>规划及规划环境影响评价符合性分析</w:t>
            </w:r>
          </w:p>
        </w:tc>
        <w:tc>
          <w:tcPr>
            <w:tcW w:w="7986" w:type="dxa"/>
            <w:gridSpan w:val="4"/>
            <w:noWrap w:val="0"/>
            <w:vAlign w:val="center"/>
          </w:tcPr>
          <w:p w14:paraId="4B1FC7BE">
            <w:pPr>
              <w:keepNext/>
              <w:keepLines/>
              <w:widowControl w:val="0"/>
              <w:numPr>
                <w:ilvl w:val="0"/>
                <w:numId w:val="0"/>
              </w:numPr>
              <w:bidi w:val="0"/>
              <w:snapToGrid/>
              <w:spacing w:line="360" w:lineRule="auto"/>
              <w:ind w:left="0" w:leftChars="0" w:firstLine="480" w:firstLineChars="200"/>
              <w:jc w:val="both"/>
              <w:outlineLvl w:val="1"/>
              <w:rPr>
                <w:rFonts w:hint="default" w:ascii="Times New Roman" w:hAnsi="Times New Roman" w:eastAsia="黑体" w:cs="Times New Roman"/>
                <w:bCs/>
                <w:color w:val="auto"/>
                <w:kern w:val="2"/>
                <w:sz w:val="24"/>
                <w:szCs w:val="30"/>
                <w:lang w:val="en-US" w:eastAsia="zh-CN" w:bidi="ar-SA"/>
              </w:rPr>
            </w:pPr>
            <w:r>
              <w:rPr>
                <w:rFonts w:hint="default" w:ascii="Times New Roman" w:hAnsi="Times New Roman" w:eastAsia="黑体" w:cs="Times New Roman"/>
                <w:bCs/>
                <w:color w:val="auto"/>
                <w:kern w:val="2"/>
                <w:sz w:val="24"/>
                <w:szCs w:val="30"/>
                <w:lang w:val="en-US" w:eastAsia="zh-CN" w:bidi="ar-SA"/>
              </w:rPr>
              <w:t>1、与泗水金庄镇卞庄工业园规划符合性分析</w:t>
            </w:r>
          </w:p>
          <w:p w14:paraId="3F46A920">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cs="Times New Roman"/>
                <w:color w:val="auto"/>
                <w:kern w:val="0"/>
                <w:sz w:val="24"/>
                <w:szCs w:val="24"/>
                <w:lang w:val="en-US" w:eastAsia="zh-CN"/>
              </w:rPr>
            </w:pPr>
            <w:r>
              <w:rPr>
                <w:rFonts w:hint="default" w:ascii="Times New Roman" w:hAnsi="Times New Roman" w:cs="Times New Roman"/>
                <w:color w:val="auto"/>
                <w:kern w:val="0"/>
                <w:sz w:val="24"/>
                <w:szCs w:val="24"/>
                <w:lang w:val="en-US" w:eastAsia="zh-CN"/>
              </w:rPr>
              <w:t>2024年4月16日泗水县金庄镇人民政府同意设立了泗水金庄镇卞庄工业园。泗水金庄镇卞庄工业园位于金庄镇西部，北临国道327线。总用地面积为18.28公顷。</w:t>
            </w:r>
          </w:p>
          <w:p w14:paraId="7E55A448">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cs="Times New Roman"/>
                <w:color w:val="auto"/>
                <w:kern w:val="0"/>
                <w:sz w:val="24"/>
                <w:szCs w:val="24"/>
                <w:lang w:val="en-US" w:eastAsia="zh-CN"/>
              </w:rPr>
            </w:pPr>
            <w:r>
              <w:rPr>
                <w:rFonts w:hint="default" w:ascii="Times New Roman" w:hAnsi="Times New Roman" w:cs="Times New Roman"/>
                <w:color w:val="auto"/>
                <w:kern w:val="0"/>
                <w:sz w:val="24"/>
                <w:szCs w:val="24"/>
                <w:lang w:val="en-US" w:eastAsia="zh-CN"/>
              </w:rPr>
              <w:t>规划范围：北起连固线，南至新石铁路，东至卞庄河，西至卞庄村塘坝，总占地面积18.28公顷。</w:t>
            </w:r>
          </w:p>
          <w:p w14:paraId="1EE4167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cs="Times New Roman"/>
                <w:color w:val="auto"/>
                <w:kern w:val="0"/>
                <w:sz w:val="24"/>
                <w:szCs w:val="24"/>
                <w:lang w:val="en-US" w:eastAsia="zh-CN"/>
              </w:rPr>
            </w:pPr>
            <w:r>
              <w:rPr>
                <w:rFonts w:hint="default" w:ascii="Times New Roman" w:hAnsi="Times New Roman" w:cs="Times New Roman"/>
                <w:color w:val="auto"/>
                <w:kern w:val="0"/>
                <w:sz w:val="24"/>
                <w:szCs w:val="24"/>
                <w:lang w:val="en-US" w:eastAsia="zh-CN"/>
              </w:rPr>
              <w:t>规划期限：2021-2035年，近期：2021-2025年；远期：2025-2035年。规划基准年为2021年。</w:t>
            </w:r>
          </w:p>
          <w:p w14:paraId="1156C4B3">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cs="Times New Roman"/>
                <w:color w:val="auto"/>
                <w:kern w:val="0"/>
                <w:sz w:val="24"/>
                <w:szCs w:val="24"/>
                <w:lang w:val="en-US" w:eastAsia="zh-CN"/>
              </w:rPr>
            </w:pPr>
            <w:r>
              <w:rPr>
                <w:rFonts w:hint="default" w:ascii="Times New Roman" w:hAnsi="Times New Roman" w:cs="Times New Roman"/>
                <w:color w:val="auto"/>
                <w:kern w:val="0"/>
                <w:sz w:val="24"/>
                <w:szCs w:val="24"/>
                <w:lang w:val="en-US" w:eastAsia="zh-CN"/>
              </w:rPr>
              <w:t>规划目标和定位：园区配套建设标准化厂房，以租赁的方式为中小型企业发展提供机遇，便于环境管理，重点发展机械加工、玩具加工、合金铸造等符合泗水产业政策的企业项目，培育壮大地方经济，扩大就业渠道，打造泗水西部新质生产力孵化基地。</w:t>
            </w:r>
          </w:p>
          <w:p w14:paraId="3519458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cs="Times New Roman"/>
                <w:color w:val="auto"/>
                <w:kern w:val="0"/>
                <w:sz w:val="24"/>
                <w:szCs w:val="24"/>
                <w:lang w:val="en-US" w:eastAsia="zh-CN"/>
              </w:rPr>
            </w:pPr>
            <w:r>
              <w:rPr>
                <w:rFonts w:hint="default" w:ascii="Times New Roman" w:hAnsi="Times New Roman" w:cs="Times New Roman"/>
                <w:color w:val="auto"/>
                <w:kern w:val="0"/>
                <w:sz w:val="24"/>
                <w:szCs w:val="24"/>
                <w:lang w:val="en-US" w:eastAsia="zh-CN"/>
              </w:rPr>
              <w:t>基础设施规划：供水水源规划由泗水县水厂供给，供水能力60000m</w:t>
            </w:r>
            <w:r>
              <w:rPr>
                <w:rFonts w:hint="default" w:ascii="Times New Roman" w:hAnsi="Times New Roman" w:cs="Times New Roman"/>
                <w:color w:val="auto"/>
                <w:kern w:val="0"/>
                <w:sz w:val="24"/>
                <w:szCs w:val="24"/>
                <w:vertAlign w:val="superscript"/>
                <w:lang w:val="en-US" w:eastAsia="zh-CN"/>
              </w:rPr>
              <w:t>3</w:t>
            </w:r>
            <w:r>
              <w:rPr>
                <w:rFonts w:hint="default" w:ascii="Times New Roman" w:hAnsi="Times New Roman" w:cs="Times New Roman"/>
                <w:color w:val="auto"/>
                <w:kern w:val="0"/>
                <w:sz w:val="24"/>
                <w:szCs w:val="24"/>
                <w:lang w:val="en-US" w:eastAsia="zh-CN"/>
              </w:rPr>
              <w:t>/d。园区现状无集中污水处理设施，企业生活污水经化类池处理后外运；远期规划排水采用雨污分流制，生产废水及生活污水经泗水国祯水务有限公司泗水县第二污水处理厂处理。园区无燃气管道规划。园区无供热规划，工业用热由企业自备锅炉供给，燃料使用清洁能源或可再生能源，不得使用燃煤、重油、渣油或直接燃用生物质。园区用热企业目前为山东全钢建筑科技有限公司，企业内部建设一台液化石油气蒸汽锅炉作为热源。远期规划在园区内建设变电站为产业园区供电。</w:t>
            </w:r>
          </w:p>
          <w:p w14:paraId="4CEAAA2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cs="Times New Roman"/>
                <w:color w:val="auto"/>
                <w:kern w:val="0"/>
                <w:sz w:val="24"/>
                <w:szCs w:val="24"/>
                <w:lang w:val="en-US" w:eastAsia="zh-CN"/>
              </w:rPr>
            </w:pPr>
            <w:r>
              <w:rPr>
                <w:rFonts w:hint="default" w:ascii="Times New Roman" w:hAnsi="Times New Roman" w:cs="Times New Roman"/>
                <w:color w:val="auto"/>
                <w:kern w:val="0"/>
                <w:sz w:val="24"/>
                <w:szCs w:val="24"/>
                <w:lang w:val="en-US" w:eastAsia="zh-CN"/>
              </w:rPr>
              <w:t>本项目位于济宁市泗水县金庄镇卞庄工业园A7车间，租赁卞庄工业园现有厂房，根据卞庄工业园土地利用规划图（</w:t>
            </w:r>
            <w:r>
              <w:rPr>
                <w:rFonts w:hint="default" w:ascii="Times New Roman" w:hAnsi="Times New Roman" w:cs="Times New Roman"/>
                <w:color w:val="auto"/>
                <w:kern w:val="0"/>
                <w:sz w:val="24"/>
                <w:szCs w:val="24"/>
                <w:highlight w:val="none"/>
                <w:lang w:val="en-US" w:eastAsia="zh-CN"/>
              </w:rPr>
              <w:t>见附图</w:t>
            </w:r>
            <w:r>
              <w:rPr>
                <w:rFonts w:hint="eastAsia" w:cs="Times New Roman"/>
                <w:color w:val="auto"/>
                <w:kern w:val="0"/>
                <w:sz w:val="24"/>
                <w:szCs w:val="24"/>
                <w:highlight w:val="none"/>
                <w:lang w:val="en-US" w:eastAsia="zh-CN"/>
              </w:rPr>
              <w:t>九</w:t>
            </w:r>
            <w:r>
              <w:rPr>
                <w:rFonts w:hint="default" w:ascii="Times New Roman" w:hAnsi="Times New Roman" w:cs="Times New Roman"/>
                <w:color w:val="auto"/>
                <w:kern w:val="0"/>
                <w:sz w:val="24"/>
                <w:szCs w:val="24"/>
                <w:lang w:val="en-US" w:eastAsia="zh-CN"/>
              </w:rPr>
              <w:t>），项目所在地属于工业建设用地，符合泗水金庄镇卞庄工业园规划要求。</w:t>
            </w:r>
          </w:p>
          <w:p w14:paraId="72BCBED7">
            <w:pPr>
              <w:bidi w:val="0"/>
              <w:ind w:firstLine="480" w:firstLineChars="200"/>
              <w:rPr>
                <w:rFonts w:hint="default" w:ascii="Times New Roman" w:hAnsi="Times New Roman" w:eastAsia="宋体" w:cs="Times New Roman"/>
                <w:color w:val="auto"/>
                <w:kern w:val="0"/>
                <w:sz w:val="24"/>
                <w:lang w:val="en-US" w:eastAsia="zh-CN"/>
              </w:rPr>
            </w:pPr>
            <w:r>
              <w:rPr>
                <w:rFonts w:hint="default" w:ascii="Times New Roman" w:hAnsi="Times New Roman" w:cs="Times New Roman"/>
                <w:color w:val="auto"/>
                <w:kern w:val="0"/>
                <w:sz w:val="24"/>
                <w:szCs w:val="24"/>
                <w:lang w:val="en-US" w:eastAsia="zh-CN"/>
              </w:rPr>
              <w:t>项目生产、生活用水由泗水县水厂供给，园区供水能力满足项目需求；项目运行无生产废水排放；生产采用电加热，不使用燃料，因此，园区基础设施能够满足本项目运行需求</w:t>
            </w:r>
            <w:r>
              <w:rPr>
                <w:rFonts w:hint="default" w:ascii="Times New Roman" w:hAnsi="Times New Roman" w:eastAsia="宋体" w:cs="Times New Roman"/>
                <w:color w:val="auto"/>
                <w:kern w:val="0"/>
                <w:sz w:val="24"/>
                <w:lang w:val="en-US" w:eastAsia="zh-CN"/>
              </w:rPr>
              <w:t>。</w:t>
            </w:r>
          </w:p>
          <w:p w14:paraId="7137BE80">
            <w:pPr>
              <w:pStyle w:val="5"/>
              <w:numPr>
                <w:ilvl w:val="0"/>
                <w:numId w:val="0"/>
              </w:numPr>
              <w:bidi w:val="0"/>
              <w:ind w:leftChars="0" w:firstLine="480" w:firstLineChars="200"/>
              <w:rPr>
                <w:rFonts w:hint="default" w:ascii="Times New Roman" w:hAnsi="Times New Roman" w:cs="Times New Roman"/>
                <w:color w:val="auto"/>
                <w:lang w:val="en-US"/>
              </w:rPr>
            </w:pPr>
            <w:r>
              <w:rPr>
                <w:rFonts w:hint="default" w:ascii="Times New Roman" w:hAnsi="Times New Roman" w:cs="Times New Roman"/>
                <w:color w:val="auto"/>
                <w:lang w:val="en-US" w:eastAsia="zh-CN"/>
              </w:rPr>
              <w:t>2、</w:t>
            </w:r>
            <w:r>
              <w:rPr>
                <w:rFonts w:hint="default" w:ascii="Times New Roman" w:hAnsi="Times New Roman" w:cs="Times New Roman"/>
                <w:color w:val="auto"/>
                <w:kern w:val="0"/>
                <w:sz w:val="24"/>
                <w:szCs w:val="24"/>
                <w:lang w:val="en-US" w:eastAsia="zh-CN"/>
              </w:rPr>
              <w:t>与规划环境影响评价符合性分析</w:t>
            </w:r>
          </w:p>
          <w:p w14:paraId="79873250">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cs="Times New Roman"/>
                <w:color w:val="auto"/>
                <w:kern w:val="0"/>
                <w:sz w:val="24"/>
                <w:szCs w:val="24"/>
                <w:lang w:val="en-US" w:eastAsia="zh-CN"/>
              </w:rPr>
            </w:pPr>
            <w:r>
              <w:rPr>
                <w:rFonts w:hint="default" w:ascii="Times New Roman" w:hAnsi="Times New Roman" w:cs="Times New Roman"/>
                <w:color w:val="auto"/>
                <w:kern w:val="0"/>
                <w:sz w:val="24"/>
                <w:szCs w:val="24"/>
                <w:lang w:val="en-US" w:eastAsia="zh-CN"/>
              </w:rPr>
              <w:t>（1）项目与规划环境影响评价结论符合性</w:t>
            </w:r>
          </w:p>
          <w:p w14:paraId="0328E4B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cs="Times New Roman"/>
                <w:color w:val="auto"/>
                <w:kern w:val="0"/>
                <w:sz w:val="24"/>
                <w:szCs w:val="24"/>
                <w:lang w:val="en-US" w:eastAsia="zh-CN"/>
              </w:rPr>
            </w:pPr>
            <w:r>
              <w:rPr>
                <w:rFonts w:hint="default" w:ascii="Times New Roman" w:hAnsi="Times New Roman" w:cs="Times New Roman"/>
                <w:color w:val="auto"/>
                <w:kern w:val="0"/>
                <w:sz w:val="24"/>
                <w:szCs w:val="24"/>
                <w:lang w:val="en-US" w:eastAsia="zh-CN"/>
              </w:rPr>
              <w:t>园区应科学合理地设置项目准入条件，坚持规划主导的产业定位发展方向，重点引进工艺先进，技术创新，无污染或低污染、规模适中、效益好、带动作用强的项目，严禁生产方式落后、产品质量低劣、环境污染严重的项目进入园区。</w:t>
            </w:r>
          </w:p>
          <w:p w14:paraId="3C43D06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cs="Times New Roman"/>
                <w:color w:val="auto"/>
                <w:kern w:val="0"/>
                <w:sz w:val="24"/>
                <w:szCs w:val="24"/>
                <w:lang w:val="en-US" w:eastAsia="zh-CN"/>
              </w:rPr>
            </w:pPr>
            <w:r>
              <w:rPr>
                <w:rFonts w:hint="default" w:ascii="Times New Roman" w:hAnsi="Times New Roman" w:cs="Times New Roman"/>
                <w:color w:val="auto"/>
                <w:kern w:val="0"/>
                <w:sz w:val="24"/>
                <w:szCs w:val="24"/>
                <w:lang w:val="en-US" w:eastAsia="zh-CN"/>
              </w:rPr>
              <w:t>根据园区功能定位、产业发展导向与发展现状，园区环境准入基本条件见下表。</w:t>
            </w:r>
          </w:p>
          <w:p w14:paraId="4949D79D">
            <w:pPr>
              <w:pStyle w:val="45"/>
              <w:bidi w:val="0"/>
              <w:rPr>
                <w:rFonts w:hint="default" w:ascii="Times New Roman" w:hAnsi="Times New Roman" w:cs="Times New Roman"/>
                <w:color w:val="auto"/>
                <w:kern w:val="0"/>
                <w:szCs w:val="24"/>
                <w:lang w:val="en-US" w:eastAsia="zh-CN"/>
              </w:rPr>
            </w:pPr>
            <w:r>
              <w:rPr>
                <w:rFonts w:hint="default" w:ascii="Times New Roman" w:hAnsi="Times New Roman" w:cs="Times New Roman"/>
                <w:color w:val="auto"/>
              </w:rPr>
              <w:t>表1-</w:t>
            </w:r>
            <w:r>
              <w:rPr>
                <w:rFonts w:hint="default" w:ascii="Times New Roman" w:hAnsi="Times New Roman" w:cs="Times New Roman"/>
                <w:color w:val="auto"/>
                <w:lang w:val="en-US" w:eastAsia="zh-CN"/>
              </w:rPr>
              <w:t>1 产业园环境准入基本条件及准入原则</w:t>
            </w:r>
          </w:p>
          <w:tbl>
            <w:tblPr>
              <w:tblStyle w:val="33"/>
              <w:tblW w:w="7838"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2903"/>
              <w:gridCol w:w="2876"/>
              <w:gridCol w:w="867"/>
            </w:tblGrid>
            <w:tr w14:paraId="19F4188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92" w:type="dxa"/>
                  <w:tcBorders>
                    <w:tl2br w:val="nil"/>
                    <w:tr2bl w:val="nil"/>
                  </w:tcBorders>
                  <w:noWrap w:val="0"/>
                  <w:vAlign w:val="center"/>
                </w:tcPr>
                <w:p w14:paraId="0DE4AAD6">
                  <w:pPr>
                    <w:pStyle w:val="44"/>
                    <w:bidi w:val="0"/>
                    <w:rPr>
                      <w:rFonts w:hint="default" w:ascii="Times New Roman" w:hAnsi="Times New Roman" w:cs="Times New Roman"/>
                      <w:b/>
                      <w:bCs/>
                      <w:color w:val="auto"/>
                    </w:rPr>
                  </w:pPr>
                  <w:r>
                    <w:rPr>
                      <w:rFonts w:hint="default" w:ascii="Times New Roman" w:hAnsi="Times New Roman" w:cs="Times New Roman"/>
                      <w:b/>
                      <w:bCs/>
                      <w:color w:val="auto"/>
                    </w:rPr>
                    <w:t>规划环境影响评价</w:t>
                  </w:r>
                </w:p>
              </w:tc>
              <w:tc>
                <w:tcPr>
                  <w:tcW w:w="2903" w:type="dxa"/>
                  <w:tcBorders>
                    <w:tl2br w:val="nil"/>
                    <w:tr2bl w:val="nil"/>
                  </w:tcBorders>
                  <w:noWrap w:val="0"/>
                  <w:vAlign w:val="center"/>
                </w:tcPr>
                <w:p w14:paraId="66B3A969">
                  <w:pPr>
                    <w:pStyle w:val="44"/>
                    <w:bidi w:val="0"/>
                    <w:rPr>
                      <w:rFonts w:hint="default" w:ascii="Times New Roman" w:hAnsi="Times New Roman" w:cs="Times New Roman"/>
                      <w:b/>
                      <w:bCs/>
                      <w:color w:val="auto"/>
                    </w:rPr>
                  </w:pPr>
                  <w:r>
                    <w:rPr>
                      <w:rFonts w:hint="default" w:ascii="Times New Roman" w:hAnsi="Times New Roman" w:cs="Times New Roman"/>
                      <w:b/>
                      <w:bCs/>
                      <w:color w:val="auto"/>
                    </w:rPr>
                    <w:t>文件要求</w:t>
                  </w:r>
                </w:p>
              </w:tc>
              <w:tc>
                <w:tcPr>
                  <w:tcW w:w="2876" w:type="dxa"/>
                  <w:tcBorders>
                    <w:tl2br w:val="nil"/>
                    <w:tr2bl w:val="nil"/>
                  </w:tcBorders>
                  <w:noWrap w:val="0"/>
                  <w:vAlign w:val="center"/>
                </w:tcPr>
                <w:p w14:paraId="4076F30A">
                  <w:pPr>
                    <w:pStyle w:val="44"/>
                    <w:bidi w:val="0"/>
                    <w:rPr>
                      <w:rFonts w:hint="default" w:ascii="Times New Roman" w:hAnsi="Times New Roman" w:cs="Times New Roman"/>
                      <w:b/>
                      <w:bCs/>
                      <w:color w:val="auto"/>
                    </w:rPr>
                  </w:pPr>
                  <w:r>
                    <w:rPr>
                      <w:rFonts w:hint="default" w:ascii="Times New Roman" w:hAnsi="Times New Roman" w:cs="Times New Roman"/>
                      <w:b/>
                      <w:bCs/>
                      <w:color w:val="auto"/>
                    </w:rPr>
                    <w:t>本项目情况</w:t>
                  </w:r>
                </w:p>
              </w:tc>
              <w:tc>
                <w:tcPr>
                  <w:tcW w:w="867" w:type="dxa"/>
                  <w:tcBorders>
                    <w:tl2br w:val="nil"/>
                    <w:tr2bl w:val="nil"/>
                  </w:tcBorders>
                  <w:noWrap w:val="0"/>
                  <w:vAlign w:val="center"/>
                </w:tcPr>
                <w:p w14:paraId="01AEB165">
                  <w:pPr>
                    <w:pStyle w:val="44"/>
                    <w:bidi w:val="0"/>
                    <w:rPr>
                      <w:rFonts w:hint="default" w:ascii="Times New Roman" w:hAnsi="Times New Roman" w:cs="Times New Roman"/>
                      <w:b/>
                      <w:bCs/>
                      <w:color w:val="auto"/>
                    </w:rPr>
                  </w:pPr>
                  <w:r>
                    <w:rPr>
                      <w:rFonts w:hint="default" w:ascii="Times New Roman" w:hAnsi="Times New Roman" w:cs="Times New Roman"/>
                      <w:b/>
                      <w:bCs/>
                      <w:color w:val="auto"/>
                    </w:rPr>
                    <w:t>符合性</w:t>
                  </w:r>
                </w:p>
              </w:tc>
            </w:tr>
            <w:tr w14:paraId="5E2BA2B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92" w:type="dxa"/>
                  <w:tcBorders>
                    <w:tl2br w:val="nil"/>
                    <w:tr2bl w:val="nil"/>
                  </w:tcBorders>
                  <w:noWrap w:val="0"/>
                  <w:vAlign w:val="center"/>
                </w:tcPr>
                <w:p w14:paraId="063BC198">
                  <w:pPr>
                    <w:pStyle w:val="44"/>
                    <w:bidi w:val="0"/>
                    <w:rPr>
                      <w:rFonts w:hint="default" w:ascii="Times New Roman" w:hAnsi="Times New Roman" w:cs="Times New Roman"/>
                      <w:color w:val="auto"/>
                      <w:lang w:val="en-US" w:eastAsia="zh-CN"/>
                    </w:rPr>
                  </w:pPr>
                  <w:r>
                    <w:rPr>
                      <w:rFonts w:hint="default" w:ascii="Times New Roman" w:hAnsi="Times New Roman" w:cs="Times New Roman"/>
                      <w:color w:val="auto"/>
                    </w:rPr>
                    <w:t>产业导向</w:t>
                  </w:r>
                </w:p>
              </w:tc>
              <w:tc>
                <w:tcPr>
                  <w:tcW w:w="2903" w:type="dxa"/>
                  <w:tcBorders>
                    <w:tl2br w:val="nil"/>
                    <w:tr2bl w:val="nil"/>
                  </w:tcBorders>
                  <w:noWrap w:val="0"/>
                  <w:vAlign w:val="center"/>
                </w:tcPr>
                <w:p w14:paraId="58051543">
                  <w:pPr>
                    <w:pStyle w:val="44"/>
                    <w:bidi w:val="0"/>
                    <w:rPr>
                      <w:rFonts w:hint="default" w:ascii="Times New Roman" w:hAnsi="Times New Roman" w:cs="Times New Roman"/>
                      <w:color w:val="auto"/>
                    </w:rPr>
                  </w:pPr>
                  <w:r>
                    <w:rPr>
                      <w:rFonts w:hint="default" w:ascii="Times New Roman" w:hAnsi="Times New Roman" w:cs="Times New Roman"/>
                      <w:color w:val="auto"/>
                    </w:rPr>
                    <w:t>1、符合国家及地方产业政策，入区企业应为《产业结构调整指导目录（2024年本》以及《外商投资产业指导目录（2019年本）》中鼓励类产业和允许类产业。</w:t>
                  </w:r>
                </w:p>
                <w:p w14:paraId="6314E183">
                  <w:pPr>
                    <w:pStyle w:val="44"/>
                    <w:bidi w:val="0"/>
                    <w:rPr>
                      <w:rFonts w:hint="default" w:ascii="Times New Roman" w:hAnsi="Times New Roman" w:cs="Times New Roman"/>
                      <w:color w:val="auto"/>
                    </w:rPr>
                  </w:pPr>
                  <w:r>
                    <w:rPr>
                      <w:rFonts w:hint="default" w:ascii="Times New Roman" w:hAnsi="Times New Roman" w:cs="Times New Roman"/>
                      <w:color w:val="auto"/>
                    </w:rPr>
                    <w:t>2、符合《市场准入负面清单（2020年版）》和《外商投资准入特别管理措施（负面清单）（2020年版）》许可类。</w:t>
                  </w:r>
                </w:p>
                <w:p w14:paraId="64D28390">
                  <w:pPr>
                    <w:pStyle w:val="44"/>
                    <w:bidi w:val="0"/>
                    <w:rPr>
                      <w:rFonts w:hint="default" w:ascii="Times New Roman" w:hAnsi="Times New Roman" w:cs="Times New Roman"/>
                      <w:color w:val="auto"/>
                    </w:rPr>
                  </w:pPr>
                  <w:r>
                    <w:rPr>
                      <w:rFonts w:hint="default" w:ascii="Times New Roman" w:hAnsi="Times New Roman" w:cs="Times New Roman"/>
                      <w:color w:val="auto"/>
                    </w:rPr>
                    <w:t>3、满足济宁市市级生态环境准入清单要求 “三线一单”生态环境管控要求。</w:t>
                  </w:r>
                </w:p>
                <w:p w14:paraId="7CA30094">
                  <w:pPr>
                    <w:pStyle w:val="44"/>
                    <w:bidi w:val="0"/>
                    <w:rPr>
                      <w:rFonts w:hint="default" w:ascii="Times New Roman" w:hAnsi="Times New Roman" w:cs="Times New Roman"/>
                      <w:color w:val="auto"/>
                    </w:rPr>
                  </w:pPr>
                  <w:r>
                    <w:rPr>
                      <w:rFonts w:hint="default" w:ascii="Times New Roman" w:hAnsi="Times New Roman" w:cs="Times New Roman"/>
                      <w:color w:val="auto"/>
                    </w:rPr>
                    <w:t>4、符合所属行业有关发展规划。</w:t>
                  </w:r>
                </w:p>
                <w:p w14:paraId="29FD751D">
                  <w:pPr>
                    <w:pStyle w:val="44"/>
                    <w:bidi w:val="0"/>
                    <w:rPr>
                      <w:rFonts w:hint="default" w:ascii="Times New Roman" w:hAnsi="Times New Roman" w:cs="Times New Roman"/>
                      <w:color w:val="auto"/>
                      <w:lang w:val="en-US" w:eastAsia="zh-CN"/>
                    </w:rPr>
                  </w:pPr>
                  <w:r>
                    <w:rPr>
                      <w:rFonts w:hint="default" w:ascii="Times New Roman" w:hAnsi="Times New Roman" w:cs="Times New Roman"/>
                      <w:color w:val="auto"/>
                    </w:rPr>
                    <w:t>5、符合园区规划产业定位、用地规划及规划环评的产业准入清单。优先引进主导产业中非涉水、少涉水行业。</w:t>
                  </w:r>
                </w:p>
              </w:tc>
              <w:tc>
                <w:tcPr>
                  <w:tcW w:w="2876" w:type="dxa"/>
                  <w:tcBorders>
                    <w:tl2br w:val="nil"/>
                    <w:tr2bl w:val="nil"/>
                  </w:tcBorders>
                  <w:noWrap w:val="0"/>
                  <w:vAlign w:val="center"/>
                </w:tcPr>
                <w:p w14:paraId="1D81B259">
                  <w:pPr>
                    <w:pStyle w:val="44"/>
                    <w:bidi w:val="0"/>
                    <w:rPr>
                      <w:rFonts w:hint="eastAsia" w:cs="Times New Roman"/>
                      <w:color w:val="auto"/>
                      <w:lang w:val="en-US" w:eastAsia="zh-CN"/>
                    </w:rPr>
                  </w:pPr>
                  <w:r>
                    <w:rPr>
                      <w:rFonts w:hint="default" w:ascii="Times New Roman" w:hAnsi="Times New Roman" w:cs="Times New Roman"/>
                      <w:color w:val="auto"/>
                      <w:lang w:val="en-US" w:eastAsia="zh-CN"/>
                    </w:rPr>
                    <w:t>1、本项目属于国家</w:t>
                  </w:r>
                  <w:r>
                    <w:rPr>
                      <w:rFonts w:hint="eastAsia" w:cs="Times New Roman"/>
                      <w:color w:val="auto"/>
                      <w:lang w:val="en-US" w:eastAsia="zh-CN"/>
                    </w:rPr>
                    <w:t>鼓励</w:t>
                  </w:r>
                  <w:r>
                    <w:rPr>
                      <w:rFonts w:hint="default" w:ascii="Times New Roman" w:hAnsi="Times New Roman" w:cs="Times New Roman"/>
                      <w:color w:val="auto"/>
                      <w:lang w:val="en-US" w:eastAsia="zh-CN"/>
                    </w:rPr>
                    <w:t>类项目，符合国家及地方产业政策</w:t>
                  </w:r>
                  <w:r>
                    <w:rPr>
                      <w:rFonts w:hint="eastAsia" w:cs="Times New Roman"/>
                      <w:color w:val="auto"/>
                      <w:lang w:val="en-US" w:eastAsia="zh-CN"/>
                    </w:rPr>
                    <w:t>。</w:t>
                  </w:r>
                </w:p>
                <w:p w14:paraId="32C651B2">
                  <w:pPr>
                    <w:pStyle w:val="44"/>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2、项目不位于负面清单内</w:t>
                  </w:r>
                  <w:r>
                    <w:rPr>
                      <w:rFonts w:hint="eastAsia" w:cs="Times New Roman"/>
                      <w:color w:val="auto"/>
                      <w:lang w:val="en-US" w:eastAsia="zh-CN"/>
                    </w:rPr>
                    <w:t>。</w:t>
                  </w:r>
                </w:p>
                <w:p w14:paraId="3E6C4223">
                  <w:pPr>
                    <w:pStyle w:val="44"/>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3、项目满足三线一单管控要求</w:t>
                  </w:r>
                  <w:r>
                    <w:rPr>
                      <w:rFonts w:hint="eastAsia" w:cs="Times New Roman"/>
                      <w:color w:val="auto"/>
                      <w:lang w:val="en-US" w:eastAsia="zh-CN"/>
                    </w:rPr>
                    <w:t>。</w:t>
                  </w:r>
                </w:p>
                <w:p w14:paraId="1D87131D">
                  <w:pPr>
                    <w:pStyle w:val="44"/>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4、项目符合</w:t>
                  </w:r>
                  <w:r>
                    <w:rPr>
                      <w:rFonts w:hint="eastAsia" w:cs="Times New Roman"/>
                      <w:color w:val="auto"/>
                      <w:lang w:val="en-US" w:eastAsia="zh-CN"/>
                    </w:rPr>
                    <w:t>石化化工行业</w:t>
                  </w:r>
                  <w:r>
                    <w:rPr>
                      <w:rFonts w:hint="default" w:ascii="Times New Roman" w:hAnsi="Times New Roman" w:cs="Times New Roman"/>
                      <w:color w:val="auto"/>
                      <w:lang w:val="en-US" w:eastAsia="zh-CN"/>
                    </w:rPr>
                    <w:t>规范条件、发展指导目录要求</w:t>
                  </w:r>
                  <w:r>
                    <w:rPr>
                      <w:rFonts w:hint="eastAsia" w:cs="Times New Roman"/>
                      <w:color w:val="auto"/>
                      <w:lang w:val="en-US" w:eastAsia="zh-CN"/>
                    </w:rPr>
                    <w:t>。</w:t>
                  </w:r>
                </w:p>
                <w:p w14:paraId="59EE6851">
                  <w:pPr>
                    <w:pStyle w:val="44"/>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5、符合金庄镇卞庄工业园规划产业定位、用地规划及规划环评的产业准入清单</w:t>
                  </w:r>
                  <w:r>
                    <w:rPr>
                      <w:rFonts w:hint="eastAsia" w:cs="Times New Roman"/>
                      <w:color w:val="auto"/>
                      <w:lang w:val="en-US" w:eastAsia="zh-CN"/>
                    </w:rPr>
                    <w:t>。</w:t>
                  </w:r>
                </w:p>
              </w:tc>
              <w:tc>
                <w:tcPr>
                  <w:tcW w:w="867" w:type="dxa"/>
                  <w:tcBorders>
                    <w:tl2br w:val="nil"/>
                    <w:tr2bl w:val="nil"/>
                  </w:tcBorders>
                  <w:noWrap w:val="0"/>
                  <w:vAlign w:val="center"/>
                </w:tcPr>
                <w:p w14:paraId="77276283">
                  <w:pPr>
                    <w:pStyle w:val="44"/>
                    <w:bidi w:val="0"/>
                    <w:rPr>
                      <w:rFonts w:hint="default" w:ascii="Times New Roman" w:hAnsi="Times New Roman" w:cs="Times New Roman"/>
                      <w:color w:val="auto"/>
                    </w:rPr>
                  </w:pPr>
                  <w:r>
                    <w:rPr>
                      <w:rFonts w:hint="default" w:ascii="Times New Roman" w:hAnsi="Times New Roman" w:cs="Times New Roman"/>
                      <w:color w:val="auto"/>
                    </w:rPr>
                    <w:t>符合</w:t>
                  </w:r>
                </w:p>
              </w:tc>
            </w:tr>
            <w:tr w14:paraId="3DE59BF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92" w:type="dxa"/>
                  <w:tcBorders>
                    <w:tl2br w:val="nil"/>
                    <w:tr2bl w:val="nil"/>
                  </w:tcBorders>
                  <w:noWrap w:val="0"/>
                  <w:vAlign w:val="center"/>
                </w:tcPr>
                <w:p w14:paraId="1B87F250">
                  <w:pPr>
                    <w:pStyle w:val="44"/>
                    <w:bidi w:val="0"/>
                    <w:rPr>
                      <w:rFonts w:hint="default" w:ascii="Times New Roman" w:hAnsi="Times New Roman" w:cs="Times New Roman"/>
                      <w:color w:val="auto"/>
                      <w:lang w:val="en-US" w:eastAsia="zh-CN"/>
                    </w:rPr>
                  </w:pPr>
                  <w:r>
                    <w:rPr>
                      <w:rFonts w:hint="default" w:ascii="Times New Roman" w:hAnsi="Times New Roman" w:cs="Times New Roman"/>
                      <w:color w:val="auto"/>
                    </w:rPr>
                    <w:t>规划选址</w:t>
                  </w:r>
                </w:p>
              </w:tc>
              <w:tc>
                <w:tcPr>
                  <w:tcW w:w="2903" w:type="dxa"/>
                  <w:tcBorders>
                    <w:tl2br w:val="nil"/>
                    <w:tr2bl w:val="nil"/>
                  </w:tcBorders>
                  <w:noWrap w:val="0"/>
                  <w:vAlign w:val="center"/>
                </w:tcPr>
                <w:p w14:paraId="457856E6">
                  <w:pPr>
                    <w:pStyle w:val="44"/>
                    <w:bidi w:val="0"/>
                    <w:rPr>
                      <w:rFonts w:hint="default" w:ascii="Times New Roman" w:hAnsi="Times New Roman" w:cs="Times New Roman"/>
                      <w:color w:val="auto"/>
                    </w:rPr>
                  </w:pPr>
                  <w:r>
                    <w:rPr>
                      <w:rFonts w:hint="default" w:ascii="Times New Roman" w:hAnsi="Times New Roman" w:cs="Times New Roman"/>
                      <w:color w:val="auto"/>
                    </w:rPr>
                    <w:t>1、选址符合《济宁市环境功能区划》。</w:t>
                  </w:r>
                </w:p>
                <w:p w14:paraId="4B83279C">
                  <w:pPr>
                    <w:pStyle w:val="44"/>
                    <w:bidi w:val="0"/>
                    <w:rPr>
                      <w:rFonts w:hint="default" w:ascii="Times New Roman" w:hAnsi="Times New Roman" w:cs="Times New Roman"/>
                      <w:color w:val="auto"/>
                      <w:lang w:val="en-US" w:eastAsia="zh-CN"/>
                    </w:rPr>
                  </w:pPr>
                  <w:r>
                    <w:rPr>
                      <w:rFonts w:hint="default" w:ascii="Times New Roman" w:hAnsi="Times New Roman" w:cs="Times New Roman"/>
                      <w:color w:val="auto"/>
                    </w:rPr>
                    <w:t>2、选址符合泗水县国土空间规划、园区规划。</w:t>
                  </w:r>
                </w:p>
              </w:tc>
              <w:tc>
                <w:tcPr>
                  <w:tcW w:w="2876" w:type="dxa"/>
                  <w:tcBorders>
                    <w:tl2br w:val="nil"/>
                    <w:tr2bl w:val="nil"/>
                  </w:tcBorders>
                  <w:noWrap w:val="0"/>
                  <w:vAlign w:val="center"/>
                </w:tcPr>
                <w:p w14:paraId="03E1DCAF">
                  <w:pPr>
                    <w:pStyle w:val="44"/>
                    <w:bidi w:val="0"/>
                    <w:rPr>
                      <w:rFonts w:hint="default" w:ascii="Times New Roman" w:hAnsi="Times New Roman" w:cs="Times New Roman"/>
                      <w:color w:val="auto"/>
                      <w:lang w:eastAsia="zh-CN"/>
                    </w:rPr>
                  </w:pPr>
                  <w:r>
                    <w:rPr>
                      <w:rFonts w:hint="default" w:ascii="Times New Roman" w:hAnsi="Times New Roman" w:cs="Times New Roman"/>
                      <w:color w:val="auto"/>
                      <w:lang w:eastAsia="zh-CN"/>
                    </w:rPr>
                    <w:t>项目选址符合济宁市各环境功能区划，符合泗水县国土空间规划、</w:t>
                  </w:r>
                  <w:r>
                    <w:rPr>
                      <w:rFonts w:hint="default" w:ascii="Times New Roman" w:hAnsi="Times New Roman" w:cs="Times New Roman"/>
                      <w:color w:val="auto"/>
                      <w:lang w:val="en-US" w:eastAsia="zh-CN"/>
                    </w:rPr>
                    <w:t>金庄镇卞庄工业园</w:t>
                  </w:r>
                  <w:r>
                    <w:rPr>
                      <w:rFonts w:hint="default" w:ascii="Times New Roman" w:hAnsi="Times New Roman" w:cs="Times New Roman"/>
                      <w:color w:val="auto"/>
                      <w:lang w:eastAsia="zh-CN"/>
                    </w:rPr>
                    <w:t>规划</w:t>
                  </w:r>
                  <w:r>
                    <w:rPr>
                      <w:rFonts w:hint="eastAsia" w:cs="Times New Roman"/>
                      <w:color w:val="auto"/>
                      <w:lang w:eastAsia="zh-CN"/>
                    </w:rPr>
                    <w:t>。</w:t>
                  </w:r>
                </w:p>
              </w:tc>
              <w:tc>
                <w:tcPr>
                  <w:tcW w:w="867" w:type="dxa"/>
                  <w:tcBorders>
                    <w:tl2br w:val="nil"/>
                    <w:tr2bl w:val="nil"/>
                  </w:tcBorders>
                  <w:noWrap w:val="0"/>
                  <w:vAlign w:val="center"/>
                </w:tcPr>
                <w:p w14:paraId="6CE21369">
                  <w:pPr>
                    <w:pStyle w:val="44"/>
                    <w:bidi w:val="0"/>
                    <w:rPr>
                      <w:rFonts w:hint="default" w:ascii="Times New Roman" w:hAnsi="Times New Roman" w:cs="Times New Roman"/>
                      <w:color w:val="auto"/>
                    </w:rPr>
                  </w:pPr>
                  <w:r>
                    <w:rPr>
                      <w:rFonts w:hint="default" w:ascii="Times New Roman" w:hAnsi="Times New Roman" w:cs="Times New Roman"/>
                      <w:color w:val="auto"/>
                    </w:rPr>
                    <w:t>符合</w:t>
                  </w:r>
                </w:p>
              </w:tc>
            </w:tr>
            <w:tr w14:paraId="6AC7930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92" w:type="dxa"/>
                  <w:tcBorders>
                    <w:tl2br w:val="nil"/>
                    <w:tr2bl w:val="nil"/>
                  </w:tcBorders>
                  <w:noWrap w:val="0"/>
                  <w:vAlign w:val="center"/>
                </w:tcPr>
                <w:p w14:paraId="50B3D85A">
                  <w:pPr>
                    <w:pStyle w:val="44"/>
                    <w:bidi w:val="0"/>
                    <w:rPr>
                      <w:rFonts w:hint="default" w:ascii="Times New Roman" w:hAnsi="Times New Roman" w:cs="Times New Roman"/>
                      <w:color w:val="auto"/>
                      <w:lang w:val="en-US" w:eastAsia="zh-CN"/>
                    </w:rPr>
                  </w:pPr>
                  <w:r>
                    <w:rPr>
                      <w:rFonts w:hint="default" w:ascii="Times New Roman" w:hAnsi="Times New Roman" w:cs="Times New Roman"/>
                      <w:color w:val="auto"/>
                    </w:rPr>
                    <w:t>清洁生产</w:t>
                  </w:r>
                </w:p>
              </w:tc>
              <w:tc>
                <w:tcPr>
                  <w:tcW w:w="2903" w:type="dxa"/>
                  <w:tcBorders>
                    <w:tl2br w:val="nil"/>
                    <w:tr2bl w:val="nil"/>
                  </w:tcBorders>
                  <w:noWrap w:val="0"/>
                  <w:vAlign w:val="center"/>
                </w:tcPr>
                <w:p w14:paraId="1BE9AE53">
                  <w:pPr>
                    <w:pStyle w:val="44"/>
                    <w:bidi w:val="0"/>
                    <w:rPr>
                      <w:rFonts w:hint="default" w:ascii="Times New Roman" w:hAnsi="Times New Roman" w:cs="Times New Roman"/>
                      <w:color w:val="auto"/>
                      <w:lang w:val="en-US" w:eastAsia="zh-CN"/>
                    </w:rPr>
                  </w:pPr>
                  <w:r>
                    <w:rPr>
                      <w:rFonts w:hint="default" w:ascii="Times New Roman" w:hAnsi="Times New Roman" w:cs="Times New Roman"/>
                      <w:color w:val="auto"/>
                    </w:rPr>
                    <w:t>入区项目生产工艺、装备技术水平等应达到国内同行业领先水平；水耗指标应设定在清洁生产一级水平(国际先进水平)或二级水平(国内先进水平)符合“循环经济”理念，有助于形成内部循环经济产业链。</w:t>
                  </w:r>
                </w:p>
              </w:tc>
              <w:tc>
                <w:tcPr>
                  <w:tcW w:w="2876" w:type="dxa"/>
                  <w:tcBorders>
                    <w:tl2br w:val="nil"/>
                    <w:tr2bl w:val="nil"/>
                  </w:tcBorders>
                  <w:noWrap w:val="0"/>
                  <w:vAlign w:val="center"/>
                </w:tcPr>
                <w:p w14:paraId="4B681DA3">
                  <w:pPr>
                    <w:pStyle w:val="44"/>
                    <w:bidi w:val="0"/>
                    <w:rPr>
                      <w:rFonts w:hint="default" w:ascii="Times New Roman" w:hAnsi="Times New Roman" w:cs="Times New Roman"/>
                      <w:color w:val="auto"/>
                      <w:lang w:eastAsia="zh-CN"/>
                    </w:rPr>
                  </w:pPr>
                  <w:r>
                    <w:rPr>
                      <w:rFonts w:hint="default" w:ascii="Times New Roman" w:hAnsi="Times New Roman" w:cs="Times New Roman"/>
                      <w:color w:val="auto"/>
                    </w:rPr>
                    <w:t>项目</w:t>
                  </w:r>
                  <w:r>
                    <w:rPr>
                      <w:rFonts w:hint="eastAsia" w:cs="Times New Roman"/>
                      <w:color w:val="auto"/>
                      <w:lang w:val="en-US" w:eastAsia="zh-CN"/>
                    </w:rPr>
                    <w:t>采用同行业先进设备</w:t>
                  </w:r>
                  <w:r>
                    <w:rPr>
                      <w:rFonts w:hint="default" w:ascii="Times New Roman" w:hAnsi="Times New Roman" w:cs="Times New Roman"/>
                      <w:color w:val="auto"/>
                    </w:rPr>
                    <w:t>。</w:t>
                  </w:r>
                  <w:r>
                    <w:rPr>
                      <w:rFonts w:hint="default" w:ascii="Times New Roman" w:hAnsi="Times New Roman" w:cs="Times New Roman"/>
                      <w:color w:val="auto"/>
                      <w:lang w:eastAsia="zh-CN"/>
                    </w:rPr>
                    <w:t>项目生产用水量不大，废水循环使用</w:t>
                  </w:r>
                  <w:r>
                    <w:rPr>
                      <w:rFonts w:hint="eastAsia" w:cs="Times New Roman"/>
                      <w:color w:val="auto"/>
                      <w:lang w:eastAsia="zh-CN"/>
                    </w:rPr>
                    <w:t>。</w:t>
                  </w:r>
                </w:p>
              </w:tc>
              <w:tc>
                <w:tcPr>
                  <w:tcW w:w="867" w:type="dxa"/>
                  <w:tcBorders>
                    <w:tl2br w:val="nil"/>
                    <w:tr2bl w:val="nil"/>
                  </w:tcBorders>
                  <w:noWrap w:val="0"/>
                  <w:vAlign w:val="center"/>
                </w:tcPr>
                <w:p w14:paraId="4ACCF8CE">
                  <w:pPr>
                    <w:pStyle w:val="44"/>
                    <w:bidi w:val="0"/>
                    <w:rPr>
                      <w:rFonts w:hint="default" w:ascii="Times New Roman" w:hAnsi="Times New Roman" w:cs="Times New Roman"/>
                      <w:color w:val="auto"/>
                    </w:rPr>
                  </w:pPr>
                  <w:r>
                    <w:rPr>
                      <w:rFonts w:hint="default" w:ascii="Times New Roman" w:hAnsi="Times New Roman" w:cs="Times New Roman"/>
                      <w:color w:val="auto"/>
                    </w:rPr>
                    <w:t>符合</w:t>
                  </w:r>
                </w:p>
              </w:tc>
            </w:tr>
            <w:tr w14:paraId="119B8E4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92" w:type="dxa"/>
                  <w:tcBorders>
                    <w:tl2br w:val="nil"/>
                    <w:tr2bl w:val="nil"/>
                  </w:tcBorders>
                  <w:noWrap w:val="0"/>
                  <w:vAlign w:val="center"/>
                </w:tcPr>
                <w:p w14:paraId="3570EFCE">
                  <w:pPr>
                    <w:pStyle w:val="44"/>
                    <w:bidi w:val="0"/>
                    <w:rPr>
                      <w:rFonts w:hint="default" w:ascii="Times New Roman" w:hAnsi="Times New Roman" w:cs="Times New Roman"/>
                      <w:color w:val="auto"/>
                      <w:lang w:val="en-US" w:eastAsia="zh-CN"/>
                    </w:rPr>
                  </w:pPr>
                  <w:r>
                    <w:rPr>
                      <w:rFonts w:hint="default" w:ascii="Times New Roman" w:hAnsi="Times New Roman" w:cs="Times New Roman"/>
                      <w:color w:val="auto"/>
                    </w:rPr>
                    <w:t>环境保护</w:t>
                  </w:r>
                </w:p>
              </w:tc>
              <w:tc>
                <w:tcPr>
                  <w:tcW w:w="2903" w:type="dxa"/>
                  <w:tcBorders>
                    <w:tl2br w:val="nil"/>
                    <w:tr2bl w:val="nil"/>
                  </w:tcBorders>
                  <w:noWrap w:val="0"/>
                  <w:vAlign w:val="center"/>
                </w:tcPr>
                <w:p w14:paraId="22D88AF5">
                  <w:pPr>
                    <w:pStyle w:val="44"/>
                    <w:bidi w:val="0"/>
                    <w:rPr>
                      <w:rFonts w:hint="default" w:ascii="Times New Roman" w:hAnsi="Times New Roman" w:cs="Times New Roman"/>
                      <w:color w:val="auto"/>
                    </w:rPr>
                  </w:pPr>
                  <w:r>
                    <w:rPr>
                      <w:rFonts w:hint="default" w:ascii="Times New Roman" w:hAnsi="Times New Roman" w:cs="Times New Roman"/>
                      <w:color w:val="auto"/>
                    </w:rPr>
                    <w:t>1、符合行业环境准入要求。</w:t>
                  </w:r>
                </w:p>
                <w:p w14:paraId="651F8240">
                  <w:pPr>
                    <w:pStyle w:val="44"/>
                    <w:bidi w:val="0"/>
                    <w:rPr>
                      <w:rFonts w:hint="default" w:ascii="Times New Roman" w:hAnsi="Times New Roman" w:cs="Times New Roman"/>
                      <w:color w:val="auto"/>
                    </w:rPr>
                  </w:pPr>
                  <w:r>
                    <w:rPr>
                      <w:rFonts w:hint="default" w:ascii="Times New Roman" w:hAnsi="Times New Roman" w:cs="Times New Roman"/>
                      <w:color w:val="auto"/>
                    </w:rPr>
                    <w:t>2、项目建设拟排放污染物符合国家、省规定的污染物排放标准。</w:t>
                  </w:r>
                </w:p>
                <w:p w14:paraId="3822453E">
                  <w:pPr>
                    <w:pStyle w:val="44"/>
                    <w:bidi w:val="0"/>
                    <w:rPr>
                      <w:rFonts w:hint="default" w:ascii="Times New Roman" w:hAnsi="Times New Roman" w:cs="Times New Roman"/>
                      <w:color w:val="auto"/>
                    </w:rPr>
                  </w:pPr>
                  <w:r>
                    <w:rPr>
                      <w:rFonts w:hint="default" w:ascii="Times New Roman" w:hAnsi="Times New Roman" w:cs="Times New Roman"/>
                      <w:color w:val="auto"/>
                    </w:rPr>
                    <w:t>3、建设项目新增主要污染物排放量符合总量控制和污染物减排要求。</w:t>
                  </w:r>
                </w:p>
                <w:p w14:paraId="403D0F73">
                  <w:pPr>
                    <w:pStyle w:val="44"/>
                    <w:bidi w:val="0"/>
                    <w:rPr>
                      <w:rFonts w:hint="default" w:ascii="Times New Roman" w:hAnsi="Times New Roman" w:cs="Times New Roman"/>
                      <w:color w:val="auto"/>
                      <w:lang w:val="en-US" w:eastAsia="zh-CN"/>
                    </w:rPr>
                  </w:pPr>
                  <w:r>
                    <w:rPr>
                      <w:rFonts w:hint="default" w:ascii="Times New Roman" w:hAnsi="Times New Roman" w:cs="Times New Roman"/>
                      <w:color w:val="auto"/>
                    </w:rPr>
                    <w:t>4、废水集中纳管排放。</w:t>
                  </w:r>
                </w:p>
              </w:tc>
              <w:tc>
                <w:tcPr>
                  <w:tcW w:w="2876" w:type="dxa"/>
                  <w:tcBorders>
                    <w:tl2br w:val="nil"/>
                    <w:tr2bl w:val="nil"/>
                  </w:tcBorders>
                  <w:noWrap w:val="0"/>
                  <w:vAlign w:val="center"/>
                </w:tcPr>
                <w:p w14:paraId="40DE28E3">
                  <w:pPr>
                    <w:pStyle w:val="44"/>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1、项目符合</w:t>
                  </w:r>
                  <w:r>
                    <w:rPr>
                      <w:rFonts w:hint="eastAsia" w:cs="Times New Roman"/>
                      <w:color w:val="auto"/>
                      <w:lang w:val="en-US" w:eastAsia="zh-CN"/>
                    </w:rPr>
                    <w:t>石化化工</w:t>
                  </w:r>
                  <w:r>
                    <w:rPr>
                      <w:rFonts w:hint="default" w:ascii="Times New Roman" w:hAnsi="Times New Roman" w:cs="Times New Roman"/>
                      <w:color w:val="auto"/>
                      <w:lang w:val="en-US" w:eastAsia="zh-CN"/>
                    </w:rPr>
                    <w:t>行业准入要求</w:t>
                  </w:r>
                  <w:r>
                    <w:rPr>
                      <w:rFonts w:hint="eastAsia" w:cs="Times New Roman"/>
                      <w:color w:val="auto"/>
                      <w:lang w:val="en-US" w:eastAsia="zh-CN"/>
                    </w:rPr>
                    <w:t>。</w:t>
                  </w:r>
                </w:p>
                <w:p w14:paraId="7A51DE3D">
                  <w:pPr>
                    <w:pStyle w:val="44"/>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2、项目烟粉尘、VOCs排放满足国家、省规定的污染物排放标准</w:t>
                  </w:r>
                  <w:r>
                    <w:rPr>
                      <w:rFonts w:hint="eastAsia" w:cs="Times New Roman"/>
                      <w:color w:val="auto"/>
                      <w:lang w:val="en-US" w:eastAsia="zh-CN"/>
                    </w:rPr>
                    <w:t>。</w:t>
                  </w:r>
                </w:p>
                <w:p w14:paraId="57B86A6C">
                  <w:pPr>
                    <w:pStyle w:val="44"/>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3、污染物排放量申请倍量替代</w:t>
                  </w:r>
                  <w:r>
                    <w:rPr>
                      <w:rFonts w:hint="eastAsia" w:cs="Times New Roman"/>
                      <w:color w:val="auto"/>
                      <w:lang w:val="en-US" w:eastAsia="zh-CN"/>
                    </w:rPr>
                    <w:t>。</w:t>
                  </w:r>
                </w:p>
                <w:p w14:paraId="6D60AB0F">
                  <w:pPr>
                    <w:pStyle w:val="44"/>
                    <w:bidi w:val="0"/>
                    <w:rPr>
                      <w:rFonts w:hint="default" w:ascii="Times New Roman" w:hAnsi="Times New Roman" w:cs="Times New Roman"/>
                      <w:color w:val="auto"/>
                      <w:lang w:val="en-US"/>
                    </w:rPr>
                  </w:pPr>
                  <w:r>
                    <w:rPr>
                      <w:rFonts w:hint="default" w:ascii="Times New Roman" w:hAnsi="Times New Roman" w:cs="Times New Roman"/>
                      <w:color w:val="auto"/>
                      <w:lang w:val="en-US" w:eastAsia="zh-CN"/>
                    </w:rPr>
                    <w:t>4、项目无生产废水排放，生活污水经化粪池处理后委托环卫部门清运</w:t>
                  </w:r>
                  <w:r>
                    <w:rPr>
                      <w:rFonts w:hint="eastAsia" w:cs="Times New Roman"/>
                      <w:color w:val="auto"/>
                      <w:lang w:val="en-US" w:eastAsia="zh-CN"/>
                    </w:rPr>
                    <w:t>，冷却水循环使用不外排。</w:t>
                  </w:r>
                </w:p>
              </w:tc>
              <w:tc>
                <w:tcPr>
                  <w:tcW w:w="867" w:type="dxa"/>
                  <w:tcBorders>
                    <w:tl2br w:val="nil"/>
                    <w:tr2bl w:val="nil"/>
                  </w:tcBorders>
                  <w:noWrap w:val="0"/>
                  <w:vAlign w:val="center"/>
                </w:tcPr>
                <w:p w14:paraId="58DFCB21">
                  <w:pPr>
                    <w:pStyle w:val="44"/>
                    <w:bidi w:val="0"/>
                    <w:rPr>
                      <w:rFonts w:hint="default" w:ascii="Times New Roman" w:hAnsi="Times New Roman" w:cs="Times New Roman"/>
                      <w:color w:val="auto"/>
                    </w:rPr>
                  </w:pPr>
                  <w:r>
                    <w:rPr>
                      <w:rFonts w:hint="default" w:ascii="Times New Roman" w:hAnsi="Times New Roman" w:cs="Times New Roman"/>
                      <w:color w:val="auto"/>
                    </w:rPr>
                    <w:t>符合</w:t>
                  </w:r>
                </w:p>
              </w:tc>
            </w:tr>
          </w:tbl>
          <w:p w14:paraId="317A412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default" w:ascii="Times New Roman" w:hAnsi="Times New Roman" w:cs="Times New Roman"/>
                <w:color w:val="auto"/>
                <w:kern w:val="0"/>
                <w:sz w:val="24"/>
                <w:szCs w:val="24"/>
                <w:lang w:val="en-US" w:eastAsia="zh-CN"/>
              </w:rPr>
            </w:pPr>
            <w:r>
              <w:rPr>
                <w:rFonts w:hint="default" w:ascii="Times New Roman" w:hAnsi="Times New Roman" w:cs="Times New Roman"/>
                <w:color w:val="auto"/>
                <w:kern w:val="0"/>
                <w:sz w:val="24"/>
                <w:szCs w:val="24"/>
                <w:lang w:val="en-US" w:eastAsia="zh-CN"/>
              </w:rPr>
              <w:t>园区规划主导产业包括机械加工、玩具加工、合金铸造，园区入区行业控制级别见下表。</w:t>
            </w:r>
          </w:p>
          <w:p w14:paraId="59226770">
            <w:pPr>
              <w:pStyle w:val="45"/>
              <w:bidi w:val="0"/>
              <w:rPr>
                <w:rFonts w:hint="default" w:ascii="Times New Roman" w:hAnsi="Times New Roman" w:cs="Times New Roman"/>
                <w:color w:val="auto"/>
                <w:lang w:val="en-US" w:eastAsia="zh-CN"/>
              </w:rPr>
            </w:pPr>
            <w:r>
              <w:rPr>
                <w:rFonts w:hint="default" w:ascii="Times New Roman" w:hAnsi="Times New Roman" w:cs="Times New Roman"/>
                <w:color w:val="auto"/>
              </w:rPr>
              <w:t>表1-</w:t>
            </w:r>
            <w:r>
              <w:rPr>
                <w:rFonts w:hint="default" w:ascii="Times New Roman" w:hAnsi="Times New Roman" w:cs="Times New Roman"/>
                <w:color w:val="auto"/>
                <w:lang w:val="en-US" w:eastAsia="zh-CN"/>
              </w:rPr>
              <w:t>2 园区入区行业控制级别表</w:t>
            </w:r>
          </w:p>
          <w:tbl>
            <w:tblPr>
              <w:tblStyle w:val="139"/>
              <w:tblW w:w="5000" w:type="pct"/>
              <w:jc w:val="center"/>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Layout w:type="fixed"/>
              <w:tblCellMar>
                <w:top w:w="0" w:type="dxa"/>
                <w:left w:w="0" w:type="dxa"/>
                <w:bottom w:w="0" w:type="dxa"/>
                <w:right w:w="0" w:type="dxa"/>
              </w:tblCellMar>
            </w:tblPr>
            <w:tblGrid>
              <w:gridCol w:w="1826"/>
              <w:gridCol w:w="689"/>
              <w:gridCol w:w="4065"/>
              <w:gridCol w:w="1190"/>
            </w:tblGrid>
            <w:tr w14:paraId="679391E0">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826" w:type="dxa"/>
                  <w:tcBorders>
                    <w:tl2br w:val="nil"/>
                    <w:tr2bl w:val="nil"/>
                  </w:tcBorders>
                  <w:noWrap w:val="0"/>
                  <w:vAlign w:val="center"/>
                </w:tcPr>
                <w:p w14:paraId="3965BFCE">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bCs/>
                      <w:color w:val="auto"/>
                      <w:sz w:val="21"/>
                      <w:szCs w:val="21"/>
                      <w:lang w:eastAsia="en-US"/>
                    </w:rPr>
                  </w:pPr>
                  <w:r>
                    <w:rPr>
                      <w:rFonts w:hint="default" w:ascii="Times New Roman" w:hAnsi="Times New Roman" w:cs="Times New Roman"/>
                      <w:b/>
                      <w:bCs/>
                      <w:color w:val="auto"/>
                      <w:spacing w:val="4"/>
                      <w:sz w:val="21"/>
                      <w:szCs w:val="21"/>
                      <w:lang w:eastAsia="en-US"/>
                    </w:rPr>
                    <w:t>行业</w:t>
                  </w:r>
                </w:p>
              </w:tc>
              <w:tc>
                <w:tcPr>
                  <w:tcW w:w="4754" w:type="dxa"/>
                  <w:gridSpan w:val="2"/>
                  <w:tcBorders>
                    <w:tl2br w:val="nil"/>
                    <w:tr2bl w:val="nil"/>
                  </w:tcBorders>
                  <w:noWrap w:val="0"/>
                  <w:vAlign w:val="center"/>
                </w:tcPr>
                <w:p w14:paraId="43410709">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bCs/>
                      <w:color w:val="auto"/>
                      <w:sz w:val="21"/>
                      <w:szCs w:val="21"/>
                      <w:lang w:eastAsia="en-US"/>
                    </w:rPr>
                  </w:pPr>
                  <w:r>
                    <w:rPr>
                      <w:rFonts w:hint="default" w:ascii="Times New Roman" w:hAnsi="Times New Roman" w:cs="Times New Roman"/>
                      <w:b/>
                      <w:bCs/>
                      <w:color w:val="auto"/>
                      <w:spacing w:val="10"/>
                      <w:sz w:val="21"/>
                      <w:szCs w:val="21"/>
                      <w:lang w:eastAsia="en-US"/>
                    </w:rPr>
                    <w:t>行</w:t>
                  </w:r>
                  <w:r>
                    <w:rPr>
                      <w:rFonts w:hint="default" w:ascii="Times New Roman" w:hAnsi="Times New Roman" w:cs="Times New Roman"/>
                      <w:b/>
                      <w:bCs/>
                      <w:color w:val="auto"/>
                      <w:spacing w:val="7"/>
                      <w:sz w:val="21"/>
                      <w:szCs w:val="21"/>
                      <w:lang w:eastAsia="en-US"/>
                    </w:rPr>
                    <w:t>业分类</w:t>
                  </w:r>
                </w:p>
              </w:tc>
              <w:tc>
                <w:tcPr>
                  <w:tcW w:w="1190" w:type="dxa"/>
                  <w:tcBorders>
                    <w:tl2br w:val="nil"/>
                    <w:tr2bl w:val="nil"/>
                  </w:tcBorders>
                  <w:noWrap w:val="0"/>
                  <w:vAlign w:val="center"/>
                </w:tcPr>
                <w:p w14:paraId="303BACE6">
                  <w:pPr>
                    <w:keepNext w:val="0"/>
                    <w:keepLines w:val="0"/>
                    <w:pageBreakBefore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bCs/>
                      <w:color w:val="auto"/>
                      <w:sz w:val="21"/>
                      <w:szCs w:val="21"/>
                      <w:lang w:eastAsia="en-US"/>
                    </w:rPr>
                  </w:pPr>
                  <w:r>
                    <w:rPr>
                      <w:rFonts w:hint="default" w:ascii="Times New Roman" w:hAnsi="Times New Roman" w:cs="Times New Roman"/>
                      <w:b/>
                      <w:bCs/>
                      <w:color w:val="auto"/>
                      <w:spacing w:val="9"/>
                      <w:sz w:val="21"/>
                      <w:szCs w:val="21"/>
                      <w:lang w:eastAsia="en-US"/>
                    </w:rPr>
                    <w:t>控制级</w:t>
                  </w:r>
                  <w:r>
                    <w:rPr>
                      <w:rFonts w:hint="default" w:ascii="Times New Roman" w:hAnsi="Times New Roman" w:cs="Times New Roman"/>
                      <w:b/>
                      <w:bCs/>
                      <w:color w:val="auto"/>
                      <w:spacing w:val="8"/>
                      <w:sz w:val="21"/>
                      <w:szCs w:val="21"/>
                      <w:lang w:eastAsia="en-US"/>
                    </w:rPr>
                    <w:t>别</w:t>
                  </w:r>
                </w:p>
              </w:tc>
            </w:tr>
            <w:tr w14:paraId="3F45C867">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6580" w:type="dxa"/>
                  <w:gridSpan w:val="3"/>
                  <w:tcBorders>
                    <w:tl2br w:val="nil"/>
                    <w:tr2bl w:val="nil"/>
                  </w:tcBorders>
                  <w:noWrap w:val="0"/>
                  <w:vAlign w:val="center"/>
                </w:tcPr>
                <w:p w14:paraId="66C8AC8C">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4"/>
                      <w:sz w:val="21"/>
                      <w:szCs w:val="21"/>
                      <w:lang w:eastAsia="en-US"/>
                    </w:rPr>
                  </w:pPr>
                  <w:r>
                    <w:rPr>
                      <w:rFonts w:hint="default" w:ascii="Times New Roman" w:hAnsi="Times New Roman" w:cs="Times New Roman"/>
                      <w:color w:val="auto"/>
                      <w:spacing w:val="4"/>
                      <w:sz w:val="21"/>
                      <w:szCs w:val="21"/>
                      <w:lang w:eastAsia="en-US"/>
                    </w:rPr>
                    <w:t>金属加工</w:t>
                  </w:r>
                </w:p>
              </w:tc>
              <w:tc>
                <w:tcPr>
                  <w:tcW w:w="1190" w:type="dxa"/>
                  <w:tcBorders>
                    <w:tl2br w:val="nil"/>
                    <w:tr2bl w:val="nil"/>
                  </w:tcBorders>
                  <w:noWrap w:val="0"/>
                  <w:vAlign w:val="center"/>
                </w:tcPr>
                <w:p w14:paraId="19B48153">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4"/>
                      <w:sz w:val="21"/>
                      <w:szCs w:val="21"/>
                      <w:lang w:eastAsia="en-US"/>
                    </w:rPr>
                  </w:pPr>
                </w:p>
              </w:tc>
            </w:tr>
            <w:tr w14:paraId="00421652">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826" w:type="dxa"/>
                  <w:vMerge w:val="restart"/>
                  <w:tcBorders>
                    <w:tl2br w:val="nil"/>
                    <w:tr2bl w:val="nil"/>
                  </w:tcBorders>
                  <w:noWrap w:val="0"/>
                  <w:vAlign w:val="center"/>
                </w:tcPr>
                <w:p w14:paraId="2D513480">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4"/>
                      <w:sz w:val="21"/>
                      <w:szCs w:val="21"/>
                      <w:lang w:eastAsia="en-US"/>
                    </w:rPr>
                  </w:pPr>
                  <w:r>
                    <w:rPr>
                      <w:rFonts w:hint="default" w:ascii="Times New Roman" w:hAnsi="Times New Roman" w:cs="Times New Roman"/>
                      <w:color w:val="auto"/>
                      <w:spacing w:val="4"/>
                      <w:sz w:val="21"/>
                      <w:szCs w:val="21"/>
                      <w:lang w:eastAsia="en-US"/>
                    </w:rPr>
                    <w:t>C33 金属制品业</w:t>
                  </w:r>
                </w:p>
              </w:tc>
              <w:tc>
                <w:tcPr>
                  <w:tcW w:w="4754" w:type="dxa"/>
                  <w:gridSpan w:val="2"/>
                  <w:tcBorders>
                    <w:tl2br w:val="nil"/>
                    <w:tr2bl w:val="nil"/>
                  </w:tcBorders>
                  <w:noWrap w:val="0"/>
                  <w:vAlign w:val="center"/>
                </w:tcPr>
                <w:p w14:paraId="6E0AB0A5">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4"/>
                      <w:sz w:val="21"/>
                      <w:szCs w:val="21"/>
                      <w:lang w:eastAsia="en-US"/>
                    </w:rPr>
                  </w:pPr>
                  <w:r>
                    <w:rPr>
                      <w:rFonts w:hint="default" w:ascii="Times New Roman" w:hAnsi="Times New Roman" w:cs="Times New Roman"/>
                      <w:color w:val="auto"/>
                      <w:spacing w:val="4"/>
                      <w:sz w:val="21"/>
                      <w:szCs w:val="21"/>
                      <w:lang w:eastAsia="en-US"/>
                    </w:rPr>
                    <w:t>331 结构性金属制品制造</w:t>
                  </w:r>
                </w:p>
              </w:tc>
              <w:tc>
                <w:tcPr>
                  <w:tcW w:w="1190" w:type="dxa"/>
                  <w:tcBorders>
                    <w:tl2br w:val="nil"/>
                    <w:tr2bl w:val="nil"/>
                  </w:tcBorders>
                  <w:noWrap w:val="0"/>
                  <w:vAlign w:val="center"/>
                </w:tcPr>
                <w:p w14:paraId="6A5A21C0">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4"/>
                      <w:sz w:val="21"/>
                      <w:szCs w:val="21"/>
                      <w:lang w:eastAsia="en-US"/>
                    </w:rPr>
                  </w:pPr>
                  <w:r>
                    <w:rPr>
                      <w:rFonts w:hint="default" w:ascii="Times New Roman" w:hAnsi="Times New Roman" w:cs="Times New Roman"/>
                      <w:color w:val="auto"/>
                      <w:spacing w:val="4"/>
                      <w:sz w:val="21"/>
                      <w:szCs w:val="21"/>
                      <w:lang w:eastAsia="en-US"/>
                    </w:rPr>
                    <w:t>●</w:t>
                  </w:r>
                </w:p>
              </w:tc>
            </w:tr>
            <w:tr w14:paraId="3C15C4BA">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826" w:type="dxa"/>
                  <w:vMerge w:val="continue"/>
                  <w:tcBorders>
                    <w:tl2br w:val="nil"/>
                    <w:tr2bl w:val="nil"/>
                  </w:tcBorders>
                  <w:noWrap w:val="0"/>
                  <w:vAlign w:val="center"/>
                </w:tcPr>
                <w:p w14:paraId="245FA74F">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4"/>
                      <w:sz w:val="21"/>
                      <w:szCs w:val="21"/>
                      <w:lang w:eastAsia="en-US"/>
                    </w:rPr>
                  </w:pPr>
                </w:p>
              </w:tc>
              <w:tc>
                <w:tcPr>
                  <w:tcW w:w="4754" w:type="dxa"/>
                  <w:gridSpan w:val="2"/>
                  <w:tcBorders>
                    <w:tl2br w:val="nil"/>
                    <w:tr2bl w:val="nil"/>
                  </w:tcBorders>
                  <w:noWrap w:val="0"/>
                  <w:vAlign w:val="center"/>
                </w:tcPr>
                <w:p w14:paraId="5D0267DE">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4"/>
                      <w:sz w:val="21"/>
                      <w:szCs w:val="21"/>
                      <w:lang w:eastAsia="en-US"/>
                    </w:rPr>
                  </w:pPr>
                  <w:r>
                    <w:rPr>
                      <w:rFonts w:hint="default" w:ascii="Times New Roman" w:hAnsi="Times New Roman" w:cs="Times New Roman"/>
                      <w:color w:val="auto"/>
                      <w:spacing w:val="4"/>
                      <w:sz w:val="21"/>
                      <w:szCs w:val="21"/>
                      <w:lang w:eastAsia="en-US"/>
                    </w:rPr>
                    <w:t>332 金属工具制造</w:t>
                  </w:r>
                </w:p>
              </w:tc>
              <w:tc>
                <w:tcPr>
                  <w:tcW w:w="1190" w:type="dxa"/>
                  <w:tcBorders>
                    <w:tl2br w:val="nil"/>
                    <w:tr2bl w:val="nil"/>
                  </w:tcBorders>
                  <w:noWrap w:val="0"/>
                  <w:vAlign w:val="center"/>
                </w:tcPr>
                <w:p w14:paraId="7C73A219">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4"/>
                      <w:sz w:val="21"/>
                      <w:szCs w:val="21"/>
                      <w:lang w:eastAsia="en-US"/>
                    </w:rPr>
                  </w:pPr>
                  <w:r>
                    <w:rPr>
                      <w:rFonts w:hint="default" w:ascii="Times New Roman" w:hAnsi="Times New Roman" w:cs="Times New Roman"/>
                      <w:color w:val="auto"/>
                      <w:spacing w:val="4"/>
                      <w:sz w:val="21"/>
                      <w:szCs w:val="21"/>
                      <w:lang w:eastAsia="en-US"/>
                    </w:rPr>
                    <w:t>●</w:t>
                  </w:r>
                </w:p>
              </w:tc>
            </w:tr>
            <w:tr w14:paraId="55FC6753">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826" w:type="dxa"/>
                  <w:vMerge w:val="continue"/>
                  <w:tcBorders>
                    <w:tl2br w:val="nil"/>
                    <w:tr2bl w:val="nil"/>
                  </w:tcBorders>
                  <w:noWrap w:val="0"/>
                  <w:vAlign w:val="center"/>
                </w:tcPr>
                <w:p w14:paraId="7CDCE5B0">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4"/>
                      <w:sz w:val="21"/>
                      <w:szCs w:val="21"/>
                      <w:lang w:eastAsia="en-US"/>
                    </w:rPr>
                  </w:pPr>
                </w:p>
              </w:tc>
              <w:tc>
                <w:tcPr>
                  <w:tcW w:w="4754" w:type="dxa"/>
                  <w:gridSpan w:val="2"/>
                  <w:tcBorders>
                    <w:tl2br w:val="nil"/>
                    <w:tr2bl w:val="nil"/>
                  </w:tcBorders>
                  <w:noWrap w:val="0"/>
                  <w:vAlign w:val="center"/>
                </w:tcPr>
                <w:p w14:paraId="1AB8A07E">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4"/>
                      <w:sz w:val="21"/>
                      <w:szCs w:val="21"/>
                      <w:lang w:eastAsia="en-US"/>
                    </w:rPr>
                  </w:pPr>
                  <w:r>
                    <w:rPr>
                      <w:rFonts w:hint="default" w:ascii="Times New Roman" w:hAnsi="Times New Roman" w:cs="Times New Roman"/>
                      <w:color w:val="auto"/>
                      <w:spacing w:val="4"/>
                      <w:sz w:val="21"/>
                      <w:szCs w:val="21"/>
                      <w:lang w:eastAsia="en-US"/>
                    </w:rPr>
                    <w:t>333 集装箱及金属包装容器制造</w:t>
                  </w:r>
                </w:p>
              </w:tc>
              <w:tc>
                <w:tcPr>
                  <w:tcW w:w="1190" w:type="dxa"/>
                  <w:tcBorders>
                    <w:tl2br w:val="nil"/>
                    <w:tr2bl w:val="nil"/>
                  </w:tcBorders>
                  <w:noWrap w:val="0"/>
                  <w:vAlign w:val="center"/>
                </w:tcPr>
                <w:p w14:paraId="37DC931E">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4"/>
                      <w:sz w:val="21"/>
                      <w:szCs w:val="21"/>
                      <w:lang w:eastAsia="en-US"/>
                    </w:rPr>
                  </w:pPr>
                  <w:r>
                    <w:rPr>
                      <w:rFonts w:hint="default" w:ascii="Times New Roman" w:hAnsi="Times New Roman" w:cs="Times New Roman"/>
                      <w:color w:val="auto"/>
                      <w:spacing w:val="4"/>
                      <w:sz w:val="21"/>
                      <w:szCs w:val="21"/>
                      <w:lang w:eastAsia="en-US"/>
                    </w:rPr>
                    <w:t>●</w:t>
                  </w:r>
                </w:p>
              </w:tc>
            </w:tr>
            <w:tr w14:paraId="67E76AF2">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826" w:type="dxa"/>
                  <w:vMerge w:val="continue"/>
                  <w:tcBorders>
                    <w:tl2br w:val="nil"/>
                    <w:tr2bl w:val="nil"/>
                  </w:tcBorders>
                  <w:noWrap w:val="0"/>
                  <w:vAlign w:val="center"/>
                </w:tcPr>
                <w:p w14:paraId="5A3CB8C0">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4"/>
                      <w:sz w:val="21"/>
                      <w:szCs w:val="21"/>
                      <w:lang w:eastAsia="en-US"/>
                    </w:rPr>
                  </w:pPr>
                </w:p>
              </w:tc>
              <w:tc>
                <w:tcPr>
                  <w:tcW w:w="4754" w:type="dxa"/>
                  <w:gridSpan w:val="2"/>
                  <w:tcBorders>
                    <w:tl2br w:val="nil"/>
                    <w:tr2bl w:val="nil"/>
                  </w:tcBorders>
                  <w:noWrap w:val="0"/>
                  <w:vAlign w:val="center"/>
                </w:tcPr>
                <w:p w14:paraId="5FD01A29">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4"/>
                      <w:sz w:val="21"/>
                      <w:szCs w:val="21"/>
                      <w:lang w:eastAsia="en-US"/>
                    </w:rPr>
                  </w:pPr>
                  <w:r>
                    <w:rPr>
                      <w:rFonts w:hint="default" w:ascii="Times New Roman" w:hAnsi="Times New Roman" w:cs="Times New Roman"/>
                      <w:color w:val="auto"/>
                      <w:spacing w:val="4"/>
                      <w:sz w:val="21"/>
                      <w:szCs w:val="21"/>
                      <w:lang w:eastAsia="en-US"/>
                    </w:rPr>
                    <w:t>334 金属丝绳及其制品制造</w:t>
                  </w:r>
                </w:p>
              </w:tc>
              <w:tc>
                <w:tcPr>
                  <w:tcW w:w="1190" w:type="dxa"/>
                  <w:tcBorders>
                    <w:tl2br w:val="nil"/>
                    <w:tr2bl w:val="nil"/>
                  </w:tcBorders>
                  <w:noWrap w:val="0"/>
                  <w:vAlign w:val="center"/>
                </w:tcPr>
                <w:p w14:paraId="04611E9A">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4"/>
                      <w:sz w:val="21"/>
                      <w:szCs w:val="21"/>
                      <w:lang w:eastAsia="en-US"/>
                    </w:rPr>
                  </w:pPr>
                  <w:r>
                    <w:rPr>
                      <w:rFonts w:hint="default" w:ascii="Times New Roman" w:hAnsi="Times New Roman" w:cs="Times New Roman"/>
                      <w:color w:val="auto"/>
                      <w:spacing w:val="4"/>
                      <w:sz w:val="21"/>
                      <w:szCs w:val="21"/>
                      <w:lang w:eastAsia="en-US"/>
                    </w:rPr>
                    <w:t>●</w:t>
                  </w:r>
                </w:p>
              </w:tc>
            </w:tr>
            <w:tr w14:paraId="7087A109">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826" w:type="dxa"/>
                  <w:vMerge w:val="continue"/>
                  <w:tcBorders>
                    <w:tl2br w:val="nil"/>
                    <w:tr2bl w:val="nil"/>
                  </w:tcBorders>
                  <w:noWrap w:val="0"/>
                  <w:vAlign w:val="center"/>
                </w:tcPr>
                <w:p w14:paraId="00678C60">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4"/>
                      <w:sz w:val="21"/>
                      <w:szCs w:val="21"/>
                      <w:lang w:eastAsia="en-US"/>
                    </w:rPr>
                  </w:pPr>
                </w:p>
              </w:tc>
              <w:tc>
                <w:tcPr>
                  <w:tcW w:w="4754" w:type="dxa"/>
                  <w:gridSpan w:val="2"/>
                  <w:tcBorders>
                    <w:tl2br w:val="nil"/>
                    <w:tr2bl w:val="nil"/>
                  </w:tcBorders>
                  <w:noWrap w:val="0"/>
                  <w:vAlign w:val="center"/>
                </w:tcPr>
                <w:p w14:paraId="4246775A">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4"/>
                      <w:sz w:val="21"/>
                      <w:szCs w:val="21"/>
                      <w:lang w:eastAsia="en-US"/>
                    </w:rPr>
                  </w:pPr>
                  <w:r>
                    <w:rPr>
                      <w:rFonts w:hint="default" w:ascii="Times New Roman" w:hAnsi="Times New Roman" w:cs="Times New Roman"/>
                      <w:color w:val="auto"/>
                      <w:spacing w:val="4"/>
                      <w:sz w:val="21"/>
                      <w:szCs w:val="21"/>
                      <w:lang w:eastAsia="en-US"/>
                    </w:rPr>
                    <w:t>335 建筑、安全用金属制品制造</w:t>
                  </w:r>
                </w:p>
              </w:tc>
              <w:tc>
                <w:tcPr>
                  <w:tcW w:w="1190" w:type="dxa"/>
                  <w:tcBorders>
                    <w:tl2br w:val="nil"/>
                    <w:tr2bl w:val="nil"/>
                  </w:tcBorders>
                  <w:noWrap w:val="0"/>
                  <w:vAlign w:val="center"/>
                </w:tcPr>
                <w:p w14:paraId="73D6DC3A">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4"/>
                      <w:sz w:val="21"/>
                      <w:szCs w:val="21"/>
                      <w:lang w:eastAsia="en-US"/>
                    </w:rPr>
                  </w:pPr>
                  <w:r>
                    <w:rPr>
                      <w:rFonts w:hint="default" w:ascii="Times New Roman" w:hAnsi="Times New Roman" w:cs="Times New Roman"/>
                      <w:color w:val="auto"/>
                      <w:spacing w:val="4"/>
                      <w:sz w:val="21"/>
                      <w:szCs w:val="21"/>
                      <w:lang w:eastAsia="en-US"/>
                    </w:rPr>
                    <w:t>●</w:t>
                  </w:r>
                </w:p>
              </w:tc>
            </w:tr>
            <w:tr w14:paraId="1909FA72">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826" w:type="dxa"/>
                  <w:vMerge w:val="continue"/>
                  <w:tcBorders>
                    <w:tl2br w:val="nil"/>
                    <w:tr2bl w:val="nil"/>
                  </w:tcBorders>
                  <w:noWrap w:val="0"/>
                  <w:vAlign w:val="center"/>
                </w:tcPr>
                <w:p w14:paraId="4402EE37">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4"/>
                      <w:sz w:val="21"/>
                      <w:szCs w:val="21"/>
                      <w:lang w:eastAsia="en-US"/>
                    </w:rPr>
                  </w:pPr>
                </w:p>
              </w:tc>
              <w:tc>
                <w:tcPr>
                  <w:tcW w:w="4754" w:type="dxa"/>
                  <w:gridSpan w:val="2"/>
                  <w:tcBorders>
                    <w:tl2br w:val="nil"/>
                    <w:tr2bl w:val="nil"/>
                  </w:tcBorders>
                  <w:noWrap w:val="0"/>
                  <w:vAlign w:val="center"/>
                </w:tcPr>
                <w:p w14:paraId="242E5FA4">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4"/>
                      <w:sz w:val="21"/>
                      <w:szCs w:val="21"/>
                      <w:lang w:eastAsia="en-US"/>
                    </w:rPr>
                  </w:pPr>
                  <w:r>
                    <w:rPr>
                      <w:rFonts w:hint="default" w:ascii="Times New Roman" w:hAnsi="Times New Roman" w:cs="Times New Roman"/>
                      <w:color w:val="auto"/>
                      <w:spacing w:val="4"/>
                      <w:sz w:val="21"/>
                      <w:szCs w:val="21"/>
                      <w:lang w:eastAsia="en-US"/>
                    </w:rPr>
                    <w:t>336 金属表面处理及热处理加工</w:t>
                  </w:r>
                </w:p>
              </w:tc>
              <w:tc>
                <w:tcPr>
                  <w:tcW w:w="1190" w:type="dxa"/>
                  <w:tcBorders>
                    <w:tl2br w:val="nil"/>
                    <w:tr2bl w:val="nil"/>
                  </w:tcBorders>
                  <w:noWrap w:val="0"/>
                  <w:vAlign w:val="center"/>
                </w:tcPr>
                <w:p w14:paraId="49F0D432">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4"/>
                      <w:sz w:val="21"/>
                      <w:szCs w:val="21"/>
                      <w:lang w:eastAsia="en-US"/>
                    </w:rPr>
                  </w:pPr>
                  <w:r>
                    <w:rPr>
                      <w:rFonts w:hint="default" w:ascii="Times New Roman" w:hAnsi="Times New Roman" w:cs="Times New Roman"/>
                      <w:color w:val="auto"/>
                      <w:spacing w:val="4"/>
                      <w:sz w:val="21"/>
                      <w:szCs w:val="21"/>
                      <w:lang w:eastAsia="en-US"/>
                    </w:rPr>
                    <w:t>▲</w:t>
                  </w:r>
                </w:p>
              </w:tc>
            </w:tr>
            <w:tr w14:paraId="3E7BFDCB">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826" w:type="dxa"/>
                  <w:vMerge w:val="continue"/>
                  <w:tcBorders>
                    <w:tl2br w:val="nil"/>
                    <w:tr2bl w:val="nil"/>
                  </w:tcBorders>
                  <w:noWrap w:val="0"/>
                  <w:vAlign w:val="center"/>
                </w:tcPr>
                <w:p w14:paraId="444356B9">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4"/>
                      <w:sz w:val="21"/>
                      <w:szCs w:val="21"/>
                      <w:lang w:eastAsia="en-US"/>
                    </w:rPr>
                  </w:pPr>
                </w:p>
              </w:tc>
              <w:tc>
                <w:tcPr>
                  <w:tcW w:w="4754" w:type="dxa"/>
                  <w:gridSpan w:val="2"/>
                  <w:tcBorders>
                    <w:tl2br w:val="nil"/>
                    <w:tr2bl w:val="nil"/>
                  </w:tcBorders>
                  <w:noWrap w:val="0"/>
                  <w:vAlign w:val="center"/>
                </w:tcPr>
                <w:p w14:paraId="7FB45856">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4"/>
                      <w:sz w:val="21"/>
                      <w:szCs w:val="21"/>
                      <w:lang w:eastAsia="en-US"/>
                    </w:rPr>
                  </w:pPr>
                  <w:r>
                    <w:rPr>
                      <w:rFonts w:hint="default" w:ascii="Times New Roman" w:hAnsi="Times New Roman" w:cs="Times New Roman"/>
                      <w:color w:val="auto"/>
                      <w:spacing w:val="4"/>
                      <w:sz w:val="21"/>
                      <w:szCs w:val="21"/>
                      <w:lang w:eastAsia="en-US"/>
                    </w:rPr>
                    <w:t>337 搪瓷制品制造</w:t>
                  </w:r>
                </w:p>
              </w:tc>
              <w:tc>
                <w:tcPr>
                  <w:tcW w:w="1190" w:type="dxa"/>
                  <w:tcBorders>
                    <w:tl2br w:val="nil"/>
                    <w:tr2bl w:val="nil"/>
                  </w:tcBorders>
                  <w:noWrap w:val="0"/>
                  <w:vAlign w:val="center"/>
                </w:tcPr>
                <w:p w14:paraId="52F2E791">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4"/>
                      <w:sz w:val="21"/>
                      <w:szCs w:val="21"/>
                      <w:lang w:eastAsia="en-US"/>
                    </w:rPr>
                  </w:pPr>
                  <w:r>
                    <w:rPr>
                      <w:rFonts w:hint="default" w:ascii="Times New Roman" w:hAnsi="Times New Roman" w:cs="Times New Roman"/>
                      <w:color w:val="auto"/>
                      <w:spacing w:val="4"/>
                      <w:sz w:val="21"/>
                      <w:szCs w:val="21"/>
                      <w:lang w:eastAsia="en-US"/>
                    </w:rPr>
                    <w:t>●</w:t>
                  </w:r>
                </w:p>
              </w:tc>
            </w:tr>
            <w:tr w14:paraId="3CC2D224">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826" w:type="dxa"/>
                  <w:vMerge w:val="continue"/>
                  <w:tcBorders>
                    <w:tl2br w:val="nil"/>
                    <w:tr2bl w:val="nil"/>
                  </w:tcBorders>
                  <w:noWrap w:val="0"/>
                  <w:vAlign w:val="center"/>
                </w:tcPr>
                <w:p w14:paraId="6203157F">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4"/>
                      <w:sz w:val="21"/>
                      <w:szCs w:val="21"/>
                      <w:lang w:eastAsia="en-US"/>
                    </w:rPr>
                  </w:pPr>
                </w:p>
              </w:tc>
              <w:tc>
                <w:tcPr>
                  <w:tcW w:w="4754" w:type="dxa"/>
                  <w:gridSpan w:val="2"/>
                  <w:tcBorders>
                    <w:tl2br w:val="nil"/>
                    <w:tr2bl w:val="nil"/>
                  </w:tcBorders>
                  <w:noWrap w:val="0"/>
                  <w:vAlign w:val="center"/>
                </w:tcPr>
                <w:p w14:paraId="1DE1A8CC">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4"/>
                      <w:sz w:val="21"/>
                      <w:szCs w:val="21"/>
                      <w:lang w:eastAsia="en-US"/>
                    </w:rPr>
                  </w:pPr>
                  <w:r>
                    <w:rPr>
                      <w:rFonts w:hint="default" w:ascii="Times New Roman" w:hAnsi="Times New Roman" w:cs="Times New Roman"/>
                      <w:color w:val="auto"/>
                      <w:spacing w:val="4"/>
                      <w:sz w:val="21"/>
                      <w:szCs w:val="21"/>
                      <w:lang w:eastAsia="en-US"/>
                    </w:rPr>
                    <w:t>338 金属制日用品制造</w:t>
                  </w:r>
                </w:p>
              </w:tc>
              <w:tc>
                <w:tcPr>
                  <w:tcW w:w="1190" w:type="dxa"/>
                  <w:tcBorders>
                    <w:tl2br w:val="nil"/>
                    <w:tr2bl w:val="nil"/>
                  </w:tcBorders>
                  <w:noWrap w:val="0"/>
                  <w:vAlign w:val="center"/>
                </w:tcPr>
                <w:p w14:paraId="54132EAA">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4"/>
                      <w:sz w:val="21"/>
                      <w:szCs w:val="21"/>
                      <w:lang w:eastAsia="en-US"/>
                    </w:rPr>
                  </w:pPr>
                  <w:r>
                    <w:rPr>
                      <w:rFonts w:hint="default" w:ascii="Times New Roman" w:hAnsi="Times New Roman" w:cs="Times New Roman"/>
                      <w:color w:val="auto"/>
                      <w:spacing w:val="4"/>
                      <w:sz w:val="21"/>
                      <w:szCs w:val="21"/>
                      <w:lang w:eastAsia="en-US"/>
                    </w:rPr>
                    <w:t>●</w:t>
                  </w:r>
                </w:p>
              </w:tc>
            </w:tr>
            <w:tr w14:paraId="063816AB">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158" w:hRule="atLeast"/>
                <w:jc w:val="center"/>
              </w:trPr>
              <w:tc>
                <w:tcPr>
                  <w:tcW w:w="1826" w:type="dxa"/>
                  <w:vMerge w:val="continue"/>
                  <w:tcBorders>
                    <w:tl2br w:val="nil"/>
                    <w:tr2bl w:val="nil"/>
                  </w:tcBorders>
                  <w:noWrap w:val="0"/>
                  <w:vAlign w:val="center"/>
                </w:tcPr>
                <w:p w14:paraId="24E25BD3">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4"/>
                      <w:sz w:val="21"/>
                      <w:szCs w:val="21"/>
                      <w:lang w:eastAsia="en-US"/>
                    </w:rPr>
                  </w:pPr>
                </w:p>
              </w:tc>
              <w:tc>
                <w:tcPr>
                  <w:tcW w:w="4754" w:type="dxa"/>
                  <w:gridSpan w:val="2"/>
                  <w:tcBorders>
                    <w:tl2br w:val="nil"/>
                    <w:tr2bl w:val="nil"/>
                  </w:tcBorders>
                  <w:noWrap w:val="0"/>
                  <w:vAlign w:val="center"/>
                </w:tcPr>
                <w:p w14:paraId="7732F1E5">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4"/>
                      <w:sz w:val="21"/>
                      <w:szCs w:val="21"/>
                      <w:lang w:eastAsia="en-US"/>
                    </w:rPr>
                  </w:pPr>
                  <w:r>
                    <w:rPr>
                      <w:rFonts w:hint="default" w:ascii="Times New Roman" w:hAnsi="Times New Roman" w:cs="Times New Roman"/>
                      <w:color w:val="auto"/>
                      <w:spacing w:val="4"/>
                      <w:sz w:val="21"/>
                      <w:szCs w:val="21"/>
                      <w:lang w:eastAsia="en-US"/>
                    </w:rPr>
                    <w:t>339 铸造及其他金属制品制造</w:t>
                  </w:r>
                </w:p>
              </w:tc>
              <w:tc>
                <w:tcPr>
                  <w:tcW w:w="1190" w:type="dxa"/>
                  <w:tcBorders>
                    <w:tl2br w:val="nil"/>
                    <w:tr2bl w:val="nil"/>
                  </w:tcBorders>
                  <w:noWrap w:val="0"/>
                  <w:vAlign w:val="center"/>
                </w:tcPr>
                <w:p w14:paraId="55B34976">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4"/>
                      <w:sz w:val="21"/>
                      <w:szCs w:val="21"/>
                      <w:lang w:eastAsia="en-US"/>
                    </w:rPr>
                  </w:pPr>
                  <w:r>
                    <w:rPr>
                      <w:rFonts w:hint="default" w:ascii="Times New Roman" w:hAnsi="Times New Roman" w:cs="Times New Roman"/>
                      <w:color w:val="auto"/>
                      <w:spacing w:val="4"/>
                      <w:sz w:val="21"/>
                      <w:szCs w:val="21"/>
                      <w:lang w:eastAsia="en-US"/>
                    </w:rPr>
                    <w:t>▲</w:t>
                  </w:r>
                </w:p>
              </w:tc>
            </w:tr>
            <w:tr w14:paraId="06F9EA39">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179" w:hRule="atLeast"/>
                <w:jc w:val="center"/>
              </w:trPr>
              <w:tc>
                <w:tcPr>
                  <w:tcW w:w="1826" w:type="dxa"/>
                  <w:vMerge w:val="continue"/>
                  <w:tcBorders>
                    <w:tl2br w:val="nil"/>
                    <w:tr2bl w:val="nil"/>
                  </w:tcBorders>
                  <w:noWrap w:val="0"/>
                  <w:vAlign w:val="center"/>
                </w:tcPr>
                <w:p w14:paraId="578EC9AD">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4"/>
                      <w:sz w:val="21"/>
                      <w:szCs w:val="21"/>
                      <w:lang w:eastAsia="en-US"/>
                    </w:rPr>
                  </w:pPr>
                </w:p>
              </w:tc>
              <w:tc>
                <w:tcPr>
                  <w:tcW w:w="689" w:type="dxa"/>
                  <w:tcBorders>
                    <w:tl2br w:val="nil"/>
                    <w:tr2bl w:val="nil"/>
                  </w:tcBorders>
                  <w:noWrap w:val="0"/>
                  <w:vAlign w:val="center"/>
                </w:tcPr>
                <w:p w14:paraId="5109034C">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4"/>
                      <w:sz w:val="21"/>
                      <w:szCs w:val="21"/>
                      <w:lang w:eastAsia="en-US"/>
                    </w:rPr>
                  </w:pPr>
                  <w:r>
                    <w:rPr>
                      <w:rFonts w:hint="default" w:ascii="Times New Roman" w:hAnsi="Times New Roman" w:cs="Times New Roman"/>
                      <w:color w:val="auto"/>
                      <w:spacing w:val="4"/>
                      <w:sz w:val="21"/>
                      <w:szCs w:val="21"/>
                      <w:lang w:eastAsia="en-US"/>
                    </w:rPr>
                    <w:t>3391</w:t>
                  </w:r>
                </w:p>
              </w:tc>
              <w:tc>
                <w:tcPr>
                  <w:tcW w:w="4065" w:type="dxa"/>
                  <w:tcBorders>
                    <w:tl2br w:val="nil"/>
                    <w:tr2bl w:val="nil"/>
                  </w:tcBorders>
                  <w:noWrap w:val="0"/>
                  <w:vAlign w:val="center"/>
                </w:tcPr>
                <w:p w14:paraId="069259AE">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4"/>
                      <w:sz w:val="21"/>
                      <w:szCs w:val="21"/>
                      <w:lang w:eastAsia="en-US"/>
                    </w:rPr>
                  </w:pPr>
                  <w:r>
                    <w:rPr>
                      <w:rFonts w:hint="default" w:ascii="Times New Roman" w:hAnsi="Times New Roman" w:cs="Times New Roman"/>
                      <w:color w:val="auto"/>
                      <w:spacing w:val="4"/>
                      <w:sz w:val="21"/>
                      <w:szCs w:val="21"/>
                      <w:lang w:eastAsia="en-US"/>
                    </w:rPr>
                    <w:t>黑色金属铸造</w:t>
                  </w:r>
                </w:p>
              </w:tc>
              <w:tc>
                <w:tcPr>
                  <w:tcW w:w="1190" w:type="dxa"/>
                  <w:tcBorders>
                    <w:tl2br w:val="nil"/>
                    <w:tr2bl w:val="nil"/>
                  </w:tcBorders>
                  <w:noWrap w:val="0"/>
                  <w:vAlign w:val="center"/>
                </w:tcPr>
                <w:p w14:paraId="57A763A6">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4"/>
                      <w:sz w:val="21"/>
                      <w:szCs w:val="21"/>
                      <w:lang w:eastAsia="en-US"/>
                    </w:rPr>
                  </w:pPr>
                  <w:r>
                    <w:rPr>
                      <w:rFonts w:hint="default" w:ascii="Times New Roman" w:hAnsi="Times New Roman" w:cs="Times New Roman"/>
                      <w:color w:val="auto"/>
                      <w:spacing w:val="4"/>
                      <w:sz w:val="21"/>
                      <w:szCs w:val="21"/>
                      <w:lang w:eastAsia="en-US"/>
                    </w:rPr>
                    <w:t>×</w:t>
                  </w:r>
                </w:p>
              </w:tc>
            </w:tr>
            <w:tr w14:paraId="57346057">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826" w:type="dxa"/>
                  <w:vMerge w:val="continue"/>
                  <w:tcBorders>
                    <w:tl2br w:val="nil"/>
                    <w:tr2bl w:val="nil"/>
                  </w:tcBorders>
                  <w:noWrap w:val="0"/>
                  <w:vAlign w:val="center"/>
                </w:tcPr>
                <w:p w14:paraId="1F046E78">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4"/>
                      <w:sz w:val="21"/>
                      <w:szCs w:val="21"/>
                      <w:lang w:eastAsia="en-US"/>
                    </w:rPr>
                  </w:pPr>
                </w:p>
              </w:tc>
              <w:tc>
                <w:tcPr>
                  <w:tcW w:w="689" w:type="dxa"/>
                  <w:tcBorders>
                    <w:tl2br w:val="nil"/>
                    <w:tr2bl w:val="nil"/>
                  </w:tcBorders>
                  <w:noWrap w:val="0"/>
                  <w:vAlign w:val="center"/>
                </w:tcPr>
                <w:p w14:paraId="558E3B60">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4"/>
                      <w:sz w:val="21"/>
                      <w:szCs w:val="21"/>
                      <w:lang w:eastAsia="en-US"/>
                    </w:rPr>
                  </w:pPr>
                  <w:r>
                    <w:rPr>
                      <w:rFonts w:hint="default" w:ascii="Times New Roman" w:hAnsi="Times New Roman" w:cs="Times New Roman"/>
                      <w:color w:val="auto"/>
                      <w:spacing w:val="4"/>
                      <w:sz w:val="21"/>
                      <w:szCs w:val="21"/>
                      <w:lang w:eastAsia="en-US"/>
                    </w:rPr>
                    <w:t>3392</w:t>
                  </w:r>
                </w:p>
              </w:tc>
              <w:tc>
                <w:tcPr>
                  <w:tcW w:w="4065" w:type="dxa"/>
                  <w:tcBorders>
                    <w:tl2br w:val="nil"/>
                    <w:tr2bl w:val="nil"/>
                  </w:tcBorders>
                  <w:noWrap w:val="0"/>
                  <w:vAlign w:val="center"/>
                </w:tcPr>
                <w:p w14:paraId="37110117">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4"/>
                      <w:sz w:val="21"/>
                      <w:szCs w:val="21"/>
                      <w:lang w:eastAsia="en-US"/>
                    </w:rPr>
                  </w:pPr>
                  <w:r>
                    <w:rPr>
                      <w:rFonts w:hint="default" w:ascii="Times New Roman" w:hAnsi="Times New Roman" w:cs="Times New Roman"/>
                      <w:color w:val="auto"/>
                      <w:spacing w:val="4"/>
                      <w:sz w:val="21"/>
                      <w:szCs w:val="21"/>
                      <w:lang w:eastAsia="en-US"/>
                    </w:rPr>
                    <w:t>有色金属铸造</w:t>
                  </w:r>
                </w:p>
              </w:tc>
              <w:tc>
                <w:tcPr>
                  <w:tcW w:w="1190" w:type="dxa"/>
                  <w:tcBorders>
                    <w:tl2br w:val="nil"/>
                    <w:tr2bl w:val="nil"/>
                  </w:tcBorders>
                  <w:noWrap w:val="0"/>
                  <w:vAlign w:val="center"/>
                </w:tcPr>
                <w:p w14:paraId="5BB91EF6">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4"/>
                      <w:sz w:val="21"/>
                      <w:szCs w:val="21"/>
                      <w:lang w:eastAsia="en-US"/>
                    </w:rPr>
                  </w:pPr>
                  <w:r>
                    <w:rPr>
                      <w:rFonts w:hint="default" w:ascii="Times New Roman" w:hAnsi="Times New Roman" w:cs="Times New Roman"/>
                      <w:color w:val="auto"/>
                      <w:spacing w:val="4"/>
                      <w:sz w:val="21"/>
                      <w:szCs w:val="21"/>
                    </w:rPr>
                    <w:t>▲</w:t>
                  </w:r>
                </w:p>
              </w:tc>
            </w:tr>
            <w:tr w14:paraId="5BE60936">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156" w:hRule="atLeast"/>
                <w:jc w:val="center"/>
              </w:trPr>
              <w:tc>
                <w:tcPr>
                  <w:tcW w:w="1826" w:type="dxa"/>
                  <w:vMerge w:val="continue"/>
                  <w:tcBorders>
                    <w:tl2br w:val="nil"/>
                    <w:tr2bl w:val="nil"/>
                  </w:tcBorders>
                  <w:noWrap w:val="0"/>
                  <w:vAlign w:val="center"/>
                </w:tcPr>
                <w:p w14:paraId="38111478">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4"/>
                      <w:sz w:val="21"/>
                      <w:szCs w:val="21"/>
                      <w:lang w:eastAsia="en-US"/>
                    </w:rPr>
                  </w:pPr>
                </w:p>
              </w:tc>
              <w:tc>
                <w:tcPr>
                  <w:tcW w:w="689" w:type="dxa"/>
                  <w:tcBorders>
                    <w:tl2br w:val="nil"/>
                    <w:tr2bl w:val="nil"/>
                  </w:tcBorders>
                  <w:noWrap w:val="0"/>
                  <w:vAlign w:val="center"/>
                </w:tcPr>
                <w:p w14:paraId="2EEB6CE2">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4"/>
                      <w:sz w:val="21"/>
                      <w:szCs w:val="21"/>
                      <w:lang w:eastAsia="en-US"/>
                    </w:rPr>
                  </w:pPr>
                  <w:r>
                    <w:rPr>
                      <w:rFonts w:hint="default" w:ascii="Times New Roman" w:hAnsi="Times New Roman" w:cs="Times New Roman"/>
                      <w:color w:val="auto"/>
                      <w:spacing w:val="4"/>
                      <w:sz w:val="21"/>
                      <w:szCs w:val="21"/>
                      <w:lang w:eastAsia="en-US"/>
                    </w:rPr>
                    <w:t>3393</w:t>
                  </w:r>
                </w:p>
              </w:tc>
              <w:tc>
                <w:tcPr>
                  <w:tcW w:w="4065" w:type="dxa"/>
                  <w:tcBorders>
                    <w:tl2br w:val="nil"/>
                    <w:tr2bl w:val="nil"/>
                  </w:tcBorders>
                  <w:noWrap w:val="0"/>
                  <w:vAlign w:val="center"/>
                </w:tcPr>
                <w:p w14:paraId="246C852B">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4"/>
                      <w:sz w:val="21"/>
                      <w:szCs w:val="21"/>
                      <w:lang w:eastAsia="en-US"/>
                    </w:rPr>
                  </w:pPr>
                  <w:r>
                    <w:rPr>
                      <w:rFonts w:hint="default" w:ascii="Times New Roman" w:hAnsi="Times New Roman" w:cs="Times New Roman"/>
                      <w:color w:val="auto"/>
                      <w:spacing w:val="4"/>
                      <w:sz w:val="21"/>
                      <w:szCs w:val="21"/>
                      <w:lang w:eastAsia="en-US"/>
                    </w:rPr>
                    <w:t>锻件及粉末冶金制品制造</w:t>
                  </w:r>
                </w:p>
              </w:tc>
              <w:tc>
                <w:tcPr>
                  <w:tcW w:w="1190" w:type="dxa"/>
                  <w:tcBorders>
                    <w:tl2br w:val="nil"/>
                    <w:tr2bl w:val="nil"/>
                  </w:tcBorders>
                  <w:noWrap w:val="0"/>
                  <w:vAlign w:val="center"/>
                </w:tcPr>
                <w:p w14:paraId="58D9286D">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4"/>
                      <w:sz w:val="21"/>
                      <w:szCs w:val="21"/>
                      <w:lang w:eastAsia="en-US"/>
                    </w:rPr>
                  </w:pPr>
                  <w:r>
                    <w:rPr>
                      <w:rFonts w:hint="default" w:ascii="Times New Roman" w:hAnsi="Times New Roman" w:cs="Times New Roman"/>
                      <w:color w:val="auto"/>
                      <w:spacing w:val="4"/>
                      <w:sz w:val="21"/>
                      <w:szCs w:val="21"/>
                    </w:rPr>
                    <w:t>▲</w:t>
                  </w:r>
                </w:p>
              </w:tc>
            </w:tr>
            <w:tr w14:paraId="1C1FD7C2">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126" w:hRule="atLeast"/>
                <w:jc w:val="center"/>
              </w:trPr>
              <w:tc>
                <w:tcPr>
                  <w:tcW w:w="1826" w:type="dxa"/>
                  <w:vMerge w:val="continue"/>
                  <w:tcBorders>
                    <w:tl2br w:val="nil"/>
                    <w:tr2bl w:val="nil"/>
                  </w:tcBorders>
                  <w:noWrap w:val="0"/>
                  <w:vAlign w:val="center"/>
                </w:tcPr>
                <w:p w14:paraId="33DC80D8">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4"/>
                      <w:sz w:val="21"/>
                      <w:szCs w:val="21"/>
                      <w:lang w:eastAsia="en-US"/>
                    </w:rPr>
                  </w:pPr>
                </w:p>
              </w:tc>
              <w:tc>
                <w:tcPr>
                  <w:tcW w:w="689" w:type="dxa"/>
                  <w:tcBorders>
                    <w:tl2br w:val="nil"/>
                    <w:tr2bl w:val="nil"/>
                  </w:tcBorders>
                  <w:noWrap w:val="0"/>
                  <w:vAlign w:val="center"/>
                </w:tcPr>
                <w:p w14:paraId="149C0E0D">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4"/>
                      <w:sz w:val="21"/>
                      <w:szCs w:val="21"/>
                      <w:lang w:eastAsia="en-US"/>
                    </w:rPr>
                  </w:pPr>
                  <w:r>
                    <w:rPr>
                      <w:rFonts w:hint="default" w:ascii="Times New Roman" w:hAnsi="Times New Roman" w:cs="Times New Roman"/>
                      <w:color w:val="auto"/>
                      <w:spacing w:val="4"/>
                      <w:sz w:val="21"/>
                      <w:szCs w:val="21"/>
                      <w:lang w:eastAsia="en-US"/>
                    </w:rPr>
                    <w:t>3394</w:t>
                  </w:r>
                </w:p>
              </w:tc>
              <w:tc>
                <w:tcPr>
                  <w:tcW w:w="4065" w:type="dxa"/>
                  <w:tcBorders>
                    <w:tl2br w:val="nil"/>
                    <w:tr2bl w:val="nil"/>
                  </w:tcBorders>
                  <w:noWrap w:val="0"/>
                  <w:vAlign w:val="center"/>
                </w:tcPr>
                <w:p w14:paraId="4EA529FF">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4"/>
                      <w:sz w:val="21"/>
                      <w:szCs w:val="21"/>
                      <w:lang w:eastAsia="en-US"/>
                    </w:rPr>
                  </w:pPr>
                  <w:r>
                    <w:rPr>
                      <w:rFonts w:hint="default" w:ascii="Times New Roman" w:hAnsi="Times New Roman" w:cs="Times New Roman"/>
                      <w:color w:val="auto"/>
                      <w:spacing w:val="4"/>
                      <w:sz w:val="21"/>
                      <w:szCs w:val="21"/>
                      <w:lang w:eastAsia="en-US"/>
                    </w:rPr>
                    <w:t>交通及公共管理用金属标牌制造</w:t>
                  </w:r>
                </w:p>
              </w:tc>
              <w:tc>
                <w:tcPr>
                  <w:tcW w:w="1190" w:type="dxa"/>
                  <w:tcBorders>
                    <w:tl2br w:val="nil"/>
                    <w:tr2bl w:val="nil"/>
                  </w:tcBorders>
                  <w:noWrap w:val="0"/>
                  <w:vAlign w:val="center"/>
                </w:tcPr>
                <w:p w14:paraId="00102B90">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4"/>
                      <w:sz w:val="21"/>
                      <w:szCs w:val="21"/>
                      <w:lang w:eastAsia="en-US"/>
                    </w:rPr>
                  </w:pPr>
                  <w:r>
                    <w:rPr>
                      <w:rFonts w:hint="default" w:ascii="Times New Roman" w:hAnsi="Times New Roman" w:cs="Times New Roman"/>
                      <w:color w:val="auto"/>
                      <w:spacing w:val="4"/>
                      <w:sz w:val="21"/>
                      <w:szCs w:val="21"/>
                      <w:lang w:eastAsia="en-US"/>
                    </w:rPr>
                    <w:t>●</w:t>
                  </w:r>
                </w:p>
              </w:tc>
            </w:tr>
            <w:tr w14:paraId="73BE9556">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171" w:hRule="atLeast"/>
                <w:jc w:val="center"/>
              </w:trPr>
              <w:tc>
                <w:tcPr>
                  <w:tcW w:w="1826" w:type="dxa"/>
                  <w:vMerge w:val="continue"/>
                  <w:tcBorders>
                    <w:tl2br w:val="nil"/>
                    <w:tr2bl w:val="nil"/>
                  </w:tcBorders>
                  <w:noWrap w:val="0"/>
                  <w:vAlign w:val="center"/>
                </w:tcPr>
                <w:p w14:paraId="17532214">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4"/>
                      <w:sz w:val="21"/>
                      <w:szCs w:val="21"/>
                      <w:lang w:eastAsia="en-US"/>
                    </w:rPr>
                  </w:pPr>
                </w:p>
              </w:tc>
              <w:tc>
                <w:tcPr>
                  <w:tcW w:w="689" w:type="dxa"/>
                  <w:tcBorders>
                    <w:tl2br w:val="nil"/>
                    <w:tr2bl w:val="nil"/>
                  </w:tcBorders>
                  <w:noWrap w:val="0"/>
                  <w:vAlign w:val="center"/>
                </w:tcPr>
                <w:p w14:paraId="1CBFA54B">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4"/>
                      <w:sz w:val="21"/>
                      <w:szCs w:val="21"/>
                      <w:lang w:eastAsia="en-US"/>
                    </w:rPr>
                  </w:pPr>
                  <w:r>
                    <w:rPr>
                      <w:rFonts w:hint="default" w:ascii="Times New Roman" w:hAnsi="Times New Roman" w:cs="Times New Roman"/>
                      <w:color w:val="auto"/>
                      <w:spacing w:val="4"/>
                      <w:sz w:val="21"/>
                      <w:szCs w:val="21"/>
                      <w:lang w:eastAsia="en-US"/>
                    </w:rPr>
                    <w:t>3399</w:t>
                  </w:r>
                </w:p>
              </w:tc>
              <w:tc>
                <w:tcPr>
                  <w:tcW w:w="4065" w:type="dxa"/>
                  <w:tcBorders>
                    <w:tl2br w:val="nil"/>
                    <w:tr2bl w:val="nil"/>
                  </w:tcBorders>
                  <w:noWrap w:val="0"/>
                  <w:vAlign w:val="center"/>
                </w:tcPr>
                <w:p w14:paraId="43C6C23B">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4"/>
                      <w:sz w:val="21"/>
                      <w:szCs w:val="21"/>
                      <w:lang w:eastAsia="en-US"/>
                    </w:rPr>
                  </w:pPr>
                  <w:r>
                    <w:rPr>
                      <w:rFonts w:hint="default" w:ascii="Times New Roman" w:hAnsi="Times New Roman" w:cs="Times New Roman"/>
                      <w:color w:val="auto"/>
                      <w:spacing w:val="4"/>
                      <w:sz w:val="21"/>
                      <w:szCs w:val="21"/>
                      <w:lang w:eastAsia="en-US"/>
                    </w:rPr>
                    <w:t>其他未列明金属制品制造</w:t>
                  </w:r>
                </w:p>
              </w:tc>
              <w:tc>
                <w:tcPr>
                  <w:tcW w:w="1190" w:type="dxa"/>
                  <w:tcBorders>
                    <w:tl2br w:val="nil"/>
                    <w:tr2bl w:val="nil"/>
                  </w:tcBorders>
                  <w:noWrap w:val="0"/>
                  <w:vAlign w:val="center"/>
                </w:tcPr>
                <w:p w14:paraId="35B4C920">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4"/>
                      <w:sz w:val="21"/>
                      <w:szCs w:val="21"/>
                      <w:lang w:eastAsia="en-US"/>
                    </w:rPr>
                  </w:pPr>
                  <w:r>
                    <w:rPr>
                      <w:rFonts w:hint="default" w:ascii="Times New Roman" w:hAnsi="Times New Roman" w:cs="Times New Roman"/>
                      <w:color w:val="auto"/>
                      <w:spacing w:val="4"/>
                      <w:sz w:val="21"/>
                      <w:szCs w:val="21"/>
                      <w:lang w:eastAsia="en-US"/>
                    </w:rPr>
                    <w:t>▲</w:t>
                  </w:r>
                </w:p>
              </w:tc>
            </w:tr>
            <w:tr w14:paraId="3E0D6B93">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826" w:type="dxa"/>
                  <w:vMerge w:val="restart"/>
                  <w:tcBorders>
                    <w:tl2br w:val="nil"/>
                    <w:tr2bl w:val="nil"/>
                  </w:tcBorders>
                  <w:noWrap w:val="0"/>
                  <w:vAlign w:val="center"/>
                </w:tcPr>
                <w:p w14:paraId="1FD0CB3A">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4"/>
                      <w:sz w:val="21"/>
                      <w:szCs w:val="21"/>
                      <w:lang w:eastAsia="en-US"/>
                    </w:rPr>
                  </w:pPr>
                  <w:r>
                    <w:rPr>
                      <w:rFonts w:hint="default" w:ascii="Times New Roman" w:hAnsi="Times New Roman" w:cs="Times New Roman"/>
                      <w:color w:val="auto"/>
                      <w:spacing w:val="4"/>
                      <w:sz w:val="21"/>
                      <w:szCs w:val="21"/>
                      <w:lang w:eastAsia="en-US"/>
                    </w:rPr>
                    <w:t>C34 通用设备制造业</w:t>
                  </w:r>
                </w:p>
              </w:tc>
              <w:tc>
                <w:tcPr>
                  <w:tcW w:w="4754" w:type="dxa"/>
                  <w:gridSpan w:val="2"/>
                  <w:tcBorders>
                    <w:tl2br w:val="nil"/>
                    <w:tr2bl w:val="nil"/>
                  </w:tcBorders>
                  <w:noWrap w:val="0"/>
                  <w:vAlign w:val="center"/>
                </w:tcPr>
                <w:p w14:paraId="55E17EDC">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4"/>
                      <w:sz w:val="21"/>
                      <w:szCs w:val="21"/>
                      <w:lang w:eastAsia="en-US"/>
                    </w:rPr>
                  </w:pPr>
                  <w:r>
                    <w:rPr>
                      <w:rFonts w:hint="default" w:ascii="Times New Roman" w:hAnsi="Times New Roman" w:cs="Times New Roman"/>
                      <w:color w:val="auto"/>
                      <w:spacing w:val="4"/>
                      <w:sz w:val="21"/>
                      <w:szCs w:val="21"/>
                      <w:lang w:eastAsia="en-US"/>
                    </w:rPr>
                    <w:t>341 锅炉及原动机制造</w:t>
                  </w:r>
                </w:p>
              </w:tc>
              <w:tc>
                <w:tcPr>
                  <w:tcW w:w="1190" w:type="dxa"/>
                  <w:tcBorders>
                    <w:tl2br w:val="nil"/>
                    <w:tr2bl w:val="nil"/>
                  </w:tcBorders>
                  <w:noWrap w:val="0"/>
                  <w:vAlign w:val="center"/>
                </w:tcPr>
                <w:p w14:paraId="7D32DB57">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9"/>
                      <w:sz w:val="21"/>
                      <w:szCs w:val="21"/>
                      <w:lang w:eastAsia="en-US"/>
                    </w:rPr>
                  </w:pPr>
                  <w:r>
                    <w:rPr>
                      <w:rFonts w:hint="default" w:ascii="Times New Roman" w:hAnsi="Times New Roman" w:cs="Times New Roman"/>
                      <w:color w:val="auto"/>
                      <w:spacing w:val="9"/>
                      <w:sz w:val="21"/>
                      <w:szCs w:val="21"/>
                      <w:lang w:eastAsia="en-US"/>
                    </w:rPr>
                    <w:t>●</w:t>
                  </w:r>
                </w:p>
              </w:tc>
            </w:tr>
            <w:tr w14:paraId="255EEF6C">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826" w:type="dxa"/>
                  <w:vMerge w:val="continue"/>
                  <w:tcBorders>
                    <w:tl2br w:val="nil"/>
                    <w:tr2bl w:val="nil"/>
                  </w:tcBorders>
                  <w:noWrap w:val="0"/>
                  <w:vAlign w:val="center"/>
                </w:tcPr>
                <w:p w14:paraId="392A56F5">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4"/>
                      <w:sz w:val="21"/>
                      <w:szCs w:val="21"/>
                      <w:lang w:eastAsia="en-US"/>
                    </w:rPr>
                  </w:pPr>
                </w:p>
              </w:tc>
              <w:tc>
                <w:tcPr>
                  <w:tcW w:w="4754" w:type="dxa"/>
                  <w:gridSpan w:val="2"/>
                  <w:tcBorders>
                    <w:tl2br w:val="nil"/>
                    <w:tr2bl w:val="nil"/>
                  </w:tcBorders>
                  <w:noWrap w:val="0"/>
                  <w:vAlign w:val="center"/>
                </w:tcPr>
                <w:p w14:paraId="50B1A031">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4"/>
                      <w:sz w:val="21"/>
                      <w:szCs w:val="21"/>
                      <w:lang w:eastAsia="en-US"/>
                    </w:rPr>
                  </w:pPr>
                  <w:r>
                    <w:rPr>
                      <w:rFonts w:hint="default" w:ascii="Times New Roman" w:hAnsi="Times New Roman" w:cs="Times New Roman"/>
                      <w:color w:val="auto"/>
                      <w:spacing w:val="4"/>
                      <w:sz w:val="21"/>
                      <w:szCs w:val="21"/>
                      <w:lang w:eastAsia="en-US"/>
                    </w:rPr>
                    <w:t>342 金属加工机械制造</w:t>
                  </w:r>
                </w:p>
              </w:tc>
              <w:tc>
                <w:tcPr>
                  <w:tcW w:w="1190" w:type="dxa"/>
                  <w:tcBorders>
                    <w:tl2br w:val="nil"/>
                    <w:tr2bl w:val="nil"/>
                  </w:tcBorders>
                  <w:noWrap w:val="0"/>
                  <w:vAlign w:val="center"/>
                </w:tcPr>
                <w:p w14:paraId="47C2A10C">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9"/>
                      <w:sz w:val="21"/>
                      <w:szCs w:val="21"/>
                      <w:lang w:eastAsia="en-US"/>
                    </w:rPr>
                  </w:pPr>
                  <w:r>
                    <w:rPr>
                      <w:rFonts w:hint="default" w:ascii="Times New Roman" w:hAnsi="Times New Roman" w:cs="Times New Roman"/>
                      <w:color w:val="auto"/>
                      <w:spacing w:val="9"/>
                      <w:sz w:val="21"/>
                      <w:szCs w:val="21"/>
                      <w:lang w:eastAsia="en-US"/>
                    </w:rPr>
                    <w:t>★</w:t>
                  </w:r>
                </w:p>
              </w:tc>
            </w:tr>
            <w:tr w14:paraId="141C38AA">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826" w:type="dxa"/>
                  <w:vMerge w:val="continue"/>
                  <w:tcBorders>
                    <w:tl2br w:val="nil"/>
                    <w:tr2bl w:val="nil"/>
                  </w:tcBorders>
                  <w:noWrap w:val="0"/>
                  <w:vAlign w:val="center"/>
                </w:tcPr>
                <w:p w14:paraId="61A89D3E">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4"/>
                      <w:sz w:val="21"/>
                      <w:szCs w:val="21"/>
                      <w:lang w:eastAsia="en-US"/>
                    </w:rPr>
                  </w:pPr>
                </w:p>
              </w:tc>
              <w:tc>
                <w:tcPr>
                  <w:tcW w:w="4754" w:type="dxa"/>
                  <w:gridSpan w:val="2"/>
                  <w:tcBorders>
                    <w:tl2br w:val="nil"/>
                    <w:tr2bl w:val="nil"/>
                  </w:tcBorders>
                  <w:noWrap w:val="0"/>
                  <w:vAlign w:val="center"/>
                </w:tcPr>
                <w:p w14:paraId="5B1A9797">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4"/>
                      <w:sz w:val="21"/>
                      <w:szCs w:val="21"/>
                      <w:lang w:eastAsia="en-US"/>
                    </w:rPr>
                  </w:pPr>
                  <w:r>
                    <w:rPr>
                      <w:rFonts w:hint="default" w:ascii="Times New Roman" w:hAnsi="Times New Roman" w:cs="Times New Roman"/>
                      <w:color w:val="auto"/>
                      <w:spacing w:val="4"/>
                      <w:sz w:val="21"/>
                      <w:szCs w:val="21"/>
                      <w:lang w:eastAsia="en-US"/>
                    </w:rPr>
                    <w:t>343 物料搬运设备制造</w:t>
                  </w:r>
                </w:p>
              </w:tc>
              <w:tc>
                <w:tcPr>
                  <w:tcW w:w="1190" w:type="dxa"/>
                  <w:tcBorders>
                    <w:tl2br w:val="nil"/>
                    <w:tr2bl w:val="nil"/>
                  </w:tcBorders>
                  <w:noWrap w:val="0"/>
                  <w:vAlign w:val="center"/>
                </w:tcPr>
                <w:p w14:paraId="584CE1AD">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9"/>
                      <w:sz w:val="21"/>
                      <w:szCs w:val="21"/>
                      <w:lang w:eastAsia="en-US"/>
                    </w:rPr>
                  </w:pPr>
                  <w:r>
                    <w:rPr>
                      <w:rFonts w:hint="default" w:ascii="Times New Roman" w:hAnsi="Times New Roman" w:cs="Times New Roman"/>
                      <w:color w:val="auto"/>
                      <w:spacing w:val="9"/>
                      <w:sz w:val="21"/>
                      <w:szCs w:val="21"/>
                      <w:lang w:eastAsia="en-US"/>
                    </w:rPr>
                    <w:t>●</w:t>
                  </w:r>
                </w:p>
              </w:tc>
            </w:tr>
            <w:tr w14:paraId="6A609927">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826" w:type="dxa"/>
                  <w:vMerge w:val="continue"/>
                  <w:tcBorders>
                    <w:tl2br w:val="nil"/>
                    <w:tr2bl w:val="nil"/>
                  </w:tcBorders>
                  <w:noWrap w:val="0"/>
                  <w:vAlign w:val="center"/>
                </w:tcPr>
                <w:p w14:paraId="36FF4817">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4"/>
                      <w:sz w:val="21"/>
                      <w:szCs w:val="21"/>
                      <w:lang w:eastAsia="en-US"/>
                    </w:rPr>
                  </w:pPr>
                </w:p>
              </w:tc>
              <w:tc>
                <w:tcPr>
                  <w:tcW w:w="4754" w:type="dxa"/>
                  <w:gridSpan w:val="2"/>
                  <w:tcBorders>
                    <w:tl2br w:val="nil"/>
                    <w:tr2bl w:val="nil"/>
                  </w:tcBorders>
                  <w:noWrap w:val="0"/>
                  <w:vAlign w:val="center"/>
                </w:tcPr>
                <w:p w14:paraId="2B0FE43F">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4"/>
                      <w:sz w:val="21"/>
                      <w:szCs w:val="21"/>
                      <w:lang w:eastAsia="en-US"/>
                    </w:rPr>
                  </w:pPr>
                  <w:r>
                    <w:rPr>
                      <w:rFonts w:hint="default" w:ascii="Times New Roman" w:hAnsi="Times New Roman" w:cs="Times New Roman"/>
                      <w:color w:val="auto"/>
                      <w:spacing w:val="4"/>
                      <w:sz w:val="21"/>
                      <w:szCs w:val="21"/>
                      <w:lang w:eastAsia="en-US"/>
                    </w:rPr>
                    <w:t>344 泵、阀门、压缩机及类似机械制造</w:t>
                  </w:r>
                </w:p>
              </w:tc>
              <w:tc>
                <w:tcPr>
                  <w:tcW w:w="1190" w:type="dxa"/>
                  <w:tcBorders>
                    <w:tl2br w:val="nil"/>
                    <w:tr2bl w:val="nil"/>
                  </w:tcBorders>
                  <w:noWrap w:val="0"/>
                  <w:vAlign w:val="center"/>
                </w:tcPr>
                <w:p w14:paraId="5BE3D233">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9"/>
                      <w:sz w:val="21"/>
                      <w:szCs w:val="21"/>
                      <w:lang w:eastAsia="en-US"/>
                    </w:rPr>
                  </w:pPr>
                  <w:r>
                    <w:rPr>
                      <w:rFonts w:hint="default" w:ascii="Times New Roman" w:hAnsi="Times New Roman" w:cs="Times New Roman"/>
                      <w:color w:val="auto"/>
                      <w:spacing w:val="9"/>
                      <w:sz w:val="21"/>
                      <w:szCs w:val="21"/>
                      <w:lang w:eastAsia="en-US"/>
                    </w:rPr>
                    <w:t>★</w:t>
                  </w:r>
                </w:p>
              </w:tc>
            </w:tr>
            <w:tr w14:paraId="44689353">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826" w:type="dxa"/>
                  <w:vMerge w:val="continue"/>
                  <w:tcBorders>
                    <w:tl2br w:val="nil"/>
                    <w:tr2bl w:val="nil"/>
                  </w:tcBorders>
                  <w:noWrap w:val="0"/>
                  <w:vAlign w:val="center"/>
                </w:tcPr>
                <w:p w14:paraId="33CE2A87">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4"/>
                      <w:sz w:val="21"/>
                      <w:szCs w:val="21"/>
                      <w:lang w:eastAsia="en-US"/>
                    </w:rPr>
                  </w:pPr>
                </w:p>
              </w:tc>
              <w:tc>
                <w:tcPr>
                  <w:tcW w:w="4754" w:type="dxa"/>
                  <w:gridSpan w:val="2"/>
                  <w:tcBorders>
                    <w:tl2br w:val="nil"/>
                    <w:tr2bl w:val="nil"/>
                  </w:tcBorders>
                  <w:noWrap w:val="0"/>
                  <w:vAlign w:val="center"/>
                </w:tcPr>
                <w:p w14:paraId="1831018E">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4"/>
                      <w:sz w:val="21"/>
                      <w:szCs w:val="21"/>
                      <w:lang w:eastAsia="en-US"/>
                    </w:rPr>
                  </w:pPr>
                  <w:r>
                    <w:rPr>
                      <w:rFonts w:hint="default" w:ascii="Times New Roman" w:hAnsi="Times New Roman" w:cs="Times New Roman"/>
                      <w:color w:val="auto"/>
                      <w:spacing w:val="4"/>
                      <w:sz w:val="21"/>
                      <w:szCs w:val="21"/>
                      <w:lang w:eastAsia="en-US"/>
                    </w:rPr>
                    <w:t>345 轴承、齿轮和传动部件制造</w:t>
                  </w:r>
                </w:p>
              </w:tc>
              <w:tc>
                <w:tcPr>
                  <w:tcW w:w="1190" w:type="dxa"/>
                  <w:tcBorders>
                    <w:tl2br w:val="nil"/>
                    <w:tr2bl w:val="nil"/>
                  </w:tcBorders>
                  <w:noWrap w:val="0"/>
                  <w:vAlign w:val="center"/>
                </w:tcPr>
                <w:p w14:paraId="2D2D0D1D">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9"/>
                      <w:sz w:val="21"/>
                      <w:szCs w:val="21"/>
                      <w:lang w:eastAsia="en-US"/>
                    </w:rPr>
                  </w:pPr>
                  <w:r>
                    <w:rPr>
                      <w:rFonts w:hint="default" w:ascii="Times New Roman" w:hAnsi="Times New Roman" w:cs="Times New Roman"/>
                      <w:color w:val="auto"/>
                      <w:spacing w:val="9"/>
                      <w:sz w:val="21"/>
                      <w:szCs w:val="21"/>
                      <w:lang w:eastAsia="en-US"/>
                    </w:rPr>
                    <w:t>●</w:t>
                  </w:r>
                </w:p>
              </w:tc>
            </w:tr>
            <w:tr w14:paraId="60F2CBE8">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826" w:type="dxa"/>
                  <w:vMerge w:val="continue"/>
                  <w:tcBorders>
                    <w:tl2br w:val="nil"/>
                    <w:tr2bl w:val="nil"/>
                  </w:tcBorders>
                  <w:noWrap w:val="0"/>
                  <w:vAlign w:val="center"/>
                </w:tcPr>
                <w:p w14:paraId="1638CBA2">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4"/>
                      <w:sz w:val="21"/>
                      <w:szCs w:val="21"/>
                      <w:lang w:eastAsia="en-US"/>
                    </w:rPr>
                  </w:pPr>
                </w:p>
              </w:tc>
              <w:tc>
                <w:tcPr>
                  <w:tcW w:w="4754" w:type="dxa"/>
                  <w:gridSpan w:val="2"/>
                  <w:tcBorders>
                    <w:tl2br w:val="nil"/>
                    <w:tr2bl w:val="nil"/>
                  </w:tcBorders>
                  <w:noWrap w:val="0"/>
                  <w:vAlign w:val="center"/>
                </w:tcPr>
                <w:p w14:paraId="660EEB2D">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4"/>
                      <w:sz w:val="21"/>
                      <w:szCs w:val="21"/>
                      <w:lang w:eastAsia="en-US"/>
                    </w:rPr>
                  </w:pPr>
                  <w:r>
                    <w:rPr>
                      <w:rFonts w:hint="default" w:ascii="Times New Roman" w:hAnsi="Times New Roman" w:cs="Times New Roman"/>
                      <w:color w:val="auto"/>
                      <w:spacing w:val="4"/>
                      <w:sz w:val="21"/>
                      <w:szCs w:val="21"/>
                      <w:lang w:eastAsia="en-US"/>
                    </w:rPr>
                    <w:t>346 烘炉、风机、包装等设备制造</w:t>
                  </w:r>
                </w:p>
              </w:tc>
              <w:tc>
                <w:tcPr>
                  <w:tcW w:w="1190" w:type="dxa"/>
                  <w:tcBorders>
                    <w:tl2br w:val="nil"/>
                    <w:tr2bl w:val="nil"/>
                  </w:tcBorders>
                  <w:noWrap w:val="0"/>
                  <w:vAlign w:val="center"/>
                </w:tcPr>
                <w:p w14:paraId="32AD4CE2">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9"/>
                      <w:sz w:val="21"/>
                      <w:szCs w:val="21"/>
                      <w:lang w:eastAsia="en-US"/>
                    </w:rPr>
                  </w:pPr>
                  <w:r>
                    <w:rPr>
                      <w:rFonts w:hint="default" w:ascii="Times New Roman" w:hAnsi="Times New Roman" w:cs="Times New Roman"/>
                      <w:color w:val="auto"/>
                      <w:spacing w:val="9"/>
                      <w:sz w:val="21"/>
                      <w:szCs w:val="21"/>
                      <w:lang w:eastAsia="en-US"/>
                    </w:rPr>
                    <w:t>●</w:t>
                  </w:r>
                </w:p>
              </w:tc>
            </w:tr>
            <w:tr w14:paraId="4453FE76">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826" w:type="dxa"/>
                  <w:vMerge w:val="continue"/>
                  <w:tcBorders>
                    <w:tl2br w:val="nil"/>
                    <w:tr2bl w:val="nil"/>
                  </w:tcBorders>
                  <w:noWrap w:val="0"/>
                  <w:vAlign w:val="center"/>
                </w:tcPr>
                <w:p w14:paraId="388737CF">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4"/>
                      <w:sz w:val="21"/>
                      <w:szCs w:val="21"/>
                      <w:lang w:eastAsia="en-US"/>
                    </w:rPr>
                  </w:pPr>
                </w:p>
              </w:tc>
              <w:tc>
                <w:tcPr>
                  <w:tcW w:w="4754" w:type="dxa"/>
                  <w:gridSpan w:val="2"/>
                  <w:tcBorders>
                    <w:tl2br w:val="nil"/>
                    <w:tr2bl w:val="nil"/>
                  </w:tcBorders>
                  <w:noWrap w:val="0"/>
                  <w:vAlign w:val="center"/>
                </w:tcPr>
                <w:p w14:paraId="03D18313">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4"/>
                      <w:sz w:val="21"/>
                      <w:szCs w:val="21"/>
                      <w:lang w:eastAsia="en-US"/>
                    </w:rPr>
                  </w:pPr>
                  <w:r>
                    <w:rPr>
                      <w:rFonts w:hint="default" w:ascii="Times New Roman" w:hAnsi="Times New Roman" w:cs="Times New Roman"/>
                      <w:color w:val="auto"/>
                      <w:spacing w:val="4"/>
                      <w:sz w:val="21"/>
                      <w:szCs w:val="21"/>
                      <w:lang w:eastAsia="en-US"/>
                    </w:rPr>
                    <w:t>347 文化、办公用机械制造</w:t>
                  </w:r>
                </w:p>
              </w:tc>
              <w:tc>
                <w:tcPr>
                  <w:tcW w:w="1190" w:type="dxa"/>
                  <w:tcBorders>
                    <w:tl2br w:val="nil"/>
                    <w:tr2bl w:val="nil"/>
                  </w:tcBorders>
                  <w:noWrap w:val="0"/>
                  <w:vAlign w:val="center"/>
                </w:tcPr>
                <w:p w14:paraId="180C2528">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9"/>
                      <w:sz w:val="21"/>
                      <w:szCs w:val="21"/>
                      <w:lang w:eastAsia="en-US"/>
                    </w:rPr>
                  </w:pPr>
                  <w:r>
                    <w:rPr>
                      <w:rFonts w:hint="default" w:ascii="Times New Roman" w:hAnsi="Times New Roman" w:cs="Times New Roman"/>
                      <w:color w:val="auto"/>
                      <w:spacing w:val="9"/>
                      <w:sz w:val="21"/>
                      <w:szCs w:val="21"/>
                      <w:lang w:eastAsia="en-US"/>
                    </w:rPr>
                    <w:t>●</w:t>
                  </w:r>
                </w:p>
              </w:tc>
            </w:tr>
            <w:tr w14:paraId="1AED5F5C">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826" w:type="dxa"/>
                  <w:vMerge w:val="continue"/>
                  <w:tcBorders>
                    <w:tl2br w:val="nil"/>
                    <w:tr2bl w:val="nil"/>
                  </w:tcBorders>
                  <w:noWrap w:val="0"/>
                  <w:vAlign w:val="center"/>
                </w:tcPr>
                <w:p w14:paraId="1D022A83">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4"/>
                      <w:sz w:val="21"/>
                      <w:szCs w:val="21"/>
                      <w:lang w:eastAsia="en-US"/>
                    </w:rPr>
                  </w:pPr>
                </w:p>
              </w:tc>
              <w:tc>
                <w:tcPr>
                  <w:tcW w:w="4754" w:type="dxa"/>
                  <w:gridSpan w:val="2"/>
                  <w:tcBorders>
                    <w:tl2br w:val="nil"/>
                    <w:tr2bl w:val="nil"/>
                  </w:tcBorders>
                  <w:noWrap w:val="0"/>
                  <w:vAlign w:val="center"/>
                </w:tcPr>
                <w:p w14:paraId="58E67CB7">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4"/>
                      <w:sz w:val="21"/>
                      <w:szCs w:val="21"/>
                      <w:lang w:eastAsia="en-US"/>
                    </w:rPr>
                  </w:pPr>
                  <w:r>
                    <w:rPr>
                      <w:rFonts w:hint="default" w:ascii="Times New Roman" w:hAnsi="Times New Roman" w:cs="Times New Roman"/>
                      <w:color w:val="auto"/>
                      <w:spacing w:val="4"/>
                      <w:sz w:val="21"/>
                      <w:szCs w:val="21"/>
                      <w:lang w:eastAsia="en-US"/>
                    </w:rPr>
                    <w:t>348 通用零部件制造</w:t>
                  </w:r>
                </w:p>
              </w:tc>
              <w:tc>
                <w:tcPr>
                  <w:tcW w:w="1190" w:type="dxa"/>
                  <w:tcBorders>
                    <w:tl2br w:val="nil"/>
                    <w:tr2bl w:val="nil"/>
                  </w:tcBorders>
                  <w:noWrap w:val="0"/>
                  <w:vAlign w:val="center"/>
                </w:tcPr>
                <w:p w14:paraId="569AEA39">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9"/>
                      <w:sz w:val="21"/>
                      <w:szCs w:val="21"/>
                      <w:lang w:eastAsia="en-US"/>
                    </w:rPr>
                  </w:pPr>
                  <w:r>
                    <w:rPr>
                      <w:rFonts w:hint="default" w:ascii="Times New Roman" w:hAnsi="Times New Roman" w:cs="Times New Roman"/>
                      <w:color w:val="auto"/>
                      <w:spacing w:val="9"/>
                      <w:sz w:val="21"/>
                      <w:szCs w:val="21"/>
                      <w:lang w:eastAsia="en-US"/>
                    </w:rPr>
                    <w:t>★</w:t>
                  </w:r>
                </w:p>
              </w:tc>
            </w:tr>
            <w:tr w14:paraId="331F517F">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826" w:type="dxa"/>
                  <w:vMerge w:val="continue"/>
                  <w:tcBorders>
                    <w:tl2br w:val="nil"/>
                    <w:tr2bl w:val="nil"/>
                  </w:tcBorders>
                  <w:noWrap w:val="0"/>
                  <w:vAlign w:val="center"/>
                </w:tcPr>
                <w:p w14:paraId="028C4B10">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4"/>
                      <w:sz w:val="21"/>
                      <w:szCs w:val="21"/>
                      <w:lang w:eastAsia="en-US"/>
                    </w:rPr>
                  </w:pPr>
                </w:p>
              </w:tc>
              <w:tc>
                <w:tcPr>
                  <w:tcW w:w="4754" w:type="dxa"/>
                  <w:gridSpan w:val="2"/>
                  <w:tcBorders>
                    <w:tl2br w:val="nil"/>
                    <w:tr2bl w:val="nil"/>
                  </w:tcBorders>
                  <w:noWrap w:val="0"/>
                  <w:vAlign w:val="center"/>
                </w:tcPr>
                <w:p w14:paraId="5A18C5CF">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4"/>
                      <w:sz w:val="21"/>
                      <w:szCs w:val="21"/>
                      <w:lang w:eastAsia="en-US"/>
                    </w:rPr>
                  </w:pPr>
                  <w:r>
                    <w:rPr>
                      <w:rFonts w:hint="default" w:ascii="Times New Roman" w:hAnsi="Times New Roman" w:cs="Times New Roman"/>
                      <w:color w:val="auto"/>
                      <w:spacing w:val="4"/>
                      <w:sz w:val="21"/>
                      <w:szCs w:val="21"/>
                      <w:lang w:eastAsia="en-US"/>
                    </w:rPr>
                    <w:t>349 其他通用设备制造业</w:t>
                  </w:r>
                </w:p>
              </w:tc>
              <w:tc>
                <w:tcPr>
                  <w:tcW w:w="1190" w:type="dxa"/>
                  <w:tcBorders>
                    <w:tl2br w:val="nil"/>
                    <w:tr2bl w:val="nil"/>
                  </w:tcBorders>
                  <w:noWrap w:val="0"/>
                  <w:vAlign w:val="center"/>
                </w:tcPr>
                <w:p w14:paraId="557A7816">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9"/>
                      <w:sz w:val="21"/>
                      <w:szCs w:val="21"/>
                      <w:lang w:eastAsia="en-US"/>
                    </w:rPr>
                  </w:pPr>
                  <w:r>
                    <w:rPr>
                      <w:rFonts w:hint="default" w:ascii="Times New Roman" w:hAnsi="Times New Roman" w:cs="Times New Roman"/>
                      <w:color w:val="auto"/>
                      <w:spacing w:val="9"/>
                      <w:sz w:val="21"/>
                      <w:szCs w:val="21"/>
                      <w:lang w:eastAsia="en-US"/>
                    </w:rPr>
                    <w:t>★</w:t>
                  </w:r>
                </w:p>
              </w:tc>
            </w:tr>
            <w:tr w14:paraId="61589653">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826" w:type="dxa"/>
                  <w:vMerge w:val="restart"/>
                  <w:tcBorders>
                    <w:tl2br w:val="nil"/>
                    <w:tr2bl w:val="nil"/>
                  </w:tcBorders>
                  <w:noWrap w:val="0"/>
                  <w:vAlign w:val="center"/>
                </w:tcPr>
                <w:p w14:paraId="65A46B28">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4"/>
                      <w:sz w:val="21"/>
                      <w:szCs w:val="21"/>
                      <w:lang w:eastAsia="en-US"/>
                    </w:rPr>
                  </w:pPr>
                  <w:r>
                    <w:rPr>
                      <w:rFonts w:hint="default" w:ascii="Times New Roman" w:hAnsi="Times New Roman" w:cs="Times New Roman"/>
                      <w:color w:val="auto"/>
                      <w:spacing w:val="4"/>
                      <w:sz w:val="21"/>
                      <w:szCs w:val="21"/>
                      <w:lang w:eastAsia="en-US"/>
                    </w:rPr>
                    <w:t>C35 专用设备制造业</w:t>
                  </w:r>
                </w:p>
              </w:tc>
              <w:tc>
                <w:tcPr>
                  <w:tcW w:w="4754" w:type="dxa"/>
                  <w:gridSpan w:val="2"/>
                  <w:tcBorders>
                    <w:tl2br w:val="nil"/>
                    <w:tr2bl w:val="nil"/>
                  </w:tcBorders>
                  <w:noWrap w:val="0"/>
                  <w:vAlign w:val="center"/>
                </w:tcPr>
                <w:p w14:paraId="79887004">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4"/>
                      <w:sz w:val="21"/>
                      <w:szCs w:val="21"/>
                      <w:lang w:eastAsia="en-US"/>
                    </w:rPr>
                  </w:pPr>
                  <w:r>
                    <w:rPr>
                      <w:rFonts w:hint="default" w:ascii="Times New Roman" w:hAnsi="Times New Roman" w:cs="Times New Roman"/>
                      <w:color w:val="auto"/>
                      <w:spacing w:val="4"/>
                      <w:sz w:val="21"/>
                      <w:szCs w:val="21"/>
                      <w:lang w:eastAsia="en-US"/>
                    </w:rPr>
                    <w:t>351 采矿、冶金、建筑专用设备制造</w:t>
                  </w:r>
                </w:p>
              </w:tc>
              <w:tc>
                <w:tcPr>
                  <w:tcW w:w="1190" w:type="dxa"/>
                  <w:tcBorders>
                    <w:tl2br w:val="nil"/>
                    <w:tr2bl w:val="nil"/>
                  </w:tcBorders>
                  <w:noWrap w:val="0"/>
                  <w:vAlign w:val="center"/>
                </w:tcPr>
                <w:p w14:paraId="1DD868E8">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9"/>
                      <w:sz w:val="21"/>
                      <w:szCs w:val="21"/>
                      <w:lang w:eastAsia="en-US"/>
                    </w:rPr>
                  </w:pPr>
                  <w:r>
                    <w:rPr>
                      <w:rFonts w:hint="default" w:ascii="Times New Roman" w:hAnsi="Times New Roman" w:cs="Times New Roman"/>
                      <w:color w:val="auto"/>
                      <w:spacing w:val="9"/>
                      <w:sz w:val="21"/>
                      <w:szCs w:val="21"/>
                      <w:lang w:eastAsia="en-US"/>
                    </w:rPr>
                    <w:t>●</w:t>
                  </w:r>
                </w:p>
              </w:tc>
            </w:tr>
            <w:tr w14:paraId="3CEAF908">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826" w:type="dxa"/>
                  <w:vMerge w:val="continue"/>
                  <w:tcBorders>
                    <w:tl2br w:val="nil"/>
                    <w:tr2bl w:val="nil"/>
                  </w:tcBorders>
                  <w:noWrap w:val="0"/>
                  <w:vAlign w:val="center"/>
                </w:tcPr>
                <w:p w14:paraId="2F8BF5EE">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4"/>
                      <w:sz w:val="21"/>
                      <w:szCs w:val="21"/>
                      <w:lang w:eastAsia="en-US"/>
                    </w:rPr>
                  </w:pPr>
                </w:p>
              </w:tc>
              <w:tc>
                <w:tcPr>
                  <w:tcW w:w="4754" w:type="dxa"/>
                  <w:gridSpan w:val="2"/>
                  <w:tcBorders>
                    <w:tl2br w:val="nil"/>
                    <w:tr2bl w:val="nil"/>
                  </w:tcBorders>
                  <w:noWrap w:val="0"/>
                  <w:vAlign w:val="center"/>
                </w:tcPr>
                <w:p w14:paraId="64A34780">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4"/>
                      <w:sz w:val="21"/>
                      <w:szCs w:val="21"/>
                      <w:lang w:eastAsia="en-US"/>
                    </w:rPr>
                  </w:pPr>
                  <w:r>
                    <w:rPr>
                      <w:rFonts w:hint="default" w:ascii="Times New Roman" w:hAnsi="Times New Roman" w:cs="Times New Roman"/>
                      <w:color w:val="auto"/>
                      <w:spacing w:val="4"/>
                      <w:sz w:val="21"/>
                      <w:szCs w:val="21"/>
                      <w:lang w:eastAsia="en-US"/>
                    </w:rPr>
                    <w:t>352 化工、木材、非金属加工专用设备制造</w:t>
                  </w:r>
                </w:p>
              </w:tc>
              <w:tc>
                <w:tcPr>
                  <w:tcW w:w="1190" w:type="dxa"/>
                  <w:tcBorders>
                    <w:tl2br w:val="nil"/>
                    <w:tr2bl w:val="nil"/>
                  </w:tcBorders>
                  <w:noWrap w:val="0"/>
                  <w:vAlign w:val="center"/>
                </w:tcPr>
                <w:p w14:paraId="571C2B3F">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9"/>
                      <w:sz w:val="21"/>
                      <w:szCs w:val="21"/>
                      <w:lang w:eastAsia="en-US"/>
                    </w:rPr>
                  </w:pPr>
                  <w:r>
                    <w:rPr>
                      <w:rFonts w:hint="default" w:ascii="Times New Roman" w:hAnsi="Times New Roman" w:cs="Times New Roman"/>
                      <w:color w:val="auto"/>
                      <w:spacing w:val="9"/>
                      <w:sz w:val="21"/>
                      <w:szCs w:val="21"/>
                      <w:lang w:eastAsia="en-US"/>
                    </w:rPr>
                    <w:t>●</w:t>
                  </w:r>
                </w:p>
              </w:tc>
            </w:tr>
            <w:tr w14:paraId="549910CD">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826" w:type="dxa"/>
                  <w:vMerge w:val="continue"/>
                  <w:tcBorders>
                    <w:tl2br w:val="nil"/>
                    <w:tr2bl w:val="nil"/>
                  </w:tcBorders>
                  <w:noWrap w:val="0"/>
                  <w:vAlign w:val="center"/>
                </w:tcPr>
                <w:p w14:paraId="76DF167B">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4"/>
                      <w:sz w:val="21"/>
                      <w:szCs w:val="21"/>
                      <w:lang w:eastAsia="en-US"/>
                    </w:rPr>
                  </w:pPr>
                </w:p>
              </w:tc>
              <w:tc>
                <w:tcPr>
                  <w:tcW w:w="4754" w:type="dxa"/>
                  <w:gridSpan w:val="2"/>
                  <w:tcBorders>
                    <w:tl2br w:val="nil"/>
                    <w:tr2bl w:val="nil"/>
                  </w:tcBorders>
                  <w:noWrap w:val="0"/>
                  <w:vAlign w:val="center"/>
                </w:tcPr>
                <w:p w14:paraId="2C70444E">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4"/>
                      <w:sz w:val="21"/>
                      <w:szCs w:val="21"/>
                      <w:lang w:eastAsia="en-US"/>
                    </w:rPr>
                  </w:pPr>
                  <w:r>
                    <w:rPr>
                      <w:rFonts w:hint="default" w:ascii="Times New Roman" w:hAnsi="Times New Roman" w:cs="Times New Roman"/>
                      <w:color w:val="auto"/>
                      <w:spacing w:val="4"/>
                      <w:sz w:val="21"/>
                      <w:szCs w:val="21"/>
                      <w:lang w:eastAsia="en-US"/>
                    </w:rPr>
                    <w:t>353 食品、饮料、烟草及饲料生产专用设备制造</w:t>
                  </w:r>
                </w:p>
              </w:tc>
              <w:tc>
                <w:tcPr>
                  <w:tcW w:w="1190" w:type="dxa"/>
                  <w:tcBorders>
                    <w:tl2br w:val="nil"/>
                    <w:tr2bl w:val="nil"/>
                  </w:tcBorders>
                  <w:noWrap w:val="0"/>
                  <w:vAlign w:val="center"/>
                </w:tcPr>
                <w:p w14:paraId="336A0EF8">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9"/>
                      <w:sz w:val="21"/>
                      <w:szCs w:val="21"/>
                      <w:lang w:eastAsia="en-US"/>
                    </w:rPr>
                  </w:pPr>
                  <w:r>
                    <w:rPr>
                      <w:rFonts w:hint="default" w:ascii="Times New Roman" w:hAnsi="Times New Roman" w:cs="Times New Roman"/>
                      <w:color w:val="auto"/>
                      <w:spacing w:val="9"/>
                      <w:sz w:val="21"/>
                      <w:szCs w:val="21"/>
                      <w:lang w:eastAsia="en-US"/>
                    </w:rPr>
                    <w:t>●</w:t>
                  </w:r>
                </w:p>
              </w:tc>
            </w:tr>
            <w:tr w14:paraId="05D4ED18">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826" w:type="dxa"/>
                  <w:vMerge w:val="continue"/>
                  <w:tcBorders>
                    <w:tl2br w:val="nil"/>
                    <w:tr2bl w:val="nil"/>
                  </w:tcBorders>
                  <w:noWrap w:val="0"/>
                  <w:vAlign w:val="center"/>
                </w:tcPr>
                <w:p w14:paraId="03135707">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4"/>
                      <w:sz w:val="21"/>
                      <w:szCs w:val="21"/>
                      <w:lang w:eastAsia="en-US"/>
                    </w:rPr>
                  </w:pPr>
                </w:p>
              </w:tc>
              <w:tc>
                <w:tcPr>
                  <w:tcW w:w="4754" w:type="dxa"/>
                  <w:gridSpan w:val="2"/>
                  <w:tcBorders>
                    <w:tl2br w:val="nil"/>
                    <w:tr2bl w:val="nil"/>
                  </w:tcBorders>
                  <w:noWrap w:val="0"/>
                  <w:vAlign w:val="center"/>
                </w:tcPr>
                <w:p w14:paraId="196A5AEC">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4"/>
                      <w:sz w:val="21"/>
                      <w:szCs w:val="21"/>
                      <w:lang w:eastAsia="en-US"/>
                    </w:rPr>
                  </w:pPr>
                  <w:r>
                    <w:rPr>
                      <w:rFonts w:hint="default" w:ascii="Times New Roman" w:hAnsi="Times New Roman" w:cs="Times New Roman"/>
                      <w:color w:val="auto"/>
                      <w:spacing w:val="4"/>
                      <w:sz w:val="21"/>
                      <w:szCs w:val="21"/>
                      <w:lang w:eastAsia="en-US"/>
                    </w:rPr>
                    <w:t>354 印刷、制药、日化及日用品生产专用设备制造</w:t>
                  </w:r>
                </w:p>
              </w:tc>
              <w:tc>
                <w:tcPr>
                  <w:tcW w:w="1190" w:type="dxa"/>
                  <w:tcBorders>
                    <w:tl2br w:val="nil"/>
                    <w:tr2bl w:val="nil"/>
                  </w:tcBorders>
                  <w:noWrap w:val="0"/>
                  <w:vAlign w:val="center"/>
                </w:tcPr>
                <w:p w14:paraId="661FB15B">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9"/>
                      <w:sz w:val="21"/>
                      <w:szCs w:val="21"/>
                      <w:lang w:eastAsia="en-US"/>
                    </w:rPr>
                  </w:pPr>
                  <w:r>
                    <w:rPr>
                      <w:rFonts w:hint="default" w:ascii="Times New Roman" w:hAnsi="Times New Roman" w:cs="Times New Roman"/>
                      <w:color w:val="auto"/>
                      <w:spacing w:val="9"/>
                      <w:sz w:val="21"/>
                      <w:szCs w:val="21"/>
                      <w:lang w:eastAsia="en-US"/>
                    </w:rPr>
                    <w:t>●</w:t>
                  </w:r>
                </w:p>
              </w:tc>
            </w:tr>
            <w:tr w14:paraId="7B7CCB8F">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826" w:type="dxa"/>
                  <w:vMerge w:val="continue"/>
                  <w:tcBorders>
                    <w:tl2br w:val="nil"/>
                    <w:tr2bl w:val="nil"/>
                  </w:tcBorders>
                  <w:noWrap w:val="0"/>
                  <w:vAlign w:val="center"/>
                </w:tcPr>
                <w:p w14:paraId="0B371FD0">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4"/>
                      <w:sz w:val="21"/>
                      <w:szCs w:val="21"/>
                      <w:lang w:eastAsia="en-US"/>
                    </w:rPr>
                  </w:pPr>
                </w:p>
              </w:tc>
              <w:tc>
                <w:tcPr>
                  <w:tcW w:w="4754" w:type="dxa"/>
                  <w:gridSpan w:val="2"/>
                  <w:tcBorders>
                    <w:tl2br w:val="nil"/>
                    <w:tr2bl w:val="nil"/>
                  </w:tcBorders>
                  <w:noWrap w:val="0"/>
                  <w:vAlign w:val="center"/>
                </w:tcPr>
                <w:p w14:paraId="14A03527">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4"/>
                      <w:sz w:val="21"/>
                      <w:szCs w:val="21"/>
                      <w:lang w:eastAsia="en-US"/>
                    </w:rPr>
                  </w:pPr>
                  <w:r>
                    <w:rPr>
                      <w:rFonts w:hint="default" w:ascii="Times New Roman" w:hAnsi="Times New Roman" w:cs="Times New Roman"/>
                      <w:color w:val="auto"/>
                      <w:spacing w:val="4"/>
                      <w:sz w:val="21"/>
                      <w:szCs w:val="21"/>
                      <w:lang w:eastAsia="en-US"/>
                    </w:rPr>
                    <w:t>355 纺织、服装和皮革加工专用设备制造</w:t>
                  </w:r>
                </w:p>
              </w:tc>
              <w:tc>
                <w:tcPr>
                  <w:tcW w:w="1190" w:type="dxa"/>
                  <w:tcBorders>
                    <w:tl2br w:val="nil"/>
                    <w:tr2bl w:val="nil"/>
                  </w:tcBorders>
                  <w:noWrap w:val="0"/>
                  <w:vAlign w:val="center"/>
                </w:tcPr>
                <w:p w14:paraId="72A99AEB">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9"/>
                      <w:sz w:val="21"/>
                      <w:szCs w:val="21"/>
                      <w:lang w:eastAsia="en-US"/>
                    </w:rPr>
                  </w:pPr>
                  <w:r>
                    <w:rPr>
                      <w:rFonts w:hint="default" w:ascii="Times New Roman" w:hAnsi="Times New Roman" w:cs="Times New Roman"/>
                      <w:color w:val="auto"/>
                      <w:spacing w:val="9"/>
                      <w:sz w:val="21"/>
                      <w:szCs w:val="21"/>
                      <w:lang w:eastAsia="en-US"/>
                    </w:rPr>
                    <w:t>●</w:t>
                  </w:r>
                </w:p>
              </w:tc>
            </w:tr>
            <w:tr w14:paraId="7C05BE8C">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826" w:type="dxa"/>
                  <w:vMerge w:val="continue"/>
                  <w:tcBorders>
                    <w:tl2br w:val="nil"/>
                    <w:tr2bl w:val="nil"/>
                  </w:tcBorders>
                  <w:noWrap w:val="0"/>
                  <w:vAlign w:val="center"/>
                </w:tcPr>
                <w:p w14:paraId="69878BF1">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4"/>
                      <w:sz w:val="21"/>
                      <w:szCs w:val="21"/>
                      <w:lang w:eastAsia="en-US"/>
                    </w:rPr>
                  </w:pPr>
                </w:p>
              </w:tc>
              <w:tc>
                <w:tcPr>
                  <w:tcW w:w="4754" w:type="dxa"/>
                  <w:gridSpan w:val="2"/>
                  <w:tcBorders>
                    <w:tl2br w:val="nil"/>
                    <w:tr2bl w:val="nil"/>
                  </w:tcBorders>
                  <w:noWrap w:val="0"/>
                  <w:vAlign w:val="center"/>
                </w:tcPr>
                <w:p w14:paraId="6D7D7925">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4"/>
                      <w:sz w:val="21"/>
                      <w:szCs w:val="21"/>
                      <w:lang w:eastAsia="en-US"/>
                    </w:rPr>
                  </w:pPr>
                  <w:r>
                    <w:rPr>
                      <w:rFonts w:hint="default" w:ascii="Times New Roman" w:hAnsi="Times New Roman" w:cs="Times New Roman"/>
                      <w:color w:val="auto"/>
                      <w:spacing w:val="4"/>
                      <w:sz w:val="21"/>
                      <w:szCs w:val="21"/>
                      <w:lang w:eastAsia="en-US"/>
                    </w:rPr>
                    <w:t>356 电子和电工机械专用设备制造</w:t>
                  </w:r>
                </w:p>
              </w:tc>
              <w:tc>
                <w:tcPr>
                  <w:tcW w:w="1190" w:type="dxa"/>
                  <w:tcBorders>
                    <w:tl2br w:val="nil"/>
                    <w:tr2bl w:val="nil"/>
                  </w:tcBorders>
                  <w:noWrap w:val="0"/>
                  <w:vAlign w:val="center"/>
                </w:tcPr>
                <w:p w14:paraId="30C8184B">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9"/>
                      <w:sz w:val="21"/>
                      <w:szCs w:val="21"/>
                      <w:lang w:eastAsia="en-US"/>
                    </w:rPr>
                  </w:pPr>
                  <w:r>
                    <w:rPr>
                      <w:rFonts w:hint="default" w:ascii="Times New Roman" w:hAnsi="Times New Roman" w:cs="Times New Roman"/>
                      <w:color w:val="auto"/>
                      <w:spacing w:val="9"/>
                      <w:sz w:val="21"/>
                      <w:szCs w:val="21"/>
                      <w:lang w:eastAsia="en-US"/>
                    </w:rPr>
                    <w:t>●</w:t>
                  </w:r>
                </w:p>
              </w:tc>
            </w:tr>
            <w:tr w14:paraId="6AE0A2F9">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826" w:type="dxa"/>
                  <w:vMerge w:val="continue"/>
                  <w:tcBorders>
                    <w:tl2br w:val="nil"/>
                    <w:tr2bl w:val="nil"/>
                  </w:tcBorders>
                  <w:noWrap w:val="0"/>
                  <w:vAlign w:val="center"/>
                </w:tcPr>
                <w:p w14:paraId="076F64F8">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4"/>
                      <w:sz w:val="21"/>
                      <w:szCs w:val="21"/>
                      <w:lang w:eastAsia="en-US"/>
                    </w:rPr>
                  </w:pPr>
                </w:p>
              </w:tc>
              <w:tc>
                <w:tcPr>
                  <w:tcW w:w="4754" w:type="dxa"/>
                  <w:gridSpan w:val="2"/>
                  <w:tcBorders>
                    <w:tl2br w:val="nil"/>
                    <w:tr2bl w:val="nil"/>
                  </w:tcBorders>
                  <w:noWrap w:val="0"/>
                  <w:vAlign w:val="center"/>
                </w:tcPr>
                <w:p w14:paraId="101F12ED">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4"/>
                      <w:sz w:val="21"/>
                      <w:szCs w:val="21"/>
                      <w:lang w:eastAsia="en-US"/>
                    </w:rPr>
                  </w:pPr>
                  <w:r>
                    <w:rPr>
                      <w:rFonts w:hint="default" w:ascii="Times New Roman" w:hAnsi="Times New Roman" w:cs="Times New Roman"/>
                      <w:color w:val="auto"/>
                      <w:spacing w:val="4"/>
                      <w:sz w:val="21"/>
                      <w:szCs w:val="21"/>
                      <w:lang w:eastAsia="en-US"/>
                    </w:rPr>
                    <w:t>357 农、林、牧、渔专用机械制造</w:t>
                  </w:r>
                </w:p>
              </w:tc>
              <w:tc>
                <w:tcPr>
                  <w:tcW w:w="1190" w:type="dxa"/>
                  <w:tcBorders>
                    <w:tl2br w:val="nil"/>
                    <w:tr2bl w:val="nil"/>
                  </w:tcBorders>
                  <w:noWrap w:val="0"/>
                  <w:vAlign w:val="center"/>
                </w:tcPr>
                <w:p w14:paraId="684C434D">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9"/>
                      <w:sz w:val="21"/>
                      <w:szCs w:val="21"/>
                      <w:lang w:eastAsia="en-US"/>
                    </w:rPr>
                  </w:pPr>
                  <w:r>
                    <w:rPr>
                      <w:rFonts w:hint="default" w:ascii="Times New Roman" w:hAnsi="Times New Roman" w:cs="Times New Roman"/>
                      <w:color w:val="auto"/>
                      <w:spacing w:val="9"/>
                      <w:sz w:val="21"/>
                      <w:szCs w:val="21"/>
                      <w:lang w:eastAsia="en-US"/>
                    </w:rPr>
                    <w:t>●</w:t>
                  </w:r>
                </w:p>
              </w:tc>
            </w:tr>
            <w:tr w14:paraId="4E38D1AB">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826" w:type="dxa"/>
                  <w:vMerge w:val="continue"/>
                  <w:tcBorders>
                    <w:tl2br w:val="nil"/>
                    <w:tr2bl w:val="nil"/>
                  </w:tcBorders>
                  <w:noWrap w:val="0"/>
                  <w:vAlign w:val="center"/>
                </w:tcPr>
                <w:p w14:paraId="4E899EFC">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4"/>
                      <w:sz w:val="21"/>
                      <w:szCs w:val="21"/>
                      <w:lang w:eastAsia="en-US"/>
                    </w:rPr>
                  </w:pPr>
                </w:p>
              </w:tc>
              <w:tc>
                <w:tcPr>
                  <w:tcW w:w="4754" w:type="dxa"/>
                  <w:gridSpan w:val="2"/>
                  <w:tcBorders>
                    <w:tl2br w:val="nil"/>
                    <w:tr2bl w:val="nil"/>
                  </w:tcBorders>
                  <w:noWrap w:val="0"/>
                  <w:vAlign w:val="center"/>
                </w:tcPr>
                <w:p w14:paraId="303036EC">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4"/>
                      <w:sz w:val="21"/>
                      <w:szCs w:val="21"/>
                      <w:lang w:eastAsia="en-US"/>
                    </w:rPr>
                  </w:pPr>
                  <w:r>
                    <w:rPr>
                      <w:rFonts w:hint="default" w:ascii="Times New Roman" w:hAnsi="Times New Roman" w:cs="Times New Roman"/>
                      <w:color w:val="auto"/>
                      <w:spacing w:val="4"/>
                      <w:sz w:val="21"/>
                      <w:szCs w:val="21"/>
                      <w:lang w:eastAsia="en-US"/>
                    </w:rPr>
                    <w:t>358 医疗仪器设备及器械制造</w:t>
                  </w:r>
                </w:p>
              </w:tc>
              <w:tc>
                <w:tcPr>
                  <w:tcW w:w="1190" w:type="dxa"/>
                  <w:tcBorders>
                    <w:tl2br w:val="nil"/>
                    <w:tr2bl w:val="nil"/>
                  </w:tcBorders>
                  <w:noWrap w:val="0"/>
                  <w:vAlign w:val="center"/>
                </w:tcPr>
                <w:p w14:paraId="20A8526B">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9"/>
                      <w:sz w:val="21"/>
                      <w:szCs w:val="21"/>
                      <w:lang w:eastAsia="en-US"/>
                    </w:rPr>
                  </w:pPr>
                  <w:r>
                    <w:rPr>
                      <w:rFonts w:hint="default" w:ascii="Times New Roman" w:hAnsi="Times New Roman" w:cs="Times New Roman"/>
                      <w:color w:val="auto"/>
                      <w:spacing w:val="9"/>
                      <w:sz w:val="21"/>
                      <w:szCs w:val="21"/>
                      <w:lang w:eastAsia="en-US"/>
                    </w:rPr>
                    <w:t>●</w:t>
                  </w:r>
                </w:p>
              </w:tc>
            </w:tr>
            <w:tr w14:paraId="36C3A160">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826" w:type="dxa"/>
                  <w:vMerge w:val="restart"/>
                  <w:tcBorders>
                    <w:tl2br w:val="nil"/>
                    <w:tr2bl w:val="nil"/>
                  </w:tcBorders>
                  <w:noWrap w:val="0"/>
                  <w:vAlign w:val="center"/>
                </w:tcPr>
                <w:p w14:paraId="335630C5">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4"/>
                      <w:sz w:val="21"/>
                      <w:szCs w:val="21"/>
                      <w:lang w:eastAsia="en-US"/>
                    </w:rPr>
                  </w:pPr>
                  <w:r>
                    <w:rPr>
                      <w:rFonts w:hint="default" w:ascii="Times New Roman" w:hAnsi="Times New Roman" w:cs="Times New Roman"/>
                      <w:color w:val="auto"/>
                      <w:spacing w:val="4"/>
                      <w:sz w:val="21"/>
                      <w:szCs w:val="21"/>
                      <w:lang w:eastAsia="en-US"/>
                    </w:rPr>
                    <w:t>C36 汽车制造业</w:t>
                  </w:r>
                </w:p>
              </w:tc>
              <w:tc>
                <w:tcPr>
                  <w:tcW w:w="4754" w:type="dxa"/>
                  <w:gridSpan w:val="2"/>
                  <w:tcBorders>
                    <w:tl2br w:val="nil"/>
                    <w:tr2bl w:val="nil"/>
                  </w:tcBorders>
                  <w:noWrap w:val="0"/>
                  <w:vAlign w:val="center"/>
                </w:tcPr>
                <w:p w14:paraId="5E935838">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4"/>
                      <w:sz w:val="21"/>
                      <w:szCs w:val="21"/>
                      <w:lang w:eastAsia="en-US"/>
                    </w:rPr>
                  </w:pPr>
                  <w:r>
                    <w:rPr>
                      <w:rFonts w:hint="default" w:ascii="Times New Roman" w:hAnsi="Times New Roman" w:cs="Times New Roman"/>
                      <w:color w:val="auto"/>
                      <w:spacing w:val="4"/>
                      <w:sz w:val="21"/>
                      <w:szCs w:val="21"/>
                      <w:lang w:eastAsia="en-US"/>
                    </w:rPr>
                    <w:t>361 汽车整车制造</w:t>
                  </w:r>
                </w:p>
              </w:tc>
              <w:tc>
                <w:tcPr>
                  <w:tcW w:w="1190" w:type="dxa"/>
                  <w:tcBorders>
                    <w:tl2br w:val="nil"/>
                    <w:tr2bl w:val="nil"/>
                  </w:tcBorders>
                  <w:noWrap w:val="0"/>
                  <w:vAlign w:val="center"/>
                </w:tcPr>
                <w:p w14:paraId="64E1E553">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9"/>
                      <w:sz w:val="21"/>
                      <w:szCs w:val="21"/>
                      <w:lang w:eastAsia="en-US"/>
                    </w:rPr>
                  </w:pPr>
                  <w:r>
                    <w:rPr>
                      <w:rFonts w:hint="default" w:ascii="Times New Roman" w:hAnsi="Times New Roman" w:cs="Times New Roman"/>
                      <w:color w:val="auto"/>
                      <w:spacing w:val="9"/>
                      <w:sz w:val="21"/>
                      <w:szCs w:val="21"/>
                      <w:lang w:eastAsia="en-US"/>
                    </w:rPr>
                    <w:t>●</w:t>
                  </w:r>
                </w:p>
              </w:tc>
            </w:tr>
            <w:tr w14:paraId="70206870">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826" w:type="dxa"/>
                  <w:vMerge w:val="continue"/>
                  <w:tcBorders>
                    <w:tl2br w:val="nil"/>
                    <w:tr2bl w:val="nil"/>
                  </w:tcBorders>
                  <w:noWrap w:val="0"/>
                  <w:vAlign w:val="center"/>
                </w:tcPr>
                <w:p w14:paraId="4FB693AE">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4"/>
                      <w:sz w:val="21"/>
                      <w:szCs w:val="21"/>
                      <w:lang w:eastAsia="en-US"/>
                    </w:rPr>
                  </w:pPr>
                </w:p>
              </w:tc>
              <w:tc>
                <w:tcPr>
                  <w:tcW w:w="4754" w:type="dxa"/>
                  <w:gridSpan w:val="2"/>
                  <w:tcBorders>
                    <w:tl2br w:val="nil"/>
                    <w:tr2bl w:val="nil"/>
                  </w:tcBorders>
                  <w:noWrap w:val="0"/>
                  <w:vAlign w:val="center"/>
                </w:tcPr>
                <w:p w14:paraId="69FB7C71">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4"/>
                      <w:sz w:val="21"/>
                      <w:szCs w:val="21"/>
                      <w:lang w:eastAsia="en-US"/>
                    </w:rPr>
                  </w:pPr>
                  <w:r>
                    <w:rPr>
                      <w:rFonts w:hint="default" w:ascii="Times New Roman" w:hAnsi="Times New Roman" w:cs="Times New Roman"/>
                      <w:color w:val="auto"/>
                      <w:spacing w:val="4"/>
                      <w:sz w:val="21"/>
                      <w:szCs w:val="21"/>
                      <w:lang w:eastAsia="en-US"/>
                    </w:rPr>
                    <w:t>362 汽车用发动机制造</w:t>
                  </w:r>
                </w:p>
              </w:tc>
              <w:tc>
                <w:tcPr>
                  <w:tcW w:w="1190" w:type="dxa"/>
                  <w:tcBorders>
                    <w:tl2br w:val="nil"/>
                    <w:tr2bl w:val="nil"/>
                  </w:tcBorders>
                  <w:noWrap w:val="0"/>
                  <w:vAlign w:val="center"/>
                </w:tcPr>
                <w:p w14:paraId="06E52BCF">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9"/>
                      <w:sz w:val="21"/>
                      <w:szCs w:val="21"/>
                      <w:lang w:eastAsia="en-US"/>
                    </w:rPr>
                  </w:pPr>
                  <w:r>
                    <w:rPr>
                      <w:rFonts w:hint="default" w:ascii="Times New Roman" w:hAnsi="Times New Roman" w:cs="Times New Roman"/>
                      <w:color w:val="auto"/>
                      <w:spacing w:val="9"/>
                      <w:sz w:val="21"/>
                      <w:szCs w:val="21"/>
                      <w:lang w:eastAsia="en-US"/>
                    </w:rPr>
                    <w:t>●</w:t>
                  </w:r>
                </w:p>
              </w:tc>
            </w:tr>
            <w:tr w14:paraId="2CA50BC7">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PrEx>
              <w:trPr>
                <w:trHeight w:val="283" w:hRule="atLeast"/>
                <w:jc w:val="center"/>
              </w:trPr>
              <w:tc>
                <w:tcPr>
                  <w:tcW w:w="1826" w:type="dxa"/>
                  <w:vMerge w:val="continue"/>
                  <w:tcBorders>
                    <w:tl2br w:val="nil"/>
                    <w:tr2bl w:val="nil"/>
                  </w:tcBorders>
                  <w:noWrap w:val="0"/>
                  <w:vAlign w:val="center"/>
                </w:tcPr>
                <w:p w14:paraId="228E746E">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4"/>
                      <w:sz w:val="21"/>
                      <w:szCs w:val="21"/>
                      <w:lang w:eastAsia="en-US"/>
                    </w:rPr>
                  </w:pPr>
                </w:p>
              </w:tc>
              <w:tc>
                <w:tcPr>
                  <w:tcW w:w="4754" w:type="dxa"/>
                  <w:gridSpan w:val="2"/>
                  <w:tcBorders>
                    <w:tl2br w:val="nil"/>
                    <w:tr2bl w:val="nil"/>
                  </w:tcBorders>
                  <w:noWrap w:val="0"/>
                  <w:vAlign w:val="center"/>
                </w:tcPr>
                <w:p w14:paraId="2ABF2581">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4"/>
                      <w:sz w:val="21"/>
                      <w:szCs w:val="21"/>
                      <w:lang w:eastAsia="en-US"/>
                    </w:rPr>
                  </w:pPr>
                  <w:r>
                    <w:rPr>
                      <w:rFonts w:hint="default" w:ascii="Times New Roman" w:hAnsi="Times New Roman" w:cs="Times New Roman"/>
                      <w:color w:val="auto"/>
                      <w:spacing w:val="4"/>
                      <w:sz w:val="21"/>
                      <w:szCs w:val="21"/>
                      <w:lang w:eastAsia="en-US"/>
                    </w:rPr>
                    <w:t>363 改装汽车制造</w:t>
                  </w:r>
                </w:p>
              </w:tc>
              <w:tc>
                <w:tcPr>
                  <w:tcW w:w="1190" w:type="dxa"/>
                  <w:tcBorders>
                    <w:tl2br w:val="nil"/>
                    <w:tr2bl w:val="nil"/>
                  </w:tcBorders>
                  <w:noWrap w:val="0"/>
                  <w:vAlign w:val="center"/>
                </w:tcPr>
                <w:p w14:paraId="06A80C87">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9"/>
                      <w:sz w:val="21"/>
                      <w:szCs w:val="21"/>
                      <w:lang w:eastAsia="en-US"/>
                    </w:rPr>
                  </w:pPr>
                  <w:r>
                    <w:rPr>
                      <w:rFonts w:hint="default" w:ascii="Times New Roman" w:hAnsi="Times New Roman" w:cs="Times New Roman"/>
                      <w:color w:val="auto"/>
                      <w:spacing w:val="9"/>
                      <w:sz w:val="21"/>
                      <w:szCs w:val="21"/>
                      <w:lang w:eastAsia="en-US"/>
                    </w:rPr>
                    <w:t>●</w:t>
                  </w:r>
                </w:p>
              </w:tc>
            </w:tr>
            <w:tr w14:paraId="037AF7F9">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826" w:type="dxa"/>
                  <w:vMerge w:val="continue"/>
                  <w:tcBorders>
                    <w:tl2br w:val="nil"/>
                    <w:tr2bl w:val="nil"/>
                  </w:tcBorders>
                  <w:noWrap w:val="0"/>
                  <w:vAlign w:val="center"/>
                </w:tcPr>
                <w:p w14:paraId="3DD4E947">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4"/>
                      <w:sz w:val="21"/>
                      <w:szCs w:val="21"/>
                      <w:lang w:eastAsia="en-US"/>
                    </w:rPr>
                  </w:pPr>
                </w:p>
              </w:tc>
              <w:tc>
                <w:tcPr>
                  <w:tcW w:w="4754" w:type="dxa"/>
                  <w:gridSpan w:val="2"/>
                  <w:tcBorders>
                    <w:tl2br w:val="nil"/>
                    <w:tr2bl w:val="nil"/>
                  </w:tcBorders>
                  <w:noWrap w:val="0"/>
                  <w:vAlign w:val="center"/>
                </w:tcPr>
                <w:p w14:paraId="40E31A3B">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4"/>
                      <w:sz w:val="21"/>
                      <w:szCs w:val="21"/>
                      <w:lang w:eastAsia="en-US"/>
                    </w:rPr>
                  </w:pPr>
                  <w:r>
                    <w:rPr>
                      <w:rFonts w:hint="default" w:ascii="Times New Roman" w:hAnsi="Times New Roman" w:cs="Times New Roman"/>
                      <w:color w:val="auto"/>
                      <w:spacing w:val="4"/>
                      <w:sz w:val="21"/>
                      <w:szCs w:val="21"/>
                      <w:lang w:eastAsia="en-US"/>
                    </w:rPr>
                    <w:t>364 低速汽车制造</w:t>
                  </w:r>
                </w:p>
              </w:tc>
              <w:tc>
                <w:tcPr>
                  <w:tcW w:w="1190" w:type="dxa"/>
                  <w:tcBorders>
                    <w:tl2br w:val="nil"/>
                    <w:tr2bl w:val="nil"/>
                  </w:tcBorders>
                  <w:noWrap w:val="0"/>
                  <w:vAlign w:val="center"/>
                </w:tcPr>
                <w:p w14:paraId="42C05E14">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9"/>
                      <w:sz w:val="21"/>
                      <w:szCs w:val="21"/>
                      <w:lang w:eastAsia="en-US"/>
                    </w:rPr>
                  </w:pPr>
                  <w:r>
                    <w:rPr>
                      <w:rFonts w:hint="default" w:ascii="Times New Roman" w:hAnsi="Times New Roman" w:cs="Times New Roman"/>
                      <w:color w:val="auto"/>
                      <w:spacing w:val="9"/>
                      <w:sz w:val="21"/>
                      <w:szCs w:val="21"/>
                      <w:lang w:eastAsia="en-US"/>
                    </w:rPr>
                    <w:t>●</w:t>
                  </w:r>
                </w:p>
              </w:tc>
            </w:tr>
            <w:tr w14:paraId="4ED30706">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826" w:type="dxa"/>
                  <w:vMerge w:val="continue"/>
                  <w:tcBorders>
                    <w:tl2br w:val="nil"/>
                    <w:tr2bl w:val="nil"/>
                  </w:tcBorders>
                  <w:noWrap w:val="0"/>
                  <w:vAlign w:val="center"/>
                </w:tcPr>
                <w:p w14:paraId="7532E0DC">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4"/>
                      <w:sz w:val="21"/>
                      <w:szCs w:val="21"/>
                      <w:lang w:eastAsia="en-US"/>
                    </w:rPr>
                  </w:pPr>
                </w:p>
              </w:tc>
              <w:tc>
                <w:tcPr>
                  <w:tcW w:w="4754" w:type="dxa"/>
                  <w:gridSpan w:val="2"/>
                  <w:tcBorders>
                    <w:tl2br w:val="nil"/>
                    <w:tr2bl w:val="nil"/>
                  </w:tcBorders>
                  <w:noWrap w:val="0"/>
                  <w:vAlign w:val="center"/>
                </w:tcPr>
                <w:p w14:paraId="71C2745D">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4"/>
                      <w:sz w:val="21"/>
                      <w:szCs w:val="21"/>
                      <w:lang w:eastAsia="en-US"/>
                    </w:rPr>
                  </w:pPr>
                  <w:r>
                    <w:rPr>
                      <w:rFonts w:hint="default" w:ascii="Times New Roman" w:hAnsi="Times New Roman" w:cs="Times New Roman"/>
                      <w:color w:val="auto"/>
                      <w:spacing w:val="4"/>
                      <w:sz w:val="21"/>
                      <w:szCs w:val="21"/>
                      <w:lang w:eastAsia="en-US"/>
                    </w:rPr>
                    <w:t>365 电车制造</w:t>
                  </w:r>
                </w:p>
              </w:tc>
              <w:tc>
                <w:tcPr>
                  <w:tcW w:w="1190" w:type="dxa"/>
                  <w:tcBorders>
                    <w:tl2br w:val="nil"/>
                    <w:tr2bl w:val="nil"/>
                  </w:tcBorders>
                  <w:noWrap w:val="0"/>
                  <w:vAlign w:val="center"/>
                </w:tcPr>
                <w:p w14:paraId="1AB4626F">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9"/>
                      <w:sz w:val="21"/>
                      <w:szCs w:val="21"/>
                      <w:lang w:eastAsia="en-US"/>
                    </w:rPr>
                  </w:pPr>
                  <w:r>
                    <w:rPr>
                      <w:rFonts w:hint="default" w:ascii="Times New Roman" w:hAnsi="Times New Roman" w:cs="Times New Roman"/>
                      <w:color w:val="auto"/>
                      <w:spacing w:val="9"/>
                      <w:sz w:val="21"/>
                      <w:szCs w:val="21"/>
                      <w:lang w:eastAsia="en-US"/>
                    </w:rPr>
                    <w:t>●</w:t>
                  </w:r>
                </w:p>
              </w:tc>
            </w:tr>
            <w:tr w14:paraId="2BFDEDE3">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826" w:type="dxa"/>
                  <w:vMerge w:val="continue"/>
                  <w:tcBorders>
                    <w:tl2br w:val="nil"/>
                    <w:tr2bl w:val="nil"/>
                  </w:tcBorders>
                  <w:noWrap w:val="0"/>
                  <w:vAlign w:val="center"/>
                </w:tcPr>
                <w:p w14:paraId="0C579B6D">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4"/>
                      <w:sz w:val="21"/>
                      <w:szCs w:val="21"/>
                      <w:lang w:eastAsia="en-US"/>
                    </w:rPr>
                  </w:pPr>
                </w:p>
              </w:tc>
              <w:tc>
                <w:tcPr>
                  <w:tcW w:w="4754" w:type="dxa"/>
                  <w:gridSpan w:val="2"/>
                  <w:tcBorders>
                    <w:tl2br w:val="nil"/>
                    <w:tr2bl w:val="nil"/>
                  </w:tcBorders>
                  <w:noWrap w:val="0"/>
                  <w:vAlign w:val="center"/>
                </w:tcPr>
                <w:p w14:paraId="51B7C439">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4"/>
                      <w:sz w:val="21"/>
                      <w:szCs w:val="21"/>
                      <w:lang w:eastAsia="en-US"/>
                    </w:rPr>
                  </w:pPr>
                  <w:r>
                    <w:rPr>
                      <w:rFonts w:hint="default" w:ascii="Times New Roman" w:hAnsi="Times New Roman" w:cs="Times New Roman"/>
                      <w:color w:val="auto"/>
                      <w:spacing w:val="4"/>
                      <w:sz w:val="21"/>
                      <w:szCs w:val="21"/>
                      <w:lang w:eastAsia="en-US"/>
                    </w:rPr>
                    <w:t>366 汽车车身、挂车制造</w:t>
                  </w:r>
                </w:p>
              </w:tc>
              <w:tc>
                <w:tcPr>
                  <w:tcW w:w="1190" w:type="dxa"/>
                  <w:tcBorders>
                    <w:tl2br w:val="nil"/>
                    <w:tr2bl w:val="nil"/>
                  </w:tcBorders>
                  <w:noWrap w:val="0"/>
                  <w:vAlign w:val="center"/>
                </w:tcPr>
                <w:p w14:paraId="65F26F1E">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9"/>
                      <w:sz w:val="21"/>
                      <w:szCs w:val="21"/>
                      <w:lang w:eastAsia="en-US"/>
                    </w:rPr>
                  </w:pPr>
                  <w:r>
                    <w:rPr>
                      <w:rFonts w:hint="default" w:ascii="Times New Roman" w:hAnsi="Times New Roman" w:cs="Times New Roman"/>
                      <w:color w:val="auto"/>
                      <w:spacing w:val="9"/>
                      <w:sz w:val="21"/>
                      <w:szCs w:val="21"/>
                      <w:lang w:eastAsia="en-US"/>
                    </w:rPr>
                    <w:t>●</w:t>
                  </w:r>
                </w:p>
              </w:tc>
            </w:tr>
            <w:tr w14:paraId="6DDE7BAD">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826" w:type="dxa"/>
                  <w:vMerge w:val="continue"/>
                  <w:tcBorders>
                    <w:tl2br w:val="nil"/>
                    <w:tr2bl w:val="nil"/>
                  </w:tcBorders>
                  <w:noWrap w:val="0"/>
                  <w:vAlign w:val="center"/>
                </w:tcPr>
                <w:p w14:paraId="3E5CEEDE">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4"/>
                      <w:sz w:val="21"/>
                      <w:szCs w:val="21"/>
                      <w:lang w:eastAsia="en-US"/>
                    </w:rPr>
                  </w:pPr>
                </w:p>
              </w:tc>
              <w:tc>
                <w:tcPr>
                  <w:tcW w:w="4754" w:type="dxa"/>
                  <w:gridSpan w:val="2"/>
                  <w:tcBorders>
                    <w:tl2br w:val="nil"/>
                    <w:tr2bl w:val="nil"/>
                  </w:tcBorders>
                  <w:noWrap w:val="0"/>
                  <w:vAlign w:val="center"/>
                </w:tcPr>
                <w:p w14:paraId="323068C9">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4"/>
                      <w:sz w:val="21"/>
                      <w:szCs w:val="21"/>
                      <w:lang w:eastAsia="en-US"/>
                    </w:rPr>
                  </w:pPr>
                  <w:r>
                    <w:rPr>
                      <w:rFonts w:hint="default" w:ascii="Times New Roman" w:hAnsi="Times New Roman" w:cs="Times New Roman"/>
                      <w:color w:val="auto"/>
                      <w:spacing w:val="4"/>
                      <w:sz w:val="21"/>
                      <w:szCs w:val="21"/>
                      <w:lang w:eastAsia="en-US"/>
                    </w:rPr>
                    <w:t>367 汽车零部件及配件制造</w:t>
                  </w:r>
                </w:p>
              </w:tc>
              <w:tc>
                <w:tcPr>
                  <w:tcW w:w="1190" w:type="dxa"/>
                  <w:tcBorders>
                    <w:tl2br w:val="nil"/>
                    <w:tr2bl w:val="nil"/>
                  </w:tcBorders>
                  <w:noWrap w:val="0"/>
                  <w:vAlign w:val="center"/>
                </w:tcPr>
                <w:p w14:paraId="64770E22">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9"/>
                      <w:sz w:val="21"/>
                      <w:szCs w:val="21"/>
                      <w:lang w:eastAsia="en-US"/>
                    </w:rPr>
                  </w:pPr>
                  <w:r>
                    <w:rPr>
                      <w:rFonts w:hint="default" w:ascii="Times New Roman" w:hAnsi="Times New Roman" w:cs="Times New Roman"/>
                      <w:color w:val="auto"/>
                      <w:spacing w:val="9"/>
                      <w:sz w:val="21"/>
                      <w:szCs w:val="21"/>
                      <w:lang w:eastAsia="en-US"/>
                    </w:rPr>
                    <w:t>●</w:t>
                  </w:r>
                </w:p>
              </w:tc>
            </w:tr>
            <w:tr w14:paraId="43894327">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826" w:type="dxa"/>
                  <w:vMerge w:val="restart"/>
                  <w:tcBorders>
                    <w:tl2br w:val="nil"/>
                    <w:tr2bl w:val="nil"/>
                  </w:tcBorders>
                  <w:noWrap w:val="0"/>
                  <w:vAlign w:val="center"/>
                </w:tcPr>
                <w:p w14:paraId="67834103">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4"/>
                      <w:sz w:val="21"/>
                      <w:szCs w:val="21"/>
                      <w:lang w:eastAsia="en-US"/>
                    </w:rPr>
                  </w:pPr>
                  <w:r>
                    <w:rPr>
                      <w:rFonts w:hint="default" w:ascii="Times New Roman" w:hAnsi="Times New Roman" w:cs="Times New Roman"/>
                      <w:color w:val="auto"/>
                      <w:spacing w:val="4"/>
                      <w:sz w:val="21"/>
                      <w:szCs w:val="21"/>
                      <w:lang w:eastAsia="en-US"/>
                    </w:rPr>
                    <w:t>C38 电气机械及器材制造业</w:t>
                  </w:r>
                </w:p>
              </w:tc>
              <w:tc>
                <w:tcPr>
                  <w:tcW w:w="4754" w:type="dxa"/>
                  <w:gridSpan w:val="2"/>
                  <w:tcBorders>
                    <w:tl2br w:val="nil"/>
                    <w:tr2bl w:val="nil"/>
                  </w:tcBorders>
                  <w:noWrap w:val="0"/>
                  <w:vAlign w:val="center"/>
                </w:tcPr>
                <w:p w14:paraId="39BEE536">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4"/>
                      <w:sz w:val="21"/>
                      <w:szCs w:val="21"/>
                      <w:lang w:eastAsia="en-US"/>
                    </w:rPr>
                  </w:pPr>
                  <w:r>
                    <w:rPr>
                      <w:rFonts w:hint="default" w:ascii="Times New Roman" w:hAnsi="Times New Roman" w:cs="Times New Roman"/>
                      <w:color w:val="auto"/>
                      <w:spacing w:val="4"/>
                      <w:sz w:val="21"/>
                      <w:szCs w:val="21"/>
                      <w:lang w:eastAsia="en-US"/>
                    </w:rPr>
                    <w:t>381 电机制造</w:t>
                  </w:r>
                </w:p>
              </w:tc>
              <w:tc>
                <w:tcPr>
                  <w:tcW w:w="1190" w:type="dxa"/>
                  <w:tcBorders>
                    <w:tl2br w:val="nil"/>
                    <w:tr2bl w:val="nil"/>
                  </w:tcBorders>
                  <w:noWrap w:val="0"/>
                  <w:vAlign w:val="center"/>
                </w:tcPr>
                <w:p w14:paraId="0D1DDD34">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9"/>
                      <w:sz w:val="21"/>
                      <w:szCs w:val="21"/>
                      <w:lang w:eastAsia="en-US"/>
                    </w:rPr>
                  </w:pPr>
                  <w:r>
                    <w:rPr>
                      <w:rFonts w:hint="default" w:ascii="Times New Roman" w:hAnsi="Times New Roman" w:cs="Times New Roman"/>
                      <w:color w:val="auto"/>
                      <w:spacing w:val="9"/>
                      <w:sz w:val="21"/>
                      <w:szCs w:val="21"/>
                      <w:lang w:eastAsia="en-US"/>
                    </w:rPr>
                    <w:t>●</w:t>
                  </w:r>
                </w:p>
              </w:tc>
            </w:tr>
            <w:tr w14:paraId="30A2B2CC">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826" w:type="dxa"/>
                  <w:vMerge w:val="continue"/>
                  <w:tcBorders>
                    <w:tl2br w:val="nil"/>
                    <w:tr2bl w:val="nil"/>
                  </w:tcBorders>
                  <w:noWrap w:val="0"/>
                  <w:vAlign w:val="center"/>
                </w:tcPr>
                <w:p w14:paraId="23B0C585">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4"/>
                      <w:sz w:val="21"/>
                      <w:szCs w:val="21"/>
                      <w:lang w:eastAsia="en-US"/>
                    </w:rPr>
                  </w:pPr>
                </w:p>
              </w:tc>
              <w:tc>
                <w:tcPr>
                  <w:tcW w:w="4754" w:type="dxa"/>
                  <w:gridSpan w:val="2"/>
                  <w:tcBorders>
                    <w:tl2br w:val="nil"/>
                    <w:tr2bl w:val="nil"/>
                  </w:tcBorders>
                  <w:noWrap w:val="0"/>
                  <w:vAlign w:val="center"/>
                </w:tcPr>
                <w:p w14:paraId="1C0ADE3E">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4"/>
                      <w:sz w:val="21"/>
                      <w:szCs w:val="21"/>
                      <w:lang w:eastAsia="en-US"/>
                    </w:rPr>
                  </w:pPr>
                  <w:r>
                    <w:rPr>
                      <w:rFonts w:hint="default" w:ascii="Times New Roman" w:hAnsi="Times New Roman" w:cs="Times New Roman"/>
                      <w:color w:val="auto"/>
                      <w:spacing w:val="4"/>
                      <w:sz w:val="21"/>
                      <w:szCs w:val="21"/>
                      <w:lang w:eastAsia="en-US"/>
                    </w:rPr>
                    <w:t>382 输配电及控制设备制造</w:t>
                  </w:r>
                </w:p>
              </w:tc>
              <w:tc>
                <w:tcPr>
                  <w:tcW w:w="1190" w:type="dxa"/>
                  <w:tcBorders>
                    <w:tl2br w:val="nil"/>
                    <w:tr2bl w:val="nil"/>
                  </w:tcBorders>
                  <w:noWrap w:val="0"/>
                  <w:vAlign w:val="center"/>
                </w:tcPr>
                <w:p w14:paraId="243C22F7">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9"/>
                      <w:sz w:val="21"/>
                      <w:szCs w:val="21"/>
                      <w:lang w:eastAsia="en-US"/>
                    </w:rPr>
                  </w:pPr>
                  <w:r>
                    <w:rPr>
                      <w:rFonts w:hint="default" w:ascii="Times New Roman" w:hAnsi="Times New Roman" w:cs="Times New Roman"/>
                      <w:color w:val="auto"/>
                      <w:spacing w:val="9"/>
                      <w:sz w:val="21"/>
                      <w:szCs w:val="21"/>
                      <w:lang w:eastAsia="en-US"/>
                    </w:rPr>
                    <w:t>●</w:t>
                  </w:r>
                </w:p>
              </w:tc>
            </w:tr>
            <w:tr w14:paraId="469D9F48">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826" w:type="dxa"/>
                  <w:vMerge w:val="continue"/>
                  <w:tcBorders>
                    <w:tl2br w:val="nil"/>
                    <w:tr2bl w:val="nil"/>
                  </w:tcBorders>
                  <w:noWrap w:val="0"/>
                  <w:vAlign w:val="center"/>
                </w:tcPr>
                <w:p w14:paraId="0E09B296">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4"/>
                      <w:sz w:val="21"/>
                      <w:szCs w:val="21"/>
                      <w:lang w:eastAsia="en-US"/>
                    </w:rPr>
                  </w:pPr>
                </w:p>
              </w:tc>
              <w:tc>
                <w:tcPr>
                  <w:tcW w:w="4754" w:type="dxa"/>
                  <w:gridSpan w:val="2"/>
                  <w:tcBorders>
                    <w:tl2br w:val="nil"/>
                    <w:tr2bl w:val="nil"/>
                  </w:tcBorders>
                  <w:noWrap w:val="0"/>
                  <w:vAlign w:val="center"/>
                </w:tcPr>
                <w:p w14:paraId="3CF26F6B">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4"/>
                      <w:sz w:val="21"/>
                      <w:szCs w:val="21"/>
                      <w:lang w:eastAsia="en-US"/>
                    </w:rPr>
                  </w:pPr>
                  <w:r>
                    <w:rPr>
                      <w:rFonts w:hint="default" w:ascii="Times New Roman" w:hAnsi="Times New Roman" w:cs="Times New Roman"/>
                      <w:color w:val="auto"/>
                      <w:spacing w:val="4"/>
                      <w:sz w:val="21"/>
                      <w:szCs w:val="21"/>
                      <w:lang w:eastAsia="en-US"/>
                    </w:rPr>
                    <w:t>383 电线、电缆、光缆及电工器材制造</w:t>
                  </w:r>
                </w:p>
              </w:tc>
              <w:tc>
                <w:tcPr>
                  <w:tcW w:w="1190" w:type="dxa"/>
                  <w:tcBorders>
                    <w:tl2br w:val="nil"/>
                    <w:tr2bl w:val="nil"/>
                  </w:tcBorders>
                  <w:noWrap w:val="0"/>
                  <w:vAlign w:val="center"/>
                </w:tcPr>
                <w:p w14:paraId="4EFA0A1F">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9"/>
                      <w:sz w:val="21"/>
                      <w:szCs w:val="21"/>
                      <w:lang w:eastAsia="en-US"/>
                    </w:rPr>
                  </w:pPr>
                  <w:r>
                    <w:rPr>
                      <w:rFonts w:hint="default" w:ascii="Times New Roman" w:hAnsi="Times New Roman" w:cs="Times New Roman"/>
                      <w:color w:val="auto"/>
                      <w:spacing w:val="9"/>
                      <w:sz w:val="21"/>
                      <w:szCs w:val="21"/>
                      <w:lang w:eastAsia="en-US"/>
                    </w:rPr>
                    <w:t>●</w:t>
                  </w:r>
                </w:p>
              </w:tc>
            </w:tr>
            <w:tr w14:paraId="0DF46958">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826" w:type="dxa"/>
                  <w:vMerge w:val="continue"/>
                  <w:tcBorders>
                    <w:tl2br w:val="nil"/>
                    <w:tr2bl w:val="nil"/>
                  </w:tcBorders>
                  <w:noWrap w:val="0"/>
                  <w:vAlign w:val="center"/>
                </w:tcPr>
                <w:p w14:paraId="6ADB5220">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4"/>
                      <w:sz w:val="21"/>
                      <w:szCs w:val="21"/>
                      <w:lang w:eastAsia="en-US"/>
                    </w:rPr>
                  </w:pPr>
                </w:p>
              </w:tc>
              <w:tc>
                <w:tcPr>
                  <w:tcW w:w="4754" w:type="dxa"/>
                  <w:gridSpan w:val="2"/>
                  <w:tcBorders>
                    <w:tl2br w:val="nil"/>
                    <w:tr2bl w:val="nil"/>
                  </w:tcBorders>
                  <w:noWrap w:val="0"/>
                  <w:vAlign w:val="center"/>
                </w:tcPr>
                <w:p w14:paraId="71DA1327">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4"/>
                      <w:sz w:val="21"/>
                      <w:szCs w:val="21"/>
                      <w:lang w:eastAsia="en-US"/>
                    </w:rPr>
                  </w:pPr>
                  <w:r>
                    <w:rPr>
                      <w:rFonts w:hint="default" w:ascii="Times New Roman" w:hAnsi="Times New Roman" w:cs="Times New Roman"/>
                      <w:color w:val="auto"/>
                      <w:spacing w:val="4"/>
                      <w:sz w:val="21"/>
                      <w:szCs w:val="21"/>
                      <w:lang w:eastAsia="en-US"/>
                    </w:rPr>
                    <w:t>384 电池制造(锂离子电池制造)</w:t>
                  </w:r>
                </w:p>
              </w:tc>
              <w:tc>
                <w:tcPr>
                  <w:tcW w:w="1190" w:type="dxa"/>
                  <w:tcBorders>
                    <w:tl2br w:val="nil"/>
                    <w:tr2bl w:val="nil"/>
                  </w:tcBorders>
                  <w:noWrap w:val="0"/>
                  <w:vAlign w:val="center"/>
                </w:tcPr>
                <w:p w14:paraId="7B7B8C74">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9"/>
                      <w:sz w:val="21"/>
                      <w:szCs w:val="21"/>
                      <w:lang w:eastAsia="en-US"/>
                    </w:rPr>
                  </w:pPr>
                  <w:r>
                    <w:rPr>
                      <w:rFonts w:hint="default" w:ascii="Times New Roman" w:hAnsi="Times New Roman" w:cs="Times New Roman"/>
                      <w:color w:val="auto"/>
                      <w:spacing w:val="9"/>
                      <w:sz w:val="21"/>
                      <w:szCs w:val="21"/>
                      <w:lang w:eastAsia="en-US"/>
                    </w:rPr>
                    <w:t>●</w:t>
                  </w:r>
                </w:p>
              </w:tc>
            </w:tr>
            <w:tr w14:paraId="0DD61550">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826" w:type="dxa"/>
                  <w:vMerge w:val="continue"/>
                  <w:tcBorders>
                    <w:tl2br w:val="nil"/>
                    <w:tr2bl w:val="nil"/>
                  </w:tcBorders>
                  <w:noWrap w:val="0"/>
                  <w:vAlign w:val="center"/>
                </w:tcPr>
                <w:p w14:paraId="6B2F08C7">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4"/>
                      <w:sz w:val="21"/>
                      <w:szCs w:val="21"/>
                      <w:lang w:eastAsia="en-US"/>
                    </w:rPr>
                  </w:pPr>
                </w:p>
              </w:tc>
              <w:tc>
                <w:tcPr>
                  <w:tcW w:w="4754" w:type="dxa"/>
                  <w:gridSpan w:val="2"/>
                  <w:tcBorders>
                    <w:tl2br w:val="nil"/>
                    <w:tr2bl w:val="nil"/>
                  </w:tcBorders>
                  <w:noWrap w:val="0"/>
                  <w:vAlign w:val="center"/>
                </w:tcPr>
                <w:p w14:paraId="69AA0259">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4"/>
                      <w:sz w:val="21"/>
                      <w:szCs w:val="21"/>
                      <w:lang w:eastAsia="en-US"/>
                    </w:rPr>
                  </w:pPr>
                  <w:r>
                    <w:rPr>
                      <w:rFonts w:hint="default" w:ascii="Times New Roman" w:hAnsi="Times New Roman" w:cs="Times New Roman"/>
                      <w:color w:val="auto"/>
                      <w:spacing w:val="4"/>
                      <w:sz w:val="21"/>
                      <w:szCs w:val="21"/>
                      <w:lang w:eastAsia="en-US"/>
                    </w:rPr>
                    <w:t>385 家用电力器具制造</w:t>
                  </w:r>
                </w:p>
              </w:tc>
              <w:tc>
                <w:tcPr>
                  <w:tcW w:w="1190" w:type="dxa"/>
                  <w:tcBorders>
                    <w:tl2br w:val="nil"/>
                    <w:tr2bl w:val="nil"/>
                  </w:tcBorders>
                  <w:noWrap w:val="0"/>
                  <w:vAlign w:val="center"/>
                </w:tcPr>
                <w:p w14:paraId="3C11E92C">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9"/>
                      <w:sz w:val="21"/>
                      <w:szCs w:val="21"/>
                      <w:lang w:eastAsia="en-US"/>
                    </w:rPr>
                  </w:pPr>
                  <w:r>
                    <w:rPr>
                      <w:rFonts w:hint="default" w:ascii="Times New Roman" w:hAnsi="Times New Roman" w:cs="Times New Roman"/>
                      <w:color w:val="auto"/>
                      <w:spacing w:val="9"/>
                      <w:sz w:val="21"/>
                      <w:szCs w:val="21"/>
                      <w:lang w:eastAsia="en-US"/>
                    </w:rPr>
                    <w:t>●</w:t>
                  </w:r>
                </w:p>
              </w:tc>
            </w:tr>
            <w:tr w14:paraId="3C5DEDAD">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826" w:type="dxa"/>
                  <w:vMerge w:val="continue"/>
                  <w:tcBorders>
                    <w:tl2br w:val="nil"/>
                    <w:tr2bl w:val="nil"/>
                  </w:tcBorders>
                  <w:noWrap w:val="0"/>
                  <w:vAlign w:val="center"/>
                </w:tcPr>
                <w:p w14:paraId="4154DC55">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4"/>
                      <w:sz w:val="21"/>
                      <w:szCs w:val="21"/>
                      <w:lang w:eastAsia="en-US"/>
                    </w:rPr>
                  </w:pPr>
                </w:p>
              </w:tc>
              <w:tc>
                <w:tcPr>
                  <w:tcW w:w="4754" w:type="dxa"/>
                  <w:gridSpan w:val="2"/>
                  <w:tcBorders>
                    <w:tl2br w:val="nil"/>
                    <w:tr2bl w:val="nil"/>
                  </w:tcBorders>
                  <w:noWrap w:val="0"/>
                  <w:vAlign w:val="center"/>
                </w:tcPr>
                <w:p w14:paraId="0E0E683C">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4"/>
                      <w:sz w:val="21"/>
                      <w:szCs w:val="21"/>
                      <w:lang w:eastAsia="en-US"/>
                    </w:rPr>
                  </w:pPr>
                  <w:r>
                    <w:rPr>
                      <w:rFonts w:hint="default" w:ascii="Times New Roman" w:hAnsi="Times New Roman" w:cs="Times New Roman"/>
                      <w:color w:val="auto"/>
                      <w:spacing w:val="4"/>
                      <w:sz w:val="21"/>
                      <w:szCs w:val="21"/>
                      <w:lang w:eastAsia="en-US"/>
                    </w:rPr>
                    <w:t>386 非电力家用器具制造</w:t>
                  </w:r>
                </w:p>
              </w:tc>
              <w:tc>
                <w:tcPr>
                  <w:tcW w:w="1190" w:type="dxa"/>
                  <w:tcBorders>
                    <w:tl2br w:val="nil"/>
                    <w:tr2bl w:val="nil"/>
                  </w:tcBorders>
                  <w:noWrap w:val="0"/>
                  <w:vAlign w:val="center"/>
                </w:tcPr>
                <w:p w14:paraId="3274F066">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9"/>
                      <w:sz w:val="21"/>
                      <w:szCs w:val="21"/>
                      <w:lang w:eastAsia="en-US"/>
                    </w:rPr>
                  </w:pPr>
                  <w:r>
                    <w:rPr>
                      <w:rFonts w:hint="default" w:ascii="Times New Roman" w:hAnsi="Times New Roman" w:cs="Times New Roman"/>
                      <w:color w:val="auto"/>
                      <w:spacing w:val="9"/>
                      <w:sz w:val="21"/>
                      <w:szCs w:val="21"/>
                      <w:lang w:eastAsia="en-US"/>
                    </w:rPr>
                    <w:t>●</w:t>
                  </w:r>
                </w:p>
              </w:tc>
            </w:tr>
            <w:tr w14:paraId="09B6E8F5">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826" w:type="dxa"/>
                  <w:vMerge w:val="continue"/>
                  <w:tcBorders>
                    <w:tl2br w:val="nil"/>
                    <w:tr2bl w:val="nil"/>
                  </w:tcBorders>
                  <w:noWrap w:val="0"/>
                  <w:vAlign w:val="center"/>
                </w:tcPr>
                <w:p w14:paraId="3F755F67">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4"/>
                      <w:sz w:val="21"/>
                      <w:szCs w:val="21"/>
                      <w:lang w:eastAsia="en-US"/>
                    </w:rPr>
                  </w:pPr>
                </w:p>
              </w:tc>
              <w:tc>
                <w:tcPr>
                  <w:tcW w:w="4754" w:type="dxa"/>
                  <w:gridSpan w:val="2"/>
                  <w:tcBorders>
                    <w:tl2br w:val="nil"/>
                    <w:tr2bl w:val="nil"/>
                  </w:tcBorders>
                  <w:noWrap w:val="0"/>
                  <w:vAlign w:val="center"/>
                </w:tcPr>
                <w:p w14:paraId="62F3BB02">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4"/>
                      <w:sz w:val="21"/>
                      <w:szCs w:val="21"/>
                      <w:lang w:eastAsia="en-US"/>
                    </w:rPr>
                  </w:pPr>
                  <w:r>
                    <w:rPr>
                      <w:rFonts w:hint="default" w:ascii="Times New Roman" w:hAnsi="Times New Roman" w:cs="Times New Roman"/>
                      <w:color w:val="auto"/>
                      <w:spacing w:val="4"/>
                      <w:sz w:val="21"/>
                      <w:szCs w:val="21"/>
                      <w:lang w:eastAsia="en-US"/>
                    </w:rPr>
                    <w:t>387 照明器具制造</w:t>
                  </w:r>
                </w:p>
              </w:tc>
              <w:tc>
                <w:tcPr>
                  <w:tcW w:w="1190" w:type="dxa"/>
                  <w:tcBorders>
                    <w:tl2br w:val="nil"/>
                    <w:tr2bl w:val="nil"/>
                  </w:tcBorders>
                  <w:noWrap w:val="0"/>
                  <w:vAlign w:val="center"/>
                </w:tcPr>
                <w:p w14:paraId="647FEF3F">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9"/>
                      <w:sz w:val="21"/>
                      <w:szCs w:val="21"/>
                      <w:lang w:eastAsia="en-US"/>
                    </w:rPr>
                  </w:pPr>
                  <w:r>
                    <w:rPr>
                      <w:rFonts w:hint="default" w:ascii="Times New Roman" w:hAnsi="Times New Roman" w:cs="Times New Roman"/>
                      <w:color w:val="auto"/>
                      <w:spacing w:val="9"/>
                      <w:sz w:val="21"/>
                      <w:szCs w:val="21"/>
                      <w:lang w:eastAsia="en-US"/>
                    </w:rPr>
                    <w:t>●</w:t>
                  </w:r>
                </w:p>
              </w:tc>
            </w:tr>
            <w:tr w14:paraId="07C19100">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PrEx>
              <w:trPr>
                <w:trHeight w:val="162" w:hRule="atLeast"/>
                <w:jc w:val="center"/>
              </w:trPr>
              <w:tc>
                <w:tcPr>
                  <w:tcW w:w="1826" w:type="dxa"/>
                  <w:vMerge w:val="continue"/>
                  <w:tcBorders>
                    <w:tl2br w:val="nil"/>
                    <w:tr2bl w:val="nil"/>
                  </w:tcBorders>
                  <w:noWrap w:val="0"/>
                  <w:vAlign w:val="center"/>
                </w:tcPr>
                <w:p w14:paraId="21930FF8">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4"/>
                      <w:sz w:val="21"/>
                      <w:szCs w:val="21"/>
                      <w:lang w:eastAsia="en-US"/>
                    </w:rPr>
                  </w:pPr>
                </w:p>
              </w:tc>
              <w:tc>
                <w:tcPr>
                  <w:tcW w:w="4754" w:type="dxa"/>
                  <w:gridSpan w:val="2"/>
                  <w:tcBorders>
                    <w:tl2br w:val="nil"/>
                    <w:tr2bl w:val="nil"/>
                  </w:tcBorders>
                  <w:noWrap w:val="0"/>
                  <w:vAlign w:val="center"/>
                </w:tcPr>
                <w:p w14:paraId="5B1C7D4C">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4"/>
                      <w:sz w:val="21"/>
                      <w:szCs w:val="21"/>
                      <w:lang w:eastAsia="en-US"/>
                    </w:rPr>
                  </w:pPr>
                  <w:r>
                    <w:rPr>
                      <w:rFonts w:hint="default" w:ascii="Times New Roman" w:hAnsi="Times New Roman" w:cs="Times New Roman"/>
                      <w:color w:val="auto"/>
                      <w:spacing w:val="4"/>
                      <w:sz w:val="21"/>
                      <w:szCs w:val="21"/>
                      <w:lang w:eastAsia="en-US"/>
                    </w:rPr>
                    <w:t>388 其他电气机械及器材制造</w:t>
                  </w:r>
                </w:p>
              </w:tc>
              <w:tc>
                <w:tcPr>
                  <w:tcW w:w="1190" w:type="dxa"/>
                  <w:tcBorders>
                    <w:tl2br w:val="nil"/>
                    <w:tr2bl w:val="nil"/>
                  </w:tcBorders>
                  <w:noWrap w:val="0"/>
                  <w:vAlign w:val="center"/>
                </w:tcPr>
                <w:p w14:paraId="687B0C39">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9"/>
                      <w:sz w:val="21"/>
                      <w:szCs w:val="21"/>
                      <w:lang w:eastAsia="en-US"/>
                    </w:rPr>
                  </w:pPr>
                  <w:r>
                    <w:rPr>
                      <w:rFonts w:hint="default" w:ascii="Times New Roman" w:hAnsi="Times New Roman" w:cs="Times New Roman"/>
                      <w:color w:val="auto"/>
                      <w:spacing w:val="9"/>
                      <w:sz w:val="21"/>
                      <w:szCs w:val="21"/>
                      <w:lang w:eastAsia="en-US"/>
                    </w:rPr>
                    <w:t>●</w:t>
                  </w:r>
                </w:p>
              </w:tc>
            </w:tr>
            <w:tr w14:paraId="31C14C3B">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213" w:hRule="atLeast"/>
                <w:jc w:val="center"/>
              </w:trPr>
              <w:tc>
                <w:tcPr>
                  <w:tcW w:w="6580" w:type="dxa"/>
                  <w:gridSpan w:val="3"/>
                  <w:tcBorders>
                    <w:tl2br w:val="nil"/>
                    <w:tr2bl w:val="nil"/>
                  </w:tcBorders>
                  <w:noWrap w:val="0"/>
                  <w:vAlign w:val="center"/>
                </w:tcPr>
                <w:p w14:paraId="1DF8B620">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4"/>
                      <w:sz w:val="21"/>
                      <w:szCs w:val="21"/>
                      <w:lang w:eastAsia="en-US"/>
                    </w:rPr>
                  </w:pPr>
                  <w:r>
                    <w:rPr>
                      <w:rFonts w:hint="default" w:ascii="Times New Roman" w:hAnsi="Times New Roman" w:cs="Times New Roman"/>
                      <w:color w:val="auto"/>
                      <w:spacing w:val="4"/>
                      <w:sz w:val="21"/>
                      <w:szCs w:val="21"/>
                      <w:lang w:eastAsia="en-US"/>
                    </w:rPr>
                    <w:t>玩具加工</w:t>
                  </w:r>
                </w:p>
              </w:tc>
              <w:tc>
                <w:tcPr>
                  <w:tcW w:w="1190" w:type="dxa"/>
                  <w:tcBorders>
                    <w:tl2br w:val="nil"/>
                    <w:tr2bl w:val="nil"/>
                  </w:tcBorders>
                  <w:noWrap w:val="0"/>
                  <w:vAlign w:val="center"/>
                </w:tcPr>
                <w:p w14:paraId="0A96B491">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9"/>
                      <w:sz w:val="21"/>
                      <w:szCs w:val="21"/>
                      <w:lang w:eastAsia="en-US"/>
                    </w:rPr>
                  </w:pPr>
                </w:p>
              </w:tc>
            </w:tr>
            <w:tr w14:paraId="431EDEB1">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170" w:hRule="atLeast"/>
                <w:jc w:val="center"/>
              </w:trPr>
              <w:tc>
                <w:tcPr>
                  <w:tcW w:w="1826" w:type="dxa"/>
                  <w:vMerge w:val="restart"/>
                  <w:tcBorders>
                    <w:tl2br w:val="nil"/>
                    <w:tr2bl w:val="nil"/>
                  </w:tcBorders>
                  <w:noWrap w:val="0"/>
                  <w:vAlign w:val="center"/>
                </w:tcPr>
                <w:p w14:paraId="29A93FC2">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4"/>
                      <w:sz w:val="21"/>
                      <w:szCs w:val="21"/>
                      <w:lang w:eastAsia="en-US"/>
                    </w:rPr>
                  </w:pPr>
                  <w:r>
                    <w:rPr>
                      <w:rFonts w:hint="default" w:ascii="Times New Roman" w:hAnsi="Times New Roman" w:cs="Times New Roman"/>
                      <w:color w:val="auto"/>
                      <w:spacing w:val="4"/>
                      <w:sz w:val="21"/>
                      <w:szCs w:val="21"/>
                      <w:lang w:eastAsia="en-US"/>
                    </w:rPr>
                    <w:t>C24 文教、工美、体育和娱乐用品制造业</w:t>
                  </w:r>
                </w:p>
              </w:tc>
              <w:tc>
                <w:tcPr>
                  <w:tcW w:w="4754" w:type="dxa"/>
                  <w:gridSpan w:val="2"/>
                  <w:tcBorders>
                    <w:tl2br w:val="nil"/>
                    <w:tr2bl w:val="nil"/>
                  </w:tcBorders>
                  <w:noWrap w:val="0"/>
                  <w:vAlign w:val="center"/>
                </w:tcPr>
                <w:p w14:paraId="19A24F16">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4"/>
                      <w:sz w:val="21"/>
                      <w:szCs w:val="21"/>
                      <w:lang w:eastAsia="en-US"/>
                    </w:rPr>
                  </w:pPr>
                  <w:r>
                    <w:rPr>
                      <w:rFonts w:hint="default" w:ascii="Times New Roman" w:hAnsi="Times New Roman" w:cs="Times New Roman"/>
                      <w:color w:val="auto"/>
                      <w:spacing w:val="4"/>
                      <w:sz w:val="21"/>
                      <w:szCs w:val="21"/>
                      <w:lang w:eastAsia="en-US"/>
                    </w:rPr>
                    <w:t>241文具制造</w:t>
                  </w:r>
                </w:p>
              </w:tc>
              <w:tc>
                <w:tcPr>
                  <w:tcW w:w="1190" w:type="dxa"/>
                  <w:tcBorders>
                    <w:tl2br w:val="nil"/>
                    <w:tr2bl w:val="nil"/>
                  </w:tcBorders>
                  <w:noWrap w:val="0"/>
                  <w:vAlign w:val="center"/>
                </w:tcPr>
                <w:p w14:paraId="6A8A08EC">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9"/>
                      <w:sz w:val="21"/>
                      <w:szCs w:val="21"/>
                      <w:lang w:eastAsia="en-US"/>
                    </w:rPr>
                  </w:pPr>
                  <w:r>
                    <w:rPr>
                      <w:rFonts w:hint="default" w:ascii="Times New Roman" w:hAnsi="Times New Roman" w:cs="Times New Roman"/>
                      <w:color w:val="auto"/>
                      <w:spacing w:val="9"/>
                      <w:sz w:val="21"/>
                      <w:szCs w:val="21"/>
                      <w:lang w:eastAsia="en-US"/>
                    </w:rPr>
                    <w:t>●</w:t>
                  </w:r>
                </w:p>
              </w:tc>
            </w:tr>
            <w:tr w14:paraId="7E4BAACA">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152" w:hRule="atLeast"/>
                <w:jc w:val="center"/>
              </w:trPr>
              <w:tc>
                <w:tcPr>
                  <w:tcW w:w="1826" w:type="dxa"/>
                  <w:vMerge w:val="continue"/>
                  <w:tcBorders>
                    <w:tl2br w:val="nil"/>
                    <w:tr2bl w:val="nil"/>
                  </w:tcBorders>
                  <w:noWrap w:val="0"/>
                  <w:vAlign w:val="center"/>
                </w:tcPr>
                <w:p w14:paraId="3E605081">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4"/>
                      <w:sz w:val="21"/>
                      <w:szCs w:val="21"/>
                      <w:lang w:eastAsia="en-US"/>
                    </w:rPr>
                  </w:pPr>
                </w:p>
              </w:tc>
              <w:tc>
                <w:tcPr>
                  <w:tcW w:w="4754" w:type="dxa"/>
                  <w:gridSpan w:val="2"/>
                  <w:tcBorders>
                    <w:tl2br w:val="nil"/>
                    <w:tr2bl w:val="nil"/>
                  </w:tcBorders>
                  <w:noWrap w:val="0"/>
                  <w:vAlign w:val="center"/>
                </w:tcPr>
                <w:p w14:paraId="6E007E91">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4"/>
                      <w:sz w:val="21"/>
                      <w:szCs w:val="21"/>
                      <w:lang w:eastAsia="en-US"/>
                    </w:rPr>
                  </w:pPr>
                  <w:r>
                    <w:rPr>
                      <w:rFonts w:hint="default" w:ascii="Times New Roman" w:hAnsi="Times New Roman" w:cs="Times New Roman"/>
                      <w:color w:val="auto"/>
                      <w:spacing w:val="4"/>
                      <w:sz w:val="21"/>
                      <w:szCs w:val="21"/>
                      <w:lang w:eastAsia="en-US"/>
                    </w:rPr>
                    <w:t>242乐器制造</w:t>
                  </w:r>
                </w:p>
              </w:tc>
              <w:tc>
                <w:tcPr>
                  <w:tcW w:w="1190" w:type="dxa"/>
                  <w:tcBorders>
                    <w:tl2br w:val="nil"/>
                    <w:tr2bl w:val="nil"/>
                  </w:tcBorders>
                  <w:noWrap w:val="0"/>
                  <w:vAlign w:val="center"/>
                </w:tcPr>
                <w:p w14:paraId="03580205">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9"/>
                      <w:sz w:val="21"/>
                      <w:szCs w:val="21"/>
                      <w:lang w:eastAsia="en-US"/>
                    </w:rPr>
                  </w:pPr>
                  <w:r>
                    <w:rPr>
                      <w:rFonts w:hint="default" w:ascii="Times New Roman" w:hAnsi="Times New Roman" w:cs="Times New Roman"/>
                      <w:color w:val="auto"/>
                      <w:spacing w:val="9"/>
                      <w:sz w:val="21"/>
                      <w:szCs w:val="21"/>
                      <w:lang w:eastAsia="en-US"/>
                    </w:rPr>
                    <w:t>●</w:t>
                  </w:r>
                </w:p>
              </w:tc>
            </w:tr>
            <w:tr w14:paraId="1ED74398">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255" w:hRule="atLeast"/>
                <w:jc w:val="center"/>
              </w:trPr>
              <w:tc>
                <w:tcPr>
                  <w:tcW w:w="1826" w:type="dxa"/>
                  <w:vMerge w:val="continue"/>
                  <w:tcBorders>
                    <w:tl2br w:val="nil"/>
                    <w:tr2bl w:val="nil"/>
                  </w:tcBorders>
                  <w:noWrap w:val="0"/>
                  <w:vAlign w:val="center"/>
                </w:tcPr>
                <w:p w14:paraId="7E1FFC8D">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4"/>
                      <w:sz w:val="21"/>
                      <w:szCs w:val="21"/>
                      <w:lang w:eastAsia="en-US"/>
                    </w:rPr>
                  </w:pPr>
                </w:p>
              </w:tc>
              <w:tc>
                <w:tcPr>
                  <w:tcW w:w="4754" w:type="dxa"/>
                  <w:gridSpan w:val="2"/>
                  <w:tcBorders>
                    <w:tl2br w:val="nil"/>
                    <w:tr2bl w:val="nil"/>
                  </w:tcBorders>
                  <w:noWrap w:val="0"/>
                  <w:vAlign w:val="center"/>
                </w:tcPr>
                <w:p w14:paraId="556AC8D5">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4"/>
                      <w:sz w:val="21"/>
                      <w:szCs w:val="21"/>
                      <w:lang w:eastAsia="en-US"/>
                    </w:rPr>
                  </w:pPr>
                  <w:r>
                    <w:rPr>
                      <w:rFonts w:hint="default" w:ascii="Times New Roman" w:hAnsi="Times New Roman" w:cs="Times New Roman"/>
                      <w:color w:val="auto"/>
                      <w:spacing w:val="4"/>
                      <w:sz w:val="21"/>
                      <w:szCs w:val="21"/>
                      <w:lang w:eastAsia="en-US"/>
                    </w:rPr>
                    <w:t>243工艺美术及礼仪用品制造</w:t>
                  </w:r>
                </w:p>
              </w:tc>
              <w:tc>
                <w:tcPr>
                  <w:tcW w:w="1190" w:type="dxa"/>
                  <w:tcBorders>
                    <w:tl2br w:val="nil"/>
                    <w:tr2bl w:val="nil"/>
                  </w:tcBorders>
                  <w:noWrap w:val="0"/>
                  <w:vAlign w:val="center"/>
                </w:tcPr>
                <w:p w14:paraId="2DD5586A">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9"/>
                      <w:sz w:val="21"/>
                      <w:szCs w:val="21"/>
                      <w:lang w:eastAsia="en-US"/>
                    </w:rPr>
                  </w:pPr>
                  <w:r>
                    <w:rPr>
                      <w:rFonts w:hint="default" w:ascii="Times New Roman" w:hAnsi="Times New Roman" w:cs="Times New Roman"/>
                      <w:color w:val="auto"/>
                      <w:spacing w:val="9"/>
                      <w:sz w:val="21"/>
                      <w:szCs w:val="21"/>
                      <w:lang w:eastAsia="en-US"/>
                    </w:rPr>
                    <w:t>★</w:t>
                  </w:r>
                </w:p>
              </w:tc>
            </w:tr>
            <w:tr w14:paraId="5DCA1B0A">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214" w:hRule="atLeast"/>
                <w:jc w:val="center"/>
              </w:trPr>
              <w:tc>
                <w:tcPr>
                  <w:tcW w:w="1826" w:type="dxa"/>
                  <w:vMerge w:val="continue"/>
                  <w:tcBorders>
                    <w:tl2br w:val="nil"/>
                    <w:tr2bl w:val="nil"/>
                  </w:tcBorders>
                  <w:noWrap w:val="0"/>
                  <w:vAlign w:val="center"/>
                </w:tcPr>
                <w:p w14:paraId="1A0AB1D7">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4"/>
                      <w:sz w:val="21"/>
                      <w:szCs w:val="21"/>
                      <w:lang w:eastAsia="en-US"/>
                    </w:rPr>
                  </w:pPr>
                </w:p>
              </w:tc>
              <w:tc>
                <w:tcPr>
                  <w:tcW w:w="4754" w:type="dxa"/>
                  <w:gridSpan w:val="2"/>
                  <w:tcBorders>
                    <w:tl2br w:val="nil"/>
                    <w:tr2bl w:val="nil"/>
                  </w:tcBorders>
                  <w:noWrap w:val="0"/>
                  <w:vAlign w:val="center"/>
                </w:tcPr>
                <w:p w14:paraId="3587AACC">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4"/>
                      <w:sz w:val="21"/>
                      <w:szCs w:val="21"/>
                      <w:lang w:eastAsia="en-US"/>
                    </w:rPr>
                  </w:pPr>
                  <w:r>
                    <w:rPr>
                      <w:rFonts w:hint="default" w:ascii="Times New Roman" w:hAnsi="Times New Roman" w:cs="Times New Roman"/>
                      <w:color w:val="auto"/>
                      <w:spacing w:val="4"/>
                      <w:sz w:val="21"/>
                      <w:szCs w:val="21"/>
                      <w:lang w:eastAsia="en-US"/>
                    </w:rPr>
                    <w:t>244体育用品制造</w:t>
                  </w:r>
                </w:p>
              </w:tc>
              <w:tc>
                <w:tcPr>
                  <w:tcW w:w="1190" w:type="dxa"/>
                  <w:tcBorders>
                    <w:tl2br w:val="nil"/>
                    <w:tr2bl w:val="nil"/>
                  </w:tcBorders>
                  <w:noWrap w:val="0"/>
                  <w:vAlign w:val="center"/>
                </w:tcPr>
                <w:p w14:paraId="09C3D6CD">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9"/>
                      <w:sz w:val="21"/>
                      <w:szCs w:val="21"/>
                      <w:lang w:eastAsia="en-US"/>
                    </w:rPr>
                  </w:pPr>
                  <w:r>
                    <w:rPr>
                      <w:rFonts w:hint="default" w:ascii="Times New Roman" w:hAnsi="Times New Roman" w:cs="Times New Roman"/>
                      <w:color w:val="auto"/>
                      <w:spacing w:val="9"/>
                      <w:sz w:val="21"/>
                      <w:szCs w:val="21"/>
                      <w:lang w:eastAsia="en-US"/>
                    </w:rPr>
                    <w:t>●</w:t>
                  </w:r>
                </w:p>
              </w:tc>
            </w:tr>
            <w:tr w14:paraId="634CF637">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108" w:hRule="atLeast"/>
                <w:jc w:val="center"/>
              </w:trPr>
              <w:tc>
                <w:tcPr>
                  <w:tcW w:w="1826" w:type="dxa"/>
                  <w:vMerge w:val="continue"/>
                  <w:tcBorders>
                    <w:tl2br w:val="nil"/>
                    <w:tr2bl w:val="nil"/>
                  </w:tcBorders>
                  <w:noWrap w:val="0"/>
                  <w:vAlign w:val="center"/>
                </w:tcPr>
                <w:p w14:paraId="15F01728">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4"/>
                      <w:sz w:val="21"/>
                      <w:szCs w:val="21"/>
                      <w:lang w:eastAsia="en-US"/>
                    </w:rPr>
                  </w:pPr>
                </w:p>
              </w:tc>
              <w:tc>
                <w:tcPr>
                  <w:tcW w:w="4754" w:type="dxa"/>
                  <w:gridSpan w:val="2"/>
                  <w:tcBorders>
                    <w:tl2br w:val="nil"/>
                    <w:tr2bl w:val="nil"/>
                  </w:tcBorders>
                  <w:noWrap w:val="0"/>
                  <w:vAlign w:val="center"/>
                </w:tcPr>
                <w:p w14:paraId="1941E1F4">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4"/>
                      <w:sz w:val="21"/>
                      <w:szCs w:val="21"/>
                      <w:lang w:eastAsia="en-US"/>
                    </w:rPr>
                  </w:pPr>
                  <w:r>
                    <w:rPr>
                      <w:rFonts w:hint="default" w:ascii="Times New Roman" w:hAnsi="Times New Roman" w:cs="Times New Roman"/>
                      <w:color w:val="auto"/>
                      <w:spacing w:val="4"/>
                      <w:sz w:val="21"/>
                      <w:szCs w:val="21"/>
                      <w:lang w:eastAsia="en-US"/>
                    </w:rPr>
                    <w:t>245玩具制造</w:t>
                  </w:r>
                </w:p>
              </w:tc>
              <w:tc>
                <w:tcPr>
                  <w:tcW w:w="1190" w:type="dxa"/>
                  <w:tcBorders>
                    <w:tl2br w:val="nil"/>
                    <w:tr2bl w:val="nil"/>
                  </w:tcBorders>
                  <w:noWrap w:val="0"/>
                  <w:vAlign w:val="center"/>
                </w:tcPr>
                <w:p w14:paraId="56899A3F">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9"/>
                      <w:sz w:val="21"/>
                      <w:szCs w:val="21"/>
                      <w:lang w:eastAsia="en-US"/>
                    </w:rPr>
                  </w:pPr>
                  <w:r>
                    <w:rPr>
                      <w:rFonts w:hint="default" w:ascii="Times New Roman" w:hAnsi="Times New Roman" w:cs="Times New Roman"/>
                      <w:color w:val="auto"/>
                      <w:spacing w:val="9"/>
                      <w:sz w:val="21"/>
                      <w:szCs w:val="21"/>
                      <w:lang w:eastAsia="en-US"/>
                    </w:rPr>
                    <w:t>★</w:t>
                  </w:r>
                </w:p>
              </w:tc>
            </w:tr>
            <w:tr w14:paraId="5E27F83B">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167" w:hRule="atLeast"/>
                <w:jc w:val="center"/>
              </w:trPr>
              <w:tc>
                <w:tcPr>
                  <w:tcW w:w="1826" w:type="dxa"/>
                  <w:vMerge w:val="continue"/>
                  <w:tcBorders>
                    <w:tl2br w:val="nil"/>
                    <w:tr2bl w:val="nil"/>
                  </w:tcBorders>
                  <w:noWrap w:val="0"/>
                  <w:vAlign w:val="center"/>
                </w:tcPr>
                <w:p w14:paraId="1C7179C6">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4"/>
                      <w:sz w:val="21"/>
                      <w:szCs w:val="21"/>
                      <w:lang w:eastAsia="en-US"/>
                    </w:rPr>
                  </w:pPr>
                </w:p>
              </w:tc>
              <w:tc>
                <w:tcPr>
                  <w:tcW w:w="4754" w:type="dxa"/>
                  <w:gridSpan w:val="2"/>
                  <w:tcBorders>
                    <w:tl2br w:val="nil"/>
                    <w:tr2bl w:val="nil"/>
                  </w:tcBorders>
                  <w:noWrap w:val="0"/>
                  <w:vAlign w:val="center"/>
                </w:tcPr>
                <w:p w14:paraId="04A98A1B">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4"/>
                      <w:sz w:val="21"/>
                      <w:szCs w:val="21"/>
                      <w:lang w:eastAsia="en-US"/>
                    </w:rPr>
                  </w:pPr>
                  <w:r>
                    <w:rPr>
                      <w:rFonts w:hint="default" w:ascii="Times New Roman" w:hAnsi="Times New Roman" w:cs="Times New Roman"/>
                      <w:color w:val="auto"/>
                      <w:spacing w:val="4"/>
                      <w:sz w:val="21"/>
                      <w:szCs w:val="21"/>
                      <w:lang w:eastAsia="en-US"/>
                    </w:rPr>
                    <w:t>246游艺器材及娱乐用品制造</w:t>
                  </w:r>
                </w:p>
              </w:tc>
              <w:tc>
                <w:tcPr>
                  <w:tcW w:w="1190" w:type="dxa"/>
                  <w:tcBorders>
                    <w:tl2br w:val="nil"/>
                    <w:tr2bl w:val="nil"/>
                  </w:tcBorders>
                  <w:noWrap w:val="0"/>
                  <w:vAlign w:val="center"/>
                </w:tcPr>
                <w:p w14:paraId="3263E286">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pacing w:val="9"/>
                      <w:sz w:val="21"/>
                      <w:szCs w:val="21"/>
                      <w:lang w:eastAsia="en-US"/>
                    </w:rPr>
                  </w:pPr>
                  <w:r>
                    <w:rPr>
                      <w:rFonts w:hint="default" w:ascii="Times New Roman" w:hAnsi="Times New Roman" w:cs="Times New Roman"/>
                      <w:color w:val="auto"/>
                      <w:spacing w:val="9"/>
                      <w:sz w:val="21"/>
                      <w:szCs w:val="21"/>
                      <w:lang w:eastAsia="en-US"/>
                    </w:rPr>
                    <w:t>●</w:t>
                  </w:r>
                </w:p>
              </w:tc>
            </w:tr>
          </w:tbl>
          <w:p w14:paraId="5F116E3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left"/>
              <w:textAlignment w:val="auto"/>
              <w:rPr>
                <w:rFonts w:hint="default"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注： ★—优先进入行业； ●—准许进入行业； ▲—控制进入行业；×—禁止进入行业。</w:t>
            </w:r>
          </w:p>
          <w:p w14:paraId="2FF17806">
            <w:pPr>
              <w:pStyle w:val="3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left"/>
              <w:textAlignment w:val="auto"/>
              <w:rPr>
                <w:rFonts w:hint="default" w:ascii="Times New Roman" w:hAnsi="Times New Roman" w:cs="Times New Roman"/>
                <w:color w:val="auto"/>
                <w:kern w:val="0"/>
                <w:sz w:val="24"/>
                <w:szCs w:val="24"/>
                <w:lang w:val="en-US" w:eastAsia="zh-CN"/>
              </w:rPr>
            </w:pPr>
            <w:r>
              <w:rPr>
                <w:rFonts w:hint="default" w:ascii="Times New Roman" w:hAnsi="Times New Roman" w:cs="Times New Roman"/>
                <w:color w:val="auto"/>
                <w:kern w:val="0"/>
                <w:sz w:val="24"/>
                <w:szCs w:val="24"/>
                <w:lang w:val="en-US" w:eastAsia="zh-CN"/>
              </w:rPr>
              <w:t>本项目属于“C2646密封用填料及类似品制造”行业，根据表1-2，不属于上述控制进入、禁止进入行业。本项目生产工艺不涉及化学反应，仅为物理混合、分装。泗水县化转办于2024年12月28日，组织发改局、工信局、应急局、济宁市生态环境局泗水分局、行政审批局、水务局、金庄镇政府、华村镇政府和市级层面的安全、环保、化工工艺控制3名专家对本项目进行了论证。根据项目论证通过情况通知（</w:t>
            </w:r>
            <w:r>
              <w:rPr>
                <w:rFonts w:hint="default" w:ascii="Times New Roman" w:hAnsi="Times New Roman" w:cs="Times New Roman"/>
                <w:color w:val="auto"/>
                <w:kern w:val="0"/>
                <w:sz w:val="24"/>
                <w:szCs w:val="24"/>
                <w:highlight w:val="none"/>
                <w:lang w:val="en-US" w:eastAsia="zh-CN"/>
              </w:rPr>
              <w:t>见附件六</w:t>
            </w:r>
            <w:r>
              <w:rPr>
                <w:rFonts w:hint="default" w:ascii="Times New Roman" w:hAnsi="Times New Roman" w:cs="Times New Roman"/>
                <w:color w:val="auto"/>
                <w:kern w:val="0"/>
                <w:sz w:val="24"/>
                <w:szCs w:val="24"/>
                <w:lang w:val="en-US" w:eastAsia="zh-CN"/>
              </w:rPr>
              <w:t>），项目符合产业政策、经济效益、工艺技术、环境影响、安全风险、资源利用等方面要求。</w:t>
            </w:r>
          </w:p>
          <w:p w14:paraId="2374FA88">
            <w:pPr>
              <w:bidi w:val="0"/>
              <w:ind w:firstLine="480" w:firstLineChars="200"/>
              <w:rPr>
                <w:rFonts w:hint="default" w:ascii="Times New Roman" w:hAnsi="Times New Roman" w:eastAsia="宋体" w:cs="Times New Roman"/>
                <w:color w:val="auto"/>
                <w:szCs w:val="24"/>
              </w:rPr>
            </w:pPr>
            <w:r>
              <w:rPr>
                <w:rFonts w:hint="default" w:ascii="Times New Roman" w:hAnsi="Times New Roman" w:cs="Times New Roman"/>
                <w:color w:val="auto"/>
                <w:kern w:val="0"/>
                <w:sz w:val="24"/>
                <w:szCs w:val="24"/>
                <w:lang w:val="en-US" w:eastAsia="zh-CN"/>
              </w:rPr>
              <w:t>本项目属于国家允许类项目，符合国家及地方产业政策；项目</w:t>
            </w:r>
            <w:r>
              <w:rPr>
                <w:rFonts w:hint="default" w:ascii="Times New Roman" w:hAnsi="Times New Roman" w:cs="Times New Roman"/>
                <w:color w:val="auto"/>
                <w:lang w:val="en-US" w:eastAsia="zh-CN"/>
              </w:rPr>
              <w:t>计量投料粉尘经集气罩收集至袋式除尘器处理，通过15m高排气筒DA001排放；抽真空、混合搅拌、设备开盖、灌装等过程产生的有机废气经管道收集至“</w:t>
            </w:r>
            <w:r>
              <w:rPr>
                <w:rFonts w:hint="default" w:ascii="Times New Roman" w:hAnsi="Times New Roman" w:cs="Times New Roman"/>
                <w:snapToGrid w:val="0"/>
                <w:color w:val="auto"/>
                <w:szCs w:val="21"/>
              </w:rPr>
              <w:t>冷凝+二级活性炭吸附</w:t>
            </w:r>
            <w:r>
              <w:rPr>
                <w:rFonts w:hint="default" w:ascii="Times New Roman" w:hAnsi="Times New Roman" w:cs="Times New Roman"/>
                <w:snapToGrid w:val="0"/>
                <w:color w:val="auto"/>
                <w:szCs w:val="21"/>
                <w:lang w:val="en-US" w:eastAsia="zh-CN"/>
              </w:rPr>
              <w:t>装置</w:t>
            </w:r>
            <w:r>
              <w:rPr>
                <w:rFonts w:hint="default" w:ascii="Times New Roman" w:hAnsi="Times New Roman" w:cs="Times New Roman"/>
                <w:color w:val="auto"/>
                <w:lang w:val="en-US" w:eastAsia="zh-CN"/>
              </w:rPr>
              <w:t>”处理后，通过15m高排气筒DA002排放</w:t>
            </w:r>
            <w:r>
              <w:rPr>
                <w:rFonts w:hint="default" w:ascii="Times New Roman" w:hAnsi="Times New Roman" w:cs="Times New Roman"/>
                <w:color w:val="auto"/>
                <w:kern w:val="0"/>
                <w:sz w:val="24"/>
                <w:szCs w:val="24"/>
                <w:lang w:val="en-US" w:eastAsia="zh-CN"/>
              </w:rPr>
              <w:t>；生活污水经化粪池处理后委托环卫部门清运，冷却水循环使用；噪声采取隔声、减振、消声等措施后达标排放；固体废物、危险废物全部妥善处理，项目污染物均能达标排放，项目建设对区域环境影响较小，满足入园条件</w:t>
            </w:r>
            <w:r>
              <w:rPr>
                <w:rFonts w:hint="default" w:ascii="Times New Roman" w:hAnsi="Times New Roman" w:eastAsia="宋体" w:cs="Times New Roman"/>
                <w:color w:val="auto"/>
                <w:szCs w:val="24"/>
              </w:rPr>
              <w:t>。</w:t>
            </w:r>
          </w:p>
          <w:p w14:paraId="3CB5F97E">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cs="Times New Roman"/>
                <w:color w:val="auto"/>
                <w:kern w:val="0"/>
                <w:sz w:val="24"/>
                <w:szCs w:val="24"/>
                <w:lang w:val="en-US" w:eastAsia="zh-CN"/>
              </w:rPr>
            </w:pPr>
            <w:r>
              <w:rPr>
                <w:rFonts w:hint="default" w:ascii="Times New Roman" w:hAnsi="Times New Roman" w:cs="Times New Roman"/>
                <w:color w:val="auto"/>
                <w:lang w:val="en-US" w:eastAsia="zh-CN"/>
              </w:rPr>
              <w:t>（2）</w:t>
            </w:r>
            <w:r>
              <w:rPr>
                <w:rFonts w:hint="default" w:ascii="Times New Roman" w:hAnsi="Times New Roman" w:cs="Times New Roman"/>
                <w:color w:val="auto"/>
                <w:kern w:val="0"/>
                <w:sz w:val="24"/>
                <w:szCs w:val="24"/>
                <w:lang w:val="en-US" w:eastAsia="zh-CN"/>
              </w:rPr>
              <w:t>项目与规划环评审查意见符合性</w:t>
            </w:r>
          </w:p>
          <w:p w14:paraId="0B6F418E">
            <w:pPr>
              <w:pStyle w:val="45"/>
              <w:bidi w:val="0"/>
              <w:rPr>
                <w:rFonts w:hint="default" w:ascii="Times New Roman" w:hAnsi="Times New Roman" w:eastAsia="宋体" w:cs="Times New Roman"/>
                <w:b/>
                <w:bCs/>
                <w:color w:val="auto"/>
                <w:szCs w:val="24"/>
                <w:lang w:val="en-US" w:eastAsia="zh-CN"/>
              </w:rPr>
            </w:pPr>
            <w:r>
              <w:rPr>
                <w:rFonts w:hint="default" w:ascii="Times New Roman" w:hAnsi="Times New Roman" w:cs="Times New Roman"/>
                <w:color w:val="auto"/>
                <w:lang w:val="en-US" w:eastAsia="zh-CN"/>
              </w:rPr>
              <w:t>表1-3 与规划环评审查意见符合性</w:t>
            </w:r>
          </w:p>
          <w:tbl>
            <w:tblPr>
              <w:tblStyle w:val="33"/>
              <w:tblW w:w="7859"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826"/>
              <w:gridCol w:w="2312"/>
              <w:gridCol w:w="721"/>
            </w:tblGrid>
            <w:tr w14:paraId="1752097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826" w:type="dxa"/>
                  <w:tcBorders>
                    <w:tl2br w:val="nil"/>
                    <w:tr2bl w:val="nil"/>
                  </w:tcBorders>
                  <w:noWrap w:val="0"/>
                  <w:vAlign w:val="center"/>
                </w:tcPr>
                <w:p w14:paraId="0B6C0C93">
                  <w:pPr>
                    <w:pStyle w:val="44"/>
                    <w:bidi w:val="0"/>
                    <w:rPr>
                      <w:rFonts w:hint="default" w:ascii="Times New Roman" w:hAnsi="Times New Roman" w:cs="Times New Roman"/>
                      <w:color w:val="auto"/>
                    </w:rPr>
                  </w:pPr>
                  <w:r>
                    <w:rPr>
                      <w:rFonts w:hint="default" w:ascii="Times New Roman" w:hAnsi="Times New Roman" w:cs="Times New Roman"/>
                      <w:color w:val="auto"/>
                    </w:rPr>
                    <w:t>规划环境影响评价</w:t>
                  </w:r>
                  <w:r>
                    <w:rPr>
                      <w:rFonts w:hint="default" w:ascii="Times New Roman" w:hAnsi="Times New Roman" w:cs="Times New Roman"/>
                      <w:color w:val="auto"/>
                      <w:lang w:val="en-US" w:eastAsia="zh-CN"/>
                    </w:rPr>
                    <w:t>审查意见（节选）</w:t>
                  </w:r>
                </w:p>
              </w:tc>
              <w:tc>
                <w:tcPr>
                  <w:tcW w:w="2312" w:type="dxa"/>
                  <w:tcBorders>
                    <w:tl2br w:val="nil"/>
                    <w:tr2bl w:val="nil"/>
                  </w:tcBorders>
                  <w:noWrap w:val="0"/>
                  <w:vAlign w:val="center"/>
                </w:tcPr>
                <w:p w14:paraId="73A7DEBC">
                  <w:pPr>
                    <w:pStyle w:val="44"/>
                    <w:bidi w:val="0"/>
                    <w:rPr>
                      <w:rFonts w:hint="default" w:ascii="Times New Roman" w:hAnsi="Times New Roman" w:cs="Times New Roman"/>
                      <w:color w:val="auto"/>
                    </w:rPr>
                  </w:pPr>
                  <w:r>
                    <w:rPr>
                      <w:rFonts w:hint="default" w:ascii="Times New Roman" w:hAnsi="Times New Roman" w:cs="Times New Roman"/>
                      <w:color w:val="auto"/>
                    </w:rPr>
                    <w:t>本项目情况</w:t>
                  </w:r>
                </w:p>
              </w:tc>
              <w:tc>
                <w:tcPr>
                  <w:tcW w:w="721" w:type="dxa"/>
                  <w:tcBorders>
                    <w:tl2br w:val="nil"/>
                    <w:tr2bl w:val="nil"/>
                  </w:tcBorders>
                  <w:noWrap w:val="0"/>
                  <w:vAlign w:val="center"/>
                </w:tcPr>
                <w:p w14:paraId="21DF7989">
                  <w:pPr>
                    <w:pStyle w:val="44"/>
                    <w:bidi w:val="0"/>
                    <w:rPr>
                      <w:rFonts w:hint="default" w:ascii="Times New Roman" w:hAnsi="Times New Roman" w:cs="Times New Roman"/>
                      <w:color w:val="auto"/>
                    </w:rPr>
                  </w:pPr>
                  <w:r>
                    <w:rPr>
                      <w:rFonts w:hint="default" w:ascii="Times New Roman" w:hAnsi="Times New Roman" w:cs="Times New Roman"/>
                      <w:color w:val="auto"/>
                    </w:rPr>
                    <w:t>符合性</w:t>
                  </w:r>
                </w:p>
              </w:tc>
            </w:tr>
            <w:tr w14:paraId="1ADD8F1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826" w:type="dxa"/>
                  <w:tcBorders>
                    <w:tl2br w:val="nil"/>
                    <w:tr2bl w:val="nil"/>
                  </w:tcBorders>
                  <w:noWrap w:val="0"/>
                  <w:vAlign w:val="center"/>
                </w:tcPr>
                <w:p w14:paraId="2B277C37">
                  <w:pPr>
                    <w:pStyle w:val="44"/>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认真贯彻《中共中央办公厅国务院办公厅&lt;关于加强生态环境分区管控的意见&gt;》《中共中央、国务院关于完整准确全面贯彻新发展理念做好碳达峰碳中和工作的意见》《山东省“十四五”生态环境保护规划》等文件要求，落实国家、省关于碳达峰碳中和等相关政策，切实推动园区生态环境高水平保护和经济高质量发展。</w:t>
                  </w:r>
                </w:p>
              </w:tc>
              <w:tc>
                <w:tcPr>
                  <w:tcW w:w="2312" w:type="dxa"/>
                  <w:tcBorders>
                    <w:tl2br w:val="nil"/>
                    <w:tr2bl w:val="nil"/>
                  </w:tcBorders>
                  <w:noWrap w:val="0"/>
                  <w:vAlign w:val="center"/>
                </w:tcPr>
                <w:p w14:paraId="685856A5">
                  <w:pPr>
                    <w:pStyle w:val="44"/>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项目满足济宁市生态环境分区管控要求，满足《山东省“十四五”生态环境保护规划》等文件要求</w:t>
                  </w:r>
                  <w:r>
                    <w:rPr>
                      <w:rFonts w:hint="eastAsia" w:cs="Times New Roman"/>
                      <w:color w:val="auto"/>
                      <w:lang w:val="en-US" w:eastAsia="zh-CN"/>
                    </w:rPr>
                    <w:t>。</w:t>
                  </w:r>
                </w:p>
              </w:tc>
              <w:tc>
                <w:tcPr>
                  <w:tcW w:w="721" w:type="dxa"/>
                  <w:tcBorders>
                    <w:tl2br w:val="nil"/>
                    <w:tr2bl w:val="nil"/>
                  </w:tcBorders>
                  <w:noWrap w:val="0"/>
                  <w:vAlign w:val="center"/>
                </w:tcPr>
                <w:p w14:paraId="24D06BAE">
                  <w:pPr>
                    <w:pStyle w:val="44"/>
                    <w:bidi w:val="0"/>
                    <w:rPr>
                      <w:rFonts w:hint="default" w:ascii="Times New Roman" w:hAnsi="Times New Roman" w:cs="Times New Roman"/>
                      <w:color w:val="auto"/>
                    </w:rPr>
                  </w:pPr>
                  <w:r>
                    <w:rPr>
                      <w:rFonts w:hint="default" w:ascii="Times New Roman" w:hAnsi="Times New Roman" w:cs="Times New Roman"/>
                      <w:color w:val="auto"/>
                    </w:rPr>
                    <w:t>符合</w:t>
                  </w:r>
                </w:p>
              </w:tc>
            </w:tr>
            <w:tr w14:paraId="605940C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826" w:type="dxa"/>
                  <w:tcBorders>
                    <w:tl2br w:val="nil"/>
                    <w:tr2bl w:val="nil"/>
                  </w:tcBorders>
                  <w:noWrap w:val="0"/>
                  <w:vAlign w:val="center"/>
                </w:tcPr>
                <w:p w14:paraId="70688331">
                  <w:pPr>
                    <w:pStyle w:val="44"/>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3.严格落实“三线一单”生态环境分区管控要求，按照生态环境准入清单筛选入区项目，合理布局新入区企业，提高土地开发强度，集约节约使用土地。</w:t>
                  </w:r>
                </w:p>
              </w:tc>
              <w:tc>
                <w:tcPr>
                  <w:tcW w:w="2312" w:type="dxa"/>
                  <w:tcBorders>
                    <w:tl2br w:val="nil"/>
                    <w:tr2bl w:val="nil"/>
                  </w:tcBorders>
                  <w:noWrap w:val="0"/>
                  <w:vAlign w:val="center"/>
                </w:tcPr>
                <w:p w14:paraId="7EB6EAFB">
                  <w:pPr>
                    <w:pStyle w:val="44"/>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本项目租赁现有车间，不新增建设用地，项目选址满足“三线一单”生态环境分区管控要求，满足产业园环境准入基本条件及准入原则</w:t>
                  </w:r>
                  <w:r>
                    <w:rPr>
                      <w:rFonts w:hint="eastAsia" w:cs="Times New Roman"/>
                      <w:color w:val="auto"/>
                      <w:lang w:val="en-US" w:eastAsia="zh-CN"/>
                    </w:rPr>
                    <w:t>。</w:t>
                  </w:r>
                </w:p>
              </w:tc>
              <w:tc>
                <w:tcPr>
                  <w:tcW w:w="721" w:type="dxa"/>
                  <w:tcBorders>
                    <w:tl2br w:val="nil"/>
                    <w:tr2bl w:val="nil"/>
                  </w:tcBorders>
                  <w:noWrap w:val="0"/>
                  <w:vAlign w:val="center"/>
                </w:tcPr>
                <w:p w14:paraId="72E07C47">
                  <w:pPr>
                    <w:pStyle w:val="44"/>
                    <w:bidi w:val="0"/>
                    <w:rPr>
                      <w:rFonts w:hint="default" w:ascii="Times New Roman" w:hAnsi="Times New Roman" w:cs="Times New Roman"/>
                      <w:color w:val="auto"/>
                    </w:rPr>
                  </w:pPr>
                  <w:r>
                    <w:rPr>
                      <w:rFonts w:hint="default" w:ascii="Times New Roman" w:hAnsi="Times New Roman" w:cs="Times New Roman"/>
                      <w:color w:val="auto"/>
                    </w:rPr>
                    <w:t>符合</w:t>
                  </w:r>
                </w:p>
              </w:tc>
            </w:tr>
            <w:tr w14:paraId="60AA544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826" w:type="dxa"/>
                  <w:tcBorders>
                    <w:tl2br w:val="nil"/>
                    <w:tr2bl w:val="nil"/>
                  </w:tcBorders>
                  <w:noWrap w:val="0"/>
                  <w:vAlign w:val="center"/>
                </w:tcPr>
                <w:p w14:paraId="700957D2">
                  <w:pPr>
                    <w:pStyle w:val="44"/>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4.推动减污降碳协同共治，引导企业持续降低碳排放强度，进一步降低园区单位工业增加值能耗和水耗等指标。</w:t>
                  </w:r>
                </w:p>
              </w:tc>
              <w:tc>
                <w:tcPr>
                  <w:tcW w:w="2312" w:type="dxa"/>
                  <w:tcBorders>
                    <w:tl2br w:val="nil"/>
                    <w:tr2bl w:val="nil"/>
                  </w:tcBorders>
                  <w:noWrap w:val="0"/>
                  <w:vAlign w:val="center"/>
                </w:tcPr>
                <w:p w14:paraId="4672E9C2">
                  <w:pPr>
                    <w:pStyle w:val="44"/>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项目生产用水循环使用，逐步降低GDP单位能耗</w:t>
                  </w:r>
                  <w:r>
                    <w:rPr>
                      <w:rFonts w:hint="eastAsia" w:cs="Times New Roman"/>
                      <w:color w:val="auto"/>
                      <w:lang w:val="en-US" w:eastAsia="zh-CN"/>
                    </w:rPr>
                    <w:t>。</w:t>
                  </w:r>
                </w:p>
              </w:tc>
              <w:tc>
                <w:tcPr>
                  <w:tcW w:w="721" w:type="dxa"/>
                  <w:tcBorders>
                    <w:tl2br w:val="nil"/>
                    <w:tr2bl w:val="nil"/>
                  </w:tcBorders>
                  <w:noWrap w:val="0"/>
                  <w:vAlign w:val="center"/>
                </w:tcPr>
                <w:p w14:paraId="36EE5E3B">
                  <w:pPr>
                    <w:pStyle w:val="44"/>
                    <w:bidi w:val="0"/>
                    <w:rPr>
                      <w:rFonts w:hint="default" w:ascii="Times New Roman" w:hAnsi="Times New Roman" w:cs="Times New Roman"/>
                      <w:color w:val="auto"/>
                    </w:rPr>
                  </w:pPr>
                  <w:r>
                    <w:rPr>
                      <w:rFonts w:hint="default" w:ascii="Times New Roman" w:hAnsi="Times New Roman" w:cs="Times New Roman"/>
                      <w:color w:val="auto"/>
                    </w:rPr>
                    <w:t>符合</w:t>
                  </w:r>
                </w:p>
              </w:tc>
            </w:tr>
            <w:tr w14:paraId="474A698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826" w:type="dxa"/>
                  <w:tcBorders>
                    <w:tl2br w:val="nil"/>
                    <w:tr2bl w:val="nil"/>
                  </w:tcBorders>
                  <w:noWrap w:val="0"/>
                  <w:vAlign w:val="center"/>
                </w:tcPr>
                <w:p w14:paraId="44B936BB">
                  <w:pPr>
                    <w:pStyle w:val="44"/>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6.结合环境质量改善目标、污染防治方案、减排任务等，制定园区污染物减排方案并落实。对涉及新增污染物排放的入区项目，依法依规落实污染物替代要求。大力推进企业V0Cs、工业粉尘治理，严格执行行业标准或无组织排放标准控制要求，实现全流程、全环节达标排放。</w:t>
                  </w:r>
                </w:p>
              </w:tc>
              <w:tc>
                <w:tcPr>
                  <w:tcW w:w="2312" w:type="dxa"/>
                  <w:tcBorders>
                    <w:tl2br w:val="nil"/>
                    <w:tr2bl w:val="nil"/>
                  </w:tcBorders>
                  <w:noWrap w:val="0"/>
                  <w:vAlign w:val="center"/>
                </w:tcPr>
                <w:p w14:paraId="323B252E">
                  <w:pPr>
                    <w:pStyle w:val="44"/>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项目烟粉尘、VOCs排放满足国家或地方标准要求，排放量申请倍量替代</w:t>
                  </w:r>
                  <w:r>
                    <w:rPr>
                      <w:rFonts w:hint="eastAsia" w:cs="Times New Roman"/>
                      <w:color w:val="auto"/>
                      <w:lang w:val="en-US" w:eastAsia="zh-CN"/>
                    </w:rPr>
                    <w:t>。</w:t>
                  </w:r>
                </w:p>
              </w:tc>
              <w:tc>
                <w:tcPr>
                  <w:tcW w:w="721" w:type="dxa"/>
                  <w:tcBorders>
                    <w:tl2br w:val="nil"/>
                    <w:tr2bl w:val="nil"/>
                  </w:tcBorders>
                  <w:noWrap w:val="0"/>
                  <w:vAlign w:val="center"/>
                </w:tcPr>
                <w:p w14:paraId="5E6702DC">
                  <w:pPr>
                    <w:pStyle w:val="44"/>
                    <w:bidi w:val="0"/>
                    <w:rPr>
                      <w:rFonts w:hint="default" w:ascii="Times New Roman" w:hAnsi="Times New Roman" w:cs="Times New Roman"/>
                      <w:color w:val="auto"/>
                    </w:rPr>
                  </w:pPr>
                  <w:r>
                    <w:rPr>
                      <w:rFonts w:hint="default" w:ascii="Times New Roman" w:hAnsi="Times New Roman" w:cs="Times New Roman"/>
                      <w:color w:val="auto"/>
                    </w:rPr>
                    <w:t>符合</w:t>
                  </w:r>
                </w:p>
              </w:tc>
            </w:tr>
            <w:tr w14:paraId="623CAA7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826" w:type="dxa"/>
                  <w:tcBorders>
                    <w:tl2br w:val="nil"/>
                    <w:tr2bl w:val="nil"/>
                  </w:tcBorders>
                  <w:noWrap w:val="0"/>
                  <w:vAlign w:val="center"/>
                </w:tcPr>
                <w:p w14:paraId="78FFB3BF">
                  <w:pPr>
                    <w:pStyle w:val="44"/>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7.落实固体废物环境管理制度，强化工业企业一般固体废物和危险废物的贮存、转移及处置等环节的管理。</w:t>
                  </w:r>
                </w:p>
              </w:tc>
              <w:tc>
                <w:tcPr>
                  <w:tcW w:w="2312" w:type="dxa"/>
                  <w:tcBorders>
                    <w:tl2br w:val="nil"/>
                    <w:tr2bl w:val="nil"/>
                  </w:tcBorders>
                  <w:noWrap w:val="0"/>
                  <w:vAlign w:val="center"/>
                </w:tcPr>
                <w:p w14:paraId="3A710523">
                  <w:pPr>
                    <w:pStyle w:val="44"/>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项目固体废物贮存、转移及处置等环节严格按照执行《中华人民共和国固体废物污染环境防治法》执行</w:t>
                  </w:r>
                  <w:r>
                    <w:rPr>
                      <w:rFonts w:hint="eastAsia" w:cs="Times New Roman"/>
                      <w:color w:val="auto"/>
                      <w:lang w:val="en-US" w:eastAsia="zh-CN"/>
                    </w:rPr>
                    <w:t>。</w:t>
                  </w:r>
                </w:p>
              </w:tc>
              <w:tc>
                <w:tcPr>
                  <w:tcW w:w="721" w:type="dxa"/>
                  <w:tcBorders>
                    <w:tl2br w:val="nil"/>
                    <w:tr2bl w:val="nil"/>
                  </w:tcBorders>
                  <w:noWrap w:val="0"/>
                  <w:vAlign w:val="center"/>
                </w:tcPr>
                <w:p w14:paraId="76271112">
                  <w:pPr>
                    <w:pStyle w:val="44"/>
                    <w:bidi w:val="0"/>
                    <w:rPr>
                      <w:rFonts w:hint="default" w:ascii="Times New Roman" w:hAnsi="Times New Roman" w:cs="Times New Roman"/>
                      <w:color w:val="auto"/>
                    </w:rPr>
                  </w:pPr>
                  <w:r>
                    <w:rPr>
                      <w:rFonts w:hint="default" w:ascii="Times New Roman" w:hAnsi="Times New Roman" w:cs="Times New Roman"/>
                      <w:color w:val="auto"/>
                    </w:rPr>
                    <w:t>符合</w:t>
                  </w:r>
                </w:p>
              </w:tc>
            </w:tr>
            <w:tr w14:paraId="37CE503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826" w:type="dxa"/>
                  <w:tcBorders>
                    <w:tl2br w:val="nil"/>
                    <w:tr2bl w:val="nil"/>
                  </w:tcBorders>
                  <w:noWrap w:val="0"/>
                  <w:vAlign w:val="center"/>
                </w:tcPr>
                <w:p w14:paraId="6833A6F0">
                  <w:pPr>
                    <w:pStyle w:val="44"/>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9.健全园区环境风险防控体系，强化“企业-园区-政府”环境管理联动，定期组织应急演练。督促指导入区企业制定相应的风险事故防范措施及应急预案，加强园区及相关企业应急物资储备、应急救援队伍及监测能力建设。对园区内停产或破产污染企业，实施风险排查并采取相应处置措施防止对环境产生直接或次生环境污染。</w:t>
                  </w:r>
                </w:p>
              </w:tc>
              <w:tc>
                <w:tcPr>
                  <w:tcW w:w="2312" w:type="dxa"/>
                  <w:tcBorders>
                    <w:tl2br w:val="nil"/>
                    <w:tr2bl w:val="nil"/>
                  </w:tcBorders>
                  <w:noWrap w:val="0"/>
                  <w:vAlign w:val="center"/>
                </w:tcPr>
                <w:p w14:paraId="0F1C08A4">
                  <w:pPr>
                    <w:pStyle w:val="44"/>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项目建成后制定企业环境风险应急预案，并积极执行当地重污染天气时的应急减排措施</w:t>
                  </w:r>
                  <w:r>
                    <w:rPr>
                      <w:rFonts w:hint="eastAsia" w:cs="Times New Roman"/>
                      <w:color w:val="auto"/>
                      <w:lang w:val="en-US" w:eastAsia="zh-CN"/>
                    </w:rPr>
                    <w:t>。</w:t>
                  </w:r>
                </w:p>
              </w:tc>
              <w:tc>
                <w:tcPr>
                  <w:tcW w:w="721" w:type="dxa"/>
                  <w:tcBorders>
                    <w:tl2br w:val="nil"/>
                    <w:tr2bl w:val="nil"/>
                  </w:tcBorders>
                  <w:noWrap w:val="0"/>
                  <w:vAlign w:val="center"/>
                </w:tcPr>
                <w:p w14:paraId="5618B544">
                  <w:pPr>
                    <w:pStyle w:val="44"/>
                    <w:bidi w:val="0"/>
                    <w:rPr>
                      <w:rFonts w:hint="default" w:ascii="Times New Roman" w:hAnsi="Times New Roman" w:cs="Times New Roman"/>
                      <w:color w:val="auto"/>
                    </w:rPr>
                  </w:pPr>
                  <w:r>
                    <w:rPr>
                      <w:rFonts w:hint="default" w:ascii="Times New Roman" w:hAnsi="Times New Roman" w:cs="Times New Roman"/>
                      <w:color w:val="auto"/>
                    </w:rPr>
                    <w:t>符合</w:t>
                  </w:r>
                </w:p>
              </w:tc>
            </w:tr>
          </w:tbl>
          <w:p w14:paraId="1B063807">
            <w:pPr>
              <w:spacing w:line="360" w:lineRule="auto"/>
              <w:ind w:firstLine="480"/>
              <w:rPr>
                <w:rFonts w:hint="default" w:ascii="Times New Roman" w:hAnsi="Times New Roman" w:cs="Times New Roman"/>
                <w:color w:val="auto"/>
                <w:sz w:val="24"/>
                <w:szCs w:val="24"/>
              </w:rPr>
            </w:pPr>
            <w:r>
              <w:rPr>
                <w:rFonts w:hint="default" w:ascii="Times New Roman" w:hAnsi="Times New Roman" w:cs="Times New Roman"/>
                <w:color w:val="auto"/>
                <w:kern w:val="0"/>
                <w:sz w:val="24"/>
                <w:szCs w:val="24"/>
                <w:lang w:val="en-US" w:eastAsia="zh-CN"/>
              </w:rPr>
              <w:t>综合以上分析，本项目符合泗水金庄镇卞庄工业园规划及规划环境影响评价要求</w:t>
            </w:r>
            <w:r>
              <w:rPr>
                <w:rFonts w:hint="default" w:ascii="Times New Roman" w:hAnsi="Times New Roman" w:cs="Times New Roman"/>
                <w:color w:val="auto"/>
                <w:sz w:val="24"/>
                <w:szCs w:val="24"/>
              </w:rPr>
              <w:t>。</w:t>
            </w:r>
          </w:p>
          <w:p w14:paraId="2C1FC535">
            <w:pPr>
              <w:spacing w:line="360" w:lineRule="auto"/>
              <w:ind w:firstLine="480"/>
              <w:rPr>
                <w:rFonts w:hint="default" w:ascii="Times New Roman" w:hAnsi="Times New Roman" w:cs="Times New Roman"/>
                <w:color w:val="auto"/>
                <w:sz w:val="24"/>
                <w:szCs w:val="24"/>
              </w:rPr>
            </w:pPr>
          </w:p>
          <w:p w14:paraId="00E07F8E">
            <w:pPr>
              <w:spacing w:line="360" w:lineRule="auto"/>
              <w:ind w:firstLine="480"/>
              <w:rPr>
                <w:rFonts w:hint="default" w:ascii="Times New Roman" w:hAnsi="Times New Roman" w:cs="Times New Roman"/>
                <w:color w:val="auto"/>
                <w:sz w:val="24"/>
                <w:szCs w:val="24"/>
              </w:rPr>
            </w:pPr>
          </w:p>
          <w:p w14:paraId="054B62E9">
            <w:pPr>
              <w:spacing w:line="360" w:lineRule="auto"/>
              <w:ind w:firstLine="480"/>
              <w:rPr>
                <w:rFonts w:hint="eastAsia" w:ascii="Times New Roman" w:hAnsi="Times New Roman" w:eastAsia="宋体" w:cs="Times New Roman"/>
                <w:color w:val="auto"/>
                <w:kern w:val="0"/>
                <w:sz w:val="24"/>
                <w:szCs w:val="24"/>
                <w:lang w:eastAsia="zh-CN"/>
              </w:rPr>
            </w:pPr>
          </w:p>
        </w:tc>
      </w:tr>
      <w:tr w14:paraId="580663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1094" w:type="dxa"/>
            <w:noWrap w:val="0"/>
            <w:vAlign w:val="center"/>
          </w:tcPr>
          <w:p w14:paraId="0C80A8DD">
            <w:pPr>
              <w:autoSpaceDE w:val="0"/>
              <w:autoSpaceDN w:val="0"/>
              <w:adjustRightInd w:val="0"/>
              <w:snapToGrid w:val="0"/>
              <w:jc w:val="center"/>
              <w:rPr>
                <w:rFonts w:hint="default" w:ascii="Times New Roman" w:hAnsi="Times New Roman" w:cs="Times New Roman"/>
                <w:color w:val="auto"/>
                <w:kern w:val="0"/>
                <w:szCs w:val="24"/>
              </w:rPr>
            </w:pPr>
            <w:r>
              <w:rPr>
                <w:rFonts w:hint="default" w:ascii="Times New Roman" w:hAnsi="Times New Roman" w:cs="Times New Roman"/>
                <w:color w:val="auto"/>
                <w:kern w:val="0"/>
                <w:szCs w:val="24"/>
              </w:rPr>
              <w:t>其他符合性分析</w:t>
            </w:r>
          </w:p>
        </w:tc>
        <w:tc>
          <w:tcPr>
            <w:tcW w:w="7986" w:type="dxa"/>
            <w:gridSpan w:val="4"/>
            <w:noWrap w:val="0"/>
            <w:vAlign w:val="center"/>
          </w:tcPr>
          <w:p w14:paraId="6AED88C4">
            <w:pPr>
              <w:pStyle w:val="4"/>
              <w:numPr>
                <w:ilvl w:val="0"/>
                <w:numId w:val="0"/>
              </w:numPr>
              <w:bidi w:val="0"/>
              <w:ind w:leftChars="0" w:firstLine="480" w:firstLineChars="200"/>
              <w:rPr>
                <w:rFonts w:hint="default" w:ascii="Times New Roman" w:hAnsi="Times New Roman" w:cs="Times New Roman"/>
                <w:color w:val="auto"/>
              </w:rPr>
            </w:pPr>
            <w:r>
              <w:rPr>
                <w:rFonts w:hint="default" w:ascii="Times New Roman" w:hAnsi="Times New Roman" w:cs="Times New Roman"/>
                <w:color w:val="auto"/>
              </w:rPr>
              <w:t>1、产业政策符合性分析</w:t>
            </w:r>
          </w:p>
          <w:p w14:paraId="70CE4FD5">
            <w:pPr>
              <w:autoSpaceDE w:val="0"/>
              <w:autoSpaceDN w:val="0"/>
              <w:adjustRightInd w:val="0"/>
              <w:snapToGrid w:val="0"/>
              <w:ind w:firstLine="480" w:firstLineChars="200"/>
              <w:rPr>
                <w:rFonts w:hint="default" w:ascii="Times New Roman" w:hAnsi="Times New Roman" w:cs="Times New Roman"/>
                <w:color w:val="auto"/>
                <w:kern w:val="0"/>
              </w:rPr>
            </w:pPr>
            <w:r>
              <w:rPr>
                <w:rFonts w:hint="default" w:ascii="Times New Roman" w:hAnsi="Times New Roman" w:cs="Times New Roman"/>
                <w:bCs/>
                <w:color w:val="auto"/>
                <w:szCs w:val="24"/>
              </w:rPr>
              <w:t>本项目为</w:t>
            </w:r>
            <w:r>
              <w:rPr>
                <w:rFonts w:hint="default" w:ascii="Times New Roman" w:hAnsi="Times New Roman" w:cs="Times New Roman"/>
                <w:color w:val="auto"/>
                <w:szCs w:val="24"/>
                <w:lang w:val="en-US" w:eastAsia="zh-CN"/>
              </w:rPr>
              <w:t>密封用填料及类似品制造业</w:t>
            </w:r>
            <w:r>
              <w:rPr>
                <w:rFonts w:hint="default" w:ascii="Times New Roman" w:hAnsi="Times New Roman" w:cs="Times New Roman"/>
                <w:bCs/>
                <w:color w:val="auto"/>
                <w:szCs w:val="24"/>
              </w:rPr>
              <w:t>。根据国家发展和改革委员会《产业结构调整指导目录（20</w:t>
            </w:r>
            <w:r>
              <w:rPr>
                <w:rFonts w:hint="default" w:ascii="Times New Roman" w:hAnsi="Times New Roman" w:cs="Times New Roman"/>
                <w:bCs/>
                <w:color w:val="auto"/>
                <w:szCs w:val="24"/>
                <w:lang w:val="en-US" w:eastAsia="zh-CN"/>
              </w:rPr>
              <w:t>24</w:t>
            </w:r>
            <w:r>
              <w:rPr>
                <w:rFonts w:hint="default" w:ascii="Times New Roman" w:hAnsi="Times New Roman" w:cs="Times New Roman"/>
                <w:bCs/>
                <w:color w:val="auto"/>
                <w:szCs w:val="24"/>
              </w:rPr>
              <w:t>年本）》，本项目</w:t>
            </w:r>
            <w:r>
              <w:rPr>
                <w:rFonts w:hint="eastAsia" w:cs="Times New Roman"/>
                <w:bCs/>
                <w:color w:val="auto"/>
                <w:szCs w:val="24"/>
                <w:lang w:val="en-US" w:eastAsia="zh-CN"/>
              </w:rPr>
              <w:t>属于鼓励类项目中“十一、石化化工”中第7项“专用化学品”中的“低VOCs含量胶粘剂”</w:t>
            </w:r>
            <w:r>
              <w:rPr>
                <w:rFonts w:hint="default" w:ascii="Times New Roman" w:hAnsi="Times New Roman" w:cs="Times New Roman"/>
                <w:bCs/>
                <w:color w:val="auto"/>
                <w:szCs w:val="24"/>
              </w:rPr>
              <w:t>，符合国家有关法律、法规和政策规定</w:t>
            </w:r>
            <w:r>
              <w:rPr>
                <w:rFonts w:hint="default" w:ascii="Times New Roman" w:hAnsi="Times New Roman" w:cs="Times New Roman"/>
                <w:color w:val="auto"/>
                <w:kern w:val="0"/>
              </w:rPr>
              <w:t>，符合国家产业政策要求。本项目已取得山东省建设项目备案证明，项目代码为</w:t>
            </w:r>
            <w:r>
              <w:rPr>
                <w:rFonts w:hint="default" w:ascii="Times New Roman" w:hAnsi="Times New Roman" w:cs="Times New Roman"/>
                <w:color w:val="auto"/>
                <w:szCs w:val="24"/>
                <w:lang w:val="en-US" w:eastAsia="zh-CN"/>
              </w:rPr>
              <w:t>2501-370831-04-01-775599</w:t>
            </w:r>
            <w:r>
              <w:rPr>
                <w:rFonts w:hint="default" w:ascii="Times New Roman" w:hAnsi="Times New Roman" w:cs="Times New Roman"/>
                <w:color w:val="auto"/>
                <w:kern w:val="0"/>
              </w:rPr>
              <w:t>，因此本项目符合产业政策要求。</w:t>
            </w:r>
          </w:p>
          <w:p w14:paraId="77834853">
            <w:pPr>
              <w:autoSpaceDE w:val="0"/>
              <w:autoSpaceDN w:val="0"/>
              <w:adjustRightInd w:val="0"/>
              <w:snapToGrid w:val="0"/>
              <w:ind w:firstLine="480" w:firstLineChars="200"/>
              <w:rPr>
                <w:rFonts w:hint="default" w:ascii="Times New Roman" w:hAnsi="Times New Roman" w:cs="Times New Roman"/>
                <w:color w:val="auto"/>
                <w:kern w:val="0"/>
              </w:rPr>
            </w:pPr>
            <w:r>
              <w:rPr>
                <w:rFonts w:hint="default" w:ascii="Times New Roman" w:hAnsi="Times New Roman" w:cs="Times New Roman"/>
                <w:color w:val="auto"/>
                <w:kern w:val="0"/>
              </w:rPr>
              <w:t>项目生产过程中未使用国家明令禁止的淘汰类和限制类的工艺和设备，符合国家的产业政策。</w:t>
            </w:r>
          </w:p>
          <w:p w14:paraId="3E8AA7CB">
            <w:pPr>
              <w:pStyle w:val="4"/>
              <w:numPr>
                <w:ilvl w:val="0"/>
                <w:numId w:val="0"/>
              </w:numPr>
              <w:bidi w:val="0"/>
              <w:ind w:leftChars="0" w:firstLine="480" w:firstLineChars="200"/>
              <w:rPr>
                <w:rFonts w:hint="default" w:ascii="Times New Roman" w:hAnsi="Times New Roman" w:cs="Times New Roman"/>
                <w:color w:val="auto"/>
              </w:rPr>
            </w:pPr>
            <w:r>
              <w:rPr>
                <w:rFonts w:hint="default" w:ascii="Times New Roman" w:hAnsi="Times New Roman" w:cs="Times New Roman"/>
                <w:color w:val="auto"/>
                <w:lang w:val="en-US" w:eastAsia="zh-CN"/>
              </w:rPr>
              <w:t>2</w:t>
            </w:r>
            <w:r>
              <w:rPr>
                <w:rFonts w:hint="default" w:ascii="Times New Roman" w:hAnsi="Times New Roman" w:cs="Times New Roman"/>
                <w:color w:val="auto"/>
              </w:rPr>
              <w:t>、</w:t>
            </w:r>
            <w:r>
              <w:rPr>
                <w:rFonts w:hint="default" w:ascii="Times New Roman" w:hAnsi="Times New Roman" w:cs="Times New Roman"/>
                <w:color w:val="auto"/>
                <w:lang w:val="en-US" w:eastAsia="zh-CN"/>
              </w:rPr>
              <w:t>选址符合性</w:t>
            </w:r>
            <w:r>
              <w:rPr>
                <w:rFonts w:hint="default" w:ascii="Times New Roman" w:hAnsi="Times New Roman" w:cs="Times New Roman"/>
                <w:color w:val="auto"/>
              </w:rPr>
              <w:t>分析</w:t>
            </w:r>
          </w:p>
          <w:p w14:paraId="528BAEF4">
            <w:pPr>
              <w:pStyle w:val="4"/>
              <w:numPr>
                <w:ilvl w:val="0"/>
                <w:numId w:val="0"/>
              </w:numPr>
              <w:bidi w:val="0"/>
              <w:ind w:leftChars="0" w:firstLine="480" w:firstLineChars="200"/>
              <w:rPr>
                <w:rFonts w:hint="default" w:ascii="Times New Roman" w:hAnsi="Times New Roman" w:eastAsia="宋体" w:cs="Times New Roman"/>
                <w:color w:val="auto"/>
                <w:lang w:eastAsia="zh-CN"/>
              </w:rPr>
            </w:pPr>
            <w:r>
              <w:rPr>
                <w:rFonts w:hint="default" w:ascii="Times New Roman" w:hAnsi="Times New Roman" w:eastAsia="宋体" w:cs="Times New Roman"/>
                <w:color w:val="auto"/>
                <w:sz w:val="24"/>
                <w:lang w:eastAsia="zh-CN"/>
              </w:rPr>
              <w:t>本项目用地为工业用地，根据山东泗水</w:t>
            </w:r>
            <w:r>
              <w:rPr>
                <w:rFonts w:hint="default" w:ascii="Times New Roman" w:hAnsi="Times New Roman" w:eastAsia="宋体" w:cs="Times New Roman"/>
                <w:color w:val="auto"/>
                <w:sz w:val="24"/>
                <w:lang w:val="en-US" w:eastAsia="zh-CN"/>
              </w:rPr>
              <w:t>县金庄镇人民政府</w:t>
            </w:r>
            <w:r>
              <w:rPr>
                <w:rFonts w:hint="default" w:ascii="Times New Roman" w:hAnsi="Times New Roman" w:eastAsia="宋体" w:cs="Times New Roman"/>
                <w:color w:val="auto"/>
                <w:sz w:val="24"/>
                <w:lang w:eastAsia="zh-CN"/>
              </w:rPr>
              <w:t>开具的证明可知，项目建设符合</w:t>
            </w:r>
            <w:r>
              <w:rPr>
                <w:rFonts w:hint="default" w:ascii="Times New Roman" w:hAnsi="Times New Roman" w:eastAsia="宋体" w:cs="Times New Roman"/>
                <w:color w:val="auto"/>
                <w:sz w:val="24"/>
                <w:lang w:val="en-US" w:eastAsia="zh-CN"/>
              </w:rPr>
              <w:t>金庄镇</w:t>
            </w:r>
            <w:r>
              <w:rPr>
                <w:rFonts w:hint="default" w:ascii="Times New Roman" w:hAnsi="Times New Roman" w:eastAsia="宋体" w:cs="Times New Roman"/>
                <w:color w:val="auto"/>
                <w:sz w:val="24"/>
                <w:lang w:eastAsia="zh-CN"/>
              </w:rPr>
              <w:t>相关</w:t>
            </w:r>
            <w:r>
              <w:rPr>
                <w:rFonts w:hint="default" w:ascii="Times New Roman" w:hAnsi="Times New Roman" w:eastAsia="宋体" w:cs="Times New Roman"/>
                <w:color w:val="auto"/>
                <w:sz w:val="24"/>
                <w:lang w:val="en-US" w:eastAsia="zh-CN"/>
              </w:rPr>
              <w:t>产业</w:t>
            </w:r>
            <w:r>
              <w:rPr>
                <w:rFonts w:hint="default" w:ascii="Times New Roman" w:hAnsi="Times New Roman" w:eastAsia="宋体" w:cs="Times New Roman"/>
                <w:color w:val="auto"/>
                <w:sz w:val="24"/>
                <w:lang w:eastAsia="zh-CN"/>
              </w:rPr>
              <w:t>规划要求。</w:t>
            </w:r>
            <w:r>
              <w:rPr>
                <w:rFonts w:hint="default" w:ascii="Times New Roman" w:hAnsi="Times New Roman" w:eastAsia="宋体" w:cs="Times New Roman"/>
                <w:color w:val="auto"/>
                <w:sz w:val="24"/>
                <w:lang w:eastAsia="zh-CN"/>
              </w:rPr>
              <w:t>本项目不属于《自然资源要素支撑产业高质量发展指导目录（2024年本）》中限批或禁批的范围，属于允许建设类</w:t>
            </w:r>
            <w:r>
              <w:rPr>
                <w:rFonts w:hint="eastAsia" w:eastAsia="宋体" w:cs="Times New Roman"/>
                <w:color w:val="auto"/>
                <w:sz w:val="24"/>
                <w:lang w:eastAsia="zh-CN"/>
              </w:rPr>
              <w:t>，</w:t>
            </w:r>
            <w:r>
              <w:rPr>
                <w:rFonts w:hint="eastAsia" w:eastAsia="宋体" w:cs="Times New Roman"/>
                <w:color w:val="auto"/>
                <w:sz w:val="24"/>
                <w:lang w:val="en-US" w:eastAsia="zh-CN"/>
              </w:rPr>
              <w:t>符合土地利用政策</w:t>
            </w:r>
            <w:r>
              <w:rPr>
                <w:rFonts w:hint="eastAsia" w:eastAsia="宋体" w:cs="Times New Roman"/>
                <w:color w:val="auto"/>
                <w:sz w:val="24"/>
                <w:lang w:eastAsia="zh-CN"/>
              </w:rPr>
              <w:t>。</w:t>
            </w:r>
          </w:p>
          <w:p w14:paraId="0682C941">
            <w:pPr>
              <w:pStyle w:val="4"/>
              <w:numPr>
                <w:ilvl w:val="0"/>
                <w:numId w:val="0"/>
              </w:numPr>
              <w:bidi w:val="0"/>
              <w:ind w:leftChars="0" w:firstLine="480" w:firstLineChars="200"/>
              <w:rPr>
                <w:rFonts w:hint="default" w:ascii="Times New Roman" w:hAnsi="Times New Roman" w:cs="Times New Roman"/>
                <w:color w:val="auto"/>
              </w:rPr>
            </w:pPr>
            <w:r>
              <w:rPr>
                <w:rFonts w:hint="default" w:ascii="Times New Roman" w:hAnsi="Times New Roman" w:cs="Times New Roman"/>
                <w:color w:val="auto"/>
                <w:lang w:val="en-US" w:eastAsia="zh-CN"/>
              </w:rPr>
              <w:t>3</w:t>
            </w:r>
            <w:r>
              <w:rPr>
                <w:rFonts w:hint="default" w:ascii="Times New Roman" w:hAnsi="Times New Roman" w:cs="Times New Roman"/>
                <w:color w:val="auto"/>
              </w:rPr>
              <w:t>、项目与生态环境分区管控符合性分析</w:t>
            </w:r>
          </w:p>
          <w:p w14:paraId="3D378116">
            <w:pPr>
              <w:pStyle w:val="89"/>
              <w:ind w:firstLine="480"/>
              <w:rPr>
                <w:rFonts w:hint="default" w:ascii="Times New Roman" w:hAnsi="Times New Roman" w:eastAsia="宋体" w:cs="Times New Roman"/>
                <w:color w:val="auto"/>
                <w:szCs w:val="24"/>
                <w:lang w:val="en-US" w:eastAsia="zh-CN"/>
              </w:rPr>
            </w:pPr>
            <w:r>
              <w:rPr>
                <w:rFonts w:hint="default" w:ascii="Times New Roman" w:hAnsi="Times New Roman" w:cs="Times New Roman"/>
                <w:color w:val="auto"/>
                <w:szCs w:val="24"/>
                <w:lang w:eastAsia="zh-CN"/>
              </w:rPr>
              <w:t>（</w:t>
            </w:r>
            <w:r>
              <w:rPr>
                <w:rFonts w:hint="default" w:ascii="Times New Roman" w:hAnsi="Times New Roman" w:cs="Times New Roman"/>
                <w:color w:val="auto"/>
                <w:szCs w:val="24"/>
                <w:lang w:val="en-US" w:eastAsia="zh-CN"/>
              </w:rPr>
              <w:t>1</w:t>
            </w:r>
            <w:r>
              <w:rPr>
                <w:rFonts w:hint="default" w:ascii="Times New Roman" w:hAnsi="Times New Roman" w:cs="Times New Roman"/>
                <w:color w:val="auto"/>
                <w:szCs w:val="24"/>
                <w:lang w:eastAsia="zh-CN"/>
              </w:rPr>
              <w:t>）</w:t>
            </w:r>
            <w:r>
              <w:rPr>
                <w:rFonts w:hint="default" w:ascii="Times New Roman" w:hAnsi="Times New Roman" w:cs="Times New Roman"/>
                <w:color w:val="auto"/>
                <w:szCs w:val="24"/>
                <w:lang w:val="en-US" w:eastAsia="zh-CN"/>
              </w:rPr>
              <w:t>生态保护红线</w:t>
            </w:r>
          </w:p>
          <w:p w14:paraId="2C3D281E">
            <w:pPr>
              <w:pStyle w:val="89"/>
              <w:ind w:firstLine="480"/>
              <w:rPr>
                <w:rFonts w:hint="default" w:ascii="Times New Roman" w:hAnsi="Times New Roman" w:cs="Times New Roman"/>
                <w:color w:val="auto"/>
                <w:szCs w:val="24"/>
                <w:lang w:val="en-US"/>
              </w:rPr>
            </w:pPr>
            <w:r>
              <w:rPr>
                <w:rFonts w:hint="default" w:ascii="Times New Roman" w:hAnsi="Times New Roman" w:eastAsia="宋体" w:cs="Times New Roman"/>
                <w:color w:val="auto"/>
                <w:kern w:val="0"/>
                <w:sz w:val="24"/>
              </w:rPr>
              <w:t>根据</w:t>
            </w:r>
            <w:r>
              <w:rPr>
                <w:rFonts w:hint="default" w:ascii="Times New Roman" w:hAnsi="Times New Roman" w:cs="Times New Roman"/>
                <w:color w:val="auto"/>
                <w:kern w:val="0"/>
                <w:sz w:val="24"/>
              </w:rPr>
              <w:t>《</w:t>
            </w:r>
            <w:r>
              <w:rPr>
                <w:rFonts w:hint="default" w:ascii="Times New Roman" w:hAnsi="Times New Roman" w:cs="Times New Roman"/>
                <w:color w:val="auto"/>
                <w:kern w:val="0"/>
                <w:sz w:val="24"/>
                <w:lang w:eastAsia="zh-CN"/>
              </w:rPr>
              <w:t>泗水</w:t>
            </w:r>
            <w:r>
              <w:rPr>
                <w:rFonts w:hint="default" w:ascii="Times New Roman" w:hAnsi="Times New Roman" w:cs="Times New Roman"/>
                <w:color w:val="auto"/>
                <w:kern w:val="0"/>
                <w:sz w:val="24"/>
              </w:rPr>
              <w:t>县国土空间总体规划（2021-2035年）》</w:t>
            </w:r>
            <w:r>
              <w:rPr>
                <w:rFonts w:hint="default" w:ascii="Times New Roman" w:hAnsi="Times New Roman" w:cs="Times New Roman"/>
                <w:color w:val="auto"/>
                <w:kern w:val="0"/>
                <w:sz w:val="24"/>
                <w:lang w:eastAsia="zh-CN"/>
              </w:rPr>
              <w:t>（鲁政字〔2024〕</w:t>
            </w:r>
            <w:r>
              <w:rPr>
                <w:rFonts w:hint="default" w:ascii="Times New Roman" w:hAnsi="Times New Roman" w:cs="Times New Roman"/>
                <w:color w:val="auto"/>
                <w:kern w:val="0"/>
                <w:sz w:val="24"/>
                <w:lang w:val="en-US" w:eastAsia="zh-CN"/>
              </w:rPr>
              <w:t>48</w:t>
            </w:r>
            <w:r>
              <w:rPr>
                <w:rFonts w:hint="default" w:ascii="Times New Roman" w:hAnsi="Times New Roman" w:cs="Times New Roman"/>
                <w:color w:val="auto"/>
                <w:kern w:val="0"/>
                <w:sz w:val="24"/>
                <w:lang w:eastAsia="zh-CN"/>
              </w:rPr>
              <w:t>号，</w:t>
            </w:r>
            <w:r>
              <w:rPr>
                <w:rFonts w:hint="default" w:ascii="Times New Roman" w:hAnsi="Times New Roman" w:cs="Times New Roman"/>
                <w:color w:val="auto"/>
                <w:kern w:val="0"/>
                <w:sz w:val="24"/>
                <w:lang w:val="en-US" w:eastAsia="zh-CN"/>
              </w:rPr>
              <w:t>2024年3月29日</w:t>
            </w:r>
            <w:r>
              <w:rPr>
                <w:rFonts w:hint="default" w:ascii="Times New Roman" w:hAnsi="Times New Roman" w:cs="Times New Roman"/>
                <w:color w:val="auto"/>
                <w:kern w:val="0"/>
                <w:sz w:val="24"/>
                <w:lang w:eastAsia="zh-CN"/>
              </w:rPr>
              <w:t>）</w:t>
            </w:r>
            <w:r>
              <w:rPr>
                <w:rFonts w:hint="default" w:ascii="Times New Roman" w:hAnsi="Times New Roman" w:cs="Times New Roman"/>
                <w:color w:val="auto"/>
                <w:kern w:val="0"/>
                <w:sz w:val="24"/>
                <w:lang w:val="en-US" w:eastAsia="zh-CN"/>
              </w:rPr>
              <w:t>中</w:t>
            </w:r>
            <w:r>
              <w:rPr>
                <w:rFonts w:hint="default" w:ascii="Times New Roman" w:hAnsi="Times New Roman" w:eastAsia="宋体" w:cs="Times New Roman"/>
                <w:color w:val="auto"/>
                <w:kern w:val="0"/>
                <w:sz w:val="24"/>
                <w:lang w:eastAsia="zh-CN"/>
              </w:rPr>
              <w:t>的“</w:t>
            </w:r>
            <w:r>
              <w:rPr>
                <w:rFonts w:hint="default" w:ascii="Times New Roman" w:hAnsi="Times New Roman" w:cs="Times New Roman"/>
                <w:color w:val="auto"/>
                <w:kern w:val="0"/>
                <w:sz w:val="24"/>
              </w:rPr>
              <w:t>县</w:t>
            </w:r>
            <w:r>
              <w:rPr>
                <w:rFonts w:hint="default" w:ascii="Times New Roman" w:hAnsi="Times New Roman" w:eastAsia="宋体" w:cs="Times New Roman"/>
                <w:color w:val="auto"/>
                <w:kern w:val="0"/>
                <w:sz w:val="24"/>
                <w:lang w:val="en-US" w:eastAsia="zh-CN"/>
              </w:rPr>
              <w:t>域生态保护红线图</w:t>
            </w:r>
            <w:r>
              <w:rPr>
                <w:rFonts w:hint="default" w:ascii="Times New Roman" w:hAnsi="Times New Roman" w:eastAsia="宋体" w:cs="Times New Roman"/>
                <w:color w:val="auto"/>
                <w:kern w:val="0"/>
                <w:sz w:val="24"/>
                <w:lang w:eastAsia="zh-CN"/>
              </w:rPr>
              <w:t>”，</w:t>
            </w:r>
            <w:r>
              <w:rPr>
                <w:rFonts w:hint="default" w:ascii="Times New Roman" w:hAnsi="Times New Roman" w:eastAsia="宋体" w:cs="Times New Roman"/>
                <w:color w:val="auto"/>
                <w:kern w:val="0"/>
                <w:sz w:val="24"/>
                <w:lang w:val="en-US" w:eastAsia="zh-CN"/>
              </w:rPr>
              <w:t>项目所在地不涉及生态保护红线，具体见</w:t>
            </w:r>
            <w:r>
              <w:rPr>
                <w:rFonts w:hint="default" w:ascii="Times New Roman" w:hAnsi="Times New Roman" w:eastAsia="宋体" w:cs="Times New Roman"/>
                <w:color w:val="auto"/>
                <w:kern w:val="0"/>
                <w:sz w:val="24"/>
                <w:highlight w:val="none"/>
                <w:lang w:val="en-US" w:eastAsia="zh-CN"/>
              </w:rPr>
              <w:t>附图</w:t>
            </w:r>
            <w:r>
              <w:rPr>
                <w:rFonts w:hint="eastAsia" w:ascii="Times New Roman" w:hAnsi="Times New Roman" w:eastAsia="宋体" w:cs="Times New Roman"/>
                <w:color w:val="auto"/>
                <w:kern w:val="0"/>
                <w:sz w:val="24"/>
                <w:highlight w:val="none"/>
                <w:lang w:val="en-US" w:eastAsia="zh-CN"/>
              </w:rPr>
              <w:t>六</w:t>
            </w:r>
            <w:r>
              <w:rPr>
                <w:rFonts w:hint="default" w:ascii="Times New Roman" w:hAnsi="Times New Roman" w:eastAsia="宋体" w:cs="Times New Roman"/>
                <w:color w:val="auto"/>
                <w:kern w:val="0"/>
                <w:sz w:val="24"/>
                <w:lang w:val="en-US" w:eastAsia="zh-CN"/>
              </w:rPr>
              <w:t>。</w:t>
            </w:r>
          </w:p>
          <w:p w14:paraId="08099D2A">
            <w:pPr>
              <w:pStyle w:val="89"/>
              <w:ind w:firstLine="480"/>
              <w:rPr>
                <w:rFonts w:hint="default" w:ascii="Times New Roman" w:hAnsi="Times New Roman" w:cs="Times New Roman"/>
                <w:color w:val="auto"/>
                <w:szCs w:val="24"/>
              </w:rPr>
            </w:pPr>
            <w:r>
              <w:rPr>
                <w:rFonts w:hint="default" w:ascii="Times New Roman" w:hAnsi="Times New Roman" w:cs="Times New Roman"/>
                <w:color w:val="auto"/>
                <w:szCs w:val="24"/>
              </w:rPr>
              <w:t>（</w:t>
            </w:r>
            <w:r>
              <w:rPr>
                <w:rFonts w:hint="default" w:ascii="Times New Roman" w:hAnsi="Times New Roman" w:cs="Times New Roman"/>
                <w:color w:val="auto"/>
                <w:szCs w:val="24"/>
                <w:lang w:val="en-US" w:eastAsia="zh-CN"/>
              </w:rPr>
              <w:t>2</w:t>
            </w:r>
            <w:r>
              <w:rPr>
                <w:rFonts w:hint="default" w:ascii="Times New Roman" w:hAnsi="Times New Roman" w:cs="Times New Roman"/>
                <w:color w:val="auto"/>
                <w:szCs w:val="24"/>
              </w:rPr>
              <w:t>）环境质量底线</w:t>
            </w:r>
          </w:p>
          <w:p w14:paraId="1BD8230F">
            <w:pPr>
              <w:pStyle w:val="89"/>
              <w:ind w:firstLine="480"/>
              <w:rPr>
                <w:rFonts w:hint="default" w:ascii="Times New Roman" w:hAnsi="Times New Roman" w:cs="Times New Roman"/>
                <w:color w:val="auto"/>
                <w:szCs w:val="24"/>
              </w:rPr>
            </w:pPr>
            <w:r>
              <w:rPr>
                <w:rFonts w:hint="default" w:ascii="Times New Roman" w:hAnsi="Times New Roman" w:cs="Times New Roman"/>
                <w:color w:val="auto"/>
                <w:szCs w:val="24"/>
              </w:rPr>
              <w:t>①项目与大气环境质量的相符性分析</w:t>
            </w:r>
          </w:p>
          <w:p w14:paraId="16445ECA">
            <w:pPr>
              <w:pStyle w:val="89"/>
              <w:spacing w:line="360" w:lineRule="auto"/>
              <w:ind w:firstLine="480"/>
              <w:rPr>
                <w:rFonts w:hint="default" w:ascii="Times New Roman" w:hAnsi="Times New Roman" w:cs="Times New Roman"/>
                <w:color w:val="auto"/>
                <w:szCs w:val="24"/>
              </w:rPr>
            </w:pPr>
            <w:r>
              <w:rPr>
                <w:rFonts w:hint="default" w:ascii="Times New Roman" w:hAnsi="Times New Roman" w:cs="Times New Roman"/>
                <w:color w:val="auto"/>
                <w:szCs w:val="24"/>
              </w:rPr>
              <w:t>本项目选址区域为环境空气功能区二类区，执行二级标准。根据</w:t>
            </w:r>
            <w:r>
              <w:rPr>
                <w:rFonts w:hint="default" w:ascii="Times New Roman" w:hAnsi="Times New Roman" w:cs="Times New Roman"/>
                <w:color w:val="auto"/>
                <w:szCs w:val="24"/>
                <w:lang w:eastAsia="zh-CN"/>
              </w:rPr>
              <w:t>泗水县</w:t>
            </w:r>
            <w:r>
              <w:rPr>
                <w:rFonts w:hint="default" w:ascii="Times New Roman" w:hAnsi="Times New Roman" w:cs="Times New Roman"/>
                <w:color w:val="auto"/>
                <w:szCs w:val="24"/>
              </w:rPr>
              <w:t>202</w:t>
            </w:r>
            <w:r>
              <w:rPr>
                <w:rFonts w:hint="default" w:ascii="Times New Roman" w:hAnsi="Times New Roman" w:cs="Times New Roman"/>
                <w:color w:val="auto"/>
                <w:szCs w:val="24"/>
                <w:lang w:val="en-US" w:eastAsia="zh-CN"/>
              </w:rPr>
              <w:t>3</w:t>
            </w:r>
            <w:r>
              <w:rPr>
                <w:rFonts w:hint="default" w:ascii="Times New Roman" w:hAnsi="Times New Roman" w:cs="Times New Roman"/>
                <w:color w:val="auto"/>
                <w:szCs w:val="24"/>
              </w:rPr>
              <w:t>年1月-12月大气环境质量污染物浓度的全年例行检测数据，</w:t>
            </w:r>
            <w:r>
              <w:rPr>
                <w:rFonts w:hint="default" w:ascii="Times New Roman" w:hAnsi="Times New Roman" w:cs="Times New Roman"/>
                <w:color w:val="auto"/>
                <w:szCs w:val="24"/>
                <w:lang w:eastAsia="zh-CN"/>
              </w:rPr>
              <w:t>泗水县</w:t>
            </w:r>
            <w:r>
              <w:rPr>
                <w:rFonts w:hint="default" w:ascii="Times New Roman" w:hAnsi="Times New Roman" w:cs="Times New Roman"/>
                <w:color w:val="auto"/>
                <w:szCs w:val="24"/>
              </w:rPr>
              <w:t>202</w:t>
            </w:r>
            <w:r>
              <w:rPr>
                <w:rFonts w:hint="default" w:ascii="Times New Roman" w:hAnsi="Times New Roman" w:cs="Times New Roman"/>
                <w:color w:val="auto"/>
                <w:szCs w:val="24"/>
                <w:lang w:val="en-US" w:eastAsia="zh-CN"/>
              </w:rPr>
              <w:t>3</w:t>
            </w:r>
            <w:r>
              <w:rPr>
                <w:rFonts w:hint="default" w:ascii="Times New Roman" w:hAnsi="Times New Roman" w:cs="Times New Roman"/>
                <w:color w:val="auto"/>
                <w:szCs w:val="24"/>
              </w:rPr>
              <w:t>年SO</w:t>
            </w:r>
            <w:r>
              <w:rPr>
                <w:rFonts w:hint="default" w:ascii="Times New Roman" w:hAnsi="Times New Roman" w:cs="Times New Roman"/>
                <w:color w:val="auto"/>
                <w:szCs w:val="24"/>
                <w:vertAlign w:val="subscript"/>
              </w:rPr>
              <w:t>2</w:t>
            </w:r>
            <w:r>
              <w:rPr>
                <w:rFonts w:hint="default" w:ascii="Times New Roman" w:hAnsi="Times New Roman" w:cs="Times New Roman"/>
                <w:color w:val="auto"/>
                <w:szCs w:val="24"/>
              </w:rPr>
              <w:t>、NO</w:t>
            </w:r>
            <w:r>
              <w:rPr>
                <w:rFonts w:hint="default" w:ascii="Times New Roman" w:hAnsi="Times New Roman" w:cs="Times New Roman"/>
                <w:color w:val="auto"/>
                <w:szCs w:val="24"/>
                <w:vertAlign w:val="subscript"/>
              </w:rPr>
              <w:t>2</w:t>
            </w:r>
            <w:r>
              <w:rPr>
                <w:rFonts w:hint="default" w:ascii="Times New Roman" w:hAnsi="Times New Roman" w:cs="Times New Roman"/>
                <w:color w:val="auto"/>
                <w:szCs w:val="24"/>
              </w:rPr>
              <w:t>年均值以及CO日平均第95百分位数均可以满足《环境空气质量标准》(GB3095-2012)二级标准的要求。PM</w:t>
            </w:r>
            <w:r>
              <w:rPr>
                <w:rFonts w:hint="default" w:ascii="Times New Roman" w:hAnsi="Times New Roman" w:cs="Times New Roman"/>
                <w:color w:val="auto"/>
                <w:szCs w:val="24"/>
                <w:vertAlign w:val="subscript"/>
              </w:rPr>
              <w:t>10</w:t>
            </w:r>
            <w:r>
              <w:rPr>
                <w:rFonts w:hint="default" w:ascii="Times New Roman" w:hAnsi="Times New Roman" w:cs="Times New Roman"/>
                <w:color w:val="auto"/>
                <w:szCs w:val="24"/>
              </w:rPr>
              <w:t>、PM</w:t>
            </w:r>
            <w:r>
              <w:rPr>
                <w:rFonts w:hint="default" w:ascii="Times New Roman" w:hAnsi="Times New Roman" w:cs="Times New Roman"/>
                <w:color w:val="auto"/>
                <w:szCs w:val="24"/>
                <w:vertAlign w:val="subscript"/>
              </w:rPr>
              <w:t>2.5</w:t>
            </w:r>
            <w:r>
              <w:rPr>
                <w:rFonts w:hint="default" w:ascii="Times New Roman" w:hAnsi="Times New Roman" w:cs="Times New Roman"/>
                <w:color w:val="auto"/>
                <w:szCs w:val="24"/>
              </w:rPr>
              <w:t>年均值以及O</w:t>
            </w:r>
            <w:r>
              <w:rPr>
                <w:rFonts w:hint="default" w:ascii="Times New Roman" w:hAnsi="Times New Roman" w:cs="Times New Roman"/>
                <w:color w:val="auto"/>
                <w:szCs w:val="24"/>
                <w:vertAlign w:val="subscript"/>
              </w:rPr>
              <w:t>3</w:t>
            </w:r>
            <w:r>
              <w:rPr>
                <w:rFonts w:hint="default" w:ascii="Times New Roman" w:hAnsi="Times New Roman" w:cs="Times New Roman"/>
                <w:color w:val="auto"/>
                <w:szCs w:val="24"/>
              </w:rPr>
              <w:t>日最大8小时滑动平均值的第90百分位数均不满足《环境空气质量标准》(GB3095-2012)二级标准的要求。因此，本项目所在区域不属于环境空气质量达标区。</w:t>
            </w:r>
          </w:p>
          <w:p w14:paraId="729C4F74">
            <w:pPr>
              <w:pStyle w:val="89"/>
              <w:ind w:firstLine="480"/>
              <w:rPr>
                <w:rFonts w:hint="default" w:ascii="Times New Roman" w:hAnsi="Times New Roman" w:cs="Times New Roman"/>
                <w:color w:val="auto"/>
                <w:szCs w:val="24"/>
              </w:rPr>
            </w:pPr>
            <w:r>
              <w:rPr>
                <w:rFonts w:hint="default" w:ascii="Times New Roman" w:hAnsi="Times New Roman" w:cs="Times New Roman"/>
                <w:color w:val="auto"/>
                <w:szCs w:val="24"/>
              </w:rPr>
              <w:t>目前泗水县人民政府正积极落实《山东省深入打好蓝天保卫战行动计划（2021—2025年）》、《山东省生态环境厅关于印发山东建设项目主要大气污染物排放总量替代指标核算及管理办法的通知》等文件要求，通过实行大气污染物排放总量指标2倍削减替代，优化产业结构与布局，减少煤炭消费，推进工业污染源提标改造，强化工业企业无组织排放控制管理，加强VOCs专项整治，控制机动车污染，实施秋冬季重点行业错峰生产等方面的行动，加快以细颗粒物为重点的大气污染治理，项目所在区域大气环境质量将会逐步得到改善。</w:t>
            </w:r>
          </w:p>
          <w:p w14:paraId="415CE129">
            <w:pPr>
              <w:pStyle w:val="89"/>
              <w:ind w:firstLine="480"/>
              <w:rPr>
                <w:rFonts w:hint="default" w:ascii="Times New Roman" w:hAnsi="Times New Roman" w:cs="Times New Roman"/>
                <w:color w:val="auto"/>
                <w:szCs w:val="24"/>
              </w:rPr>
            </w:pPr>
            <w:r>
              <w:rPr>
                <w:rFonts w:hint="default" w:ascii="Times New Roman" w:hAnsi="Times New Roman" w:cs="Times New Roman"/>
                <w:color w:val="auto"/>
                <w:szCs w:val="24"/>
              </w:rPr>
              <w:t>本项目</w:t>
            </w:r>
            <w:r>
              <w:rPr>
                <w:rFonts w:hint="default" w:ascii="Times New Roman" w:hAnsi="Times New Roman" w:cs="Times New Roman"/>
                <w:color w:val="auto"/>
                <w:szCs w:val="24"/>
                <w:lang w:eastAsia="zh-CN"/>
              </w:rPr>
              <w:t>排放的大气污染物主要为</w:t>
            </w:r>
            <w:r>
              <w:rPr>
                <w:rFonts w:hint="default" w:ascii="Times New Roman" w:hAnsi="Times New Roman" w:cs="Times New Roman"/>
                <w:color w:val="auto"/>
                <w:szCs w:val="24"/>
                <w:lang w:val="en-US" w:eastAsia="zh-CN"/>
              </w:rPr>
              <w:t>颗粒物、</w:t>
            </w:r>
            <w:r>
              <w:rPr>
                <w:rFonts w:hint="default" w:ascii="Times New Roman" w:hAnsi="Times New Roman" w:cs="Times New Roman"/>
                <w:color w:val="auto"/>
                <w:szCs w:val="24"/>
                <w:lang w:eastAsia="zh-CN"/>
              </w:rPr>
              <w:t>VOCs</w:t>
            </w:r>
            <w:r>
              <w:rPr>
                <w:rFonts w:hint="default" w:ascii="Times New Roman" w:hAnsi="Times New Roman" w:cs="Times New Roman"/>
                <w:color w:val="auto"/>
                <w:szCs w:val="24"/>
                <w:lang w:val="en-US" w:eastAsia="zh-CN"/>
              </w:rPr>
              <w:t>，经袋式除尘器、“冷凝+二级活性炭吸附装置”措施处理后达标排放</w:t>
            </w:r>
            <w:r>
              <w:rPr>
                <w:rFonts w:hint="default" w:ascii="Times New Roman" w:hAnsi="Times New Roman" w:cs="Times New Roman"/>
                <w:color w:val="auto"/>
                <w:szCs w:val="24"/>
              </w:rPr>
              <w:t>，不会对该区域环境空气质量产生较大的影响。</w:t>
            </w:r>
          </w:p>
          <w:p w14:paraId="3BB65A8A">
            <w:pPr>
              <w:pStyle w:val="89"/>
              <w:ind w:firstLine="480"/>
              <w:rPr>
                <w:rFonts w:hint="default" w:ascii="Times New Roman" w:hAnsi="Times New Roman" w:cs="Times New Roman"/>
                <w:color w:val="auto"/>
                <w:szCs w:val="24"/>
              </w:rPr>
            </w:pPr>
            <w:r>
              <w:rPr>
                <w:rFonts w:hint="default" w:ascii="Times New Roman" w:hAnsi="Times New Roman" w:cs="Times New Roman"/>
                <w:color w:val="auto"/>
                <w:szCs w:val="24"/>
              </w:rPr>
              <w:t>②项目与水环境质量的相符性分析</w:t>
            </w:r>
          </w:p>
          <w:p w14:paraId="26A8719A">
            <w:pPr>
              <w:pStyle w:val="89"/>
              <w:ind w:firstLine="480"/>
              <w:rPr>
                <w:rFonts w:hint="default" w:ascii="Times New Roman" w:hAnsi="Times New Roman" w:cs="Times New Roman"/>
                <w:color w:val="auto"/>
                <w:szCs w:val="24"/>
              </w:rPr>
            </w:pPr>
            <w:r>
              <w:rPr>
                <w:rFonts w:hint="default" w:ascii="Times New Roman" w:hAnsi="Times New Roman" w:cs="Times New Roman"/>
                <w:color w:val="auto"/>
                <w:szCs w:val="24"/>
              </w:rPr>
              <w:t>根据</w:t>
            </w:r>
            <w:r>
              <w:rPr>
                <w:rFonts w:hint="default" w:ascii="Times New Roman" w:hAnsi="Times New Roman" w:cs="Times New Roman"/>
                <w:color w:val="auto"/>
                <w:szCs w:val="24"/>
                <w:lang w:val="en-US" w:eastAsia="zh-CN"/>
              </w:rPr>
              <w:t>山东省生态环境厅</w:t>
            </w:r>
            <w:r>
              <w:rPr>
                <w:rFonts w:hint="default" w:ascii="Times New Roman" w:hAnsi="Times New Roman" w:cs="Times New Roman"/>
                <w:color w:val="auto"/>
                <w:szCs w:val="24"/>
              </w:rPr>
              <w:t>网站202</w:t>
            </w:r>
            <w:r>
              <w:rPr>
                <w:rFonts w:hint="default" w:ascii="Times New Roman" w:hAnsi="Times New Roman" w:cs="Times New Roman"/>
                <w:color w:val="auto"/>
                <w:szCs w:val="24"/>
                <w:lang w:val="en-US" w:eastAsia="zh-CN"/>
              </w:rPr>
              <w:t>4</w:t>
            </w:r>
            <w:r>
              <w:rPr>
                <w:rFonts w:hint="default" w:ascii="Times New Roman" w:hAnsi="Times New Roman" w:cs="Times New Roman"/>
                <w:color w:val="auto"/>
                <w:szCs w:val="24"/>
              </w:rPr>
              <w:t>年</w:t>
            </w:r>
            <w:r>
              <w:rPr>
                <w:rFonts w:hint="default" w:ascii="Times New Roman" w:hAnsi="Times New Roman" w:cs="Times New Roman"/>
                <w:color w:val="auto"/>
                <w:szCs w:val="24"/>
                <w:lang w:val="en-US" w:eastAsia="zh-CN"/>
              </w:rPr>
              <w:t>12</w:t>
            </w:r>
            <w:r>
              <w:rPr>
                <w:rFonts w:hint="default" w:ascii="Times New Roman" w:hAnsi="Times New Roman" w:cs="Times New Roman"/>
                <w:color w:val="auto"/>
                <w:szCs w:val="24"/>
              </w:rPr>
              <w:t>月发布的“省控重点河流水质状况”，项目周边地表水“泗河-</w:t>
            </w:r>
            <w:r>
              <w:rPr>
                <w:rFonts w:hint="default" w:ascii="Times New Roman" w:hAnsi="Times New Roman" w:cs="Times New Roman"/>
                <w:bCs/>
                <w:color w:val="auto"/>
                <w:kern w:val="0"/>
                <w:szCs w:val="24"/>
                <w:lang w:val="en-US" w:eastAsia="zh-CN"/>
              </w:rPr>
              <w:t>故县坝</w:t>
            </w:r>
            <w:r>
              <w:rPr>
                <w:rFonts w:hint="default" w:ascii="Times New Roman" w:hAnsi="Times New Roman" w:cs="Times New Roman"/>
                <w:color w:val="auto"/>
                <w:szCs w:val="24"/>
              </w:rPr>
              <w:t>断面”</w:t>
            </w:r>
            <w:r>
              <w:rPr>
                <w:rFonts w:hint="default" w:ascii="Times New Roman" w:hAnsi="Times New Roman" w:cs="Times New Roman"/>
                <w:color w:val="auto"/>
                <w:szCs w:val="24"/>
                <w:lang w:val="en-US" w:eastAsia="zh-CN"/>
              </w:rPr>
              <w:t>可</w:t>
            </w:r>
            <w:r>
              <w:rPr>
                <w:rFonts w:hint="default" w:ascii="Times New Roman" w:hAnsi="Times New Roman" w:cs="Times New Roman"/>
                <w:color w:val="auto"/>
                <w:szCs w:val="24"/>
              </w:rPr>
              <w:t>满足《地表水环境质量标准》（GB3838-2002）Ⅲ类标准。</w:t>
            </w:r>
          </w:p>
          <w:p w14:paraId="6282439F">
            <w:pPr>
              <w:pStyle w:val="89"/>
              <w:ind w:firstLine="480"/>
              <w:rPr>
                <w:rFonts w:hint="default" w:ascii="Times New Roman" w:hAnsi="Times New Roman" w:cs="Times New Roman"/>
                <w:color w:val="auto"/>
                <w:szCs w:val="24"/>
              </w:rPr>
            </w:pPr>
            <w:r>
              <w:rPr>
                <w:rFonts w:hint="default" w:ascii="Times New Roman" w:hAnsi="Times New Roman" w:cs="Times New Roman"/>
                <w:color w:val="auto"/>
                <w:szCs w:val="24"/>
              </w:rPr>
              <w:t>③声环境质量底线符合性分析</w:t>
            </w:r>
          </w:p>
          <w:p w14:paraId="77AE2F3C">
            <w:pPr>
              <w:pStyle w:val="89"/>
              <w:ind w:firstLine="480"/>
              <w:rPr>
                <w:rFonts w:hint="default" w:ascii="Times New Roman" w:hAnsi="Times New Roman" w:cs="Times New Roman"/>
                <w:color w:val="auto"/>
                <w:szCs w:val="24"/>
              </w:rPr>
            </w:pPr>
            <w:r>
              <w:rPr>
                <w:rFonts w:hint="default" w:ascii="Times New Roman" w:hAnsi="Times New Roman" w:cs="Times New Roman"/>
                <w:color w:val="auto"/>
                <w:szCs w:val="24"/>
              </w:rPr>
              <w:t>本项目所在区域声环境执行《声环境质量标准》（GB3096-2008）3类标准</w:t>
            </w:r>
            <w:r>
              <w:rPr>
                <w:rFonts w:hint="default" w:ascii="Times New Roman" w:hAnsi="Times New Roman" w:cs="Times New Roman"/>
                <w:color w:val="auto"/>
                <w:szCs w:val="24"/>
                <w:lang w:eastAsia="zh-CN"/>
              </w:rPr>
              <w:t>。项目</w:t>
            </w:r>
            <w:r>
              <w:rPr>
                <w:rFonts w:hint="default" w:ascii="Times New Roman" w:hAnsi="Times New Roman" w:cs="Times New Roman"/>
                <w:color w:val="auto"/>
                <w:szCs w:val="24"/>
              </w:rPr>
              <w:t>通过采取隔声、减震、合理布局等措施后，项目厂界噪声排放能够满足《工业企业厂界环境噪声排放标准》（GB12348-2008）3类标准要求，对周围的声环境影响较小。</w:t>
            </w:r>
          </w:p>
          <w:p w14:paraId="72A090B2">
            <w:pPr>
              <w:pStyle w:val="89"/>
              <w:ind w:firstLine="480"/>
              <w:rPr>
                <w:rFonts w:hint="default" w:ascii="Times New Roman" w:hAnsi="Times New Roman" w:cs="Times New Roman"/>
                <w:color w:val="auto"/>
                <w:szCs w:val="24"/>
              </w:rPr>
            </w:pPr>
            <w:r>
              <w:rPr>
                <w:rFonts w:hint="default" w:ascii="Times New Roman" w:hAnsi="Times New Roman" w:cs="Times New Roman"/>
                <w:color w:val="auto"/>
                <w:szCs w:val="24"/>
              </w:rPr>
              <w:t>综上所述，该项目不会降低项目所在地周围的环境功能，不会对当地环境质量底线造成影响。</w:t>
            </w:r>
          </w:p>
          <w:p w14:paraId="7BBAB5C8">
            <w:pPr>
              <w:pStyle w:val="89"/>
              <w:ind w:firstLine="480"/>
              <w:rPr>
                <w:rFonts w:hint="default" w:ascii="Times New Roman" w:hAnsi="Times New Roman" w:cs="Times New Roman"/>
                <w:color w:val="auto"/>
                <w:szCs w:val="24"/>
              </w:rPr>
            </w:pPr>
            <w:r>
              <w:rPr>
                <w:rFonts w:hint="default" w:ascii="Times New Roman" w:hAnsi="Times New Roman" w:cs="Times New Roman"/>
                <w:color w:val="auto"/>
                <w:szCs w:val="24"/>
              </w:rPr>
              <w:t>（3）资源利用上线</w:t>
            </w:r>
          </w:p>
          <w:p w14:paraId="5DB92CDD">
            <w:pPr>
              <w:pStyle w:val="89"/>
              <w:ind w:firstLine="480"/>
              <w:rPr>
                <w:rFonts w:hint="default" w:ascii="Times New Roman" w:hAnsi="Times New Roman" w:cs="Times New Roman"/>
                <w:color w:val="auto"/>
                <w:szCs w:val="24"/>
                <w:lang w:val="en-US" w:eastAsia="zh-CN"/>
              </w:rPr>
            </w:pPr>
            <w:r>
              <w:rPr>
                <w:rFonts w:hint="default" w:ascii="Times New Roman" w:hAnsi="Times New Roman" w:cs="Times New Roman"/>
                <w:color w:val="auto"/>
                <w:szCs w:val="24"/>
                <w:lang w:val="en-US" w:eastAsia="zh-CN"/>
              </w:rPr>
              <w:t>项目位于</w:t>
            </w:r>
            <w:r>
              <w:rPr>
                <w:rFonts w:hint="default" w:ascii="Times New Roman" w:hAnsi="Times New Roman" w:eastAsia="宋体" w:cs="Times New Roman"/>
                <w:b w:val="0"/>
                <w:bCs/>
                <w:color w:val="auto"/>
                <w:sz w:val="24"/>
                <w:szCs w:val="24"/>
                <w:lang w:val="zh-CN" w:eastAsia="zh-CN"/>
              </w:rPr>
              <w:t>泗水县</w:t>
            </w:r>
            <w:r>
              <w:rPr>
                <w:rFonts w:hint="default" w:ascii="Times New Roman" w:hAnsi="Times New Roman" w:eastAsia="宋体" w:cs="Times New Roman"/>
                <w:b w:val="0"/>
                <w:bCs/>
                <w:color w:val="auto"/>
                <w:sz w:val="24"/>
                <w:szCs w:val="24"/>
                <w:lang w:val="en-US" w:eastAsia="zh-CN"/>
              </w:rPr>
              <w:t>金庄镇</w:t>
            </w:r>
            <w:r>
              <w:rPr>
                <w:rFonts w:hint="eastAsia" w:ascii="Times New Roman" w:hAnsi="Times New Roman" w:cs="Times New Roman"/>
                <w:b w:val="0"/>
                <w:bCs/>
                <w:color w:val="auto"/>
                <w:sz w:val="24"/>
                <w:szCs w:val="24"/>
                <w:lang w:val="en-US" w:eastAsia="zh-CN"/>
              </w:rPr>
              <w:t>卞庄工业园</w:t>
            </w:r>
            <w:r>
              <w:rPr>
                <w:rFonts w:hint="default" w:ascii="Times New Roman" w:hAnsi="Times New Roman" w:cs="Times New Roman"/>
                <w:color w:val="auto"/>
                <w:szCs w:val="24"/>
                <w:lang w:val="en-US" w:eastAsia="zh-CN"/>
              </w:rPr>
              <w:t>，</w:t>
            </w:r>
            <w:r>
              <w:rPr>
                <w:rFonts w:hint="default" w:ascii="Times New Roman" w:hAnsi="Times New Roman" w:cs="Times New Roman"/>
                <w:color w:val="auto"/>
                <w:szCs w:val="24"/>
              </w:rPr>
              <w:t>运营过程中需要消耗一定量的水、电</w:t>
            </w:r>
            <w:r>
              <w:rPr>
                <w:rFonts w:hint="default" w:ascii="Times New Roman" w:hAnsi="Times New Roman" w:cs="Times New Roman"/>
                <w:color w:val="auto"/>
                <w:szCs w:val="24"/>
                <w:lang w:val="en-US" w:eastAsia="zh-CN"/>
              </w:rPr>
              <w:t>，由园区提供，余量充足。项目所处地块规划为工业用地，符合土地规划要求。</w:t>
            </w:r>
            <w:r>
              <w:rPr>
                <w:rFonts w:hint="default" w:ascii="Times New Roman" w:hAnsi="Times New Roman" w:cs="Times New Roman"/>
                <w:color w:val="auto"/>
                <w:szCs w:val="24"/>
                <w:lang w:eastAsia="zh-CN"/>
              </w:rPr>
              <w:t>工业园区</w:t>
            </w:r>
            <w:r>
              <w:rPr>
                <w:rFonts w:hint="default" w:ascii="Times New Roman" w:hAnsi="Times New Roman" w:cs="Times New Roman"/>
                <w:color w:val="auto"/>
                <w:szCs w:val="24"/>
              </w:rPr>
              <w:t>配套设施较为完善，公共设施方便</w:t>
            </w:r>
            <w:r>
              <w:rPr>
                <w:rFonts w:hint="default" w:ascii="Times New Roman" w:hAnsi="Times New Roman" w:cs="Times New Roman"/>
                <w:color w:val="auto"/>
                <w:szCs w:val="24"/>
                <w:lang w:eastAsia="zh-CN"/>
              </w:rPr>
              <w:t>。</w:t>
            </w:r>
            <w:r>
              <w:rPr>
                <w:rFonts w:hint="default" w:ascii="Times New Roman" w:hAnsi="Times New Roman" w:cs="Times New Roman"/>
                <w:color w:val="auto"/>
                <w:szCs w:val="24"/>
              </w:rPr>
              <w:t>项目</w:t>
            </w:r>
            <w:r>
              <w:rPr>
                <w:rFonts w:hint="default" w:ascii="Times New Roman" w:hAnsi="Times New Roman" w:cs="Times New Roman"/>
                <w:color w:val="auto"/>
                <w:szCs w:val="24"/>
                <w:lang w:val="en-US" w:eastAsia="zh-CN"/>
              </w:rPr>
              <w:t>不属于高耗能行业，资源消耗量相对区域资源利用总量较少，不会触及当地资源分配的上线，符合资源利用上限要求。</w:t>
            </w:r>
          </w:p>
          <w:p w14:paraId="10D3F41C">
            <w:pPr>
              <w:pStyle w:val="89"/>
              <w:ind w:firstLine="480"/>
              <w:rPr>
                <w:rFonts w:hint="default" w:ascii="Times New Roman" w:hAnsi="Times New Roman" w:cs="Times New Roman"/>
                <w:color w:val="auto"/>
                <w:szCs w:val="24"/>
              </w:rPr>
            </w:pPr>
            <w:r>
              <w:rPr>
                <w:rFonts w:hint="default" w:ascii="Times New Roman" w:hAnsi="Times New Roman" w:cs="Times New Roman"/>
                <w:color w:val="auto"/>
                <w:szCs w:val="24"/>
              </w:rPr>
              <w:t>（4）环境准入清单</w:t>
            </w:r>
          </w:p>
          <w:p w14:paraId="6F99FEFB">
            <w:pPr>
              <w:pStyle w:val="89"/>
              <w:ind w:firstLine="480"/>
              <w:rPr>
                <w:rFonts w:hint="default" w:ascii="Times New Roman" w:hAnsi="Times New Roman" w:cs="Times New Roman"/>
                <w:color w:val="auto"/>
                <w:szCs w:val="24"/>
              </w:rPr>
            </w:pPr>
            <w:r>
              <w:rPr>
                <w:rFonts w:hint="default" w:ascii="Times New Roman" w:hAnsi="Times New Roman" w:cs="Times New Roman"/>
                <w:color w:val="auto"/>
                <w:szCs w:val="32"/>
              </w:rPr>
              <w:t>本项目</w:t>
            </w:r>
            <w:r>
              <w:rPr>
                <w:rFonts w:hint="default" w:ascii="Times New Roman" w:hAnsi="Times New Roman" w:cs="Times New Roman"/>
                <w:color w:val="auto"/>
                <w:szCs w:val="24"/>
                <w:lang w:val="en-US" w:eastAsia="zh-CN"/>
              </w:rPr>
              <w:t>位于</w:t>
            </w:r>
            <w:r>
              <w:rPr>
                <w:rFonts w:hint="default" w:ascii="Times New Roman" w:hAnsi="Times New Roman" w:eastAsia="宋体" w:cs="Times New Roman"/>
                <w:b w:val="0"/>
                <w:bCs/>
                <w:color w:val="auto"/>
                <w:sz w:val="24"/>
                <w:szCs w:val="24"/>
                <w:lang w:val="zh-CN" w:eastAsia="zh-CN"/>
              </w:rPr>
              <w:t>泗水县</w:t>
            </w:r>
            <w:r>
              <w:rPr>
                <w:rFonts w:hint="default" w:ascii="Times New Roman" w:hAnsi="Times New Roman" w:eastAsia="宋体" w:cs="Times New Roman"/>
                <w:b w:val="0"/>
                <w:bCs/>
                <w:color w:val="auto"/>
                <w:sz w:val="24"/>
                <w:szCs w:val="24"/>
                <w:lang w:val="en-US" w:eastAsia="zh-CN"/>
              </w:rPr>
              <w:t>金庄镇</w:t>
            </w:r>
            <w:r>
              <w:rPr>
                <w:rFonts w:hint="eastAsia" w:ascii="Times New Roman" w:hAnsi="Times New Roman" w:cs="Times New Roman"/>
                <w:b w:val="0"/>
                <w:bCs/>
                <w:color w:val="auto"/>
                <w:sz w:val="24"/>
                <w:szCs w:val="24"/>
                <w:lang w:val="en-US" w:eastAsia="zh-CN"/>
              </w:rPr>
              <w:t>卞庄工业园</w:t>
            </w:r>
            <w:r>
              <w:rPr>
                <w:rFonts w:hint="default" w:ascii="Times New Roman" w:hAnsi="Times New Roman" w:cs="Times New Roman"/>
                <w:color w:val="auto"/>
                <w:szCs w:val="32"/>
              </w:rPr>
              <w:t>，根据《济宁市生态环境委员会办公室关于发布2023年生态环境分区管控动态更新成果的通知》（济环委办[2024]5号），项目所在地属于</w:t>
            </w:r>
            <w:r>
              <w:rPr>
                <w:rFonts w:hint="default" w:ascii="Times New Roman" w:hAnsi="Times New Roman" w:cs="Times New Roman"/>
                <w:color w:val="auto"/>
                <w:szCs w:val="32"/>
                <w:lang w:val="en-US" w:eastAsia="zh-CN"/>
              </w:rPr>
              <w:t>一般</w:t>
            </w:r>
            <w:r>
              <w:rPr>
                <w:rFonts w:hint="default" w:ascii="Times New Roman" w:hAnsi="Times New Roman" w:cs="Times New Roman"/>
                <w:color w:val="auto"/>
                <w:szCs w:val="32"/>
              </w:rPr>
              <w:t>管控单元</w:t>
            </w:r>
            <w:r>
              <w:rPr>
                <w:rFonts w:hint="default" w:ascii="Times New Roman" w:hAnsi="Times New Roman" w:cs="Times New Roman"/>
                <w:color w:val="auto"/>
                <w:szCs w:val="24"/>
              </w:rPr>
              <w:t>，环境管控单元编码：ZH37083130004。项目与济宁市泗水县金庄镇环境管控单元生态环境准入清单符合性见</w:t>
            </w:r>
            <w:r>
              <w:rPr>
                <w:rFonts w:hint="default" w:ascii="Times New Roman" w:hAnsi="Times New Roman" w:cs="Times New Roman"/>
                <w:color w:val="auto"/>
                <w:szCs w:val="24"/>
                <w:lang w:val="en-US" w:eastAsia="zh-CN"/>
              </w:rPr>
              <w:t>下</w:t>
            </w:r>
            <w:r>
              <w:rPr>
                <w:rFonts w:hint="default" w:ascii="Times New Roman" w:hAnsi="Times New Roman" w:cs="Times New Roman"/>
                <w:color w:val="auto"/>
                <w:szCs w:val="24"/>
              </w:rPr>
              <w:t>表。</w:t>
            </w:r>
          </w:p>
          <w:p w14:paraId="315B04A7">
            <w:pPr>
              <w:pStyle w:val="47"/>
              <w:bidi w:val="0"/>
              <w:rPr>
                <w:rFonts w:hint="default" w:ascii="Times New Roman" w:hAnsi="Times New Roman" w:cs="Times New Roman"/>
                <w:color w:val="auto"/>
                <w:szCs w:val="24"/>
              </w:rPr>
            </w:pPr>
            <w:r>
              <w:rPr>
                <w:rFonts w:hint="default" w:ascii="Times New Roman" w:hAnsi="Times New Roman" w:cs="Times New Roman"/>
                <w:color w:val="auto"/>
              </w:rPr>
              <w:t>表1-</w:t>
            </w:r>
            <w:r>
              <w:rPr>
                <w:rFonts w:hint="default" w:ascii="Times New Roman" w:hAnsi="Times New Roman" w:cs="Times New Roman"/>
                <w:color w:val="auto"/>
                <w:lang w:val="en-US" w:eastAsia="zh-CN"/>
              </w:rPr>
              <w:t>4</w:t>
            </w:r>
            <w:r>
              <w:rPr>
                <w:rFonts w:hint="default" w:ascii="Times New Roman" w:hAnsi="Times New Roman" w:cs="Times New Roman"/>
                <w:color w:val="auto"/>
              </w:rPr>
              <w:t xml:space="preserve"> 与《济宁市“三线一单”生态环境分区管控方案》符合性分析</w:t>
            </w:r>
          </w:p>
          <w:tbl>
            <w:tblPr>
              <w:tblStyle w:val="33"/>
              <w:tblW w:w="7578"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589"/>
              <w:gridCol w:w="4168"/>
              <w:gridCol w:w="2161"/>
              <w:gridCol w:w="660"/>
            </w:tblGrid>
            <w:tr w14:paraId="053654B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4757" w:type="dxa"/>
                  <w:gridSpan w:val="2"/>
                  <w:tcBorders>
                    <w:tl2br w:val="nil"/>
                    <w:tr2bl w:val="nil"/>
                  </w:tcBorders>
                  <w:noWrap w:val="0"/>
                  <w:vAlign w:val="center"/>
                </w:tcPr>
                <w:p w14:paraId="3E53CF1E">
                  <w:pPr>
                    <w:pStyle w:val="44"/>
                    <w:bidi w:val="0"/>
                    <w:spacing w:line="240" w:lineRule="auto"/>
                    <w:rPr>
                      <w:rFonts w:hint="default" w:ascii="Times New Roman" w:hAnsi="Times New Roman" w:cs="Times New Roman"/>
                      <w:b/>
                      <w:bCs/>
                      <w:color w:val="auto"/>
                    </w:rPr>
                  </w:pPr>
                  <w:r>
                    <w:rPr>
                      <w:rFonts w:hint="default" w:ascii="Times New Roman" w:hAnsi="Times New Roman" w:cs="Times New Roman"/>
                      <w:b/>
                      <w:bCs/>
                      <w:color w:val="auto"/>
                    </w:rPr>
                    <w:t>具体要求</w:t>
                  </w:r>
                </w:p>
              </w:tc>
              <w:tc>
                <w:tcPr>
                  <w:tcW w:w="2161" w:type="dxa"/>
                  <w:tcBorders>
                    <w:tl2br w:val="nil"/>
                    <w:tr2bl w:val="nil"/>
                  </w:tcBorders>
                  <w:noWrap w:val="0"/>
                  <w:vAlign w:val="center"/>
                </w:tcPr>
                <w:p w14:paraId="6C852F9C">
                  <w:pPr>
                    <w:pStyle w:val="44"/>
                    <w:bidi w:val="0"/>
                    <w:spacing w:line="240" w:lineRule="auto"/>
                    <w:rPr>
                      <w:rFonts w:hint="default" w:ascii="Times New Roman" w:hAnsi="Times New Roman" w:cs="Times New Roman"/>
                      <w:b/>
                      <w:bCs/>
                      <w:color w:val="auto"/>
                    </w:rPr>
                  </w:pPr>
                  <w:r>
                    <w:rPr>
                      <w:rFonts w:hint="default" w:ascii="Times New Roman" w:hAnsi="Times New Roman" w:cs="Times New Roman"/>
                      <w:b/>
                      <w:bCs/>
                      <w:color w:val="auto"/>
                    </w:rPr>
                    <w:t>本规划情况</w:t>
                  </w:r>
                </w:p>
              </w:tc>
              <w:tc>
                <w:tcPr>
                  <w:tcW w:w="660" w:type="dxa"/>
                  <w:tcBorders>
                    <w:tl2br w:val="nil"/>
                    <w:tr2bl w:val="nil"/>
                  </w:tcBorders>
                  <w:noWrap w:val="0"/>
                  <w:vAlign w:val="center"/>
                </w:tcPr>
                <w:p w14:paraId="022A25B9">
                  <w:pPr>
                    <w:pStyle w:val="44"/>
                    <w:bidi w:val="0"/>
                    <w:spacing w:line="240" w:lineRule="auto"/>
                    <w:rPr>
                      <w:rFonts w:hint="default" w:ascii="Times New Roman" w:hAnsi="Times New Roman" w:cs="Times New Roman"/>
                      <w:b/>
                      <w:bCs/>
                      <w:color w:val="auto"/>
                    </w:rPr>
                  </w:pPr>
                  <w:r>
                    <w:rPr>
                      <w:rFonts w:hint="default" w:ascii="Times New Roman" w:hAnsi="Times New Roman" w:cs="Times New Roman"/>
                      <w:b/>
                      <w:bCs/>
                      <w:color w:val="auto"/>
                    </w:rPr>
                    <w:t>符合性</w:t>
                  </w:r>
                </w:p>
              </w:tc>
            </w:tr>
            <w:tr w14:paraId="5ACCF36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7578" w:type="dxa"/>
                  <w:gridSpan w:val="4"/>
                  <w:tcBorders>
                    <w:tl2br w:val="nil"/>
                    <w:tr2bl w:val="nil"/>
                  </w:tcBorders>
                  <w:noWrap w:val="0"/>
                  <w:vAlign w:val="center"/>
                </w:tcPr>
                <w:p w14:paraId="6F7377BF">
                  <w:pPr>
                    <w:pStyle w:val="44"/>
                    <w:bidi w:val="0"/>
                    <w:spacing w:line="240" w:lineRule="auto"/>
                    <w:rPr>
                      <w:rFonts w:hint="default" w:ascii="Times New Roman" w:hAnsi="Times New Roman" w:cs="Times New Roman"/>
                      <w:color w:val="auto"/>
                    </w:rPr>
                  </w:pPr>
                  <w:r>
                    <w:rPr>
                      <w:rFonts w:hint="default" w:ascii="Times New Roman" w:hAnsi="Times New Roman" w:cs="Times New Roman"/>
                      <w:color w:val="auto"/>
                    </w:rPr>
                    <w:t>环境控制单元编码：ZH37083130004</w:t>
                  </w:r>
                </w:p>
              </w:tc>
            </w:tr>
            <w:tr w14:paraId="15FE5FF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7578" w:type="dxa"/>
                  <w:gridSpan w:val="4"/>
                  <w:tcBorders>
                    <w:tl2br w:val="nil"/>
                    <w:tr2bl w:val="nil"/>
                  </w:tcBorders>
                  <w:noWrap w:val="0"/>
                  <w:vAlign w:val="center"/>
                </w:tcPr>
                <w:p w14:paraId="10CF9E3E">
                  <w:pPr>
                    <w:pStyle w:val="44"/>
                    <w:bidi w:val="0"/>
                    <w:spacing w:line="240" w:lineRule="auto"/>
                    <w:rPr>
                      <w:rFonts w:hint="default" w:ascii="Times New Roman" w:hAnsi="Times New Roman" w:eastAsia="宋体" w:cs="Times New Roman"/>
                      <w:color w:val="auto"/>
                      <w:lang w:val="en-US" w:eastAsia="zh-CN"/>
                    </w:rPr>
                  </w:pPr>
                  <w:r>
                    <w:rPr>
                      <w:rFonts w:hint="default" w:ascii="Times New Roman" w:hAnsi="Times New Roman" w:cs="Times New Roman"/>
                      <w:color w:val="auto"/>
                    </w:rPr>
                    <w:t>环境管控单元名称：</w:t>
                  </w:r>
                  <w:r>
                    <w:rPr>
                      <w:rFonts w:hint="default" w:ascii="Times New Roman" w:hAnsi="Times New Roman" w:cs="Times New Roman"/>
                      <w:color w:val="auto"/>
                      <w:lang w:val="en-US" w:eastAsia="zh-CN"/>
                    </w:rPr>
                    <w:t>金庄镇</w:t>
                  </w:r>
                </w:p>
              </w:tc>
            </w:tr>
            <w:tr w14:paraId="1F7284C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7578" w:type="dxa"/>
                  <w:gridSpan w:val="4"/>
                  <w:tcBorders>
                    <w:tl2br w:val="nil"/>
                    <w:tr2bl w:val="nil"/>
                  </w:tcBorders>
                  <w:noWrap w:val="0"/>
                  <w:vAlign w:val="center"/>
                </w:tcPr>
                <w:p w14:paraId="4E207682">
                  <w:pPr>
                    <w:pStyle w:val="44"/>
                    <w:bidi w:val="0"/>
                    <w:spacing w:line="240" w:lineRule="auto"/>
                    <w:rPr>
                      <w:rFonts w:hint="default" w:ascii="Times New Roman" w:hAnsi="Times New Roman" w:cs="Times New Roman"/>
                      <w:color w:val="auto"/>
                    </w:rPr>
                  </w:pPr>
                  <w:r>
                    <w:rPr>
                      <w:rFonts w:hint="default" w:ascii="Times New Roman" w:hAnsi="Times New Roman" w:cs="Times New Roman"/>
                      <w:color w:val="auto"/>
                    </w:rPr>
                    <w:t>环境管控单元分类：</w:t>
                  </w:r>
                  <w:r>
                    <w:rPr>
                      <w:rFonts w:hint="default" w:ascii="Times New Roman" w:hAnsi="Times New Roman" w:cs="Times New Roman"/>
                      <w:color w:val="auto"/>
                      <w:lang w:val="en-US" w:eastAsia="zh-CN"/>
                    </w:rPr>
                    <w:t>一般</w:t>
                  </w:r>
                  <w:r>
                    <w:rPr>
                      <w:rFonts w:hint="default" w:ascii="Times New Roman" w:hAnsi="Times New Roman" w:cs="Times New Roman"/>
                      <w:color w:val="auto"/>
                    </w:rPr>
                    <w:t>管控单元</w:t>
                  </w:r>
                </w:p>
              </w:tc>
            </w:tr>
            <w:tr w14:paraId="3CFC228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589" w:type="dxa"/>
                  <w:tcBorders>
                    <w:tl2br w:val="nil"/>
                    <w:tr2bl w:val="nil"/>
                  </w:tcBorders>
                  <w:noWrap w:val="0"/>
                  <w:vAlign w:val="center"/>
                </w:tcPr>
                <w:p w14:paraId="5B09C66B">
                  <w:pPr>
                    <w:pStyle w:val="44"/>
                    <w:bidi w:val="0"/>
                    <w:rPr>
                      <w:rFonts w:hint="default" w:ascii="Times New Roman" w:hAnsi="Times New Roman" w:cs="Times New Roman"/>
                      <w:color w:val="auto"/>
                      <w:lang w:eastAsia="zh-CN"/>
                    </w:rPr>
                  </w:pPr>
                  <w:r>
                    <w:rPr>
                      <w:rFonts w:hint="default" w:ascii="Times New Roman" w:hAnsi="Times New Roman" w:cs="Times New Roman"/>
                      <w:color w:val="auto"/>
                      <w:lang w:val="en-US" w:eastAsia="zh-CN"/>
                    </w:rPr>
                    <w:t xml:space="preserve">空间布局约束 </w:t>
                  </w:r>
                </w:p>
              </w:tc>
              <w:tc>
                <w:tcPr>
                  <w:tcW w:w="4168" w:type="dxa"/>
                  <w:tcBorders>
                    <w:tl2br w:val="nil"/>
                    <w:tr2bl w:val="nil"/>
                  </w:tcBorders>
                  <w:noWrap w:val="0"/>
                  <w:vAlign w:val="center"/>
                </w:tcPr>
                <w:p w14:paraId="431C4D52">
                  <w:pPr>
                    <w:pStyle w:val="44"/>
                    <w:bidi w:val="0"/>
                    <w:jc w:val="left"/>
                    <w:rPr>
                      <w:rFonts w:hint="default" w:ascii="Times New Roman" w:hAnsi="Times New Roman" w:cs="Times New Roman"/>
                      <w:color w:val="auto"/>
                    </w:rPr>
                  </w:pPr>
                  <w:r>
                    <w:rPr>
                      <w:rFonts w:hint="default" w:ascii="Times New Roman" w:hAnsi="Times New Roman" w:cs="Times New Roman"/>
                      <w:color w:val="auto"/>
                      <w:lang w:val="en-US" w:eastAsia="zh-CN"/>
                    </w:rPr>
                    <w:t>1、新建、改建、扩建项目，满足产业准入、总量控制、排放标准等管理制度要求的前提下，实行工业项目进园、集约高效发展。</w:t>
                  </w:r>
                </w:p>
                <w:p w14:paraId="7A9E8FC1">
                  <w:pPr>
                    <w:pStyle w:val="44"/>
                    <w:bidi w:val="0"/>
                    <w:jc w:val="left"/>
                    <w:rPr>
                      <w:rFonts w:hint="default" w:ascii="Times New Roman" w:hAnsi="Times New Roman" w:cs="Times New Roman"/>
                      <w:color w:val="auto"/>
                    </w:rPr>
                  </w:pPr>
                  <w:r>
                    <w:rPr>
                      <w:rFonts w:hint="default" w:ascii="Times New Roman" w:hAnsi="Times New Roman" w:cs="Times New Roman"/>
                      <w:color w:val="auto"/>
                      <w:lang w:val="en-US" w:eastAsia="zh-CN"/>
                    </w:rPr>
                    <w:t>2、生态保护红线应符合《关于划定并严守生态保护红线的若干意见》及国家、省有关要求，原则上按禁止开发区域的要求进行管理，严禁不符合主体功能定位的各类开发活动，严禁任意改变土地用途。</w:t>
                  </w:r>
                </w:p>
                <w:p w14:paraId="2A4EB0F6">
                  <w:pPr>
                    <w:pStyle w:val="44"/>
                    <w:bidi w:val="0"/>
                    <w:jc w:val="left"/>
                    <w:rPr>
                      <w:rFonts w:hint="default" w:ascii="Times New Roman" w:hAnsi="Times New Roman" w:cs="Times New Roman"/>
                      <w:color w:val="auto"/>
                      <w:lang w:eastAsia="zh-CN"/>
                    </w:rPr>
                  </w:pPr>
                  <w:r>
                    <w:rPr>
                      <w:rFonts w:hint="default" w:ascii="Times New Roman" w:hAnsi="Times New Roman" w:cs="Times New Roman"/>
                      <w:color w:val="auto"/>
                      <w:lang w:val="en-US" w:eastAsia="zh-CN"/>
                    </w:rPr>
                    <w:t>3、一般生态空间原则上按限制开发区域的要求进行管理。</w:t>
                  </w:r>
                </w:p>
              </w:tc>
              <w:tc>
                <w:tcPr>
                  <w:tcW w:w="2161" w:type="dxa"/>
                  <w:tcBorders>
                    <w:tl2br w:val="nil"/>
                    <w:tr2bl w:val="nil"/>
                  </w:tcBorders>
                  <w:noWrap w:val="0"/>
                  <w:vAlign w:val="center"/>
                </w:tcPr>
                <w:p w14:paraId="6C2FCB7A">
                  <w:pPr>
                    <w:pStyle w:val="44"/>
                    <w:bidi w:val="0"/>
                    <w:jc w:val="left"/>
                    <w:rPr>
                      <w:rFonts w:hint="default" w:ascii="Times New Roman" w:hAnsi="Times New Roman" w:cs="Times New Roman"/>
                      <w:color w:val="auto"/>
                      <w:lang w:eastAsia="zh-CN"/>
                    </w:rPr>
                  </w:pPr>
                  <w:r>
                    <w:rPr>
                      <w:rFonts w:hint="default" w:ascii="Times New Roman" w:hAnsi="Times New Roman" w:cs="Times New Roman"/>
                      <w:color w:val="auto"/>
                      <w:lang w:eastAsia="zh-CN"/>
                    </w:rPr>
                    <w:t>1.本项目为新建，满足总量控制、排放标准等要求</w:t>
                  </w:r>
                  <w:r>
                    <w:rPr>
                      <w:rFonts w:hint="eastAsia" w:cs="Times New Roman"/>
                      <w:color w:val="auto"/>
                      <w:lang w:eastAsia="zh-CN"/>
                    </w:rPr>
                    <w:t>。</w:t>
                  </w:r>
                </w:p>
                <w:p w14:paraId="1AF1C9F3">
                  <w:pPr>
                    <w:pStyle w:val="44"/>
                    <w:bidi w:val="0"/>
                    <w:jc w:val="left"/>
                    <w:rPr>
                      <w:rFonts w:hint="default" w:ascii="Times New Roman" w:hAnsi="Times New Roman" w:cs="Times New Roman"/>
                      <w:color w:val="auto"/>
                      <w:lang w:eastAsia="zh-CN"/>
                    </w:rPr>
                  </w:pPr>
                  <w:r>
                    <w:rPr>
                      <w:rFonts w:hint="default" w:ascii="Times New Roman" w:hAnsi="Times New Roman" w:cs="Times New Roman"/>
                      <w:color w:val="auto"/>
                      <w:lang w:eastAsia="zh-CN"/>
                    </w:rPr>
                    <w:t>2.项目不在泗水生态保护红线规划范围内，符合城乡用地规划</w:t>
                  </w:r>
                  <w:r>
                    <w:rPr>
                      <w:rFonts w:hint="eastAsia" w:cs="Times New Roman"/>
                      <w:color w:val="auto"/>
                      <w:lang w:eastAsia="zh-CN"/>
                    </w:rPr>
                    <w:t>。</w:t>
                  </w:r>
                </w:p>
                <w:p w14:paraId="65EAA6DD">
                  <w:pPr>
                    <w:pStyle w:val="44"/>
                    <w:bidi w:val="0"/>
                    <w:jc w:val="left"/>
                    <w:rPr>
                      <w:rFonts w:hint="default" w:ascii="Times New Roman" w:hAnsi="Times New Roman" w:cs="Times New Roman"/>
                      <w:color w:val="auto"/>
                      <w:lang w:eastAsia="zh-CN"/>
                    </w:rPr>
                  </w:pPr>
                  <w:r>
                    <w:rPr>
                      <w:rFonts w:hint="default" w:ascii="Times New Roman" w:hAnsi="Times New Roman" w:cs="Times New Roman"/>
                      <w:color w:val="auto"/>
                      <w:lang w:eastAsia="zh-CN"/>
                    </w:rPr>
                    <w:t>3.项目不位于一般生态空间</w:t>
                  </w:r>
                  <w:r>
                    <w:rPr>
                      <w:rFonts w:hint="eastAsia" w:cs="Times New Roman"/>
                      <w:color w:val="auto"/>
                      <w:lang w:eastAsia="zh-CN"/>
                    </w:rPr>
                    <w:t>（</w:t>
                  </w:r>
                  <w:r>
                    <w:rPr>
                      <w:rFonts w:hint="eastAsia" w:cs="Times New Roman"/>
                      <w:color w:val="auto"/>
                      <w:lang w:val="en-US" w:eastAsia="zh-CN"/>
                    </w:rPr>
                    <w:t>见附图八</w:t>
                  </w:r>
                  <w:r>
                    <w:rPr>
                      <w:rFonts w:hint="eastAsia" w:cs="Times New Roman"/>
                      <w:color w:val="auto"/>
                      <w:lang w:eastAsia="zh-CN"/>
                    </w:rPr>
                    <w:t>）</w:t>
                  </w:r>
                  <w:r>
                    <w:rPr>
                      <w:rFonts w:hint="default" w:ascii="Times New Roman" w:hAnsi="Times New Roman" w:cs="Times New Roman"/>
                      <w:color w:val="auto"/>
                      <w:lang w:eastAsia="zh-CN"/>
                    </w:rPr>
                    <w:t>。</w:t>
                  </w:r>
                </w:p>
              </w:tc>
              <w:tc>
                <w:tcPr>
                  <w:tcW w:w="660" w:type="dxa"/>
                  <w:tcBorders>
                    <w:tl2br w:val="nil"/>
                    <w:tr2bl w:val="nil"/>
                  </w:tcBorders>
                  <w:noWrap w:val="0"/>
                  <w:vAlign w:val="center"/>
                </w:tcPr>
                <w:p w14:paraId="05542E2F">
                  <w:pPr>
                    <w:pStyle w:val="44"/>
                    <w:bidi w:val="0"/>
                    <w:spacing w:line="240" w:lineRule="auto"/>
                    <w:rPr>
                      <w:rFonts w:hint="default" w:ascii="Times New Roman" w:hAnsi="Times New Roman" w:cs="Times New Roman"/>
                      <w:color w:val="auto"/>
                    </w:rPr>
                  </w:pPr>
                  <w:r>
                    <w:rPr>
                      <w:rFonts w:hint="default" w:ascii="Times New Roman" w:hAnsi="Times New Roman" w:cs="Times New Roman"/>
                      <w:color w:val="auto"/>
                    </w:rPr>
                    <w:t>符合</w:t>
                  </w:r>
                </w:p>
              </w:tc>
            </w:tr>
            <w:tr w14:paraId="427AACA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589" w:type="dxa"/>
                  <w:tcBorders>
                    <w:tl2br w:val="nil"/>
                    <w:tr2bl w:val="nil"/>
                  </w:tcBorders>
                  <w:noWrap w:val="0"/>
                  <w:vAlign w:val="center"/>
                </w:tcPr>
                <w:p w14:paraId="2F887EBA">
                  <w:pPr>
                    <w:pStyle w:val="44"/>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污染物排放管控 </w:t>
                  </w:r>
                </w:p>
                <w:p w14:paraId="33040ED4">
                  <w:pPr>
                    <w:pStyle w:val="44"/>
                    <w:bidi w:val="0"/>
                    <w:rPr>
                      <w:rFonts w:hint="default" w:ascii="Times New Roman" w:hAnsi="Times New Roman" w:cs="Times New Roman"/>
                      <w:color w:val="auto"/>
                      <w:lang w:eastAsia="zh-CN"/>
                    </w:rPr>
                  </w:pPr>
                </w:p>
              </w:tc>
              <w:tc>
                <w:tcPr>
                  <w:tcW w:w="4168" w:type="dxa"/>
                  <w:tcBorders>
                    <w:tl2br w:val="nil"/>
                    <w:tr2bl w:val="nil"/>
                  </w:tcBorders>
                  <w:noWrap w:val="0"/>
                  <w:vAlign w:val="center"/>
                </w:tcPr>
                <w:p w14:paraId="64E4F8E4">
                  <w:pPr>
                    <w:pStyle w:val="44"/>
                    <w:bidi w:val="0"/>
                    <w:jc w:val="left"/>
                    <w:rPr>
                      <w:rFonts w:hint="default" w:ascii="Times New Roman" w:hAnsi="Times New Roman" w:cs="Times New Roman"/>
                      <w:color w:val="auto"/>
                    </w:rPr>
                  </w:pPr>
                  <w:r>
                    <w:rPr>
                      <w:rFonts w:hint="default" w:ascii="Times New Roman" w:hAnsi="Times New Roman" w:cs="Times New Roman"/>
                      <w:color w:val="auto"/>
                      <w:lang w:val="en-US" w:eastAsia="zh-CN"/>
                    </w:rPr>
                    <w:t>1、落实水环境保护的普适性要求。推进城乡生活污染和农业面源污染治理，加强污染物排放管控，推动水环境质量不断改善。</w:t>
                  </w:r>
                </w:p>
                <w:p w14:paraId="592D8884">
                  <w:pPr>
                    <w:pStyle w:val="44"/>
                    <w:bidi w:val="0"/>
                    <w:jc w:val="left"/>
                    <w:rPr>
                      <w:rFonts w:hint="default" w:ascii="Times New Roman" w:hAnsi="Times New Roman" w:cs="Times New Roman"/>
                      <w:color w:val="auto"/>
                    </w:rPr>
                  </w:pPr>
                  <w:r>
                    <w:rPr>
                      <w:rFonts w:hint="default" w:ascii="Times New Roman" w:hAnsi="Times New Roman" w:cs="Times New Roman"/>
                      <w:color w:val="auto"/>
                      <w:lang w:val="en-US" w:eastAsia="zh-CN"/>
                    </w:rPr>
                    <w:t>2、严格执行山东省《区域性大气污染物综合排放标准》 （DB37/2376-2019）排放要求，SO2、NOx、烟粉尘、VOCs排放量不得超过区域允许排放量。全面加强VOCs污染管控。加大秸秆禁烧管控力度。</w:t>
                  </w:r>
                </w:p>
                <w:p w14:paraId="6CB36C8F">
                  <w:pPr>
                    <w:pStyle w:val="44"/>
                    <w:bidi w:val="0"/>
                    <w:jc w:val="left"/>
                    <w:rPr>
                      <w:rFonts w:hint="default" w:ascii="Times New Roman" w:hAnsi="Times New Roman" w:cs="Times New Roman"/>
                      <w:color w:val="auto"/>
                      <w:lang w:eastAsia="zh-CN"/>
                    </w:rPr>
                  </w:pPr>
                  <w:r>
                    <w:rPr>
                      <w:rFonts w:hint="default" w:ascii="Times New Roman" w:hAnsi="Times New Roman" w:cs="Times New Roman"/>
                      <w:color w:val="auto"/>
                      <w:lang w:val="en-US" w:eastAsia="zh-CN"/>
                    </w:rPr>
                    <w:t>3、大气环境受体敏感重点管控区内石化、化工和涉及涂装的各重点行业加强对VOCs的收集和治理，确保废气收集率、治理设施同步运行率和去除率达到国家和省有关要求，加大汽油、石脑油、煤油以及原油等油品储运销全过程VOCs排放控制。加强移动源污染防治，逐步淘汰高排放的老旧车、船，严格控制柴油货车污染排放；严格落实扬尘污染防治各项措施。</w:t>
                  </w:r>
                </w:p>
              </w:tc>
              <w:tc>
                <w:tcPr>
                  <w:tcW w:w="2161" w:type="dxa"/>
                  <w:tcBorders>
                    <w:tl2br w:val="nil"/>
                    <w:tr2bl w:val="nil"/>
                  </w:tcBorders>
                  <w:noWrap w:val="0"/>
                  <w:vAlign w:val="center"/>
                </w:tcPr>
                <w:p w14:paraId="511324D9">
                  <w:pPr>
                    <w:pStyle w:val="44"/>
                    <w:bidi w:val="0"/>
                    <w:jc w:val="left"/>
                    <w:rPr>
                      <w:rFonts w:hint="default" w:ascii="Times New Roman" w:hAnsi="Times New Roman" w:cs="Times New Roman"/>
                      <w:color w:val="auto"/>
                      <w:lang w:val="en-US" w:eastAsia="zh-CN"/>
                    </w:rPr>
                  </w:pPr>
                  <w:r>
                    <w:rPr>
                      <w:rFonts w:hint="default" w:ascii="Times New Roman" w:hAnsi="Times New Roman" w:cs="Times New Roman"/>
                      <w:color w:val="auto"/>
                      <w:lang w:eastAsia="zh-CN"/>
                    </w:rPr>
                    <w:t>1、</w:t>
                  </w:r>
                  <w:r>
                    <w:rPr>
                      <w:rFonts w:hint="default" w:ascii="Times New Roman" w:hAnsi="Times New Roman" w:eastAsia="宋体" w:cs="Times New Roman"/>
                      <w:color w:val="auto"/>
                      <w:lang w:val="en-US" w:eastAsia="zh-CN"/>
                    </w:rPr>
                    <w:t>本项目实施雨污分流，清污分流，无生产废水排放，生活污水经化粪池处理后委托环卫部门清运，冷却水循环使用不外排</w:t>
                  </w:r>
                  <w:r>
                    <w:rPr>
                      <w:rFonts w:hint="default" w:ascii="Times New Roman" w:hAnsi="Times New Roman" w:cs="Times New Roman"/>
                      <w:color w:val="auto"/>
                      <w:lang w:eastAsia="zh-CN"/>
                    </w:rPr>
                    <w:t>。</w:t>
                  </w:r>
                </w:p>
                <w:p w14:paraId="7F8A0AD3">
                  <w:pPr>
                    <w:pStyle w:val="44"/>
                    <w:bidi w:val="0"/>
                    <w:jc w:val="left"/>
                    <w:rPr>
                      <w:rFonts w:hint="default" w:ascii="Times New Roman" w:hAnsi="Times New Roman" w:cs="Times New Roman"/>
                      <w:color w:val="auto"/>
                      <w:lang w:val="en-US" w:eastAsia="zh-CN"/>
                    </w:rPr>
                  </w:pPr>
                  <w:r>
                    <w:rPr>
                      <w:rFonts w:hint="default" w:ascii="Times New Roman" w:hAnsi="Times New Roman" w:cs="Times New Roman"/>
                      <w:color w:val="auto"/>
                      <w:lang w:eastAsia="zh-CN"/>
                    </w:rPr>
                    <w:t>2、项目烟粉尘排放满足《区域性大气污染物综合排放标准》 （DB37/2376-2019），烟粉尘、VOCs排放量申请倍量替代</w:t>
                  </w:r>
                  <w:r>
                    <w:rPr>
                      <w:rFonts w:hint="default" w:ascii="Times New Roman" w:hAnsi="Times New Roman" w:cs="Times New Roman"/>
                      <w:color w:val="auto"/>
                      <w:lang w:val="en-US" w:eastAsia="zh-CN"/>
                    </w:rPr>
                    <w:t>。</w:t>
                  </w:r>
                </w:p>
                <w:p w14:paraId="6C35E2BF">
                  <w:pPr>
                    <w:pStyle w:val="44"/>
                    <w:bidi w:val="0"/>
                    <w:jc w:val="left"/>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3、项目不属于涉及VOCs排放的各重点行业，VOCs经“冷凝+二级活性炭吸附装置”处理后达标排放。</w:t>
                  </w:r>
                </w:p>
              </w:tc>
              <w:tc>
                <w:tcPr>
                  <w:tcW w:w="660" w:type="dxa"/>
                  <w:tcBorders>
                    <w:tl2br w:val="nil"/>
                    <w:tr2bl w:val="nil"/>
                  </w:tcBorders>
                  <w:noWrap w:val="0"/>
                  <w:vAlign w:val="center"/>
                </w:tcPr>
                <w:p w14:paraId="75025A39">
                  <w:pPr>
                    <w:pStyle w:val="44"/>
                    <w:bidi w:val="0"/>
                    <w:spacing w:line="240" w:lineRule="auto"/>
                    <w:rPr>
                      <w:rFonts w:hint="default" w:ascii="Times New Roman" w:hAnsi="Times New Roman" w:cs="Times New Roman"/>
                      <w:color w:val="auto"/>
                    </w:rPr>
                  </w:pPr>
                  <w:r>
                    <w:rPr>
                      <w:rFonts w:hint="default" w:ascii="Times New Roman" w:hAnsi="Times New Roman" w:cs="Times New Roman"/>
                      <w:color w:val="auto"/>
                    </w:rPr>
                    <w:t>符合</w:t>
                  </w:r>
                </w:p>
              </w:tc>
            </w:tr>
            <w:tr w14:paraId="43214B4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589" w:type="dxa"/>
                  <w:tcBorders>
                    <w:tl2br w:val="nil"/>
                    <w:tr2bl w:val="nil"/>
                  </w:tcBorders>
                  <w:noWrap w:val="0"/>
                  <w:vAlign w:val="center"/>
                </w:tcPr>
                <w:p w14:paraId="7F948542">
                  <w:pPr>
                    <w:pStyle w:val="44"/>
                    <w:bidi w:val="0"/>
                    <w:rPr>
                      <w:rFonts w:hint="default" w:ascii="Times New Roman" w:hAnsi="Times New Roman" w:cs="Times New Roman"/>
                      <w:color w:val="auto"/>
                      <w:lang w:eastAsia="zh-CN"/>
                    </w:rPr>
                  </w:pPr>
                  <w:r>
                    <w:rPr>
                      <w:rFonts w:hint="default" w:ascii="Times New Roman" w:hAnsi="Times New Roman" w:cs="Times New Roman"/>
                      <w:color w:val="auto"/>
                      <w:lang w:val="en-US" w:eastAsia="zh-CN"/>
                    </w:rPr>
                    <w:t xml:space="preserve">环境风险防控 </w:t>
                  </w:r>
                </w:p>
              </w:tc>
              <w:tc>
                <w:tcPr>
                  <w:tcW w:w="4168" w:type="dxa"/>
                  <w:tcBorders>
                    <w:tl2br w:val="nil"/>
                    <w:tr2bl w:val="nil"/>
                  </w:tcBorders>
                  <w:noWrap w:val="0"/>
                  <w:vAlign w:val="center"/>
                </w:tcPr>
                <w:p w14:paraId="419D2E95">
                  <w:pPr>
                    <w:pStyle w:val="44"/>
                    <w:bidi w:val="0"/>
                    <w:jc w:val="left"/>
                    <w:rPr>
                      <w:rFonts w:hint="default" w:ascii="Times New Roman" w:hAnsi="Times New Roman" w:cs="Times New Roman"/>
                      <w:color w:val="auto"/>
                    </w:rPr>
                  </w:pPr>
                  <w:r>
                    <w:rPr>
                      <w:rFonts w:hint="default" w:ascii="Times New Roman" w:hAnsi="Times New Roman" w:cs="Times New Roman"/>
                      <w:color w:val="auto"/>
                      <w:lang w:val="en-US" w:eastAsia="zh-CN"/>
                    </w:rPr>
                    <w:t>1、加强对烧结、工业炉窑、医疗垃圾和危险废物焚烧有毒有害大气污染物排放企业的监管。</w:t>
                  </w:r>
                </w:p>
                <w:p w14:paraId="03F55298">
                  <w:pPr>
                    <w:pStyle w:val="44"/>
                    <w:bidi w:val="0"/>
                    <w:jc w:val="left"/>
                    <w:rPr>
                      <w:rFonts w:hint="default" w:ascii="Times New Roman" w:hAnsi="Times New Roman" w:cs="Times New Roman"/>
                      <w:color w:val="auto"/>
                    </w:rPr>
                  </w:pPr>
                  <w:r>
                    <w:rPr>
                      <w:rFonts w:hint="default" w:ascii="Times New Roman" w:hAnsi="Times New Roman" w:cs="Times New Roman"/>
                      <w:color w:val="auto"/>
                      <w:lang w:val="en-US" w:eastAsia="zh-CN"/>
                    </w:rPr>
                    <w:t>2、当预测到区域将出现重污染天气时，根据预警发布，按级别启动应急响应，落实各项应急减排措施。</w:t>
                  </w:r>
                </w:p>
                <w:p w14:paraId="388B2049">
                  <w:pPr>
                    <w:pStyle w:val="44"/>
                    <w:bidi w:val="0"/>
                    <w:jc w:val="left"/>
                    <w:rPr>
                      <w:rFonts w:hint="default" w:ascii="Times New Roman" w:hAnsi="Times New Roman" w:cs="Times New Roman"/>
                      <w:color w:val="auto"/>
                      <w:lang w:eastAsia="zh-CN"/>
                    </w:rPr>
                  </w:pPr>
                  <w:r>
                    <w:rPr>
                      <w:rFonts w:hint="default" w:ascii="Times New Roman" w:hAnsi="Times New Roman" w:cs="Times New Roman"/>
                      <w:color w:val="auto"/>
                      <w:lang w:val="en-US" w:eastAsia="zh-CN"/>
                    </w:rPr>
                    <w:t>3、对于高关注度地块，调查结果表明超过土壤污染风险管控标准的，应按照规定开展土壤污染状况调查、风险评估、风险管控和修复。</w:t>
                  </w:r>
                </w:p>
              </w:tc>
              <w:tc>
                <w:tcPr>
                  <w:tcW w:w="2161" w:type="dxa"/>
                  <w:tcBorders>
                    <w:tl2br w:val="nil"/>
                    <w:tr2bl w:val="nil"/>
                  </w:tcBorders>
                  <w:noWrap w:val="0"/>
                  <w:vAlign w:val="center"/>
                </w:tcPr>
                <w:p w14:paraId="5625916C">
                  <w:pPr>
                    <w:pStyle w:val="44"/>
                    <w:bidi w:val="0"/>
                    <w:jc w:val="left"/>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1、项目不涉及有毒有害大气污染物排放</w:t>
                  </w:r>
                  <w:r>
                    <w:rPr>
                      <w:rFonts w:hint="eastAsia" w:cs="Times New Roman"/>
                      <w:color w:val="auto"/>
                      <w:lang w:val="en-US" w:eastAsia="zh-CN"/>
                    </w:rPr>
                    <w:t>。</w:t>
                  </w:r>
                </w:p>
                <w:p w14:paraId="4C9A3ABE">
                  <w:pPr>
                    <w:pStyle w:val="44"/>
                    <w:bidi w:val="0"/>
                    <w:jc w:val="left"/>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2、项目建成后制定环境风险应急预案，并积极执行当地重污染天气时的应急减排措施</w:t>
                  </w:r>
                  <w:r>
                    <w:rPr>
                      <w:rFonts w:hint="eastAsia" w:cs="Times New Roman"/>
                      <w:color w:val="auto"/>
                      <w:lang w:val="en-US" w:eastAsia="zh-CN"/>
                    </w:rPr>
                    <w:t>。</w:t>
                  </w:r>
                </w:p>
                <w:p w14:paraId="54FE8071">
                  <w:pPr>
                    <w:pStyle w:val="44"/>
                    <w:bidi w:val="0"/>
                    <w:jc w:val="left"/>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3、项目不需开展土壤污染状况调查。</w:t>
                  </w:r>
                </w:p>
              </w:tc>
              <w:tc>
                <w:tcPr>
                  <w:tcW w:w="660" w:type="dxa"/>
                  <w:tcBorders>
                    <w:tl2br w:val="nil"/>
                    <w:tr2bl w:val="nil"/>
                  </w:tcBorders>
                  <w:noWrap w:val="0"/>
                  <w:vAlign w:val="center"/>
                </w:tcPr>
                <w:p w14:paraId="3F5D519E">
                  <w:pPr>
                    <w:pStyle w:val="44"/>
                    <w:bidi w:val="0"/>
                    <w:spacing w:line="240" w:lineRule="auto"/>
                    <w:rPr>
                      <w:rFonts w:hint="default" w:ascii="Times New Roman" w:hAnsi="Times New Roman" w:cs="Times New Roman"/>
                      <w:color w:val="auto"/>
                    </w:rPr>
                  </w:pPr>
                  <w:r>
                    <w:rPr>
                      <w:rFonts w:hint="default" w:ascii="Times New Roman" w:hAnsi="Times New Roman" w:cs="Times New Roman"/>
                      <w:color w:val="auto"/>
                    </w:rPr>
                    <w:t>符合</w:t>
                  </w:r>
                </w:p>
              </w:tc>
            </w:tr>
            <w:tr w14:paraId="453A22E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589" w:type="dxa"/>
                  <w:tcBorders>
                    <w:tl2br w:val="nil"/>
                    <w:tr2bl w:val="nil"/>
                  </w:tcBorders>
                  <w:noWrap w:val="0"/>
                  <w:vAlign w:val="center"/>
                </w:tcPr>
                <w:p w14:paraId="29CF43D5">
                  <w:pPr>
                    <w:pStyle w:val="44"/>
                    <w:bidi w:val="0"/>
                    <w:rPr>
                      <w:rFonts w:hint="default" w:ascii="Times New Roman" w:hAnsi="Times New Roman" w:cs="Times New Roman"/>
                      <w:color w:val="auto"/>
                      <w:lang w:eastAsia="zh-CN"/>
                    </w:rPr>
                  </w:pPr>
                  <w:r>
                    <w:rPr>
                      <w:rFonts w:hint="default" w:ascii="Times New Roman" w:hAnsi="Times New Roman" w:cs="Times New Roman"/>
                      <w:color w:val="auto"/>
                      <w:lang w:val="en-US" w:eastAsia="zh-CN"/>
                    </w:rPr>
                    <w:t xml:space="preserve">资源开发效率要求 </w:t>
                  </w:r>
                </w:p>
              </w:tc>
              <w:tc>
                <w:tcPr>
                  <w:tcW w:w="4168" w:type="dxa"/>
                  <w:tcBorders>
                    <w:tl2br w:val="nil"/>
                    <w:tr2bl w:val="nil"/>
                  </w:tcBorders>
                  <w:noWrap w:val="0"/>
                  <w:vAlign w:val="center"/>
                </w:tcPr>
                <w:p w14:paraId="5D719616">
                  <w:pPr>
                    <w:pStyle w:val="44"/>
                    <w:bidi w:val="0"/>
                    <w:jc w:val="left"/>
                    <w:rPr>
                      <w:rFonts w:hint="default" w:ascii="Times New Roman" w:hAnsi="Times New Roman" w:cs="Times New Roman"/>
                      <w:color w:val="auto"/>
                    </w:rPr>
                  </w:pPr>
                  <w:r>
                    <w:rPr>
                      <w:rFonts w:hint="default" w:ascii="Times New Roman" w:hAnsi="Times New Roman" w:cs="Times New Roman"/>
                      <w:color w:val="auto"/>
                      <w:lang w:val="en-US" w:eastAsia="zh-CN"/>
                    </w:rPr>
                    <w:t>1、严控高耗水项目。水资源开发应当优先利用地表水，严格控制开采地下水。</w:t>
                  </w:r>
                </w:p>
                <w:p w14:paraId="1914DAF6">
                  <w:pPr>
                    <w:pStyle w:val="44"/>
                    <w:bidi w:val="0"/>
                    <w:jc w:val="left"/>
                    <w:rPr>
                      <w:rFonts w:hint="default" w:ascii="Times New Roman" w:hAnsi="Times New Roman" w:cs="Times New Roman"/>
                      <w:color w:val="auto"/>
                    </w:rPr>
                  </w:pPr>
                  <w:r>
                    <w:rPr>
                      <w:rFonts w:hint="default" w:ascii="Times New Roman" w:hAnsi="Times New Roman" w:cs="Times New Roman"/>
                      <w:color w:val="auto"/>
                      <w:lang w:val="en-US" w:eastAsia="zh-CN"/>
                    </w:rPr>
                    <w:t>2、新建高耗能项目能耗要达到相关要求。产生大气污染物的工业企业应持续开展节能降耗，持续降低单位GDP能耗及煤耗水平。</w:t>
                  </w:r>
                </w:p>
                <w:p w14:paraId="37FA786C">
                  <w:pPr>
                    <w:pStyle w:val="44"/>
                    <w:bidi w:val="0"/>
                    <w:jc w:val="left"/>
                    <w:rPr>
                      <w:rFonts w:hint="default" w:ascii="Times New Roman" w:hAnsi="Times New Roman" w:cs="Times New Roman"/>
                      <w:color w:val="auto"/>
                    </w:rPr>
                  </w:pPr>
                  <w:r>
                    <w:rPr>
                      <w:rFonts w:hint="default" w:ascii="Times New Roman" w:hAnsi="Times New Roman" w:cs="Times New Roman"/>
                      <w:color w:val="auto"/>
                      <w:lang w:val="en-US" w:eastAsia="zh-CN"/>
                    </w:rPr>
                    <w:t>3、禁燃区禁止新建、扩建燃用高污染燃料的设施，已建成的应限期淘汰或改用天然气、电或者其他清洁能源。</w:t>
                  </w:r>
                </w:p>
                <w:p w14:paraId="7E7699A9">
                  <w:pPr>
                    <w:pStyle w:val="44"/>
                    <w:bidi w:val="0"/>
                    <w:jc w:val="left"/>
                    <w:rPr>
                      <w:rFonts w:hint="default" w:ascii="Times New Roman" w:hAnsi="Times New Roman" w:cs="Times New Roman"/>
                      <w:color w:val="auto"/>
                      <w:lang w:eastAsia="zh-CN"/>
                    </w:rPr>
                  </w:pPr>
                  <w:r>
                    <w:rPr>
                      <w:rFonts w:hint="default" w:ascii="Times New Roman" w:hAnsi="Times New Roman" w:cs="Times New Roman"/>
                      <w:color w:val="auto"/>
                      <w:lang w:val="en-US" w:eastAsia="zh-CN"/>
                    </w:rPr>
                    <w:t>4、推进冬季清洁取暖，实现清洁能源逐步替代散煤。严防散煤复烧，对暂未实施清洁取暖的地区，确保使用的散煤质量符合标准要求。</w:t>
                  </w:r>
                </w:p>
              </w:tc>
              <w:tc>
                <w:tcPr>
                  <w:tcW w:w="2161" w:type="dxa"/>
                  <w:tcBorders>
                    <w:tl2br w:val="nil"/>
                    <w:tr2bl w:val="nil"/>
                  </w:tcBorders>
                  <w:noWrap w:val="0"/>
                  <w:vAlign w:val="center"/>
                </w:tcPr>
                <w:p w14:paraId="284235C1">
                  <w:pPr>
                    <w:pStyle w:val="44"/>
                    <w:bidi w:val="0"/>
                    <w:jc w:val="left"/>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1、项目用水由泗水县水厂自来水管网提供，生产用水循环使用，不外排</w:t>
                  </w:r>
                  <w:r>
                    <w:rPr>
                      <w:rFonts w:hint="eastAsia" w:cs="Times New Roman"/>
                      <w:color w:val="auto"/>
                      <w:lang w:val="en-US" w:eastAsia="zh-CN"/>
                    </w:rPr>
                    <w:t>。</w:t>
                  </w:r>
                </w:p>
                <w:p w14:paraId="41A4103E">
                  <w:pPr>
                    <w:pStyle w:val="44"/>
                    <w:bidi w:val="0"/>
                    <w:jc w:val="left"/>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2、项目不属于高耗能行业</w:t>
                  </w:r>
                  <w:r>
                    <w:rPr>
                      <w:rFonts w:hint="eastAsia" w:cs="Times New Roman"/>
                      <w:color w:val="auto"/>
                      <w:lang w:val="en-US" w:eastAsia="zh-CN"/>
                    </w:rPr>
                    <w:t>。</w:t>
                  </w:r>
                </w:p>
                <w:p w14:paraId="3B2EA501">
                  <w:pPr>
                    <w:pStyle w:val="44"/>
                    <w:bidi w:val="0"/>
                    <w:jc w:val="left"/>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3、项目生产、生活用热均采用电加热，不涉及高污染燃料使用；</w:t>
                  </w:r>
                </w:p>
                <w:p w14:paraId="45705B13">
                  <w:pPr>
                    <w:pStyle w:val="44"/>
                    <w:bidi w:val="0"/>
                    <w:jc w:val="left"/>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4、项目冬季取暖使用空调。</w:t>
                  </w:r>
                </w:p>
              </w:tc>
              <w:tc>
                <w:tcPr>
                  <w:tcW w:w="660" w:type="dxa"/>
                  <w:tcBorders>
                    <w:tl2br w:val="nil"/>
                    <w:tr2bl w:val="nil"/>
                  </w:tcBorders>
                  <w:noWrap w:val="0"/>
                  <w:vAlign w:val="center"/>
                </w:tcPr>
                <w:p w14:paraId="1542E1FE">
                  <w:pPr>
                    <w:pStyle w:val="44"/>
                    <w:bidi w:val="0"/>
                    <w:spacing w:line="240" w:lineRule="auto"/>
                    <w:rPr>
                      <w:rFonts w:hint="default" w:ascii="Times New Roman" w:hAnsi="Times New Roman" w:cs="Times New Roman"/>
                      <w:color w:val="auto"/>
                    </w:rPr>
                  </w:pPr>
                  <w:r>
                    <w:rPr>
                      <w:rFonts w:hint="default" w:ascii="Times New Roman" w:hAnsi="Times New Roman" w:cs="Times New Roman"/>
                      <w:color w:val="auto"/>
                    </w:rPr>
                    <w:t>符合</w:t>
                  </w:r>
                </w:p>
              </w:tc>
            </w:tr>
          </w:tbl>
          <w:p w14:paraId="71C23EFC">
            <w:pPr>
              <w:pStyle w:val="89"/>
              <w:ind w:firstLine="480"/>
              <w:rPr>
                <w:rFonts w:hint="default" w:ascii="Times New Roman" w:hAnsi="Times New Roman" w:cs="Times New Roman"/>
                <w:color w:val="auto"/>
                <w:szCs w:val="24"/>
              </w:rPr>
            </w:pPr>
            <w:r>
              <w:rPr>
                <w:rFonts w:hint="default" w:ascii="Times New Roman" w:hAnsi="Times New Roman" w:cs="Times New Roman"/>
                <w:color w:val="auto"/>
                <w:szCs w:val="24"/>
              </w:rPr>
              <w:t>综上，本项目符合生态环境分区管控的要求。</w:t>
            </w:r>
          </w:p>
          <w:p w14:paraId="1B1D16EC">
            <w:pPr>
              <w:pStyle w:val="4"/>
              <w:numPr>
                <w:ilvl w:val="0"/>
                <w:numId w:val="0"/>
              </w:numPr>
              <w:bidi w:val="0"/>
              <w:ind w:leftChars="0" w:firstLine="480" w:firstLineChars="200"/>
              <w:rPr>
                <w:rFonts w:hint="default" w:ascii="Times New Roman" w:hAnsi="Times New Roman" w:cs="Times New Roman"/>
                <w:color w:val="auto"/>
              </w:rPr>
            </w:pPr>
            <w:r>
              <w:rPr>
                <w:rFonts w:hint="default" w:ascii="Times New Roman" w:hAnsi="Times New Roman" w:cs="Times New Roman"/>
                <w:color w:val="auto"/>
                <w:lang w:val="en-US" w:eastAsia="zh-CN"/>
              </w:rPr>
              <w:t>4</w:t>
            </w:r>
            <w:r>
              <w:rPr>
                <w:rFonts w:hint="default" w:ascii="Times New Roman" w:hAnsi="Times New Roman" w:cs="Times New Roman"/>
                <w:color w:val="auto"/>
              </w:rPr>
              <w:t>、《山东省深入打好蓝天、碧水、净土保卫战行动计划（2021-2025）》（鲁环委办[2021]30号）符合性分析</w:t>
            </w:r>
          </w:p>
          <w:p w14:paraId="648A36F6">
            <w:pPr>
              <w:pStyle w:val="47"/>
              <w:bidi w:val="0"/>
              <w:rPr>
                <w:rFonts w:hint="default" w:ascii="Times New Roman" w:hAnsi="Times New Roman" w:cs="Times New Roman"/>
                <w:color w:val="auto"/>
              </w:rPr>
            </w:pPr>
            <w:r>
              <w:rPr>
                <w:rFonts w:hint="default" w:ascii="Times New Roman" w:hAnsi="Times New Roman" w:cs="Times New Roman"/>
                <w:color w:val="auto"/>
              </w:rPr>
              <w:t>表1-</w:t>
            </w:r>
            <w:r>
              <w:rPr>
                <w:rFonts w:hint="default" w:ascii="Times New Roman" w:hAnsi="Times New Roman" w:cs="Times New Roman"/>
                <w:color w:val="auto"/>
                <w:lang w:val="en-US" w:eastAsia="zh-CN"/>
              </w:rPr>
              <w:t>5</w:t>
            </w:r>
            <w:r>
              <w:rPr>
                <w:rFonts w:hint="default" w:ascii="Times New Roman" w:hAnsi="Times New Roman" w:cs="Times New Roman"/>
                <w:color w:val="auto"/>
              </w:rPr>
              <w:t xml:space="preserve"> 与山东省深入打好蓝天、碧水、净土保卫战行动计划符合性</w:t>
            </w:r>
          </w:p>
          <w:tbl>
            <w:tblPr>
              <w:tblStyle w:val="33"/>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09"/>
              <w:gridCol w:w="861"/>
              <w:gridCol w:w="4523"/>
              <w:gridCol w:w="966"/>
              <w:gridCol w:w="1008"/>
            </w:tblGrid>
            <w:tr w14:paraId="0AB077F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7" w:type="pct"/>
                  <w:gridSpan w:val="2"/>
                  <w:tcBorders>
                    <w:tl2br w:val="nil"/>
                    <w:tr2bl w:val="nil"/>
                  </w:tcBorders>
                  <w:noWrap w:val="0"/>
                  <w:vAlign w:val="center"/>
                </w:tcPr>
                <w:p w14:paraId="4A6D6D33">
                  <w:pPr>
                    <w:pStyle w:val="44"/>
                    <w:bidi w:val="0"/>
                    <w:rPr>
                      <w:rFonts w:hint="default" w:ascii="Times New Roman" w:hAnsi="Times New Roman" w:cs="Times New Roman"/>
                      <w:b/>
                      <w:bCs/>
                      <w:color w:val="auto"/>
                    </w:rPr>
                  </w:pPr>
                  <w:r>
                    <w:rPr>
                      <w:rFonts w:hint="default" w:ascii="Times New Roman" w:hAnsi="Times New Roman" w:cs="Times New Roman"/>
                      <w:b/>
                      <w:bCs/>
                      <w:color w:val="auto"/>
                    </w:rPr>
                    <w:t>分类</w:t>
                  </w:r>
                </w:p>
              </w:tc>
              <w:tc>
                <w:tcPr>
                  <w:tcW w:w="2911" w:type="pct"/>
                  <w:tcBorders>
                    <w:tl2br w:val="nil"/>
                    <w:tr2bl w:val="nil"/>
                  </w:tcBorders>
                  <w:noWrap w:val="0"/>
                  <w:vAlign w:val="center"/>
                </w:tcPr>
                <w:p w14:paraId="16F34BD1">
                  <w:pPr>
                    <w:pStyle w:val="44"/>
                    <w:bidi w:val="0"/>
                    <w:rPr>
                      <w:rFonts w:hint="default" w:ascii="Times New Roman" w:hAnsi="Times New Roman" w:cs="Times New Roman"/>
                      <w:b/>
                      <w:bCs/>
                      <w:color w:val="auto"/>
                    </w:rPr>
                  </w:pPr>
                  <w:r>
                    <w:rPr>
                      <w:rFonts w:hint="default" w:ascii="Times New Roman" w:hAnsi="Times New Roman" w:cs="Times New Roman"/>
                      <w:b/>
                      <w:bCs/>
                      <w:color w:val="auto"/>
                    </w:rPr>
                    <w:t>文件要求</w:t>
                  </w:r>
                </w:p>
              </w:tc>
              <w:tc>
                <w:tcPr>
                  <w:tcW w:w="621" w:type="pct"/>
                  <w:tcBorders>
                    <w:tl2br w:val="nil"/>
                    <w:tr2bl w:val="nil"/>
                  </w:tcBorders>
                  <w:noWrap w:val="0"/>
                  <w:vAlign w:val="center"/>
                </w:tcPr>
                <w:p w14:paraId="7001BF7F">
                  <w:pPr>
                    <w:pStyle w:val="44"/>
                    <w:bidi w:val="0"/>
                    <w:rPr>
                      <w:rFonts w:hint="default" w:ascii="Times New Roman" w:hAnsi="Times New Roman" w:cs="Times New Roman"/>
                      <w:b/>
                      <w:bCs/>
                      <w:color w:val="auto"/>
                    </w:rPr>
                  </w:pPr>
                  <w:r>
                    <w:rPr>
                      <w:rFonts w:hint="default" w:ascii="Times New Roman" w:hAnsi="Times New Roman" w:cs="Times New Roman"/>
                      <w:b/>
                      <w:bCs/>
                      <w:color w:val="auto"/>
                    </w:rPr>
                    <w:t>本项目情况</w:t>
                  </w:r>
                </w:p>
              </w:tc>
              <w:tc>
                <w:tcPr>
                  <w:tcW w:w="648" w:type="pct"/>
                  <w:tcBorders>
                    <w:tl2br w:val="nil"/>
                    <w:tr2bl w:val="nil"/>
                  </w:tcBorders>
                  <w:noWrap w:val="0"/>
                  <w:vAlign w:val="center"/>
                </w:tcPr>
                <w:p w14:paraId="55940F2F">
                  <w:pPr>
                    <w:pStyle w:val="44"/>
                    <w:bidi w:val="0"/>
                    <w:rPr>
                      <w:rFonts w:hint="default" w:ascii="Times New Roman" w:hAnsi="Times New Roman" w:cs="Times New Roman"/>
                      <w:b/>
                      <w:bCs/>
                      <w:color w:val="auto"/>
                    </w:rPr>
                  </w:pPr>
                  <w:r>
                    <w:rPr>
                      <w:rFonts w:hint="default" w:ascii="Times New Roman" w:hAnsi="Times New Roman" w:cs="Times New Roman"/>
                      <w:b/>
                      <w:bCs/>
                      <w:color w:val="auto"/>
                    </w:rPr>
                    <w:t>符合性</w:t>
                  </w:r>
                </w:p>
              </w:tc>
            </w:tr>
            <w:tr w14:paraId="419B2A1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3" w:type="pct"/>
                  <w:tcBorders>
                    <w:tl2br w:val="nil"/>
                    <w:tr2bl w:val="nil"/>
                  </w:tcBorders>
                  <w:noWrap w:val="0"/>
                  <w:vAlign w:val="center"/>
                </w:tcPr>
                <w:p w14:paraId="06A7E9DD">
                  <w:pPr>
                    <w:pStyle w:val="44"/>
                    <w:bidi w:val="0"/>
                    <w:rPr>
                      <w:rFonts w:hint="default" w:ascii="Times New Roman" w:hAnsi="Times New Roman" w:cs="Times New Roman"/>
                      <w:color w:val="auto"/>
                    </w:rPr>
                  </w:pPr>
                  <w:r>
                    <w:rPr>
                      <w:rFonts w:hint="default" w:ascii="Times New Roman" w:hAnsi="Times New Roman" w:cs="Times New Roman"/>
                      <w:color w:val="auto"/>
                      <w:lang w:val="en-US" w:eastAsia="zh-CN"/>
                    </w:rPr>
                    <w:t>蓝天</w:t>
                  </w:r>
                </w:p>
              </w:tc>
              <w:tc>
                <w:tcPr>
                  <w:tcW w:w="554" w:type="pct"/>
                  <w:tcBorders>
                    <w:tl2br w:val="nil"/>
                    <w:tr2bl w:val="nil"/>
                  </w:tcBorders>
                  <w:noWrap w:val="0"/>
                  <w:vAlign w:val="center"/>
                </w:tcPr>
                <w:p w14:paraId="4C8B5869">
                  <w:pPr>
                    <w:pStyle w:val="44"/>
                    <w:bidi w:val="0"/>
                    <w:rPr>
                      <w:rFonts w:hint="default" w:ascii="Times New Roman" w:hAnsi="Times New Roman" w:cs="Times New Roman"/>
                      <w:color w:val="auto"/>
                    </w:rPr>
                  </w:pPr>
                  <w:r>
                    <w:rPr>
                      <w:rFonts w:hint="default" w:ascii="Times New Roman" w:hAnsi="Times New Roman" w:cs="Times New Roman"/>
                      <w:color w:val="auto"/>
                      <w:lang w:val="en-US" w:eastAsia="zh-CN"/>
                    </w:rPr>
                    <w:t>淘汰低效落后产能</w:t>
                  </w:r>
                </w:p>
              </w:tc>
              <w:tc>
                <w:tcPr>
                  <w:tcW w:w="2911" w:type="pct"/>
                  <w:tcBorders>
                    <w:tl2br w:val="nil"/>
                    <w:tr2bl w:val="nil"/>
                  </w:tcBorders>
                  <w:noWrap w:val="0"/>
                  <w:vAlign w:val="center"/>
                </w:tcPr>
                <w:p w14:paraId="35C3071F">
                  <w:pPr>
                    <w:pStyle w:val="44"/>
                    <w:bidi w:val="0"/>
                    <w:rPr>
                      <w:rFonts w:hint="default" w:ascii="Times New Roman" w:hAnsi="Times New Roman" w:cs="Times New Roman"/>
                      <w:color w:val="auto"/>
                    </w:rPr>
                  </w:pPr>
                  <w:r>
                    <w:rPr>
                      <w:rFonts w:hint="default" w:ascii="Times New Roman" w:hAnsi="Times New Roman" w:cs="Times New Roman"/>
                      <w:color w:val="auto"/>
                      <w:lang w:eastAsia="en-US"/>
                    </w:rPr>
                    <w:t>严格项目准入，高耗能、高排放（以下简称“</w:t>
                  </w:r>
                  <w:r>
                    <w:rPr>
                      <w:rFonts w:hint="default" w:ascii="Times New Roman" w:hAnsi="Times New Roman" w:cs="Times New Roman"/>
                      <w:color w:val="auto"/>
                      <w:lang w:val="en-US" w:eastAsia="zh-CN"/>
                    </w:rPr>
                    <w:t>两</w:t>
                  </w:r>
                  <w:r>
                    <w:rPr>
                      <w:rFonts w:hint="default" w:ascii="Times New Roman" w:hAnsi="Times New Roman" w:cs="Times New Roman"/>
                      <w:color w:val="auto"/>
                      <w:lang w:eastAsia="en-US"/>
                    </w:rPr>
                    <w:t>高”）项目建设做到产能减量、能耗减量、煤炭减量、碳排放减量和污染物排放减量“五个减量”替代。有序推进“两高”项目清理工作，确保“三个坚决”落实到位，未纳入国家规划的炼油、乙烯、对二甲苯、煤制油气项目，一律不得建设。</w:t>
                  </w:r>
                </w:p>
              </w:tc>
              <w:tc>
                <w:tcPr>
                  <w:tcW w:w="621" w:type="pct"/>
                  <w:tcBorders>
                    <w:tl2br w:val="nil"/>
                    <w:tr2bl w:val="nil"/>
                  </w:tcBorders>
                  <w:noWrap w:val="0"/>
                  <w:vAlign w:val="center"/>
                </w:tcPr>
                <w:p w14:paraId="6C1D665D">
                  <w:pPr>
                    <w:pStyle w:val="44"/>
                    <w:bidi w:val="0"/>
                    <w:rPr>
                      <w:rFonts w:hint="default" w:ascii="Times New Roman" w:hAnsi="Times New Roman" w:cs="Times New Roman"/>
                      <w:color w:val="auto"/>
                    </w:rPr>
                  </w:pPr>
                  <w:r>
                    <w:rPr>
                      <w:rFonts w:hint="default" w:ascii="Times New Roman" w:hAnsi="Times New Roman" w:cs="Times New Roman"/>
                      <w:color w:val="auto"/>
                      <w:lang w:val="en-US" w:eastAsia="zh-CN"/>
                    </w:rPr>
                    <w:t>本项目不属于两高项目。</w:t>
                  </w:r>
                </w:p>
              </w:tc>
              <w:tc>
                <w:tcPr>
                  <w:tcW w:w="648" w:type="pct"/>
                  <w:tcBorders>
                    <w:tl2br w:val="nil"/>
                    <w:tr2bl w:val="nil"/>
                  </w:tcBorders>
                  <w:noWrap w:val="0"/>
                  <w:vAlign w:val="center"/>
                </w:tcPr>
                <w:p w14:paraId="466972D2">
                  <w:pPr>
                    <w:pStyle w:val="44"/>
                    <w:bidi w:val="0"/>
                    <w:rPr>
                      <w:rFonts w:hint="default" w:ascii="Times New Roman" w:hAnsi="Times New Roman" w:cs="Times New Roman"/>
                      <w:color w:val="auto"/>
                    </w:rPr>
                  </w:pPr>
                  <w:r>
                    <w:rPr>
                      <w:rFonts w:hint="default" w:ascii="Times New Roman" w:hAnsi="Times New Roman" w:cs="Times New Roman"/>
                      <w:color w:val="auto"/>
                    </w:rPr>
                    <w:t>符合</w:t>
                  </w:r>
                </w:p>
              </w:tc>
            </w:tr>
            <w:tr w14:paraId="2187F9A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3" w:type="pct"/>
                  <w:vMerge w:val="restart"/>
                  <w:tcBorders>
                    <w:tl2br w:val="nil"/>
                    <w:tr2bl w:val="nil"/>
                  </w:tcBorders>
                  <w:noWrap w:val="0"/>
                  <w:vAlign w:val="center"/>
                </w:tcPr>
                <w:p w14:paraId="0F86C4A7">
                  <w:pPr>
                    <w:pStyle w:val="44"/>
                    <w:bidi w:val="0"/>
                    <w:rPr>
                      <w:rFonts w:hint="default" w:ascii="Times New Roman" w:hAnsi="Times New Roman" w:cs="Times New Roman"/>
                      <w:color w:val="auto"/>
                    </w:rPr>
                  </w:pPr>
                  <w:r>
                    <w:rPr>
                      <w:rFonts w:hint="default" w:ascii="Times New Roman" w:hAnsi="Times New Roman" w:cs="Times New Roman"/>
                      <w:color w:val="auto"/>
                    </w:rPr>
                    <w:t>碧水</w:t>
                  </w:r>
                </w:p>
              </w:tc>
              <w:tc>
                <w:tcPr>
                  <w:tcW w:w="554" w:type="pct"/>
                  <w:vMerge w:val="restart"/>
                  <w:tcBorders>
                    <w:tl2br w:val="nil"/>
                    <w:tr2bl w:val="nil"/>
                  </w:tcBorders>
                  <w:noWrap w:val="0"/>
                  <w:vAlign w:val="center"/>
                </w:tcPr>
                <w:p w14:paraId="6EB5947F">
                  <w:pPr>
                    <w:pStyle w:val="44"/>
                    <w:bidi w:val="0"/>
                    <w:rPr>
                      <w:rFonts w:hint="default" w:ascii="Times New Roman" w:hAnsi="Times New Roman" w:cs="Times New Roman"/>
                      <w:color w:val="auto"/>
                    </w:rPr>
                  </w:pPr>
                  <w:r>
                    <w:rPr>
                      <w:rFonts w:hint="default" w:ascii="Times New Roman" w:hAnsi="Times New Roman" w:cs="Times New Roman"/>
                      <w:color w:val="auto"/>
                    </w:rPr>
                    <w:t>精准治理工业企业污染</w:t>
                  </w:r>
                </w:p>
              </w:tc>
              <w:tc>
                <w:tcPr>
                  <w:tcW w:w="2911" w:type="pct"/>
                  <w:tcBorders>
                    <w:tl2br w:val="nil"/>
                    <w:tr2bl w:val="nil"/>
                  </w:tcBorders>
                  <w:noWrap w:val="0"/>
                  <w:vAlign w:val="center"/>
                </w:tcPr>
                <w:p w14:paraId="36DE04B0">
                  <w:pPr>
                    <w:pStyle w:val="44"/>
                    <w:bidi w:val="0"/>
                    <w:rPr>
                      <w:rFonts w:hint="default" w:ascii="Times New Roman" w:hAnsi="Times New Roman" w:cs="Times New Roman"/>
                      <w:color w:val="auto"/>
                    </w:rPr>
                  </w:pPr>
                  <w:r>
                    <w:rPr>
                      <w:rFonts w:hint="default" w:ascii="Times New Roman" w:hAnsi="Times New Roman" w:cs="Times New Roman"/>
                      <w:color w:val="auto"/>
                    </w:rPr>
                    <w:t>聚焦汇入南四湖、东平湖等重点湖库以及莱州湾、丁字湾、胶州湾等重点海湾的河流，开展涉氮涉磷等重点行业污染治理。开展硫酸盐、氟化物等特征污染物治理，2021年8月底前，梳理形成全省硫酸盐与氟化物浓度较高河流(河段)清单，提升汇水范围内涉硫涉氟工业企业特征污染物治理能力。南四湖流域以5条硫酸盐浓度和2条氟化物浓度较高的河流为重点，实施流域内造纸、化工、玻璃、煤矿等行业的涉硫涉氟工矿企业特征污染物治理</w:t>
                  </w:r>
                </w:p>
              </w:tc>
              <w:tc>
                <w:tcPr>
                  <w:tcW w:w="621" w:type="pct"/>
                  <w:vMerge w:val="restart"/>
                  <w:tcBorders>
                    <w:tl2br w:val="nil"/>
                    <w:tr2bl w:val="nil"/>
                  </w:tcBorders>
                  <w:noWrap w:val="0"/>
                  <w:vAlign w:val="center"/>
                </w:tcPr>
                <w:p w14:paraId="7632DD29">
                  <w:pPr>
                    <w:pStyle w:val="44"/>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项目生活污水经化粪池预处理后由环卫部门清运，冷却水循环使用不外排。</w:t>
                  </w:r>
                </w:p>
              </w:tc>
              <w:tc>
                <w:tcPr>
                  <w:tcW w:w="648" w:type="pct"/>
                  <w:vMerge w:val="restart"/>
                  <w:tcBorders>
                    <w:tl2br w:val="nil"/>
                    <w:tr2bl w:val="nil"/>
                  </w:tcBorders>
                  <w:noWrap w:val="0"/>
                  <w:vAlign w:val="center"/>
                </w:tcPr>
                <w:p w14:paraId="210167C6">
                  <w:pPr>
                    <w:pStyle w:val="44"/>
                    <w:bidi w:val="0"/>
                    <w:rPr>
                      <w:rFonts w:hint="default" w:ascii="Times New Roman" w:hAnsi="Times New Roman" w:cs="Times New Roman"/>
                      <w:color w:val="auto"/>
                    </w:rPr>
                  </w:pPr>
                  <w:r>
                    <w:rPr>
                      <w:rFonts w:hint="default" w:ascii="Times New Roman" w:hAnsi="Times New Roman" w:cs="Times New Roman"/>
                      <w:color w:val="auto"/>
                    </w:rPr>
                    <w:t>符合</w:t>
                  </w:r>
                </w:p>
              </w:tc>
            </w:tr>
            <w:tr w14:paraId="378C690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3" w:type="pct"/>
                  <w:vMerge w:val="continue"/>
                  <w:tcBorders>
                    <w:tl2br w:val="nil"/>
                    <w:tr2bl w:val="nil"/>
                  </w:tcBorders>
                  <w:noWrap w:val="0"/>
                  <w:vAlign w:val="center"/>
                </w:tcPr>
                <w:p w14:paraId="56284F3B">
                  <w:pPr>
                    <w:pStyle w:val="44"/>
                    <w:bidi w:val="0"/>
                    <w:rPr>
                      <w:rFonts w:hint="default" w:ascii="Times New Roman" w:hAnsi="Times New Roman" w:cs="Times New Roman"/>
                      <w:color w:val="auto"/>
                    </w:rPr>
                  </w:pPr>
                </w:p>
              </w:tc>
              <w:tc>
                <w:tcPr>
                  <w:tcW w:w="554" w:type="pct"/>
                  <w:vMerge w:val="continue"/>
                  <w:tcBorders>
                    <w:tl2br w:val="nil"/>
                    <w:tr2bl w:val="nil"/>
                  </w:tcBorders>
                  <w:noWrap w:val="0"/>
                  <w:vAlign w:val="center"/>
                </w:tcPr>
                <w:p w14:paraId="3EA909D9">
                  <w:pPr>
                    <w:pStyle w:val="44"/>
                    <w:bidi w:val="0"/>
                    <w:rPr>
                      <w:rFonts w:hint="default" w:ascii="Times New Roman" w:hAnsi="Times New Roman" w:cs="Times New Roman"/>
                      <w:color w:val="auto"/>
                    </w:rPr>
                  </w:pPr>
                </w:p>
              </w:tc>
              <w:tc>
                <w:tcPr>
                  <w:tcW w:w="2911" w:type="pct"/>
                  <w:tcBorders>
                    <w:tl2br w:val="nil"/>
                    <w:tr2bl w:val="nil"/>
                  </w:tcBorders>
                  <w:noWrap w:val="0"/>
                  <w:vAlign w:val="center"/>
                </w:tcPr>
                <w:p w14:paraId="085302B1">
                  <w:pPr>
                    <w:pStyle w:val="44"/>
                    <w:bidi w:val="0"/>
                    <w:rPr>
                      <w:rFonts w:hint="default" w:ascii="Times New Roman" w:hAnsi="Times New Roman" w:cs="Times New Roman"/>
                      <w:color w:val="auto"/>
                    </w:rPr>
                  </w:pPr>
                  <w:r>
                    <w:rPr>
                      <w:rFonts w:hint="default" w:ascii="Times New Roman" w:hAnsi="Times New Roman" w:cs="Times New Roman"/>
                      <w:color w:val="auto"/>
                    </w:rPr>
                    <w:t>继续推进化工、有色金属、农副食品加工、印染、制革、原料药制造、电镀、冶金等行业退城入园，提高工业园区集聚水平。指导工业园区对污水实施科学收集、分类处理，梯级循环利用工业废水。逐步推进园区纳管企业废水“一企一管、明管输送、实时监控，统一调度”，第一时间锁定园区集中污水处理设施超标来水源头，及时有效处理处置。大力推进生态工业园区建设，对获得国家和省级命名的生态工业园区给予政策支持。鼓励有条件的园区引进“环保管家”服务，提供定制化、全产业链的第三方环保服务，实现园区污水精细化、专业化管理。</w:t>
                  </w:r>
                </w:p>
              </w:tc>
              <w:tc>
                <w:tcPr>
                  <w:tcW w:w="621" w:type="pct"/>
                  <w:vMerge w:val="continue"/>
                  <w:tcBorders>
                    <w:tl2br w:val="nil"/>
                    <w:tr2bl w:val="nil"/>
                  </w:tcBorders>
                  <w:noWrap w:val="0"/>
                  <w:vAlign w:val="center"/>
                </w:tcPr>
                <w:p w14:paraId="5B6124EC">
                  <w:pPr>
                    <w:pStyle w:val="44"/>
                    <w:bidi w:val="0"/>
                    <w:rPr>
                      <w:rFonts w:hint="default" w:ascii="Times New Roman" w:hAnsi="Times New Roman" w:cs="Times New Roman"/>
                      <w:color w:val="auto"/>
                    </w:rPr>
                  </w:pPr>
                </w:p>
              </w:tc>
              <w:tc>
                <w:tcPr>
                  <w:tcW w:w="648" w:type="pct"/>
                  <w:vMerge w:val="continue"/>
                  <w:tcBorders>
                    <w:tl2br w:val="nil"/>
                    <w:tr2bl w:val="nil"/>
                  </w:tcBorders>
                  <w:noWrap w:val="0"/>
                  <w:vAlign w:val="center"/>
                </w:tcPr>
                <w:p w14:paraId="219EAF7E">
                  <w:pPr>
                    <w:pStyle w:val="44"/>
                    <w:bidi w:val="0"/>
                    <w:rPr>
                      <w:rFonts w:hint="default" w:ascii="Times New Roman" w:hAnsi="Times New Roman" w:cs="Times New Roman"/>
                      <w:color w:val="auto"/>
                    </w:rPr>
                  </w:pPr>
                </w:p>
              </w:tc>
            </w:tr>
            <w:tr w14:paraId="3F63A35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3" w:type="pct"/>
                  <w:vMerge w:val="restart"/>
                  <w:tcBorders>
                    <w:tl2br w:val="nil"/>
                    <w:tr2bl w:val="nil"/>
                  </w:tcBorders>
                  <w:noWrap w:val="0"/>
                  <w:vAlign w:val="center"/>
                </w:tcPr>
                <w:p w14:paraId="65E9792D">
                  <w:pPr>
                    <w:pStyle w:val="44"/>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净土</w:t>
                  </w:r>
                </w:p>
              </w:tc>
              <w:tc>
                <w:tcPr>
                  <w:tcW w:w="554" w:type="pct"/>
                  <w:tcBorders>
                    <w:tl2br w:val="nil"/>
                    <w:tr2bl w:val="nil"/>
                  </w:tcBorders>
                  <w:noWrap w:val="0"/>
                  <w:vAlign w:val="center"/>
                </w:tcPr>
                <w:p w14:paraId="0B3C2A4C">
                  <w:pPr>
                    <w:pStyle w:val="44"/>
                    <w:bidi w:val="0"/>
                    <w:rPr>
                      <w:rFonts w:hint="default" w:ascii="Times New Roman" w:hAnsi="Times New Roman" w:cs="Times New Roman"/>
                      <w:color w:val="auto"/>
                    </w:rPr>
                  </w:pPr>
                  <w:r>
                    <w:rPr>
                      <w:rFonts w:hint="default" w:ascii="Times New Roman" w:hAnsi="Times New Roman" w:cs="Times New Roman"/>
                      <w:color w:val="auto"/>
                      <w:lang w:eastAsia="en-US"/>
                    </w:rPr>
                    <w:t>加强土壤污染重点监管单位环境监管</w:t>
                  </w:r>
                </w:p>
              </w:tc>
              <w:tc>
                <w:tcPr>
                  <w:tcW w:w="2911" w:type="pct"/>
                  <w:tcBorders>
                    <w:tl2br w:val="nil"/>
                    <w:tr2bl w:val="nil"/>
                  </w:tcBorders>
                  <w:noWrap w:val="0"/>
                  <w:vAlign w:val="center"/>
                </w:tcPr>
                <w:p w14:paraId="6FBE587D">
                  <w:pPr>
                    <w:pStyle w:val="44"/>
                    <w:bidi w:val="0"/>
                    <w:rPr>
                      <w:rFonts w:hint="default" w:ascii="Times New Roman" w:hAnsi="Times New Roman" w:cs="Times New Roman"/>
                      <w:color w:val="auto"/>
                    </w:rPr>
                  </w:pPr>
                  <w:r>
                    <w:rPr>
                      <w:rFonts w:hint="default" w:ascii="Times New Roman" w:hAnsi="Times New Roman" w:cs="Times New Roman"/>
                      <w:color w:val="auto"/>
                      <w:lang w:val="en-US" w:eastAsia="zh-CN"/>
                    </w:rPr>
                    <w:t>每年更新土壤污染重点监管单位名录并向社会公开。全省1415家土壤污染重点监管单位在2021年年底前应完成一轮隐患排查，制定整改方案并落实。新增纳入土壤污染重点监管单位名录的单位，在一年内应开展隐患排查，2025年年底前，至少完成一轮隐患排查。土壤污染重点监管单位应制定、实施自行监测方案，将监测数据公开并报生态环境部门；严格控制有毒有害物质排放，并按年度向生态环境部门报告排放情况；法定义务在排污许可证发放和变更时应予以载明。</w:t>
                  </w:r>
                </w:p>
              </w:tc>
              <w:tc>
                <w:tcPr>
                  <w:tcW w:w="621" w:type="pct"/>
                  <w:tcBorders>
                    <w:tl2br w:val="nil"/>
                    <w:tr2bl w:val="nil"/>
                  </w:tcBorders>
                  <w:noWrap w:val="0"/>
                  <w:vAlign w:val="center"/>
                </w:tcPr>
                <w:p w14:paraId="5F9DD1EA">
                  <w:pPr>
                    <w:pStyle w:val="44"/>
                    <w:bidi w:val="0"/>
                    <w:rPr>
                      <w:rFonts w:hint="default" w:ascii="Times New Roman" w:hAnsi="Times New Roman" w:cs="Times New Roman"/>
                      <w:color w:val="auto"/>
                    </w:rPr>
                  </w:pPr>
                  <w:r>
                    <w:rPr>
                      <w:rFonts w:hint="default" w:ascii="Times New Roman" w:hAnsi="Times New Roman" w:cs="Times New Roman"/>
                      <w:color w:val="auto"/>
                      <w:lang w:val="en-US" w:eastAsia="zh-CN"/>
                    </w:rPr>
                    <w:t>项目拟采取完善的防渗措施，防止土壤污染。</w:t>
                  </w:r>
                </w:p>
              </w:tc>
              <w:tc>
                <w:tcPr>
                  <w:tcW w:w="648" w:type="pct"/>
                  <w:vMerge w:val="restart"/>
                  <w:tcBorders>
                    <w:tl2br w:val="nil"/>
                    <w:tr2bl w:val="nil"/>
                  </w:tcBorders>
                  <w:noWrap w:val="0"/>
                  <w:vAlign w:val="center"/>
                </w:tcPr>
                <w:p w14:paraId="7805E235">
                  <w:pPr>
                    <w:pStyle w:val="44"/>
                    <w:bidi w:val="0"/>
                    <w:rPr>
                      <w:rFonts w:hint="default" w:ascii="Times New Roman" w:hAnsi="Times New Roman" w:cs="Times New Roman"/>
                      <w:color w:val="auto"/>
                    </w:rPr>
                  </w:pPr>
                  <w:r>
                    <w:rPr>
                      <w:rFonts w:hint="default" w:ascii="Times New Roman" w:hAnsi="Times New Roman" w:cs="Times New Roman"/>
                      <w:color w:val="auto"/>
                    </w:rPr>
                    <w:t>符合</w:t>
                  </w:r>
                </w:p>
              </w:tc>
            </w:tr>
            <w:tr w14:paraId="7E36C41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46" w:hRule="atLeast"/>
                <w:jc w:val="center"/>
              </w:trPr>
              <w:tc>
                <w:tcPr>
                  <w:tcW w:w="263" w:type="pct"/>
                  <w:vMerge w:val="continue"/>
                  <w:tcBorders>
                    <w:tl2br w:val="nil"/>
                    <w:tr2bl w:val="nil"/>
                  </w:tcBorders>
                  <w:noWrap w:val="0"/>
                  <w:vAlign w:val="center"/>
                </w:tcPr>
                <w:p w14:paraId="383C9C9C">
                  <w:pPr>
                    <w:pStyle w:val="44"/>
                    <w:bidi w:val="0"/>
                    <w:rPr>
                      <w:rFonts w:hint="default" w:ascii="Times New Roman" w:hAnsi="Times New Roman" w:cs="Times New Roman"/>
                      <w:color w:val="auto"/>
                    </w:rPr>
                  </w:pPr>
                </w:p>
              </w:tc>
              <w:tc>
                <w:tcPr>
                  <w:tcW w:w="554" w:type="pct"/>
                  <w:tcBorders>
                    <w:tl2br w:val="nil"/>
                    <w:tr2bl w:val="nil"/>
                  </w:tcBorders>
                  <w:noWrap w:val="0"/>
                  <w:vAlign w:val="center"/>
                </w:tcPr>
                <w:p w14:paraId="4BB9BBD1">
                  <w:pPr>
                    <w:pStyle w:val="44"/>
                    <w:bidi w:val="0"/>
                    <w:rPr>
                      <w:rFonts w:hint="default" w:ascii="Times New Roman" w:hAnsi="Times New Roman" w:cs="Times New Roman"/>
                      <w:color w:val="auto"/>
                    </w:rPr>
                  </w:pPr>
                  <w:r>
                    <w:rPr>
                      <w:rFonts w:hint="default" w:ascii="Times New Roman" w:hAnsi="Times New Roman" w:cs="Times New Roman"/>
                      <w:color w:val="auto"/>
                      <w:lang w:val="en-US" w:eastAsia="zh-CN"/>
                    </w:rPr>
                    <w:t>加强固体废物环境管理</w:t>
                  </w:r>
                </w:p>
              </w:tc>
              <w:tc>
                <w:tcPr>
                  <w:tcW w:w="2911" w:type="pct"/>
                  <w:tcBorders>
                    <w:tl2br w:val="nil"/>
                    <w:tr2bl w:val="nil"/>
                  </w:tcBorders>
                  <w:noWrap w:val="0"/>
                  <w:vAlign w:val="center"/>
                </w:tcPr>
                <w:p w14:paraId="684BF763">
                  <w:pPr>
                    <w:pStyle w:val="44"/>
                    <w:bidi w:val="0"/>
                    <w:rPr>
                      <w:rFonts w:hint="default" w:ascii="Times New Roman" w:hAnsi="Times New Roman" w:cs="Times New Roman"/>
                      <w:color w:val="auto"/>
                    </w:rPr>
                  </w:pPr>
                  <w:r>
                    <w:rPr>
                      <w:rFonts w:hint="default" w:ascii="Times New Roman" w:hAnsi="Times New Roman" w:cs="Times New Roman"/>
                      <w:color w:val="auto"/>
                      <w:lang w:val="en-US" w:eastAsia="zh-CN"/>
                    </w:rPr>
                    <w:t>构建集污水、垃圾、固废、危废、医废处理处置设施和监测监管能力于一体的环境基础设施体系，形成由城市向建制镇和乡村延伸覆盖的环境基础设施网络。到2025年，试点城市建立起“无废城市”建设综合管理制度和监管体系。</w:t>
                  </w:r>
                </w:p>
              </w:tc>
              <w:tc>
                <w:tcPr>
                  <w:tcW w:w="621" w:type="pct"/>
                  <w:tcBorders>
                    <w:tl2br w:val="nil"/>
                    <w:tr2bl w:val="nil"/>
                  </w:tcBorders>
                  <w:noWrap w:val="0"/>
                  <w:vAlign w:val="center"/>
                </w:tcPr>
                <w:p w14:paraId="4492A8C1">
                  <w:pPr>
                    <w:pStyle w:val="44"/>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项目产生的一般固废、危险废物均得到合理处置。</w:t>
                  </w:r>
                </w:p>
              </w:tc>
              <w:tc>
                <w:tcPr>
                  <w:tcW w:w="648" w:type="pct"/>
                  <w:vMerge w:val="continue"/>
                  <w:tcBorders>
                    <w:tl2br w:val="nil"/>
                    <w:tr2bl w:val="nil"/>
                  </w:tcBorders>
                  <w:noWrap w:val="0"/>
                  <w:vAlign w:val="center"/>
                </w:tcPr>
                <w:p w14:paraId="02DDC137">
                  <w:pPr>
                    <w:pStyle w:val="44"/>
                    <w:bidi w:val="0"/>
                    <w:rPr>
                      <w:rFonts w:hint="default" w:ascii="Times New Roman" w:hAnsi="Times New Roman" w:cs="Times New Roman"/>
                      <w:color w:val="auto"/>
                    </w:rPr>
                  </w:pPr>
                </w:p>
              </w:tc>
            </w:tr>
          </w:tbl>
          <w:p w14:paraId="1ADE2028">
            <w:pPr>
              <w:autoSpaceDE w:val="0"/>
              <w:autoSpaceDN w:val="0"/>
              <w:adjustRightInd w:val="0"/>
              <w:snapToGrid w:val="0"/>
              <w:ind w:firstLine="480" w:firstLineChars="200"/>
              <w:rPr>
                <w:rFonts w:hint="default" w:ascii="Times New Roman" w:hAnsi="Times New Roman" w:cs="Times New Roman"/>
                <w:color w:val="auto"/>
                <w:szCs w:val="24"/>
              </w:rPr>
            </w:pPr>
            <w:r>
              <w:rPr>
                <w:rFonts w:hint="default" w:ascii="Times New Roman" w:hAnsi="Times New Roman" w:cs="Times New Roman"/>
                <w:color w:val="auto"/>
                <w:szCs w:val="24"/>
              </w:rPr>
              <w:t>由上表可知，本项目的建设总体符合《山东省深入打好蓝天、碧水、净土保卫战行动计划（2021-2025》》的各项要求。</w:t>
            </w:r>
          </w:p>
          <w:p w14:paraId="5426C544">
            <w:pPr>
              <w:pStyle w:val="4"/>
              <w:numPr>
                <w:ilvl w:val="0"/>
                <w:numId w:val="0"/>
              </w:numPr>
              <w:bidi w:val="0"/>
              <w:ind w:leftChars="0" w:firstLine="480" w:firstLineChars="200"/>
              <w:rPr>
                <w:rFonts w:hint="default" w:ascii="Times New Roman" w:hAnsi="Times New Roman" w:cs="Times New Roman"/>
                <w:color w:val="auto"/>
              </w:rPr>
            </w:pPr>
            <w:r>
              <w:rPr>
                <w:rFonts w:hint="default" w:ascii="Times New Roman" w:hAnsi="Times New Roman" w:cs="Times New Roman"/>
                <w:color w:val="auto"/>
                <w:lang w:val="en-US" w:eastAsia="zh-CN"/>
              </w:rPr>
              <w:t>5</w:t>
            </w:r>
            <w:r>
              <w:rPr>
                <w:rFonts w:hint="default" w:ascii="Times New Roman" w:hAnsi="Times New Roman" w:cs="Times New Roman"/>
                <w:color w:val="auto"/>
              </w:rPr>
              <w:t>、与《山东省空气质量持续改善暨第三轮“四减四增”行动实施方案》（鲁政字〔2024〕102号）符合性分析</w:t>
            </w:r>
          </w:p>
          <w:p w14:paraId="6BB022EC">
            <w:pPr>
              <w:pStyle w:val="47"/>
              <w:bidi w:val="0"/>
              <w:rPr>
                <w:rFonts w:hint="default" w:ascii="Times New Roman" w:hAnsi="Times New Roman" w:cs="Times New Roman"/>
                <w:color w:val="auto"/>
              </w:rPr>
            </w:pPr>
            <w:r>
              <w:rPr>
                <w:rFonts w:hint="default" w:ascii="Times New Roman" w:hAnsi="Times New Roman" w:cs="Times New Roman"/>
                <w:color w:val="auto"/>
              </w:rPr>
              <w:t>表1-</w:t>
            </w:r>
            <w:r>
              <w:rPr>
                <w:rFonts w:hint="default" w:ascii="Times New Roman" w:hAnsi="Times New Roman" w:cs="Times New Roman"/>
                <w:color w:val="auto"/>
                <w:lang w:val="en-US" w:eastAsia="zh-CN"/>
              </w:rPr>
              <w:t xml:space="preserve">6 </w:t>
            </w:r>
            <w:r>
              <w:rPr>
                <w:rFonts w:hint="default" w:ascii="Times New Roman" w:hAnsi="Times New Roman" w:cs="Times New Roman"/>
                <w:color w:val="auto"/>
              </w:rPr>
              <w:t>项目与山东省第三轮“四减四增”行动实施方案符合性</w:t>
            </w:r>
          </w:p>
          <w:tbl>
            <w:tblPr>
              <w:tblStyle w:val="33"/>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88"/>
              <w:gridCol w:w="4708"/>
              <w:gridCol w:w="1358"/>
              <w:gridCol w:w="913"/>
            </w:tblGrid>
            <w:tr w14:paraId="15F2F47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38" w:type="pct"/>
                  <w:gridSpan w:val="2"/>
                  <w:tcBorders>
                    <w:tl2br w:val="nil"/>
                    <w:tr2bl w:val="nil"/>
                  </w:tcBorders>
                  <w:noWrap w:val="0"/>
                  <w:vAlign w:val="center"/>
                </w:tcPr>
                <w:p w14:paraId="3A521400">
                  <w:pPr>
                    <w:pStyle w:val="44"/>
                    <w:bidi w:val="0"/>
                    <w:rPr>
                      <w:rFonts w:hint="default" w:ascii="Times New Roman" w:hAnsi="Times New Roman" w:cs="Times New Roman"/>
                      <w:b/>
                      <w:bCs/>
                      <w:color w:val="auto"/>
                    </w:rPr>
                  </w:pPr>
                  <w:r>
                    <w:rPr>
                      <w:rFonts w:hint="default" w:ascii="Times New Roman" w:hAnsi="Times New Roman" w:cs="Times New Roman"/>
                      <w:b/>
                      <w:bCs/>
                      <w:color w:val="auto"/>
                    </w:rPr>
                    <w:t>要求</w:t>
                  </w:r>
                </w:p>
              </w:tc>
              <w:tc>
                <w:tcPr>
                  <w:tcW w:w="874" w:type="pct"/>
                  <w:tcBorders>
                    <w:tl2br w:val="nil"/>
                    <w:tr2bl w:val="nil"/>
                  </w:tcBorders>
                  <w:noWrap w:val="0"/>
                  <w:vAlign w:val="center"/>
                </w:tcPr>
                <w:p w14:paraId="4B32828C">
                  <w:pPr>
                    <w:pStyle w:val="44"/>
                    <w:bidi w:val="0"/>
                    <w:rPr>
                      <w:rFonts w:hint="default" w:ascii="Times New Roman" w:hAnsi="Times New Roman" w:cs="Times New Roman"/>
                      <w:b/>
                      <w:bCs/>
                      <w:color w:val="auto"/>
                    </w:rPr>
                  </w:pPr>
                  <w:r>
                    <w:rPr>
                      <w:rFonts w:hint="default" w:ascii="Times New Roman" w:hAnsi="Times New Roman" w:cs="Times New Roman"/>
                      <w:b/>
                      <w:bCs/>
                      <w:color w:val="auto"/>
                    </w:rPr>
                    <w:t>本项目情况</w:t>
                  </w:r>
                </w:p>
              </w:tc>
              <w:tc>
                <w:tcPr>
                  <w:tcW w:w="587" w:type="pct"/>
                  <w:tcBorders>
                    <w:tl2br w:val="nil"/>
                    <w:tr2bl w:val="nil"/>
                  </w:tcBorders>
                  <w:noWrap w:val="0"/>
                  <w:vAlign w:val="center"/>
                </w:tcPr>
                <w:p w14:paraId="02C89A21">
                  <w:pPr>
                    <w:pStyle w:val="44"/>
                    <w:bidi w:val="0"/>
                    <w:rPr>
                      <w:rFonts w:hint="default" w:ascii="Times New Roman" w:hAnsi="Times New Roman" w:cs="Times New Roman"/>
                      <w:b/>
                      <w:bCs/>
                      <w:color w:val="auto"/>
                    </w:rPr>
                  </w:pPr>
                  <w:r>
                    <w:rPr>
                      <w:rFonts w:hint="default" w:ascii="Times New Roman" w:hAnsi="Times New Roman" w:cs="Times New Roman"/>
                      <w:b/>
                      <w:bCs/>
                      <w:color w:val="auto"/>
                    </w:rPr>
                    <w:t>符合性</w:t>
                  </w:r>
                </w:p>
              </w:tc>
            </w:tr>
            <w:tr w14:paraId="0C52670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7" w:type="pct"/>
                  <w:tcBorders>
                    <w:tl2br w:val="nil"/>
                    <w:tr2bl w:val="nil"/>
                  </w:tcBorders>
                  <w:noWrap w:val="0"/>
                  <w:vAlign w:val="center"/>
                </w:tcPr>
                <w:p w14:paraId="445BE1DF">
                  <w:pPr>
                    <w:pStyle w:val="44"/>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总体要求</w:t>
                  </w:r>
                </w:p>
              </w:tc>
              <w:tc>
                <w:tcPr>
                  <w:tcW w:w="3030" w:type="pct"/>
                  <w:tcBorders>
                    <w:tl2br w:val="nil"/>
                    <w:tr2bl w:val="nil"/>
                  </w:tcBorders>
                  <w:noWrap w:val="0"/>
                  <w:vAlign w:val="center"/>
                </w:tcPr>
                <w:p w14:paraId="0AA2A544">
                  <w:pPr>
                    <w:pStyle w:val="44"/>
                    <w:bidi w:val="0"/>
                    <w:rPr>
                      <w:rFonts w:hint="default" w:ascii="Times New Roman" w:hAnsi="Times New Roman" w:cs="Times New Roman"/>
                      <w:color w:val="auto"/>
                      <w:lang w:eastAsia="zh-CN"/>
                    </w:rPr>
                  </w:pPr>
                  <w:r>
                    <w:rPr>
                      <w:rFonts w:hint="default" w:ascii="Times New Roman" w:hAnsi="Times New Roman" w:cs="Times New Roman"/>
                      <w:color w:val="auto"/>
                    </w:rPr>
                    <w:t>以改善空气质量为核心，以减少重污染天气和解决人民群众身边的突出大气环境问题为重点，以降低PM2.5浓度为主线，扎实推进产业、能源、交通、用地结构绿色低碳转型，持续做好氮氧化物（NOx）和挥发性有机物（VOCs）减排，深入推进高质量发展和高水平保护，实现环境效益、经济效益和社会效益多赢。以济南、淄博、枣庄、东营、潍坊、济宁、泰安、日照、临沂、德州、聊城、滨州、菏泽13市为重点区域。到2025年，全省细颗粒物（PM2.5）年均浓度达到38微克/立方米，空气质量优良天数比例达到72.5%，重度及以上污染天数比率不超过0.9%，NOx、VOCs重点工程减排量分别不低于15.07万吨、9.52万吨</w:t>
                  </w:r>
                  <w:r>
                    <w:rPr>
                      <w:rFonts w:hint="default" w:ascii="Times New Roman" w:hAnsi="Times New Roman" w:cs="Times New Roman"/>
                      <w:color w:val="auto"/>
                      <w:lang w:eastAsia="zh-CN"/>
                    </w:rPr>
                    <w:t>。</w:t>
                  </w:r>
                </w:p>
              </w:tc>
              <w:tc>
                <w:tcPr>
                  <w:tcW w:w="874" w:type="pct"/>
                  <w:tcBorders>
                    <w:tl2br w:val="nil"/>
                    <w:tr2bl w:val="nil"/>
                  </w:tcBorders>
                  <w:noWrap w:val="0"/>
                  <w:vAlign w:val="center"/>
                </w:tcPr>
                <w:p w14:paraId="726D906A">
                  <w:pPr>
                    <w:pStyle w:val="44"/>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项目不涉及</w:t>
                  </w:r>
                  <w:r>
                    <w:rPr>
                      <w:rFonts w:hint="default" w:ascii="Times New Roman" w:hAnsi="Times New Roman" w:cs="Times New Roman"/>
                      <w:color w:val="auto"/>
                    </w:rPr>
                    <w:t>NOx</w:t>
                  </w:r>
                  <w:r>
                    <w:rPr>
                      <w:rFonts w:hint="default" w:ascii="Times New Roman" w:hAnsi="Times New Roman" w:cs="Times New Roman"/>
                      <w:color w:val="auto"/>
                      <w:lang w:eastAsia="zh-CN"/>
                    </w:rPr>
                    <w:t>的</w:t>
                  </w:r>
                  <w:r>
                    <w:rPr>
                      <w:rFonts w:hint="default" w:ascii="Times New Roman" w:hAnsi="Times New Roman" w:cs="Times New Roman"/>
                      <w:color w:val="auto"/>
                      <w:lang w:val="en-US" w:eastAsia="zh-CN"/>
                    </w:rPr>
                    <w:t>排放。项目</w:t>
                  </w:r>
                  <w:r>
                    <w:rPr>
                      <w:rFonts w:hint="default" w:ascii="Times New Roman" w:hAnsi="Times New Roman" w:cs="Times New Roman"/>
                      <w:color w:val="auto"/>
                    </w:rPr>
                    <w:t>VOCs</w:t>
                  </w:r>
                  <w:r>
                    <w:rPr>
                      <w:rFonts w:hint="default" w:ascii="Times New Roman" w:hAnsi="Times New Roman" w:cs="Times New Roman"/>
                      <w:color w:val="auto"/>
                      <w:lang w:val="en-US" w:eastAsia="zh-CN"/>
                    </w:rPr>
                    <w:t>经过“冷凝+二级活性炭吸附装置”处理后达标排放。</w:t>
                  </w:r>
                </w:p>
              </w:tc>
              <w:tc>
                <w:tcPr>
                  <w:tcW w:w="587" w:type="pct"/>
                  <w:tcBorders>
                    <w:tl2br w:val="nil"/>
                    <w:tr2bl w:val="nil"/>
                  </w:tcBorders>
                  <w:noWrap w:val="0"/>
                  <w:vAlign w:val="center"/>
                </w:tcPr>
                <w:p w14:paraId="4FEADFA7">
                  <w:pPr>
                    <w:pStyle w:val="44"/>
                    <w:bidi w:val="0"/>
                    <w:rPr>
                      <w:rFonts w:hint="default" w:ascii="Times New Roman" w:hAnsi="Times New Roman" w:cs="Times New Roman"/>
                      <w:color w:val="auto"/>
                    </w:rPr>
                  </w:pPr>
                </w:p>
              </w:tc>
            </w:tr>
            <w:tr w14:paraId="778EB5E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7" w:type="pct"/>
                  <w:tcBorders>
                    <w:tl2br w:val="nil"/>
                    <w:tr2bl w:val="nil"/>
                  </w:tcBorders>
                  <w:noWrap w:val="0"/>
                  <w:vAlign w:val="center"/>
                </w:tcPr>
                <w:p w14:paraId="4096DA6E">
                  <w:pPr>
                    <w:pStyle w:val="44"/>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产业结构绿色升级行动</w:t>
                  </w:r>
                </w:p>
              </w:tc>
              <w:tc>
                <w:tcPr>
                  <w:tcW w:w="3030" w:type="pct"/>
                  <w:tcBorders>
                    <w:tl2br w:val="nil"/>
                    <w:tr2bl w:val="nil"/>
                  </w:tcBorders>
                  <w:noWrap w:val="0"/>
                  <w:vAlign w:val="center"/>
                </w:tcPr>
                <w:p w14:paraId="3F031AB4">
                  <w:pPr>
                    <w:pStyle w:val="44"/>
                    <w:bidi w:val="0"/>
                    <w:rPr>
                      <w:rFonts w:hint="default" w:ascii="Times New Roman" w:hAnsi="Times New Roman" w:cs="Times New Roman"/>
                      <w:color w:val="auto"/>
                      <w:lang w:eastAsia="zh-CN"/>
                    </w:rPr>
                  </w:pPr>
                  <w:r>
                    <w:rPr>
                      <w:rFonts w:hint="default" w:ascii="Times New Roman" w:hAnsi="Times New Roman" w:cs="Times New Roman"/>
                      <w:color w:val="auto"/>
                    </w:rPr>
                    <w:t>严格环境准入。坚决遏制高耗能、高排放、低水平项目盲目上马，新、改、扩建项目严格落实国家和省产业规划、产业政策、生态环境分区管控方案、规划环评、项目环评、规划水土保持审查、节能审查、产能置换、重点污染物总量控制、污染物排放区域削减、碳排放达峰目标等相关要求，原则上采用清洁运输方式。涉及产能置换的项目，被置换产能及其配套设施关停后，新建项目方可投产。严格落实国家粗钢产量调控目标。推行钢铁、焦化、烧结一体化布局，有序引导高炉—转炉长流程炼钢转型为电炉短流程炼钢，到2025年，电炉钢占比达到7%左右。多措并举治理环保领域低价低质中标乱象，营造公平竞争环境，推动产业健康有序发展</w:t>
                  </w:r>
                  <w:r>
                    <w:rPr>
                      <w:rFonts w:hint="default" w:ascii="Times New Roman" w:hAnsi="Times New Roman" w:cs="Times New Roman"/>
                      <w:color w:val="auto"/>
                      <w:lang w:eastAsia="zh-CN"/>
                    </w:rPr>
                    <w:t>。</w:t>
                  </w:r>
                </w:p>
              </w:tc>
              <w:tc>
                <w:tcPr>
                  <w:tcW w:w="874" w:type="pct"/>
                  <w:tcBorders>
                    <w:tl2br w:val="nil"/>
                    <w:tr2bl w:val="nil"/>
                  </w:tcBorders>
                  <w:noWrap w:val="0"/>
                  <w:vAlign w:val="center"/>
                </w:tcPr>
                <w:p w14:paraId="02B368D4">
                  <w:pPr>
                    <w:pStyle w:val="44"/>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项目不属于</w:t>
                  </w:r>
                  <w:r>
                    <w:rPr>
                      <w:rFonts w:hint="default" w:ascii="Times New Roman" w:hAnsi="Times New Roman" w:cs="Times New Roman"/>
                      <w:color w:val="auto"/>
                    </w:rPr>
                    <w:t>高耗能、高排放、低水平项目</w:t>
                  </w:r>
                  <w:r>
                    <w:rPr>
                      <w:rFonts w:hint="default" w:ascii="Times New Roman" w:hAnsi="Times New Roman" w:cs="Times New Roman"/>
                      <w:color w:val="auto"/>
                      <w:lang w:eastAsia="zh-CN"/>
                    </w:rPr>
                    <w:t>。</w:t>
                  </w:r>
                </w:p>
              </w:tc>
              <w:tc>
                <w:tcPr>
                  <w:tcW w:w="587" w:type="pct"/>
                  <w:tcBorders>
                    <w:tl2br w:val="nil"/>
                    <w:tr2bl w:val="nil"/>
                  </w:tcBorders>
                  <w:noWrap w:val="0"/>
                  <w:vAlign w:val="center"/>
                </w:tcPr>
                <w:p w14:paraId="00CE5798">
                  <w:pPr>
                    <w:pStyle w:val="44"/>
                    <w:bidi w:val="0"/>
                    <w:rPr>
                      <w:rFonts w:hint="default" w:ascii="Times New Roman" w:hAnsi="Times New Roman" w:cs="Times New Roman"/>
                      <w:color w:val="auto"/>
                    </w:rPr>
                  </w:pPr>
                  <w:r>
                    <w:rPr>
                      <w:rFonts w:hint="default" w:ascii="Times New Roman" w:hAnsi="Times New Roman" w:cs="Times New Roman"/>
                      <w:color w:val="auto"/>
                    </w:rPr>
                    <w:t>符合</w:t>
                  </w:r>
                </w:p>
              </w:tc>
            </w:tr>
            <w:tr w14:paraId="28F1E87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72" w:hRule="atLeast"/>
                <w:jc w:val="center"/>
              </w:trPr>
              <w:tc>
                <w:tcPr>
                  <w:tcW w:w="507" w:type="pct"/>
                  <w:tcBorders>
                    <w:tl2br w:val="nil"/>
                    <w:tr2bl w:val="nil"/>
                  </w:tcBorders>
                  <w:noWrap w:val="0"/>
                  <w:vAlign w:val="center"/>
                </w:tcPr>
                <w:p w14:paraId="291BFCF1">
                  <w:pPr>
                    <w:pStyle w:val="44"/>
                    <w:bidi w:val="0"/>
                    <w:rPr>
                      <w:rFonts w:hint="default" w:ascii="Times New Roman" w:hAnsi="Times New Roman" w:cs="Times New Roman"/>
                      <w:color w:val="auto"/>
                    </w:rPr>
                  </w:pPr>
                  <w:r>
                    <w:rPr>
                      <w:rFonts w:hint="default" w:ascii="Times New Roman" w:hAnsi="Times New Roman" w:cs="Times New Roman"/>
                      <w:color w:val="auto"/>
                    </w:rPr>
                    <w:t>能源结构清洁低碳高效发展行动</w:t>
                  </w:r>
                </w:p>
              </w:tc>
              <w:tc>
                <w:tcPr>
                  <w:tcW w:w="3030" w:type="pct"/>
                  <w:tcBorders>
                    <w:tl2br w:val="nil"/>
                    <w:tr2bl w:val="nil"/>
                  </w:tcBorders>
                  <w:noWrap w:val="0"/>
                  <w:vAlign w:val="center"/>
                </w:tcPr>
                <w:p w14:paraId="102D0163">
                  <w:pPr>
                    <w:pStyle w:val="44"/>
                    <w:bidi w:val="0"/>
                    <w:rPr>
                      <w:rFonts w:hint="default" w:ascii="Times New Roman" w:hAnsi="Times New Roman" w:cs="Times New Roman"/>
                      <w:color w:val="auto"/>
                      <w:lang w:eastAsia="zh-CN"/>
                    </w:rPr>
                  </w:pPr>
                  <w:r>
                    <w:rPr>
                      <w:rFonts w:hint="default" w:ascii="Times New Roman" w:hAnsi="Times New Roman" w:cs="Times New Roman"/>
                      <w:color w:val="auto"/>
                    </w:rPr>
                    <w:t>加快推进能源低碳转型。推进清洁能源倍增行动，到2025年，非化石能源消费比重提高到14%以上，电能占终端能源消费比重达30%以上，新能源和可再生能源发电装机达到1.2亿千瓦以上。持续推进“外电入鲁”。持续增加天然气生产供应，新增天然气优先保障居民生活和清洁取暖需求</w:t>
                  </w:r>
                  <w:r>
                    <w:rPr>
                      <w:rFonts w:hint="default" w:ascii="Times New Roman" w:hAnsi="Times New Roman" w:cs="Times New Roman"/>
                      <w:color w:val="auto"/>
                      <w:lang w:eastAsia="zh-CN"/>
                    </w:rPr>
                    <w:t>。</w:t>
                  </w:r>
                </w:p>
              </w:tc>
              <w:tc>
                <w:tcPr>
                  <w:tcW w:w="874" w:type="pct"/>
                  <w:tcBorders>
                    <w:tl2br w:val="nil"/>
                    <w:tr2bl w:val="nil"/>
                  </w:tcBorders>
                  <w:noWrap w:val="0"/>
                  <w:vAlign w:val="center"/>
                </w:tcPr>
                <w:p w14:paraId="31ED8582">
                  <w:pPr>
                    <w:pStyle w:val="44"/>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项目采用电加热。</w:t>
                  </w:r>
                </w:p>
              </w:tc>
              <w:tc>
                <w:tcPr>
                  <w:tcW w:w="587" w:type="pct"/>
                  <w:tcBorders>
                    <w:tl2br w:val="nil"/>
                    <w:tr2bl w:val="nil"/>
                  </w:tcBorders>
                  <w:noWrap w:val="0"/>
                  <w:vAlign w:val="center"/>
                </w:tcPr>
                <w:p w14:paraId="2FFE714F">
                  <w:pPr>
                    <w:pStyle w:val="44"/>
                    <w:bidi w:val="0"/>
                    <w:rPr>
                      <w:rFonts w:hint="default" w:ascii="Times New Roman" w:hAnsi="Times New Roman" w:cs="Times New Roman"/>
                      <w:color w:val="auto"/>
                    </w:rPr>
                  </w:pPr>
                  <w:r>
                    <w:rPr>
                      <w:rFonts w:hint="default" w:ascii="Times New Roman" w:hAnsi="Times New Roman" w:cs="Times New Roman"/>
                      <w:color w:val="auto"/>
                    </w:rPr>
                    <w:t>符合</w:t>
                  </w:r>
                </w:p>
              </w:tc>
            </w:tr>
          </w:tbl>
          <w:p w14:paraId="301E2CE3">
            <w:pPr>
              <w:autoSpaceDE w:val="0"/>
              <w:autoSpaceDN w:val="0"/>
              <w:adjustRightInd w:val="0"/>
              <w:snapToGrid w:val="0"/>
              <w:ind w:firstLine="480" w:firstLineChars="200"/>
              <w:rPr>
                <w:rFonts w:hint="default" w:ascii="Times New Roman" w:hAnsi="Times New Roman" w:cs="Times New Roman"/>
                <w:color w:val="auto"/>
                <w:szCs w:val="24"/>
              </w:rPr>
            </w:pPr>
            <w:r>
              <w:rPr>
                <w:rFonts w:hint="default" w:ascii="Times New Roman" w:hAnsi="Times New Roman" w:cs="Times New Roman"/>
                <w:color w:val="auto"/>
                <w:szCs w:val="24"/>
              </w:rPr>
              <w:t>由上表可知，项目符合《山东省空气质量持续改善暨第三轮“四减四增”行动实施方案》的要求。</w:t>
            </w:r>
          </w:p>
          <w:p w14:paraId="2F6C279F">
            <w:pPr>
              <w:pStyle w:val="5"/>
              <w:numPr>
                <w:ilvl w:val="0"/>
                <w:numId w:val="0"/>
              </w:numPr>
              <w:bidi w:val="0"/>
              <w:ind w:leftChars="0" w:firstLine="480" w:firstLineChars="20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6、与《山东省环境保护条例》符合性分析</w:t>
            </w:r>
          </w:p>
          <w:p w14:paraId="7E351610">
            <w:pPr>
              <w:pStyle w:val="45"/>
              <w:bidi w:val="0"/>
              <w:rPr>
                <w:rFonts w:hint="default" w:ascii="Times New Roman" w:hAnsi="Times New Roman" w:cs="Times New Roman"/>
                <w:b/>
                <w:bCs/>
                <w:color w:val="auto"/>
                <w:kern w:val="0"/>
                <w:lang w:val="en-US" w:eastAsia="zh-CN"/>
              </w:rPr>
            </w:pPr>
            <w:r>
              <w:rPr>
                <w:rFonts w:hint="default" w:ascii="Times New Roman" w:hAnsi="Times New Roman" w:cs="Times New Roman"/>
                <w:color w:val="auto"/>
                <w:lang w:val="en-US" w:eastAsia="zh-CN"/>
              </w:rPr>
              <w:t>表1-7 与《山东省环境保护条例》符合性分析</w:t>
            </w:r>
          </w:p>
          <w:tbl>
            <w:tblPr>
              <w:tblStyle w:val="33"/>
              <w:tblW w:w="4999" w:type="pct"/>
              <w:tblInd w:w="1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441"/>
              <w:gridCol w:w="2390"/>
              <w:gridCol w:w="937"/>
            </w:tblGrid>
            <w:tr w14:paraId="04ADF5F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58" w:type="pct"/>
                  <w:tcBorders>
                    <w:tl2br w:val="nil"/>
                    <w:tr2bl w:val="nil"/>
                  </w:tcBorders>
                  <w:noWrap w:val="0"/>
                  <w:vAlign w:val="center"/>
                </w:tcPr>
                <w:p w14:paraId="3120E7A2">
                  <w:pPr>
                    <w:pStyle w:val="44"/>
                    <w:bidi w:val="0"/>
                    <w:rPr>
                      <w:rFonts w:hint="default" w:ascii="Times New Roman" w:hAnsi="Times New Roman" w:cs="Times New Roman"/>
                      <w:b/>
                      <w:bCs/>
                      <w:color w:val="auto"/>
                    </w:rPr>
                  </w:pPr>
                  <w:r>
                    <w:rPr>
                      <w:rFonts w:hint="default" w:ascii="Times New Roman" w:hAnsi="Times New Roman" w:cs="Times New Roman"/>
                      <w:b/>
                      <w:bCs/>
                      <w:color w:val="auto"/>
                    </w:rPr>
                    <w:t>文件要求</w:t>
                  </w:r>
                </w:p>
              </w:tc>
              <w:tc>
                <w:tcPr>
                  <w:tcW w:w="1538" w:type="pct"/>
                  <w:tcBorders>
                    <w:tl2br w:val="nil"/>
                    <w:tr2bl w:val="nil"/>
                  </w:tcBorders>
                  <w:noWrap w:val="0"/>
                  <w:vAlign w:val="center"/>
                </w:tcPr>
                <w:p w14:paraId="29F91336">
                  <w:pPr>
                    <w:pStyle w:val="44"/>
                    <w:bidi w:val="0"/>
                    <w:rPr>
                      <w:rFonts w:hint="default" w:ascii="Times New Roman" w:hAnsi="Times New Roman" w:cs="Times New Roman"/>
                      <w:b/>
                      <w:bCs/>
                      <w:color w:val="auto"/>
                    </w:rPr>
                  </w:pPr>
                  <w:r>
                    <w:rPr>
                      <w:rFonts w:hint="default" w:ascii="Times New Roman" w:hAnsi="Times New Roman" w:cs="Times New Roman"/>
                      <w:b/>
                      <w:bCs/>
                      <w:color w:val="auto"/>
                    </w:rPr>
                    <w:t>本项目建设情况</w:t>
                  </w:r>
                </w:p>
              </w:tc>
              <w:tc>
                <w:tcPr>
                  <w:tcW w:w="602" w:type="pct"/>
                  <w:tcBorders>
                    <w:tl2br w:val="nil"/>
                    <w:tr2bl w:val="nil"/>
                  </w:tcBorders>
                  <w:noWrap w:val="0"/>
                  <w:vAlign w:val="center"/>
                </w:tcPr>
                <w:p w14:paraId="7C38AEE5">
                  <w:pPr>
                    <w:pStyle w:val="44"/>
                    <w:bidi w:val="0"/>
                    <w:rPr>
                      <w:rFonts w:hint="default" w:ascii="Times New Roman" w:hAnsi="Times New Roman" w:cs="Times New Roman"/>
                      <w:b/>
                      <w:bCs/>
                      <w:color w:val="auto"/>
                    </w:rPr>
                  </w:pPr>
                  <w:r>
                    <w:rPr>
                      <w:rFonts w:hint="default" w:ascii="Times New Roman" w:hAnsi="Times New Roman" w:cs="Times New Roman"/>
                      <w:b/>
                      <w:bCs/>
                      <w:color w:val="auto"/>
                    </w:rPr>
                    <w:t>符合性</w:t>
                  </w:r>
                </w:p>
              </w:tc>
            </w:tr>
            <w:tr w14:paraId="2D547D9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58" w:type="pct"/>
                  <w:tcBorders>
                    <w:tl2br w:val="nil"/>
                    <w:tr2bl w:val="nil"/>
                  </w:tcBorders>
                  <w:noWrap w:val="0"/>
                  <w:vAlign w:val="center"/>
                </w:tcPr>
                <w:p w14:paraId="473383A0">
                  <w:pPr>
                    <w:pStyle w:val="44"/>
                    <w:bidi w:val="0"/>
                    <w:rPr>
                      <w:rFonts w:hint="default" w:ascii="Times New Roman" w:hAnsi="Times New Roman" w:cs="Times New Roman"/>
                      <w:color w:val="auto"/>
                    </w:rPr>
                  </w:pPr>
                  <w:r>
                    <w:rPr>
                      <w:rFonts w:hint="default" w:ascii="Times New Roman" w:hAnsi="Times New Roman" w:cs="Times New Roman"/>
                      <w:color w:val="auto"/>
                    </w:rPr>
                    <w:t>第四十四条县级以上人民政府应当根据产业结构调整和产业布局优化的要求，引导工业企业入驻工业园区；新建有污染物排放的工业项目，除在安全生产等方面有特殊要求的以外，应当进入工业园区或者工业集聚区。</w:t>
                  </w:r>
                </w:p>
              </w:tc>
              <w:tc>
                <w:tcPr>
                  <w:tcW w:w="1538" w:type="pct"/>
                  <w:tcBorders>
                    <w:tl2br w:val="nil"/>
                    <w:tr2bl w:val="nil"/>
                  </w:tcBorders>
                  <w:noWrap w:val="0"/>
                  <w:vAlign w:val="center"/>
                </w:tcPr>
                <w:p w14:paraId="091DCEDE">
                  <w:pPr>
                    <w:pStyle w:val="44"/>
                    <w:bidi w:val="0"/>
                    <w:rPr>
                      <w:rFonts w:hint="default" w:ascii="Times New Roman" w:hAnsi="Times New Roman" w:cs="Times New Roman"/>
                      <w:color w:val="auto"/>
                    </w:rPr>
                  </w:pPr>
                  <w:r>
                    <w:rPr>
                      <w:rFonts w:hint="default" w:ascii="Times New Roman" w:hAnsi="Times New Roman" w:cs="Times New Roman"/>
                      <w:color w:val="auto"/>
                      <w:lang w:val="en-US" w:eastAsia="zh-CN"/>
                    </w:rPr>
                    <w:t>本项目位于泗水县金庄镇</w:t>
                  </w:r>
                  <w:r>
                    <w:rPr>
                      <w:rFonts w:hint="eastAsia" w:cs="Times New Roman"/>
                      <w:color w:val="auto"/>
                      <w:lang w:val="en-US" w:eastAsia="zh-CN"/>
                    </w:rPr>
                    <w:t>卞庄工业园</w:t>
                  </w:r>
                  <w:r>
                    <w:rPr>
                      <w:rFonts w:hint="default" w:ascii="Times New Roman" w:hAnsi="Times New Roman" w:cs="Times New Roman"/>
                      <w:color w:val="auto"/>
                      <w:lang w:val="en-US" w:eastAsia="zh-CN"/>
                    </w:rPr>
                    <w:t>，项目建设符合园区规划要求</w:t>
                  </w:r>
                  <w:r>
                    <w:rPr>
                      <w:rFonts w:hint="default" w:ascii="Times New Roman" w:hAnsi="Times New Roman" w:cs="Times New Roman"/>
                      <w:color w:val="auto"/>
                    </w:rPr>
                    <w:t>。</w:t>
                  </w:r>
                </w:p>
              </w:tc>
              <w:tc>
                <w:tcPr>
                  <w:tcW w:w="602" w:type="pct"/>
                  <w:tcBorders>
                    <w:tl2br w:val="nil"/>
                    <w:tr2bl w:val="nil"/>
                  </w:tcBorders>
                  <w:noWrap w:val="0"/>
                  <w:vAlign w:val="center"/>
                </w:tcPr>
                <w:p w14:paraId="17E06CE8">
                  <w:pPr>
                    <w:pStyle w:val="44"/>
                    <w:bidi w:val="0"/>
                    <w:rPr>
                      <w:rFonts w:hint="default" w:ascii="Times New Roman" w:hAnsi="Times New Roman" w:cs="Times New Roman"/>
                      <w:color w:val="auto"/>
                    </w:rPr>
                  </w:pPr>
                  <w:r>
                    <w:rPr>
                      <w:rFonts w:hint="default" w:ascii="Times New Roman" w:hAnsi="Times New Roman" w:cs="Times New Roman"/>
                      <w:color w:val="auto"/>
                    </w:rPr>
                    <w:t>符合</w:t>
                  </w:r>
                </w:p>
              </w:tc>
            </w:tr>
            <w:tr w14:paraId="74A0FC0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58" w:type="pct"/>
                  <w:tcBorders>
                    <w:tl2br w:val="nil"/>
                    <w:tr2bl w:val="nil"/>
                  </w:tcBorders>
                  <w:noWrap w:val="0"/>
                  <w:vAlign w:val="center"/>
                </w:tcPr>
                <w:p w14:paraId="7A26C12F">
                  <w:pPr>
                    <w:pStyle w:val="44"/>
                    <w:bidi w:val="0"/>
                    <w:rPr>
                      <w:rFonts w:hint="default" w:ascii="Times New Roman" w:hAnsi="Times New Roman" w:cs="Times New Roman"/>
                      <w:color w:val="auto"/>
                    </w:rPr>
                  </w:pPr>
                  <w:r>
                    <w:rPr>
                      <w:rFonts w:hint="default" w:ascii="Times New Roman" w:hAnsi="Times New Roman" w:cs="Times New Roman"/>
                      <w:color w:val="auto"/>
                    </w:rPr>
                    <w:t>第四十五条排污单位应当采取措施，防治在生产建设或者其他活动中产生的废气、废水、废渣、医疗废物、粉尘、恶臭气体、放射性物质以及噪声、振动、光辐射、电磁辐射等对环境的污染和危害，其污染排放不得超过排放标准和重点污染物排放总量控制指标。</w:t>
                  </w:r>
                </w:p>
              </w:tc>
              <w:tc>
                <w:tcPr>
                  <w:tcW w:w="1538" w:type="pct"/>
                  <w:tcBorders>
                    <w:tl2br w:val="nil"/>
                    <w:tr2bl w:val="nil"/>
                  </w:tcBorders>
                  <w:noWrap w:val="0"/>
                  <w:vAlign w:val="center"/>
                </w:tcPr>
                <w:p w14:paraId="25D052A9">
                  <w:pPr>
                    <w:pStyle w:val="44"/>
                    <w:bidi w:val="0"/>
                    <w:rPr>
                      <w:rFonts w:hint="default" w:ascii="Times New Roman" w:hAnsi="Times New Roman" w:cs="Times New Roman"/>
                      <w:color w:val="auto"/>
                    </w:rPr>
                  </w:pPr>
                  <w:r>
                    <w:rPr>
                      <w:rFonts w:hint="default" w:ascii="Times New Roman" w:hAnsi="Times New Roman" w:cs="Times New Roman"/>
                      <w:color w:val="auto"/>
                    </w:rPr>
                    <w:t>本项目针对运营期间产生的废气</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废水、固体废物</w:t>
                  </w:r>
                  <w:r>
                    <w:rPr>
                      <w:rFonts w:hint="default" w:ascii="Times New Roman" w:hAnsi="Times New Roman" w:cs="Times New Roman"/>
                      <w:color w:val="auto"/>
                    </w:rPr>
                    <w:t>以及噪声对环境的污染和危害采取措施，确保其污染排放不得超过相关排放标准和总量控制指标。</w:t>
                  </w:r>
                </w:p>
              </w:tc>
              <w:tc>
                <w:tcPr>
                  <w:tcW w:w="602" w:type="pct"/>
                  <w:tcBorders>
                    <w:tl2br w:val="nil"/>
                    <w:tr2bl w:val="nil"/>
                  </w:tcBorders>
                  <w:noWrap w:val="0"/>
                  <w:vAlign w:val="center"/>
                </w:tcPr>
                <w:p w14:paraId="31F8A8C7">
                  <w:pPr>
                    <w:pStyle w:val="44"/>
                    <w:bidi w:val="0"/>
                    <w:rPr>
                      <w:rFonts w:hint="default" w:ascii="Times New Roman" w:hAnsi="Times New Roman" w:cs="Times New Roman"/>
                      <w:color w:val="auto"/>
                    </w:rPr>
                  </w:pPr>
                  <w:r>
                    <w:rPr>
                      <w:rFonts w:hint="default" w:ascii="Times New Roman" w:hAnsi="Times New Roman" w:cs="Times New Roman"/>
                      <w:color w:val="auto"/>
                    </w:rPr>
                    <w:t>符合</w:t>
                  </w:r>
                </w:p>
              </w:tc>
            </w:tr>
            <w:tr w14:paraId="77B6104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58" w:type="pct"/>
                  <w:tcBorders>
                    <w:tl2br w:val="nil"/>
                    <w:tr2bl w:val="nil"/>
                  </w:tcBorders>
                  <w:noWrap w:val="0"/>
                  <w:vAlign w:val="center"/>
                </w:tcPr>
                <w:p w14:paraId="090F7078">
                  <w:pPr>
                    <w:pStyle w:val="44"/>
                    <w:bidi w:val="0"/>
                    <w:rPr>
                      <w:rFonts w:hint="default" w:ascii="Times New Roman" w:hAnsi="Times New Roman" w:cs="Times New Roman"/>
                      <w:color w:val="auto"/>
                    </w:rPr>
                  </w:pPr>
                  <w:r>
                    <w:rPr>
                      <w:rFonts w:hint="default" w:ascii="Times New Roman" w:hAnsi="Times New Roman" w:cs="Times New Roman"/>
                      <w:color w:val="auto"/>
                    </w:rPr>
                    <w:t>第四十六条新建、改建、扩建建设项目，应当根据环境影响评价文件以及生态环境主管部门审批决定的要求建设环境保护设施、落实环境保护设施、环境保护设施应当与主体工程同时设计、同时施工、同时投产使用。</w:t>
                  </w:r>
                </w:p>
              </w:tc>
              <w:tc>
                <w:tcPr>
                  <w:tcW w:w="1538" w:type="pct"/>
                  <w:tcBorders>
                    <w:tl2br w:val="nil"/>
                    <w:tr2bl w:val="nil"/>
                  </w:tcBorders>
                  <w:noWrap w:val="0"/>
                  <w:vAlign w:val="center"/>
                </w:tcPr>
                <w:p w14:paraId="70F8D447">
                  <w:pPr>
                    <w:pStyle w:val="44"/>
                    <w:bidi w:val="0"/>
                    <w:rPr>
                      <w:rFonts w:hint="default" w:ascii="Times New Roman" w:hAnsi="Times New Roman" w:cs="Times New Roman"/>
                      <w:color w:val="auto"/>
                      <w:lang w:eastAsia="zh-CN"/>
                    </w:rPr>
                  </w:pPr>
                  <w:r>
                    <w:rPr>
                      <w:rFonts w:hint="default" w:ascii="Times New Roman" w:hAnsi="Times New Roman" w:cs="Times New Roman"/>
                      <w:color w:val="auto"/>
                    </w:rPr>
                    <w:t>项目</w:t>
                  </w:r>
                  <w:r>
                    <w:rPr>
                      <w:rFonts w:hint="default" w:ascii="Times New Roman" w:hAnsi="Times New Roman" w:cs="Times New Roman"/>
                      <w:color w:val="auto"/>
                      <w:lang w:val="en-US" w:eastAsia="zh-CN"/>
                    </w:rPr>
                    <w:t>严格</w:t>
                  </w:r>
                  <w:r>
                    <w:rPr>
                      <w:rFonts w:hint="default" w:ascii="Times New Roman" w:hAnsi="Times New Roman" w:cs="Times New Roman"/>
                      <w:color w:val="auto"/>
                    </w:rPr>
                    <w:t>按“三同时”要求及时建设环境保护设施、落实环境保护措施</w:t>
                  </w:r>
                  <w:r>
                    <w:rPr>
                      <w:rFonts w:hint="default" w:ascii="Times New Roman" w:hAnsi="Times New Roman" w:cs="Times New Roman"/>
                      <w:color w:val="auto"/>
                      <w:lang w:eastAsia="zh-CN"/>
                    </w:rPr>
                    <w:t>。</w:t>
                  </w:r>
                </w:p>
              </w:tc>
              <w:tc>
                <w:tcPr>
                  <w:tcW w:w="602" w:type="pct"/>
                  <w:tcBorders>
                    <w:tl2br w:val="nil"/>
                    <w:tr2bl w:val="nil"/>
                  </w:tcBorders>
                  <w:noWrap w:val="0"/>
                  <w:vAlign w:val="center"/>
                </w:tcPr>
                <w:p w14:paraId="27D40C91">
                  <w:pPr>
                    <w:pStyle w:val="44"/>
                    <w:bidi w:val="0"/>
                    <w:rPr>
                      <w:rFonts w:hint="default" w:ascii="Times New Roman" w:hAnsi="Times New Roman" w:cs="Times New Roman"/>
                      <w:color w:val="auto"/>
                    </w:rPr>
                  </w:pPr>
                  <w:r>
                    <w:rPr>
                      <w:rFonts w:hint="default" w:ascii="Times New Roman" w:hAnsi="Times New Roman" w:cs="Times New Roman"/>
                      <w:color w:val="auto"/>
                    </w:rPr>
                    <w:t>符合</w:t>
                  </w:r>
                </w:p>
              </w:tc>
            </w:tr>
            <w:tr w14:paraId="22C0D3F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58" w:type="pct"/>
                  <w:tcBorders>
                    <w:tl2br w:val="nil"/>
                    <w:tr2bl w:val="nil"/>
                  </w:tcBorders>
                  <w:noWrap w:val="0"/>
                  <w:vAlign w:val="center"/>
                </w:tcPr>
                <w:p w14:paraId="6A389553">
                  <w:pPr>
                    <w:pStyle w:val="44"/>
                    <w:bidi w:val="0"/>
                    <w:rPr>
                      <w:rFonts w:hint="default" w:ascii="Times New Roman" w:hAnsi="Times New Roman" w:cs="Times New Roman"/>
                      <w:color w:val="auto"/>
                    </w:rPr>
                  </w:pPr>
                  <w:r>
                    <w:rPr>
                      <w:rFonts w:hint="default" w:ascii="Times New Roman" w:hAnsi="Times New Roman" w:cs="Times New Roman"/>
                      <w:color w:val="auto"/>
                    </w:rPr>
                    <w:t>第四十七条排污单位应当按照环境保护设施的设计要求和排污许可证规定的排放要求，制定完善环境保护管理制度和操作规程，并保障环境保护设施正常运行。排污单位应当根据生产经营和污染防治的需要，建设应急环境保护设施。鼓励排污单位建设污染防治备用设施，在必要时投入使用。</w:t>
                  </w:r>
                </w:p>
              </w:tc>
              <w:tc>
                <w:tcPr>
                  <w:tcW w:w="1538" w:type="pct"/>
                  <w:tcBorders>
                    <w:tl2br w:val="nil"/>
                    <w:tr2bl w:val="nil"/>
                  </w:tcBorders>
                  <w:noWrap w:val="0"/>
                  <w:vAlign w:val="center"/>
                </w:tcPr>
                <w:p w14:paraId="28574470">
                  <w:pPr>
                    <w:pStyle w:val="44"/>
                    <w:bidi w:val="0"/>
                    <w:rPr>
                      <w:rFonts w:hint="default" w:ascii="Times New Roman" w:hAnsi="Times New Roman" w:cs="Times New Roman"/>
                      <w:color w:val="auto"/>
                      <w:lang w:eastAsia="zh-CN"/>
                    </w:rPr>
                  </w:pPr>
                  <w:r>
                    <w:rPr>
                      <w:rFonts w:hint="default" w:ascii="Times New Roman" w:hAnsi="Times New Roman" w:cs="Times New Roman"/>
                      <w:color w:val="auto"/>
                      <w:lang w:val="en-US" w:eastAsia="zh-CN"/>
                    </w:rPr>
                    <w:t>本</w:t>
                  </w:r>
                  <w:r>
                    <w:rPr>
                      <w:rFonts w:hint="default" w:ascii="Times New Roman" w:hAnsi="Times New Roman" w:cs="Times New Roman"/>
                      <w:color w:val="auto"/>
                    </w:rPr>
                    <w:t>项目严格按照环境保护设施设计要求和排污许可规定</w:t>
                  </w:r>
                  <w:r>
                    <w:rPr>
                      <w:rFonts w:hint="default" w:ascii="Times New Roman" w:hAnsi="Times New Roman" w:cs="Times New Roman"/>
                      <w:color w:val="auto"/>
                      <w:lang w:val="en-US" w:eastAsia="zh-CN"/>
                    </w:rPr>
                    <w:t>的</w:t>
                  </w:r>
                  <w:r>
                    <w:rPr>
                      <w:rFonts w:hint="default" w:ascii="Times New Roman" w:hAnsi="Times New Roman" w:cs="Times New Roman"/>
                      <w:color w:val="auto"/>
                    </w:rPr>
                    <w:t>排放要求，制定完善环境保护管理制度和操作规程</w:t>
                  </w:r>
                  <w:r>
                    <w:rPr>
                      <w:rFonts w:hint="default" w:ascii="Times New Roman" w:hAnsi="Times New Roman" w:cs="Times New Roman"/>
                      <w:color w:val="auto"/>
                      <w:lang w:eastAsia="zh-CN"/>
                    </w:rPr>
                    <w:t>。</w:t>
                  </w:r>
                </w:p>
              </w:tc>
              <w:tc>
                <w:tcPr>
                  <w:tcW w:w="602" w:type="pct"/>
                  <w:tcBorders>
                    <w:tl2br w:val="nil"/>
                    <w:tr2bl w:val="nil"/>
                  </w:tcBorders>
                  <w:noWrap w:val="0"/>
                  <w:vAlign w:val="center"/>
                </w:tcPr>
                <w:p w14:paraId="33B043C9">
                  <w:pPr>
                    <w:pStyle w:val="44"/>
                    <w:bidi w:val="0"/>
                    <w:rPr>
                      <w:rFonts w:hint="default" w:ascii="Times New Roman" w:hAnsi="Times New Roman" w:cs="Times New Roman"/>
                      <w:color w:val="auto"/>
                    </w:rPr>
                  </w:pPr>
                  <w:r>
                    <w:rPr>
                      <w:rFonts w:hint="default" w:ascii="Times New Roman" w:hAnsi="Times New Roman" w:cs="Times New Roman"/>
                      <w:color w:val="auto"/>
                    </w:rPr>
                    <w:t>符合</w:t>
                  </w:r>
                </w:p>
              </w:tc>
            </w:tr>
            <w:tr w14:paraId="0356861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58" w:type="pct"/>
                  <w:tcBorders>
                    <w:tl2br w:val="nil"/>
                    <w:tr2bl w:val="nil"/>
                  </w:tcBorders>
                  <w:noWrap w:val="0"/>
                  <w:vAlign w:val="center"/>
                </w:tcPr>
                <w:p w14:paraId="66519AC7">
                  <w:pPr>
                    <w:pStyle w:val="44"/>
                    <w:bidi w:val="0"/>
                    <w:rPr>
                      <w:rFonts w:hint="default" w:ascii="Times New Roman" w:hAnsi="Times New Roman" w:cs="Times New Roman"/>
                      <w:color w:val="auto"/>
                    </w:rPr>
                  </w:pPr>
                  <w:r>
                    <w:rPr>
                      <w:rFonts w:hint="default" w:ascii="Times New Roman" w:hAnsi="Times New Roman" w:cs="Times New Roman"/>
                      <w:color w:val="auto"/>
                    </w:rPr>
                    <w:t>第五十条排污单位应当按照国家和省有关规定建立环境管理台账，记录污染治理设施运行管理、危险废物产生与处置情况、监测记录以及其他环境管理等信息，并对台账的真实性和完整性负责。台账的保存期限不得少于三年，法律、法规另有规定的除外。</w:t>
                  </w:r>
                </w:p>
              </w:tc>
              <w:tc>
                <w:tcPr>
                  <w:tcW w:w="1538" w:type="pct"/>
                  <w:tcBorders>
                    <w:tl2br w:val="nil"/>
                    <w:tr2bl w:val="nil"/>
                  </w:tcBorders>
                  <w:noWrap w:val="0"/>
                  <w:vAlign w:val="center"/>
                </w:tcPr>
                <w:p w14:paraId="656824B2">
                  <w:pPr>
                    <w:pStyle w:val="44"/>
                    <w:bidi w:val="0"/>
                    <w:rPr>
                      <w:rFonts w:hint="default" w:ascii="Times New Roman" w:hAnsi="Times New Roman" w:cs="Times New Roman"/>
                      <w:color w:val="auto"/>
                      <w:lang w:val="en-US" w:eastAsia="zh-CN"/>
                    </w:rPr>
                  </w:pPr>
                  <w:r>
                    <w:rPr>
                      <w:rFonts w:hint="default" w:ascii="Times New Roman" w:hAnsi="Times New Roman" w:cs="Times New Roman"/>
                      <w:color w:val="auto"/>
                    </w:rPr>
                    <w:t>项目</w:t>
                  </w:r>
                  <w:r>
                    <w:rPr>
                      <w:rFonts w:hint="default" w:ascii="Times New Roman" w:hAnsi="Times New Roman" w:cs="Times New Roman"/>
                      <w:color w:val="auto"/>
                      <w:lang w:val="en-US" w:eastAsia="zh-CN"/>
                    </w:rPr>
                    <w:t>严格</w:t>
                  </w:r>
                  <w:r>
                    <w:rPr>
                      <w:rFonts w:hint="default" w:ascii="Times New Roman" w:hAnsi="Times New Roman" w:cs="Times New Roman"/>
                      <w:color w:val="auto"/>
                    </w:rPr>
                    <w:t>按照国家和省有关规定建立环境管理台账，记录污染治理设施运行管理、危险废物产生与处置情况、监测记录以及其他环境管理等信息</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台账保存期限不少于五年。</w:t>
                  </w:r>
                </w:p>
              </w:tc>
              <w:tc>
                <w:tcPr>
                  <w:tcW w:w="602" w:type="pct"/>
                  <w:tcBorders>
                    <w:tl2br w:val="nil"/>
                    <w:tr2bl w:val="nil"/>
                  </w:tcBorders>
                  <w:noWrap w:val="0"/>
                  <w:vAlign w:val="center"/>
                </w:tcPr>
                <w:p w14:paraId="0EA9B179">
                  <w:pPr>
                    <w:pStyle w:val="44"/>
                    <w:bidi w:val="0"/>
                    <w:rPr>
                      <w:rFonts w:hint="default" w:ascii="Times New Roman" w:hAnsi="Times New Roman" w:cs="Times New Roman"/>
                      <w:color w:val="auto"/>
                    </w:rPr>
                  </w:pPr>
                  <w:r>
                    <w:rPr>
                      <w:rFonts w:hint="default" w:ascii="Times New Roman" w:hAnsi="Times New Roman" w:cs="Times New Roman"/>
                      <w:color w:val="auto"/>
                    </w:rPr>
                    <w:t>符合</w:t>
                  </w:r>
                </w:p>
              </w:tc>
            </w:tr>
          </w:tbl>
          <w:p w14:paraId="0BF58ED0">
            <w:pPr>
              <w:pStyle w:val="4"/>
              <w:numPr>
                <w:ilvl w:val="0"/>
                <w:numId w:val="0"/>
              </w:numPr>
              <w:bidi w:val="0"/>
              <w:ind w:leftChars="0" w:firstLine="480" w:firstLineChars="200"/>
              <w:rPr>
                <w:rFonts w:hint="default" w:ascii="Times New Roman" w:hAnsi="Times New Roman" w:eastAsia="宋体" w:cs="Times New Roman"/>
                <w:color w:val="auto"/>
                <w:szCs w:val="24"/>
                <w:lang w:val="en-US" w:eastAsia="zh-CN"/>
              </w:rPr>
            </w:pPr>
            <w:r>
              <w:rPr>
                <w:rFonts w:hint="default" w:ascii="Times New Roman" w:hAnsi="Times New Roman" w:cs="Times New Roman"/>
                <w:color w:val="auto"/>
                <w:lang w:val="en-US" w:eastAsia="zh-CN"/>
              </w:rPr>
              <w:t>7、与《济宁市“十四五”生态环境保护规划》符合性分析</w:t>
            </w:r>
          </w:p>
          <w:p w14:paraId="0DC043C3">
            <w:pPr>
              <w:pStyle w:val="47"/>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表1-8 项目与《济宁市“十四五”生态环境保护规划》符合性分析</w:t>
            </w:r>
          </w:p>
          <w:tbl>
            <w:tblPr>
              <w:tblStyle w:val="33"/>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705"/>
              <w:gridCol w:w="1162"/>
              <w:gridCol w:w="900"/>
            </w:tblGrid>
            <w:tr w14:paraId="564563E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72" w:type="pct"/>
                  <w:tcBorders>
                    <w:tl2br w:val="nil"/>
                    <w:tr2bl w:val="nil"/>
                  </w:tcBorders>
                  <w:noWrap w:val="0"/>
                  <w:vAlign w:val="center"/>
                </w:tcPr>
                <w:p w14:paraId="2C44EC98">
                  <w:pPr>
                    <w:pStyle w:val="44"/>
                    <w:bidi w:val="0"/>
                    <w:rPr>
                      <w:rFonts w:hint="default" w:ascii="Times New Roman" w:hAnsi="Times New Roman" w:cs="Times New Roman"/>
                      <w:b/>
                      <w:bCs/>
                      <w:color w:val="auto"/>
                    </w:rPr>
                  </w:pPr>
                  <w:r>
                    <w:rPr>
                      <w:rFonts w:hint="default" w:ascii="Times New Roman" w:hAnsi="Times New Roman" w:cs="Times New Roman"/>
                      <w:b/>
                      <w:bCs/>
                      <w:color w:val="auto"/>
                    </w:rPr>
                    <w:t>规划要求</w:t>
                  </w:r>
                </w:p>
              </w:tc>
              <w:tc>
                <w:tcPr>
                  <w:tcW w:w="748" w:type="pct"/>
                  <w:tcBorders>
                    <w:tl2br w:val="nil"/>
                    <w:tr2bl w:val="nil"/>
                  </w:tcBorders>
                  <w:noWrap w:val="0"/>
                  <w:vAlign w:val="center"/>
                </w:tcPr>
                <w:p w14:paraId="1F25E64C">
                  <w:pPr>
                    <w:pStyle w:val="44"/>
                    <w:bidi w:val="0"/>
                    <w:rPr>
                      <w:rFonts w:hint="default" w:ascii="Times New Roman" w:hAnsi="Times New Roman" w:cs="Times New Roman"/>
                      <w:b/>
                      <w:bCs/>
                      <w:color w:val="auto"/>
                    </w:rPr>
                  </w:pPr>
                  <w:r>
                    <w:rPr>
                      <w:rFonts w:hint="default" w:ascii="Times New Roman" w:hAnsi="Times New Roman" w:cs="Times New Roman"/>
                      <w:b/>
                      <w:bCs/>
                      <w:color w:val="auto"/>
                    </w:rPr>
                    <w:t>项目情况</w:t>
                  </w:r>
                </w:p>
              </w:tc>
              <w:tc>
                <w:tcPr>
                  <w:tcW w:w="579" w:type="pct"/>
                  <w:tcBorders>
                    <w:tl2br w:val="nil"/>
                    <w:tr2bl w:val="nil"/>
                  </w:tcBorders>
                  <w:noWrap w:val="0"/>
                  <w:vAlign w:val="center"/>
                </w:tcPr>
                <w:p w14:paraId="2DE9CF3C">
                  <w:pPr>
                    <w:pStyle w:val="44"/>
                    <w:bidi w:val="0"/>
                    <w:rPr>
                      <w:rFonts w:hint="default" w:ascii="Times New Roman" w:hAnsi="Times New Roman" w:cs="Times New Roman"/>
                      <w:b/>
                      <w:bCs/>
                      <w:color w:val="auto"/>
                    </w:rPr>
                  </w:pPr>
                  <w:r>
                    <w:rPr>
                      <w:rFonts w:hint="default" w:ascii="Times New Roman" w:hAnsi="Times New Roman" w:cs="Times New Roman"/>
                      <w:b/>
                      <w:bCs/>
                      <w:color w:val="auto"/>
                    </w:rPr>
                    <w:t>符合性</w:t>
                  </w:r>
                </w:p>
              </w:tc>
            </w:tr>
            <w:tr w14:paraId="7FA57CD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13" w:hRule="atLeast"/>
                <w:jc w:val="center"/>
              </w:trPr>
              <w:tc>
                <w:tcPr>
                  <w:tcW w:w="3672" w:type="pct"/>
                  <w:tcBorders>
                    <w:tl2br w:val="nil"/>
                    <w:tr2bl w:val="nil"/>
                  </w:tcBorders>
                  <w:noWrap w:val="0"/>
                  <w:vAlign w:val="center"/>
                </w:tcPr>
                <w:p w14:paraId="7BA40416">
                  <w:pPr>
                    <w:pStyle w:val="44"/>
                    <w:bidi w:val="0"/>
                    <w:rPr>
                      <w:rFonts w:hint="default" w:ascii="Times New Roman" w:hAnsi="Times New Roman" w:cs="Times New Roman"/>
                      <w:color w:val="auto"/>
                    </w:rPr>
                  </w:pPr>
                  <w:r>
                    <w:rPr>
                      <w:rFonts w:hint="default" w:ascii="Times New Roman" w:hAnsi="Times New Roman" w:cs="Times New Roman"/>
                      <w:color w:val="auto"/>
                    </w:rPr>
                    <w:t>加快推动产业结构调整</w:t>
                  </w:r>
                </w:p>
                <w:p w14:paraId="1D951AFA">
                  <w:pPr>
                    <w:pStyle w:val="44"/>
                    <w:bidi w:val="0"/>
                    <w:rPr>
                      <w:rFonts w:hint="default" w:ascii="Times New Roman" w:hAnsi="Times New Roman" w:cs="Times New Roman"/>
                      <w:color w:val="auto"/>
                    </w:rPr>
                  </w:pPr>
                  <w:r>
                    <w:rPr>
                      <w:rFonts w:hint="default" w:ascii="Times New Roman" w:hAnsi="Times New Roman" w:cs="Times New Roman"/>
                      <w:color w:val="auto"/>
                    </w:rPr>
                    <w:t>坚决遏制“两高”项目盲目发展。坚持环境质量“只能更好，不能变坏”的底线，严格落实污染物排放总量和产能总量控制刚性要求。坚决淘汰落后低效产能。严格落实产业结构调整指导目录，对“淘汰类”工艺和装备全部淘汰出清。精准聚焦煤电、水泥、轮胎、煤炭、化工、焦化等6个重点行业，加快淘汰低效落后产能。推进重点行业、园区绿色发展。有序推进焦化、铸造、建材、化工、工业涂装、包装印刷、电镀、造纸、纺织印染、农副食品加工等行业的全流程清洁化、循环化、低碳化改造。</w:t>
                  </w:r>
                </w:p>
              </w:tc>
              <w:tc>
                <w:tcPr>
                  <w:tcW w:w="748" w:type="pct"/>
                  <w:tcBorders>
                    <w:tl2br w:val="nil"/>
                    <w:tr2bl w:val="nil"/>
                  </w:tcBorders>
                  <w:noWrap w:val="0"/>
                  <w:vAlign w:val="center"/>
                </w:tcPr>
                <w:p w14:paraId="644EF964">
                  <w:pPr>
                    <w:pStyle w:val="44"/>
                    <w:bidi w:val="0"/>
                    <w:rPr>
                      <w:rFonts w:hint="default" w:ascii="Times New Roman" w:hAnsi="Times New Roman" w:cs="Times New Roman"/>
                      <w:color w:val="auto"/>
                      <w:lang w:eastAsia="zh-CN"/>
                    </w:rPr>
                  </w:pPr>
                  <w:r>
                    <w:rPr>
                      <w:rFonts w:hint="default" w:ascii="Times New Roman" w:hAnsi="Times New Roman" w:cs="Times New Roman"/>
                      <w:color w:val="auto"/>
                    </w:rPr>
                    <w:t>本项目</w:t>
                  </w:r>
                  <w:r>
                    <w:rPr>
                      <w:rFonts w:hint="default" w:ascii="Times New Roman" w:hAnsi="Times New Roman" w:cs="Times New Roman"/>
                      <w:color w:val="auto"/>
                      <w:lang w:eastAsia="zh-CN"/>
                    </w:rPr>
                    <w:t>不属于“两高”项目；</w:t>
                  </w:r>
                  <w:r>
                    <w:rPr>
                      <w:rFonts w:hint="default" w:ascii="Times New Roman" w:hAnsi="Times New Roman" w:cs="Times New Roman"/>
                      <w:color w:val="auto"/>
                    </w:rPr>
                    <w:t>不使用“淘汰类”生产工艺</w:t>
                  </w:r>
                  <w:r>
                    <w:rPr>
                      <w:rFonts w:hint="default" w:ascii="Times New Roman" w:hAnsi="Times New Roman" w:cs="Times New Roman"/>
                      <w:color w:val="auto"/>
                      <w:lang w:eastAsia="zh-CN"/>
                    </w:rPr>
                    <w:t>。</w:t>
                  </w:r>
                </w:p>
              </w:tc>
              <w:tc>
                <w:tcPr>
                  <w:tcW w:w="579" w:type="pct"/>
                  <w:tcBorders>
                    <w:tl2br w:val="nil"/>
                    <w:tr2bl w:val="nil"/>
                  </w:tcBorders>
                  <w:noWrap w:val="0"/>
                  <w:vAlign w:val="center"/>
                </w:tcPr>
                <w:p w14:paraId="3CE76326">
                  <w:pPr>
                    <w:pStyle w:val="44"/>
                    <w:bidi w:val="0"/>
                    <w:rPr>
                      <w:rFonts w:hint="default" w:ascii="Times New Roman" w:hAnsi="Times New Roman" w:cs="Times New Roman"/>
                      <w:color w:val="auto"/>
                    </w:rPr>
                  </w:pPr>
                  <w:r>
                    <w:rPr>
                      <w:rFonts w:hint="default" w:ascii="Times New Roman" w:hAnsi="Times New Roman" w:cs="Times New Roman"/>
                      <w:color w:val="auto"/>
                    </w:rPr>
                    <w:t>符合</w:t>
                  </w:r>
                </w:p>
              </w:tc>
            </w:tr>
            <w:tr w14:paraId="46E9984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72" w:type="pct"/>
                  <w:tcBorders>
                    <w:tl2br w:val="nil"/>
                    <w:tr2bl w:val="nil"/>
                  </w:tcBorders>
                  <w:noWrap w:val="0"/>
                  <w:vAlign w:val="center"/>
                </w:tcPr>
                <w:p w14:paraId="345D769A">
                  <w:pPr>
                    <w:pStyle w:val="44"/>
                    <w:bidi w:val="0"/>
                    <w:rPr>
                      <w:rFonts w:hint="default" w:ascii="Times New Roman" w:hAnsi="Times New Roman" w:cs="Times New Roman"/>
                      <w:color w:val="auto"/>
                    </w:rPr>
                  </w:pPr>
                  <w:r>
                    <w:rPr>
                      <w:rFonts w:hint="default" w:ascii="Times New Roman" w:hAnsi="Times New Roman" w:cs="Times New Roman"/>
                      <w:color w:val="auto"/>
                    </w:rPr>
                    <w:t>深入实施能源结构调整</w:t>
                  </w:r>
                </w:p>
                <w:p w14:paraId="471B50E4">
                  <w:pPr>
                    <w:pStyle w:val="44"/>
                    <w:bidi w:val="0"/>
                    <w:rPr>
                      <w:rFonts w:hint="default" w:ascii="Times New Roman" w:hAnsi="Times New Roman" w:cs="Times New Roman"/>
                      <w:color w:val="auto"/>
                    </w:rPr>
                  </w:pPr>
                  <w:r>
                    <w:rPr>
                      <w:rFonts w:hint="default" w:ascii="Times New Roman" w:hAnsi="Times New Roman" w:cs="Times New Roman"/>
                      <w:color w:val="auto"/>
                    </w:rPr>
                    <w:t>持续压减煤炭消费总量。在确保电力、热力接续稳定供应的前提下，大力推进单机容量30万千瓦以下煤电机组关停整合。积极稳妥利用天然气。工业领域在气源保障条件较好情况下，支持发展天然气冷、热、电三联供分布式能源，有序适度发展天然气热电联产项目。</w:t>
                  </w:r>
                </w:p>
              </w:tc>
              <w:tc>
                <w:tcPr>
                  <w:tcW w:w="748" w:type="pct"/>
                  <w:tcBorders>
                    <w:tl2br w:val="nil"/>
                    <w:tr2bl w:val="nil"/>
                  </w:tcBorders>
                  <w:noWrap w:val="0"/>
                  <w:vAlign w:val="center"/>
                </w:tcPr>
                <w:p w14:paraId="44D38CE1">
                  <w:pPr>
                    <w:pStyle w:val="44"/>
                    <w:bidi w:val="0"/>
                    <w:rPr>
                      <w:rFonts w:hint="default" w:ascii="Times New Roman" w:hAnsi="Times New Roman" w:cs="Times New Roman"/>
                      <w:color w:val="auto"/>
                      <w:lang w:eastAsia="zh-CN"/>
                    </w:rPr>
                  </w:pPr>
                  <w:r>
                    <w:rPr>
                      <w:rFonts w:hint="default" w:ascii="Times New Roman" w:hAnsi="Times New Roman" w:cs="Times New Roman"/>
                      <w:color w:val="auto"/>
                    </w:rPr>
                    <w:t>本项目</w:t>
                  </w:r>
                  <w:r>
                    <w:rPr>
                      <w:rFonts w:hint="default" w:ascii="Times New Roman" w:hAnsi="Times New Roman" w:cs="Times New Roman"/>
                      <w:color w:val="auto"/>
                      <w:lang w:eastAsia="zh-CN"/>
                    </w:rPr>
                    <w:t>不使用煤炭，项目生产</w:t>
                  </w:r>
                  <w:r>
                    <w:rPr>
                      <w:rFonts w:hint="default" w:ascii="Times New Roman" w:hAnsi="Times New Roman" w:cs="Times New Roman"/>
                      <w:color w:val="auto"/>
                      <w:lang w:val="en-US" w:eastAsia="zh-CN"/>
                    </w:rPr>
                    <w:t>采用电加热</w:t>
                  </w:r>
                  <w:r>
                    <w:rPr>
                      <w:rFonts w:hint="default" w:ascii="Times New Roman" w:hAnsi="Times New Roman" w:cs="Times New Roman"/>
                      <w:color w:val="auto"/>
                      <w:lang w:eastAsia="zh-CN"/>
                    </w:rPr>
                    <w:t>。</w:t>
                  </w:r>
                </w:p>
              </w:tc>
              <w:tc>
                <w:tcPr>
                  <w:tcW w:w="579" w:type="pct"/>
                  <w:tcBorders>
                    <w:tl2br w:val="nil"/>
                    <w:tr2bl w:val="nil"/>
                  </w:tcBorders>
                  <w:noWrap w:val="0"/>
                  <w:vAlign w:val="center"/>
                </w:tcPr>
                <w:p w14:paraId="792B81AB">
                  <w:pPr>
                    <w:pStyle w:val="44"/>
                    <w:bidi w:val="0"/>
                    <w:rPr>
                      <w:rFonts w:hint="default" w:ascii="Times New Roman" w:hAnsi="Times New Roman" w:cs="Times New Roman"/>
                      <w:color w:val="auto"/>
                    </w:rPr>
                  </w:pPr>
                  <w:r>
                    <w:rPr>
                      <w:rFonts w:hint="default" w:ascii="Times New Roman" w:hAnsi="Times New Roman" w:cs="Times New Roman"/>
                      <w:color w:val="auto"/>
                    </w:rPr>
                    <w:t>符合</w:t>
                  </w:r>
                </w:p>
              </w:tc>
            </w:tr>
            <w:tr w14:paraId="6C07FAB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72" w:type="pct"/>
                  <w:tcBorders>
                    <w:tl2br w:val="nil"/>
                    <w:tr2bl w:val="nil"/>
                  </w:tcBorders>
                  <w:noWrap w:val="0"/>
                  <w:vAlign w:val="center"/>
                </w:tcPr>
                <w:p w14:paraId="062D6368">
                  <w:pPr>
                    <w:pStyle w:val="44"/>
                    <w:bidi w:val="0"/>
                    <w:rPr>
                      <w:rFonts w:hint="default" w:ascii="Times New Roman" w:hAnsi="Times New Roman" w:cs="Times New Roman"/>
                      <w:color w:val="auto"/>
                    </w:rPr>
                  </w:pPr>
                  <w:r>
                    <w:rPr>
                      <w:rFonts w:hint="default" w:ascii="Times New Roman" w:hAnsi="Times New Roman" w:cs="Times New Roman"/>
                      <w:color w:val="auto"/>
                    </w:rPr>
                    <w:t>持续推进交通运输结构调整</w:t>
                  </w:r>
                </w:p>
                <w:p w14:paraId="36D4645A">
                  <w:pPr>
                    <w:pStyle w:val="44"/>
                    <w:bidi w:val="0"/>
                    <w:rPr>
                      <w:rFonts w:hint="default" w:ascii="Times New Roman" w:hAnsi="Times New Roman" w:cs="Times New Roman"/>
                      <w:color w:val="auto"/>
                    </w:rPr>
                  </w:pPr>
                  <w:r>
                    <w:rPr>
                      <w:rFonts w:hint="default" w:ascii="Times New Roman" w:hAnsi="Times New Roman" w:cs="Times New Roman"/>
                      <w:color w:val="auto"/>
                    </w:rPr>
                    <w:t>提升铁路、水路货运比例。减少公路货运周转量，基本形成大宗货物和集装箱中长距离运输以铁路和水路运输为主的格局。实施车船结构优化升级。全面实施国六排放标准，鼓励将老旧车辆和非道路移动机械替换为清洁能源车辆，持续推进清洁柴油车（机）行动。2023年年底前，基本淘汰国三及以下排放标准柴油货车；2025年年底前，完成省下达的国四排放标准营运柴油货车淘汰任务，国六排放标准重型货车占比达到30%以上。</w:t>
                  </w:r>
                </w:p>
              </w:tc>
              <w:tc>
                <w:tcPr>
                  <w:tcW w:w="748" w:type="pct"/>
                  <w:tcBorders>
                    <w:tl2br w:val="nil"/>
                    <w:tr2bl w:val="nil"/>
                  </w:tcBorders>
                  <w:noWrap w:val="0"/>
                  <w:vAlign w:val="center"/>
                </w:tcPr>
                <w:p w14:paraId="56BE43C7">
                  <w:pPr>
                    <w:pStyle w:val="44"/>
                    <w:bidi w:val="0"/>
                    <w:rPr>
                      <w:rFonts w:hint="default" w:ascii="Times New Roman" w:hAnsi="Times New Roman" w:cs="Times New Roman"/>
                      <w:color w:val="auto"/>
                      <w:lang w:eastAsia="zh-CN"/>
                    </w:rPr>
                  </w:pPr>
                  <w:r>
                    <w:rPr>
                      <w:rFonts w:hint="default" w:ascii="Times New Roman" w:hAnsi="Times New Roman" w:cs="Times New Roman"/>
                      <w:color w:val="auto"/>
                    </w:rPr>
                    <w:t>本项目</w:t>
                  </w:r>
                  <w:r>
                    <w:rPr>
                      <w:rFonts w:hint="default" w:ascii="Times New Roman" w:hAnsi="Times New Roman" w:cs="Times New Roman"/>
                      <w:color w:val="auto"/>
                      <w:lang w:eastAsia="zh-CN"/>
                    </w:rPr>
                    <w:t>不涉及大宗货物运输。</w:t>
                  </w:r>
                </w:p>
              </w:tc>
              <w:tc>
                <w:tcPr>
                  <w:tcW w:w="579" w:type="pct"/>
                  <w:tcBorders>
                    <w:tl2br w:val="nil"/>
                    <w:tr2bl w:val="nil"/>
                  </w:tcBorders>
                  <w:noWrap w:val="0"/>
                  <w:vAlign w:val="center"/>
                </w:tcPr>
                <w:p w14:paraId="1CCF5D5A">
                  <w:pPr>
                    <w:pStyle w:val="44"/>
                    <w:bidi w:val="0"/>
                    <w:rPr>
                      <w:rFonts w:hint="default" w:ascii="Times New Roman" w:hAnsi="Times New Roman" w:cs="Times New Roman"/>
                      <w:color w:val="auto"/>
                    </w:rPr>
                  </w:pPr>
                  <w:r>
                    <w:rPr>
                      <w:rFonts w:hint="default" w:ascii="Times New Roman" w:hAnsi="Times New Roman" w:cs="Times New Roman"/>
                      <w:color w:val="auto"/>
                    </w:rPr>
                    <w:t>符合</w:t>
                  </w:r>
                </w:p>
              </w:tc>
            </w:tr>
            <w:tr w14:paraId="21D22A5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72" w:type="pct"/>
                  <w:tcBorders>
                    <w:tl2br w:val="nil"/>
                    <w:tr2bl w:val="nil"/>
                  </w:tcBorders>
                  <w:noWrap w:val="0"/>
                  <w:vAlign w:val="center"/>
                </w:tcPr>
                <w:p w14:paraId="5F9F1143">
                  <w:pPr>
                    <w:pStyle w:val="44"/>
                    <w:bidi w:val="0"/>
                    <w:rPr>
                      <w:rFonts w:hint="default" w:ascii="Times New Roman" w:hAnsi="Times New Roman" w:cs="Times New Roman"/>
                      <w:color w:val="auto"/>
                    </w:rPr>
                  </w:pPr>
                  <w:r>
                    <w:rPr>
                      <w:rFonts w:hint="default" w:ascii="Times New Roman" w:hAnsi="Times New Roman" w:cs="Times New Roman"/>
                      <w:color w:val="auto"/>
                    </w:rPr>
                    <w:t>深化工业污染源治理</w:t>
                  </w:r>
                </w:p>
                <w:p w14:paraId="48A7AC4D">
                  <w:pPr>
                    <w:pStyle w:val="44"/>
                    <w:bidi w:val="0"/>
                    <w:rPr>
                      <w:rFonts w:hint="default" w:ascii="Times New Roman" w:hAnsi="Times New Roman" w:cs="Times New Roman"/>
                      <w:color w:val="auto"/>
                    </w:rPr>
                  </w:pPr>
                  <w:r>
                    <w:rPr>
                      <w:rFonts w:hint="default" w:ascii="Times New Roman" w:hAnsi="Times New Roman" w:cs="Times New Roman"/>
                      <w:color w:val="auto"/>
                    </w:rPr>
                    <w:t>实施重点行业NOx等污染深度治理。开展焦化、水泥行业超低排放改造。推进玻璃、陶瓷、铸造、铁合金、有色等行业污染深度治理，确保各类大气污染物稳定达标排放。加强燃煤机组、锅炉污染治理设施运行管控，确保按照超低排放要求稳定运行。实施VOCs全过程污染防治。实施低VOCs含量工业涂料、油墨、胶粘剂、清洗剂等原辅料使用替代，新、改、扩建工业涂装、包装印刷等含VOCs原辅材料使用项目，原则上使用低（无）VOCs含量产品。</w:t>
                  </w:r>
                </w:p>
              </w:tc>
              <w:tc>
                <w:tcPr>
                  <w:tcW w:w="748" w:type="pct"/>
                  <w:tcBorders>
                    <w:tl2br w:val="nil"/>
                    <w:tr2bl w:val="nil"/>
                  </w:tcBorders>
                  <w:noWrap w:val="0"/>
                  <w:vAlign w:val="center"/>
                </w:tcPr>
                <w:p w14:paraId="136BA181">
                  <w:pPr>
                    <w:pStyle w:val="44"/>
                    <w:bidi w:val="0"/>
                    <w:rPr>
                      <w:rFonts w:hint="default" w:ascii="Times New Roman" w:hAnsi="Times New Roman" w:cs="Times New Roman"/>
                      <w:color w:val="auto"/>
                      <w:lang w:eastAsia="zh-CN"/>
                    </w:rPr>
                  </w:pPr>
                  <w:r>
                    <w:rPr>
                      <w:rFonts w:hint="default" w:ascii="Times New Roman" w:hAnsi="Times New Roman" w:cs="Times New Roman"/>
                      <w:color w:val="auto"/>
                    </w:rPr>
                    <w:t>本项目</w:t>
                  </w:r>
                  <w:r>
                    <w:rPr>
                      <w:rFonts w:hint="default" w:ascii="Times New Roman" w:hAnsi="Times New Roman" w:cs="Times New Roman"/>
                      <w:color w:val="auto"/>
                      <w:lang w:eastAsia="zh-CN"/>
                    </w:rPr>
                    <w:t>不属于重点行业，生产</w:t>
                  </w:r>
                  <w:r>
                    <w:rPr>
                      <w:rFonts w:hint="default" w:ascii="Times New Roman" w:hAnsi="Times New Roman" w:cs="Times New Roman"/>
                      <w:color w:val="auto"/>
                      <w:lang w:val="en-US" w:eastAsia="zh-CN"/>
                    </w:rPr>
                    <w:t>采用电加热</w:t>
                  </w:r>
                  <w:r>
                    <w:rPr>
                      <w:rFonts w:hint="default" w:ascii="Times New Roman" w:hAnsi="Times New Roman" w:cs="Times New Roman"/>
                      <w:color w:val="auto"/>
                      <w:lang w:eastAsia="zh-CN"/>
                    </w:rPr>
                    <w:t>。</w:t>
                  </w:r>
                </w:p>
              </w:tc>
              <w:tc>
                <w:tcPr>
                  <w:tcW w:w="579" w:type="pct"/>
                  <w:tcBorders>
                    <w:tl2br w:val="nil"/>
                    <w:tr2bl w:val="nil"/>
                  </w:tcBorders>
                  <w:noWrap w:val="0"/>
                  <w:vAlign w:val="center"/>
                </w:tcPr>
                <w:p w14:paraId="390DE5B4">
                  <w:pPr>
                    <w:pStyle w:val="44"/>
                    <w:bidi w:val="0"/>
                    <w:rPr>
                      <w:rFonts w:hint="default" w:ascii="Times New Roman" w:hAnsi="Times New Roman" w:cs="Times New Roman"/>
                      <w:color w:val="auto"/>
                    </w:rPr>
                  </w:pPr>
                  <w:r>
                    <w:rPr>
                      <w:rFonts w:hint="default" w:ascii="Times New Roman" w:hAnsi="Times New Roman" w:cs="Times New Roman"/>
                      <w:color w:val="auto"/>
                    </w:rPr>
                    <w:t>符合</w:t>
                  </w:r>
                </w:p>
              </w:tc>
            </w:tr>
          </w:tbl>
          <w:p w14:paraId="3D6DDC5E">
            <w:pPr>
              <w:autoSpaceDE w:val="0"/>
              <w:autoSpaceDN w:val="0"/>
              <w:adjustRightInd w:val="0"/>
              <w:snapToGrid w:val="0"/>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由上表可知，本项目的建设总体符合《济宁市“十四五”生态环境保护规划》的各项要求。</w:t>
            </w:r>
          </w:p>
          <w:p w14:paraId="2B0A33B5">
            <w:pPr>
              <w:pStyle w:val="5"/>
              <w:numPr>
                <w:ilvl w:val="0"/>
                <w:numId w:val="0"/>
              </w:numPr>
              <w:bidi w:val="0"/>
              <w:ind w:leftChars="0" w:firstLine="480" w:firstLineChars="200"/>
              <w:rPr>
                <w:rFonts w:hint="default" w:ascii="Times New Roman" w:hAnsi="Times New Roman" w:cs="Times New Roman"/>
                <w:color w:val="auto"/>
              </w:rPr>
            </w:pPr>
            <w:r>
              <w:rPr>
                <w:rFonts w:hint="default" w:ascii="Times New Roman" w:hAnsi="Times New Roman" w:cs="Times New Roman"/>
                <w:color w:val="auto"/>
                <w:lang w:val="en-US" w:eastAsia="zh-CN"/>
              </w:rPr>
              <w:t>8</w:t>
            </w:r>
            <w:r>
              <w:rPr>
                <w:rFonts w:hint="default" w:ascii="Times New Roman" w:hAnsi="Times New Roman" w:cs="Times New Roman"/>
                <w:color w:val="auto"/>
              </w:rPr>
              <w:t>、与《济宁市挥发性有机物治理专项行动方案》（济政府通知[2019]4号）的符合性分析</w:t>
            </w:r>
          </w:p>
          <w:p w14:paraId="547D3F83">
            <w:pPr>
              <w:pStyle w:val="45"/>
              <w:bidi w:val="0"/>
              <w:rPr>
                <w:rFonts w:hint="default" w:ascii="Times New Roman" w:hAnsi="Times New Roman" w:cs="Times New Roman"/>
                <w:color w:val="auto"/>
              </w:rPr>
            </w:pPr>
            <w:r>
              <w:rPr>
                <w:rFonts w:hint="default" w:ascii="Times New Roman" w:hAnsi="Times New Roman" w:cs="Times New Roman"/>
                <w:color w:val="auto"/>
              </w:rPr>
              <w:t>表1-</w:t>
            </w:r>
            <w:r>
              <w:rPr>
                <w:rFonts w:hint="default" w:ascii="Times New Roman" w:hAnsi="Times New Roman" w:cs="Times New Roman"/>
                <w:color w:val="auto"/>
                <w:lang w:val="en-US" w:eastAsia="zh-CN"/>
              </w:rPr>
              <w:t>9</w:t>
            </w:r>
            <w:r>
              <w:rPr>
                <w:rFonts w:hint="default" w:ascii="Times New Roman" w:hAnsi="Times New Roman" w:cs="Times New Roman"/>
                <w:color w:val="auto"/>
              </w:rPr>
              <w:t xml:space="preserve"> 与济政府通知[2019]4号文</w:t>
            </w:r>
            <w:r>
              <w:rPr>
                <w:rFonts w:hint="default" w:ascii="Times New Roman" w:hAnsi="Times New Roman" w:cs="Times New Roman"/>
                <w:color w:val="auto"/>
                <w:lang w:val="en-US" w:eastAsia="zh-CN"/>
              </w:rPr>
              <w:t>符合性分析</w:t>
            </w:r>
          </w:p>
          <w:tbl>
            <w:tblPr>
              <w:tblStyle w:val="33"/>
              <w:tblW w:w="7838"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5120"/>
              <w:gridCol w:w="2021"/>
              <w:gridCol w:w="697"/>
            </w:tblGrid>
            <w:tr w14:paraId="4CDAC7B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19" w:hRule="atLeast"/>
                <w:jc w:val="center"/>
              </w:trPr>
              <w:tc>
                <w:tcPr>
                  <w:tcW w:w="5120" w:type="dxa"/>
                  <w:tcBorders>
                    <w:tl2br w:val="nil"/>
                    <w:tr2bl w:val="nil"/>
                  </w:tcBorders>
                  <w:noWrap/>
                  <w:vAlign w:val="center"/>
                </w:tcPr>
                <w:p w14:paraId="5526B92D">
                  <w:pPr>
                    <w:pStyle w:val="44"/>
                    <w:bidi w:val="0"/>
                    <w:rPr>
                      <w:rFonts w:hint="default" w:ascii="Times New Roman" w:hAnsi="Times New Roman" w:cs="Times New Roman"/>
                      <w:b/>
                      <w:bCs/>
                      <w:color w:val="auto"/>
                    </w:rPr>
                  </w:pPr>
                  <w:r>
                    <w:rPr>
                      <w:rFonts w:hint="default" w:ascii="Times New Roman" w:hAnsi="Times New Roman" w:cs="Times New Roman"/>
                      <w:b/>
                      <w:bCs/>
                      <w:color w:val="auto"/>
                    </w:rPr>
                    <w:t>文件要求</w:t>
                  </w:r>
                </w:p>
              </w:tc>
              <w:tc>
                <w:tcPr>
                  <w:tcW w:w="2021" w:type="dxa"/>
                  <w:tcBorders>
                    <w:tl2br w:val="nil"/>
                    <w:tr2bl w:val="nil"/>
                  </w:tcBorders>
                  <w:noWrap/>
                  <w:vAlign w:val="center"/>
                </w:tcPr>
                <w:p w14:paraId="5A0D65B3">
                  <w:pPr>
                    <w:pStyle w:val="44"/>
                    <w:bidi w:val="0"/>
                    <w:rPr>
                      <w:rFonts w:hint="default" w:ascii="Times New Roman" w:hAnsi="Times New Roman" w:cs="Times New Roman"/>
                      <w:b/>
                      <w:bCs/>
                      <w:color w:val="auto"/>
                    </w:rPr>
                  </w:pPr>
                  <w:r>
                    <w:rPr>
                      <w:rFonts w:hint="default" w:ascii="Times New Roman" w:hAnsi="Times New Roman" w:cs="Times New Roman"/>
                      <w:b/>
                      <w:bCs/>
                      <w:color w:val="auto"/>
                    </w:rPr>
                    <w:t>本项目情况</w:t>
                  </w:r>
                </w:p>
              </w:tc>
              <w:tc>
                <w:tcPr>
                  <w:tcW w:w="697" w:type="dxa"/>
                  <w:tcBorders>
                    <w:tl2br w:val="nil"/>
                    <w:tr2bl w:val="nil"/>
                  </w:tcBorders>
                  <w:noWrap/>
                  <w:vAlign w:val="center"/>
                </w:tcPr>
                <w:p w14:paraId="0E315975">
                  <w:pPr>
                    <w:pStyle w:val="44"/>
                    <w:bidi w:val="0"/>
                    <w:rPr>
                      <w:rFonts w:hint="default" w:ascii="Times New Roman" w:hAnsi="Times New Roman" w:cs="Times New Roman"/>
                      <w:b/>
                      <w:bCs/>
                      <w:color w:val="auto"/>
                    </w:rPr>
                  </w:pPr>
                  <w:r>
                    <w:rPr>
                      <w:rFonts w:hint="default" w:ascii="Times New Roman" w:hAnsi="Times New Roman" w:cs="Times New Roman"/>
                      <w:b/>
                      <w:bCs/>
                      <w:color w:val="auto"/>
                    </w:rPr>
                    <w:t>符合性</w:t>
                  </w:r>
                </w:p>
              </w:tc>
            </w:tr>
            <w:tr w14:paraId="1FA5F2A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1403" w:hRule="atLeast"/>
                <w:jc w:val="center"/>
              </w:trPr>
              <w:tc>
                <w:tcPr>
                  <w:tcW w:w="5120" w:type="dxa"/>
                  <w:tcBorders>
                    <w:tl2br w:val="nil"/>
                    <w:tr2bl w:val="nil"/>
                  </w:tcBorders>
                  <w:noWrap/>
                  <w:vAlign w:val="center"/>
                </w:tcPr>
                <w:p w14:paraId="25778218">
                  <w:pPr>
                    <w:pStyle w:val="44"/>
                    <w:bidi w:val="0"/>
                    <w:rPr>
                      <w:rFonts w:hint="default" w:ascii="Times New Roman" w:hAnsi="Times New Roman" w:cs="Times New Roman"/>
                      <w:color w:val="auto"/>
                    </w:rPr>
                  </w:pPr>
                  <w:r>
                    <w:rPr>
                      <w:rFonts w:hint="default" w:ascii="Times New Roman" w:hAnsi="Times New Roman" w:cs="Times New Roman"/>
                      <w:color w:val="auto"/>
                    </w:rPr>
                    <w:t>加快产业结构调整：推动“低小散”涉VOCs企业综合整治，按照“散乱污”企业整治模式对涉VOCs排放的“低小散”企业开展综合治理。在煤化工、工业涂装等传统行业退出一批低端低效产能，对生产工艺和技术装备落后的列入全市淘汰落后产能计划予以淘汰。</w:t>
                  </w:r>
                </w:p>
              </w:tc>
              <w:tc>
                <w:tcPr>
                  <w:tcW w:w="2021" w:type="dxa"/>
                  <w:tcBorders>
                    <w:tl2br w:val="nil"/>
                    <w:tr2bl w:val="nil"/>
                  </w:tcBorders>
                  <w:noWrap/>
                  <w:vAlign w:val="center"/>
                </w:tcPr>
                <w:p w14:paraId="5B5EE756">
                  <w:pPr>
                    <w:pStyle w:val="44"/>
                    <w:bidi w:val="0"/>
                    <w:rPr>
                      <w:rFonts w:hint="default" w:ascii="Times New Roman" w:hAnsi="Times New Roman" w:cs="Times New Roman"/>
                      <w:color w:val="auto"/>
                    </w:rPr>
                  </w:pPr>
                  <w:r>
                    <w:rPr>
                      <w:rFonts w:hint="default" w:ascii="Times New Roman" w:hAnsi="Times New Roman" w:cs="Times New Roman"/>
                      <w:color w:val="auto"/>
                    </w:rPr>
                    <w:t>项目不属于“散乱污”企业。</w:t>
                  </w:r>
                </w:p>
              </w:tc>
              <w:tc>
                <w:tcPr>
                  <w:tcW w:w="697" w:type="dxa"/>
                  <w:tcBorders>
                    <w:tl2br w:val="nil"/>
                    <w:tr2bl w:val="nil"/>
                  </w:tcBorders>
                  <w:noWrap/>
                  <w:vAlign w:val="center"/>
                </w:tcPr>
                <w:p w14:paraId="10DF7748">
                  <w:pPr>
                    <w:pStyle w:val="44"/>
                    <w:bidi w:val="0"/>
                    <w:rPr>
                      <w:rFonts w:hint="default" w:ascii="Times New Roman" w:hAnsi="Times New Roman" w:cs="Times New Roman"/>
                      <w:color w:val="auto"/>
                    </w:rPr>
                  </w:pPr>
                  <w:r>
                    <w:rPr>
                      <w:rFonts w:hint="default" w:ascii="Times New Roman" w:hAnsi="Times New Roman" w:cs="Times New Roman"/>
                      <w:color w:val="auto"/>
                    </w:rPr>
                    <w:t>符合</w:t>
                  </w:r>
                </w:p>
              </w:tc>
            </w:tr>
            <w:tr w14:paraId="10DCAAE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999" w:hRule="atLeast"/>
                <w:jc w:val="center"/>
              </w:trPr>
              <w:tc>
                <w:tcPr>
                  <w:tcW w:w="5120" w:type="dxa"/>
                  <w:tcBorders>
                    <w:tl2br w:val="nil"/>
                    <w:tr2bl w:val="nil"/>
                  </w:tcBorders>
                  <w:noWrap/>
                  <w:vAlign w:val="center"/>
                </w:tcPr>
                <w:p w14:paraId="73E3905B">
                  <w:pPr>
                    <w:pStyle w:val="44"/>
                    <w:bidi w:val="0"/>
                    <w:rPr>
                      <w:rFonts w:hint="default" w:ascii="Times New Roman" w:hAnsi="Times New Roman" w:cs="Times New Roman"/>
                      <w:color w:val="auto"/>
                    </w:rPr>
                  </w:pPr>
                  <w:r>
                    <w:rPr>
                      <w:rFonts w:hint="default" w:ascii="Times New Roman" w:hAnsi="Times New Roman" w:cs="Times New Roman"/>
                      <w:color w:val="auto"/>
                    </w:rPr>
                    <w:t>重点行业无挥发或低挥发性原料替代：禁止新改扩建涉高VOCs含量溶剂型涂料、油墨、胶粘剂等生产和使用的项目。积极推进交通工具、家具制造、包装印刷、人造板制造等行业使用低（无）VOCs含量原辅材料和产品。</w:t>
                  </w:r>
                </w:p>
              </w:tc>
              <w:tc>
                <w:tcPr>
                  <w:tcW w:w="2021" w:type="dxa"/>
                  <w:tcBorders>
                    <w:tl2br w:val="nil"/>
                    <w:tr2bl w:val="nil"/>
                  </w:tcBorders>
                  <w:noWrap/>
                  <w:vAlign w:val="center"/>
                </w:tcPr>
                <w:p w14:paraId="21C477EB">
                  <w:pPr>
                    <w:pStyle w:val="44"/>
                    <w:bidi w:val="0"/>
                    <w:rPr>
                      <w:rFonts w:hint="default" w:ascii="Times New Roman" w:hAnsi="Times New Roman" w:eastAsia="宋体" w:cs="Times New Roman"/>
                      <w:color w:val="auto"/>
                      <w:lang w:eastAsia="zh-CN"/>
                    </w:rPr>
                  </w:pPr>
                  <w:r>
                    <w:rPr>
                      <w:rFonts w:hint="default" w:ascii="Times New Roman" w:hAnsi="Times New Roman" w:cs="Times New Roman"/>
                      <w:color w:val="auto"/>
                    </w:rPr>
                    <w:t>项目</w:t>
                  </w:r>
                  <w:r>
                    <w:rPr>
                      <w:rFonts w:hint="default" w:ascii="Times New Roman" w:hAnsi="Times New Roman" w:cs="Times New Roman"/>
                      <w:color w:val="auto"/>
                      <w:lang w:val="en-US" w:eastAsia="zh-CN"/>
                    </w:rPr>
                    <w:t>不属于重点行业，</w:t>
                  </w:r>
                  <w:r>
                    <w:rPr>
                      <w:rFonts w:hint="eastAsia" w:cs="Times New Roman"/>
                      <w:color w:val="auto"/>
                      <w:lang w:val="en-US" w:eastAsia="zh-CN"/>
                    </w:rPr>
                    <w:t>本项目生产的密封材料属于低</w:t>
                  </w:r>
                  <w:r>
                    <w:rPr>
                      <w:rFonts w:hint="default" w:ascii="Times New Roman" w:hAnsi="Times New Roman" w:cs="Times New Roman"/>
                      <w:color w:val="auto"/>
                    </w:rPr>
                    <w:t>VOCs含量</w:t>
                  </w:r>
                  <w:r>
                    <w:rPr>
                      <w:rFonts w:hint="eastAsia" w:cs="Times New Roman"/>
                      <w:color w:val="auto"/>
                      <w:lang w:eastAsia="zh-CN"/>
                    </w:rPr>
                    <w:t>的</w:t>
                  </w:r>
                  <w:r>
                    <w:rPr>
                      <w:rFonts w:hint="eastAsia" w:cs="Times New Roman"/>
                      <w:color w:val="auto"/>
                      <w:lang w:val="en-US" w:eastAsia="zh-CN"/>
                    </w:rPr>
                    <w:t>胶粘剂，</w:t>
                  </w:r>
                  <w:r>
                    <w:rPr>
                      <w:rFonts w:hint="default" w:ascii="Times New Roman" w:hAnsi="Times New Roman" w:cs="Times New Roman"/>
                      <w:color w:val="auto"/>
                      <w:lang w:val="en-US" w:eastAsia="zh-CN"/>
                    </w:rPr>
                    <w:t>所用原料不属于高</w:t>
                  </w:r>
                  <w:r>
                    <w:rPr>
                      <w:rFonts w:hint="default" w:ascii="Times New Roman" w:hAnsi="Times New Roman" w:cs="Times New Roman"/>
                      <w:color w:val="auto"/>
                    </w:rPr>
                    <w:t>VOCs含量</w:t>
                  </w:r>
                  <w:r>
                    <w:rPr>
                      <w:rFonts w:hint="default" w:ascii="Times New Roman" w:hAnsi="Times New Roman" w:cs="Times New Roman"/>
                      <w:color w:val="auto"/>
                      <w:lang w:eastAsia="zh-CN"/>
                    </w:rPr>
                    <w:t>。</w:t>
                  </w:r>
                </w:p>
              </w:tc>
              <w:tc>
                <w:tcPr>
                  <w:tcW w:w="697" w:type="dxa"/>
                  <w:tcBorders>
                    <w:tl2br w:val="nil"/>
                    <w:tr2bl w:val="nil"/>
                  </w:tcBorders>
                  <w:noWrap/>
                  <w:vAlign w:val="center"/>
                </w:tcPr>
                <w:p w14:paraId="0CD9548C">
                  <w:pPr>
                    <w:pStyle w:val="44"/>
                    <w:bidi w:val="0"/>
                    <w:rPr>
                      <w:rFonts w:hint="default" w:ascii="Times New Roman" w:hAnsi="Times New Roman" w:cs="Times New Roman"/>
                      <w:color w:val="auto"/>
                    </w:rPr>
                  </w:pPr>
                  <w:r>
                    <w:rPr>
                      <w:rFonts w:hint="default" w:ascii="Times New Roman" w:hAnsi="Times New Roman" w:cs="Times New Roman"/>
                      <w:color w:val="auto"/>
                    </w:rPr>
                    <w:t>符合</w:t>
                  </w:r>
                </w:p>
              </w:tc>
            </w:tr>
            <w:tr w14:paraId="491E7FF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1927" w:hRule="atLeast"/>
                <w:jc w:val="center"/>
              </w:trPr>
              <w:tc>
                <w:tcPr>
                  <w:tcW w:w="5120" w:type="dxa"/>
                  <w:tcBorders>
                    <w:tl2br w:val="nil"/>
                    <w:tr2bl w:val="nil"/>
                  </w:tcBorders>
                  <w:noWrap/>
                  <w:vAlign w:val="center"/>
                </w:tcPr>
                <w:p w14:paraId="5872F2AD">
                  <w:pPr>
                    <w:pStyle w:val="44"/>
                    <w:bidi w:val="0"/>
                    <w:rPr>
                      <w:rFonts w:hint="default" w:ascii="Times New Roman" w:hAnsi="Times New Roman" w:cs="Times New Roman"/>
                      <w:color w:val="auto"/>
                    </w:rPr>
                  </w:pPr>
                  <w:r>
                    <w:rPr>
                      <w:rFonts w:hint="default" w:ascii="Times New Roman" w:hAnsi="Times New Roman" w:cs="Times New Roman"/>
                      <w:color w:val="auto"/>
                    </w:rPr>
                    <w:t>实施化工、焦化、制药、橡胶等行业VOCs治理提升工程。采取密闭生产工艺，使用无泄漏、低泄漏设备。严格控制储罐、装卸环节的呼吸损耗。有机废水收集系统应加盖密闭，并安装废气收集净化系统。对工艺单元排放的尾气进行回收利用，不能回收利用的应采用焚烧或其他有效方式处理。</w:t>
                  </w:r>
                  <w:r>
                    <w:rPr>
                      <w:rFonts w:hint="default" w:ascii="Times New Roman" w:hAnsi="Times New Roman" w:cs="Times New Roman"/>
                      <w:color w:val="auto"/>
                      <w:lang w:val="en-US" w:eastAsia="zh-CN"/>
                    </w:rPr>
                    <w:t>...</w:t>
                  </w:r>
                  <w:r>
                    <w:rPr>
                      <w:rFonts w:hint="default" w:ascii="Times New Roman" w:hAnsi="Times New Roman" w:cs="Times New Roman"/>
                      <w:color w:val="auto"/>
                    </w:rPr>
                    <w:t>加强非正常工况污染控制、规范化工装置开停工及维检修流程。</w:t>
                  </w:r>
                </w:p>
              </w:tc>
              <w:tc>
                <w:tcPr>
                  <w:tcW w:w="2021" w:type="dxa"/>
                  <w:tcBorders>
                    <w:tl2br w:val="nil"/>
                    <w:tr2bl w:val="nil"/>
                  </w:tcBorders>
                  <w:noWrap/>
                  <w:vAlign w:val="center"/>
                </w:tcPr>
                <w:p w14:paraId="6C2D6313">
                  <w:pPr>
                    <w:pStyle w:val="44"/>
                    <w:bidi w:val="0"/>
                    <w:rPr>
                      <w:rFonts w:hint="default" w:ascii="Times New Roman" w:hAnsi="Times New Roman" w:cs="Times New Roman"/>
                      <w:color w:val="auto"/>
                    </w:rPr>
                  </w:pPr>
                  <w:r>
                    <w:rPr>
                      <w:rFonts w:hint="default" w:ascii="Times New Roman" w:hAnsi="Times New Roman" w:cs="Times New Roman"/>
                      <w:color w:val="auto"/>
                    </w:rPr>
                    <w:t>项目</w:t>
                  </w:r>
                  <w:r>
                    <w:rPr>
                      <w:rFonts w:hint="eastAsia" w:cs="Times New Roman"/>
                      <w:color w:val="auto"/>
                      <w:lang w:val="en-US" w:eastAsia="zh-CN"/>
                    </w:rPr>
                    <w:t>生产过程全密闭，</w:t>
                  </w:r>
                  <w:r>
                    <w:rPr>
                      <w:rFonts w:hint="default" w:ascii="Times New Roman" w:hAnsi="Times New Roman" w:cs="Times New Roman"/>
                      <w:color w:val="auto"/>
                      <w:lang w:val="en-US" w:eastAsia="zh-CN"/>
                    </w:rPr>
                    <w:t>产生的</w:t>
                  </w:r>
                  <w:r>
                    <w:rPr>
                      <w:rFonts w:hint="default" w:ascii="Times New Roman" w:hAnsi="Times New Roman" w:cs="Times New Roman"/>
                      <w:color w:val="auto"/>
                    </w:rPr>
                    <w:t>VOCs经</w:t>
                  </w:r>
                  <w:r>
                    <w:rPr>
                      <w:rFonts w:hint="default" w:ascii="Times New Roman" w:hAnsi="Times New Roman" w:cs="Times New Roman"/>
                      <w:color w:val="auto"/>
                      <w:lang w:eastAsia="zh-CN"/>
                    </w:rPr>
                    <w:t>集气管道</w:t>
                  </w:r>
                  <w:r>
                    <w:rPr>
                      <w:rFonts w:hint="default" w:ascii="Times New Roman" w:hAnsi="Times New Roman" w:cs="Times New Roman"/>
                      <w:color w:val="auto"/>
                    </w:rPr>
                    <w:t>收集至“</w:t>
                  </w:r>
                  <w:r>
                    <w:rPr>
                      <w:rFonts w:hint="default" w:ascii="Times New Roman" w:hAnsi="Times New Roman" w:cs="Times New Roman"/>
                      <w:color w:val="auto"/>
                      <w:lang w:val="en-US" w:eastAsia="zh-CN"/>
                    </w:rPr>
                    <w:t>冷凝</w:t>
                  </w:r>
                  <w:r>
                    <w:rPr>
                      <w:rFonts w:hint="default" w:ascii="Times New Roman" w:hAnsi="Times New Roman" w:cs="Times New Roman"/>
                      <w:color w:val="auto"/>
                    </w:rPr>
                    <w:t>+二级活性炭吸附装置”处理后通过15m高排气筒DA00</w:t>
                  </w:r>
                  <w:r>
                    <w:rPr>
                      <w:rFonts w:hint="default" w:ascii="Times New Roman" w:hAnsi="Times New Roman" w:cs="Times New Roman"/>
                      <w:color w:val="auto"/>
                      <w:lang w:val="en-US" w:eastAsia="zh-CN"/>
                    </w:rPr>
                    <w:t>2</w:t>
                  </w:r>
                  <w:r>
                    <w:rPr>
                      <w:rFonts w:hint="default" w:ascii="Times New Roman" w:hAnsi="Times New Roman" w:cs="Times New Roman"/>
                      <w:color w:val="auto"/>
                    </w:rPr>
                    <w:t>排放</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生产过程车间密闭</w:t>
                  </w:r>
                  <w:r>
                    <w:rPr>
                      <w:rFonts w:hint="default" w:ascii="Times New Roman" w:hAnsi="Times New Roman" w:cs="Times New Roman"/>
                      <w:color w:val="auto"/>
                    </w:rPr>
                    <w:t>。</w:t>
                  </w:r>
                </w:p>
              </w:tc>
              <w:tc>
                <w:tcPr>
                  <w:tcW w:w="697" w:type="dxa"/>
                  <w:tcBorders>
                    <w:tl2br w:val="nil"/>
                    <w:tr2bl w:val="nil"/>
                  </w:tcBorders>
                  <w:noWrap/>
                  <w:vAlign w:val="center"/>
                </w:tcPr>
                <w:p w14:paraId="68684577">
                  <w:pPr>
                    <w:pStyle w:val="44"/>
                    <w:bidi w:val="0"/>
                    <w:rPr>
                      <w:rFonts w:hint="default" w:ascii="Times New Roman" w:hAnsi="Times New Roman" w:cs="Times New Roman"/>
                      <w:color w:val="auto"/>
                    </w:rPr>
                  </w:pPr>
                  <w:r>
                    <w:rPr>
                      <w:rFonts w:hint="default" w:ascii="Times New Roman" w:hAnsi="Times New Roman" w:cs="Times New Roman"/>
                      <w:color w:val="auto"/>
                    </w:rPr>
                    <w:t>符合</w:t>
                  </w:r>
                </w:p>
              </w:tc>
            </w:tr>
          </w:tbl>
          <w:p w14:paraId="6FAC23C2">
            <w:pPr>
              <w:pStyle w:val="5"/>
              <w:numPr>
                <w:ilvl w:val="0"/>
                <w:numId w:val="0"/>
              </w:numPr>
              <w:bidi w:val="0"/>
              <w:ind w:leftChars="0" w:firstLine="480" w:firstLineChars="200"/>
              <w:rPr>
                <w:rFonts w:hint="default" w:ascii="Times New Roman" w:hAnsi="Times New Roman" w:eastAsia="宋体" w:cs="Times New Roman"/>
                <w:b/>
                <w:color w:val="auto"/>
              </w:rPr>
            </w:pPr>
            <w:r>
              <w:rPr>
                <w:rFonts w:hint="default" w:ascii="Times New Roman" w:hAnsi="Times New Roman" w:cs="Times New Roman"/>
                <w:color w:val="auto"/>
                <w:lang w:val="en-US" w:eastAsia="zh-CN"/>
              </w:rPr>
              <w:t>9</w:t>
            </w:r>
            <w:r>
              <w:rPr>
                <w:rFonts w:hint="default" w:ascii="Times New Roman" w:hAnsi="Times New Roman" w:cs="Times New Roman"/>
                <w:color w:val="auto"/>
              </w:rPr>
              <w:t>、</w:t>
            </w:r>
            <w:r>
              <w:rPr>
                <w:rFonts w:hint="default" w:ascii="Times New Roman" w:hAnsi="Times New Roman" w:cs="Times New Roman"/>
                <w:color w:val="auto"/>
                <w:lang w:val="en-US" w:eastAsia="zh-CN"/>
              </w:rPr>
              <w:t>与</w:t>
            </w:r>
            <w:r>
              <w:rPr>
                <w:rFonts w:hint="default" w:ascii="Times New Roman" w:hAnsi="Times New Roman" w:cs="Times New Roman"/>
                <w:color w:val="auto"/>
              </w:rPr>
              <w:t>《济宁市2020年挥发性有机物治理攻坚行动方案》符合性分析</w:t>
            </w:r>
          </w:p>
          <w:p w14:paraId="487AB1BD">
            <w:pPr>
              <w:pStyle w:val="45"/>
              <w:bidi w:val="0"/>
              <w:rPr>
                <w:rFonts w:hint="default" w:ascii="Times New Roman" w:hAnsi="Times New Roman" w:eastAsia="宋体" w:cs="Times New Roman"/>
                <w:b/>
                <w:color w:val="auto"/>
              </w:rPr>
            </w:pPr>
            <w:r>
              <w:rPr>
                <w:rFonts w:hint="default" w:ascii="Times New Roman" w:hAnsi="Times New Roman" w:cs="Times New Roman"/>
                <w:color w:val="auto"/>
              </w:rPr>
              <w:t>表1-</w:t>
            </w:r>
            <w:r>
              <w:rPr>
                <w:rFonts w:hint="default" w:ascii="Times New Roman" w:hAnsi="Times New Roman" w:cs="Times New Roman"/>
                <w:color w:val="auto"/>
                <w:lang w:val="en-US" w:eastAsia="zh-CN"/>
              </w:rPr>
              <w:t>10</w:t>
            </w:r>
            <w:r>
              <w:rPr>
                <w:rFonts w:hint="default" w:ascii="Times New Roman" w:hAnsi="Times New Roman" w:cs="Times New Roman"/>
                <w:color w:val="auto"/>
              </w:rPr>
              <w:t xml:space="preserve">  与《济宁市2020年挥发性有机物治理攻坚行动方案》符合性分析</w:t>
            </w:r>
          </w:p>
          <w:tbl>
            <w:tblPr>
              <w:tblStyle w:val="33"/>
              <w:tblW w:w="4994"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70"/>
              <w:gridCol w:w="4730"/>
              <w:gridCol w:w="1504"/>
              <w:gridCol w:w="857"/>
            </w:tblGrid>
            <w:tr w14:paraId="53310E5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00" w:type="dxa"/>
                  <w:gridSpan w:val="2"/>
                  <w:tcBorders>
                    <w:tl2br w:val="nil"/>
                    <w:tr2bl w:val="nil"/>
                  </w:tcBorders>
                  <w:noWrap w:val="0"/>
                  <w:vAlign w:val="center"/>
                </w:tcPr>
                <w:p w14:paraId="46A3FEB8">
                  <w:pPr>
                    <w:pStyle w:val="44"/>
                    <w:bidi w:val="0"/>
                    <w:rPr>
                      <w:rFonts w:hint="default" w:ascii="Times New Roman" w:hAnsi="Times New Roman" w:cs="Times New Roman"/>
                      <w:b/>
                      <w:bCs/>
                      <w:color w:val="auto"/>
                    </w:rPr>
                  </w:pPr>
                  <w:r>
                    <w:rPr>
                      <w:rFonts w:hint="default" w:ascii="Times New Roman" w:hAnsi="Times New Roman" w:cs="Times New Roman"/>
                      <w:b/>
                      <w:bCs/>
                      <w:color w:val="auto"/>
                    </w:rPr>
                    <w:t>文件要求</w:t>
                  </w:r>
                </w:p>
              </w:tc>
              <w:tc>
                <w:tcPr>
                  <w:tcW w:w="1504" w:type="dxa"/>
                  <w:tcBorders>
                    <w:tl2br w:val="nil"/>
                    <w:tr2bl w:val="nil"/>
                  </w:tcBorders>
                  <w:noWrap w:val="0"/>
                  <w:vAlign w:val="center"/>
                </w:tcPr>
                <w:p w14:paraId="52D0B695">
                  <w:pPr>
                    <w:pStyle w:val="44"/>
                    <w:bidi w:val="0"/>
                    <w:rPr>
                      <w:rFonts w:hint="default" w:ascii="Times New Roman" w:hAnsi="Times New Roman" w:cs="Times New Roman"/>
                      <w:b/>
                      <w:bCs/>
                      <w:color w:val="auto"/>
                    </w:rPr>
                  </w:pPr>
                  <w:r>
                    <w:rPr>
                      <w:rFonts w:hint="default" w:ascii="Times New Roman" w:hAnsi="Times New Roman" w:cs="Times New Roman"/>
                      <w:b/>
                      <w:bCs/>
                      <w:color w:val="auto"/>
                    </w:rPr>
                    <w:t>本项目情况</w:t>
                  </w:r>
                </w:p>
              </w:tc>
              <w:tc>
                <w:tcPr>
                  <w:tcW w:w="857" w:type="dxa"/>
                  <w:tcBorders>
                    <w:tl2br w:val="nil"/>
                    <w:tr2bl w:val="nil"/>
                  </w:tcBorders>
                  <w:noWrap w:val="0"/>
                  <w:vAlign w:val="center"/>
                </w:tcPr>
                <w:p w14:paraId="19027376">
                  <w:pPr>
                    <w:pStyle w:val="44"/>
                    <w:bidi w:val="0"/>
                    <w:rPr>
                      <w:rFonts w:hint="default" w:ascii="Times New Roman" w:hAnsi="Times New Roman" w:cs="Times New Roman"/>
                      <w:b/>
                      <w:bCs/>
                      <w:color w:val="auto"/>
                    </w:rPr>
                  </w:pPr>
                  <w:r>
                    <w:rPr>
                      <w:rFonts w:hint="default" w:ascii="Times New Roman" w:hAnsi="Times New Roman" w:cs="Times New Roman"/>
                      <w:b/>
                      <w:bCs/>
                      <w:color w:val="auto"/>
                    </w:rPr>
                    <w:t>符合性</w:t>
                  </w:r>
                </w:p>
              </w:tc>
            </w:tr>
            <w:tr w14:paraId="6926DB9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670" w:type="dxa"/>
                  <w:tcBorders>
                    <w:tl2br w:val="nil"/>
                    <w:tr2bl w:val="nil"/>
                  </w:tcBorders>
                  <w:noWrap w:val="0"/>
                  <w:vAlign w:val="center"/>
                </w:tcPr>
                <w:p w14:paraId="79190961">
                  <w:pPr>
                    <w:pStyle w:val="44"/>
                    <w:bidi w:val="0"/>
                    <w:rPr>
                      <w:rFonts w:hint="default" w:ascii="Times New Roman" w:hAnsi="Times New Roman" w:cs="Times New Roman"/>
                      <w:color w:val="auto"/>
                    </w:rPr>
                  </w:pPr>
                  <w:r>
                    <w:rPr>
                      <w:rFonts w:hint="default" w:ascii="Times New Roman" w:hAnsi="Times New Roman" w:cs="Times New Roman"/>
                      <w:color w:val="auto"/>
                    </w:rPr>
                    <w:t>一、严格行业准入</w:t>
                  </w:r>
                </w:p>
              </w:tc>
              <w:tc>
                <w:tcPr>
                  <w:tcW w:w="4730" w:type="dxa"/>
                  <w:tcBorders>
                    <w:tl2br w:val="nil"/>
                    <w:tr2bl w:val="nil"/>
                  </w:tcBorders>
                  <w:noWrap w:val="0"/>
                  <w:vAlign w:val="center"/>
                </w:tcPr>
                <w:p w14:paraId="12CDDD57">
                  <w:pPr>
                    <w:pStyle w:val="44"/>
                    <w:bidi w:val="0"/>
                    <w:rPr>
                      <w:rFonts w:hint="default" w:ascii="Times New Roman" w:hAnsi="Times New Roman" w:cs="Times New Roman"/>
                      <w:color w:val="auto"/>
                    </w:rPr>
                  </w:pPr>
                  <w:r>
                    <w:rPr>
                      <w:rFonts w:hint="default" w:ascii="Times New Roman" w:hAnsi="Times New Roman" w:cs="Times New Roman"/>
                      <w:color w:val="auto"/>
                    </w:rPr>
                    <w:t>严格限制石化、化工、工业涂装、包装印刷等高VOCs排放建设项目；严格控制VOCs新增污染物排放，新增VOCs排放量实行倍量削减，纳入环境执法管理；新、改、扩建涉VOCs排放项目，应从源头加强控制，使用低（无）VOCs含量的原辅材料，加强废气收集，安装高效治理设施；提升VOCs集中排放工业区和传统产业聚集区产业准入标准，鼓励聘请行业专家团队制定小涂装、小印刷、小化工等传统产业聚集区整治提升标准，树立一批行业标杆企业，清理整顿治理无望的不达标企业，促进VOCs集中排放工业区和传统产业聚集区污染治理水平整体提升。</w:t>
                  </w:r>
                </w:p>
              </w:tc>
              <w:tc>
                <w:tcPr>
                  <w:tcW w:w="1504" w:type="dxa"/>
                  <w:tcBorders>
                    <w:tl2br w:val="nil"/>
                    <w:tr2bl w:val="nil"/>
                  </w:tcBorders>
                  <w:noWrap w:val="0"/>
                  <w:vAlign w:val="center"/>
                </w:tcPr>
                <w:p w14:paraId="763E8A53">
                  <w:pPr>
                    <w:pStyle w:val="44"/>
                    <w:bidi w:val="0"/>
                    <w:rPr>
                      <w:rFonts w:hint="default" w:ascii="Times New Roman" w:hAnsi="Times New Roman" w:eastAsia="宋体" w:cs="Times New Roman"/>
                      <w:color w:val="auto"/>
                      <w:lang w:eastAsia="zh-CN"/>
                    </w:rPr>
                  </w:pPr>
                  <w:r>
                    <w:rPr>
                      <w:rFonts w:hint="default" w:ascii="Times New Roman" w:hAnsi="Times New Roman" w:cs="Times New Roman"/>
                      <w:color w:val="auto"/>
                    </w:rPr>
                    <w:t>项目</w:t>
                  </w:r>
                  <w:r>
                    <w:rPr>
                      <w:rFonts w:hint="default" w:ascii="Times New Roman" w:hAnsi="Times New Roman" w:cs="Times New Roman"/>
                      <w:color w:val="auto"/>
                      <w:lang w:val="en-US" w:eastAsia="zh-CN"/>
                    </w:rPr>
                    <w:t>产生的</w:t>
                  </w:r>
                  <w:r>
                    <w:rPr>
                      <w:rFonts w:hint="default" w:ascii="Times New Roman" w:hAnsi="Times New Roman" w:cs="Times New Roman"/>
                      <w:color w:val="auto"/>
                    </w:rPr>
                    <w:t>VOCs经</w:t>
                  </w:r>
                  <w:r>
                    <w:rPr>
                      <w:rFonts w:hint="default" w:ascii="Times New Roman" w:hAnsi="Times New Roman" w:cs="Times New Roman"/>
                      <w:color w:val="auto"/>
                      <w:lang w:eastAsia="zh-CN"/>
                    </w:rPr>
                    <w:t>集气管道</w:t>
                  </w:r>
                  <w:r>
                    <w:rPr>
                      <w:rFonts w:hint="default" w:ascii="Times New Roman" w:hAnsi="Times New Roman" w:cs="Times New Roman"/>
                      <w:color w:val="auto"/>
                    </w:rPr>
                    <w:t>收集至“</w:t>
                  </w:r>
                  <w:r>
                    <w:rPr>
                      <w:rFonts w:hint="default" w:ascii="Times New Roman" w:hAnsi="Times New Roman" w:cs="Times New Roman"/>
                      <w:color w:val="auto"/>
                      <w:lang w:val="en-US" w:eastAsia="zh-CN"/>
                    </w:rPr>
                    <w:t>冷凝</w:t>
                  </w:r>
                  <w:r>
                    <w:rPr>
                      <w:rFonts w:hint="default" w:ascii="Times New Roman" w:hAnsi="Times New Roman" w:cs="Times New Roman"/>
                      <w:color w:val="auto"/>
                    </w:rPr>
                    <w:t>+二级活性炭吸附装置”处理后通过15m高排气筒DA00</w:t>
                  </w:r>
                  <w:r>
                    <w:rPr>
                      <w:rFonts w:hint="default" w:ascii="Times New Roman" w:hAnsi="Times New Roman" w:cs="Times New Roman"/>
                      <w:color w:val="auto"/>
                      <w:lang w:val="en-US" w:eastAsia="zh-CN"/>
                    </w:rPr>
                    <w:t>2</w:t>
                  </w:r>
                  <w:r>
                    <w:rPr>
                      <w:rFonts w:hint="default" w:ascii="Times New Roman" w:hAnsi="Times New Roman" w:cs="Times New Roman"/>
                      <w:color w:val="auto"/>
                    </w:rPr>
                    <w:t>排放</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生产过程车间密闭</w:t>
                  </w:r>
                  <w:r>
                    <w:rPr>
                      <w:rFonts w:hint="default" w:ascii="Times New Roman" w:hAnsi="Times New Roman" w:cs="Times New Roman"/>
                      <w:color w:val="auto"/>
                      <w:lang w:eastAsia="zh-CN"/>
                    </w:rPr>
                    <w:t>。</w:t>
                  </w:r>
                  <w:r>
                    <w:rPr>
                      <w:rFonts w:hint="default" w:ascii="Times New Roman" w:hAnsi="Times New Roman" w:cs="Times New Roman"/>
                      <w:color w:val="auto"/>
                    </w:rPr>
                    <w:t>项目VOCs实行倍量削减替代</w:t>
                  </w:r>
                  <w:r>
                    <w:rPr>
                      <w:rFonts w:hint="default" w:ascii="Times New Roman" w:hAnsi="Times New Roman" w:cs="Times New Roman"/>
                      <w:color w:val="auto"/>
                      <w:lang w:eastAsia="zh-CN"/>
                    </w:rPr>
                    <w:t>。</w:t>
                  </w:r>
                </w:p>
              </w:tc>
              <w:tc>
                <w:tcPr>
                  <w:tcW w:w="857" w:type="dxa"/>
                  <w:tcBorders>
                    <w:tl2br w:val="nil"/>
                    <w:tr2bl w:val="nil"/>
                  </w:tcBorders>
                  <w:noWrap w:val="0"/>
                  <w:vAlign w:val="center"/>
                </w:tcPr>
                <w:p w14:paraId="370B32E4">
                  <w:pPr>
                    <w:pStyle w:val="44"/>
                    <w:bidi w:val="0"/>
                    <w:rPr>
                      <w:rFonts w:hint="default" w:ascii="Times New Roman" w:hAnsi="Times New Roman" w:cs="Times New Roman"/>
                      <w:color w:val="auto"/>
                    </w:rPr>
                  </w:pPr>
                  <w:r>
                    <w:rPr>
                      <w:rFonts w:hint="default" w:ascii="Times New Roman" w:hAnsi="Times New Roman" w:cs="Times New Roman"/>
                      <w:color w:val="auto"/>
                    </w:rPr>
                    <w:t>符合</w:t>
                  </w:r>
                </w:p>
              </w:tc>
            </w:tr>
            <w:tr w14:paraId="7B63092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19" w:hRule="atLeast"/>
                <w:jc w:val="center"/>
              </w:trPr>
              <w:tc>
                <w:tcPr>
                  <w:tcW w:w="670" w:type="dxa"/>
                  <w:tcBorders>
                    <w:tl2br w:val="nil"/>
                    <w:tr2bl w:val="nil"/>
                  </w:tcBorders>
                  <w:noWrap w:val="0"/>
                  <w:vAlign w:val="center"/>
                </w:tcPr>
                <w:p w14:paraId="6323A8E8">
                  <w:pPr>
                    <w:pStyle w:val="44"/>
                    <w:bidi w:val="0"/>
                    <w:rPr>
                      <w:rFonts w:hint="default" w:ascii="Times New Roman" w:hAnsi="Times New Roman" w:cs="Times New Roman"/>
                      <w:color w:val="auto"/>
                    </w:rPr>
                  </w:pPr>
                  <w:r>
                    <w:rPr>
                      <w:rFonts w:hint="default" w:ascii="Times New Roman" w:hAnsi="Times New Roman" w:cs="Times New Roman"/>
                      <w:color w:val="auto"/>
                    </w:rPr>
                    <w:t>二、大力推进源头替代</w:t>
                  </w:r>
                </w:p>
              </w:tc>
              <w:tc>
                <w:tcPr>
                  <w:tcW w:w="4730" w:type="dxa"/>
                  <w:tcBorders>
                    <w:tl2br w:val="nil"/>
                    <w:tr2bl w:val="nil"/>
                  </w:tcBorders>
                  <w:noWrap w:val="0"/>
                  <w:vAlign w:val="center"/>
                </w:tcPr>
                <w:p w14:paraId="19170BE1">
                  <w:pPr>
                    <w:pStyle w:val="44"/>
                    <w:bidi w:val="0"/>
                    <w:rPr>
                      <w:rFonts w:hint="default" w:ascii="Times New Roman" w:hAnsi="Times New Roman" w:cs="Times New Roman"/>
                      <w:color w:val="auto"/>
                    </w:rPr>
                  </w:pPr>
                  <w:r>
                    <w:rPr>
                      <w:rFonts w:hint="default" w:ascii="Times New Roman" w:hAnsi="Times New Roman" w:cs="Times New Roman"/>
                      <w:color w:val="auto"/>
                    </w:rPr>
                    <w:t>严格落实国家和地方产品VOCs含量限值标准，督促相关企业建立完善VOCs原辅材料台账，记录生产原料、辅料的使用量、废弃量、去向以及VOCs含量，台账保存期限不少于3年。对国家已颁布行业原辅材料替代要求的，提高应用普及率。2020年7月1日起，船舶涂料和地坪涂料生产、销售和使用应满足新颁布实施的国家产品有害物质限量标准要求。建筑类涂料和胶粘剂产品须满足《建筑类涂料与胶粘剂挥发性有机化合物含量限值标准》要求。督促生产企业做好油墨、胶粘剂、清洗剂及木器、车辆、建筑用外墙、工业防护涂料等有害物质限量标准实施准备工作，在标准正式生效前有序完成切换。把全面使用符合国家要求的低VOCs含量原辅材料的企业纳入正面清单和政府绿色采购清单。生产设施防腐防水防锈涂装应避开夏季或采用低VOCs含量涂料。推进政府绿色采购，要求家具、印刷等政府定点招标采购企业优先使用低挥发性原辅材料，鼓励汽车维修等政府定点招标采购企业使用低挥发性原辅材料，将低VOCs含量产品纳入政府采购名录，并在政府投资项目中优先使用；引导将使用低VOCs含量涂料、胶粘剂等纳入政府采购装修合同环保条款。</w:t>
                  </w:r>
                </w:p>
              </w:tc>
              <w:tc>
                <w:tcPr>
                  <w:tcW w:w="1504" w:type="dxa"/>
                  <w:tcBorders>
                    <w:tl2br w:val="nil"/>
                    <w:tr2bl w:val="nil"/>
                  </w:tcBorders>
                  <w:noWrap w:val="0"/>
                  <w:vAlign w:val="center"/>
                </w:tcPr>
                <w:p w14:paraId="58B71F82">
                  <w:pPr>
                    <w:pStyle w:val="44"/>
                    <w:bidi w:val="0"/>
                    <w:rPr>
                      <w:rFonts w:hint="default" w:ascii="Times New Roman" w:hAnsi="Times New Roman" w:cs="Times New Roman"/>
                      <w:color w:val="auto"/>
                    </w:rPr>
                  </w:pPr>
                  <w:r>
                    <w:rPr>
                      <w:rFonts w:hint="default" w:ascii="Times New Roman" w:hAnsi="Times New Roman" w:cs="Times New Roman"/>
                      <w:color w:val="auto"/>
                    </w:rPr>
                    <w:t>企业建立VOCs原辅材料台账，记录生产原料、辅料的使用量、废弃量、去向以及VOCs含量，台账保存期限不少于5年。</w:t>
                  </w:r>
                </w:p>
              </w:tc>
              <w:tc>
                <w:tcPr>
                  <w:tcW w:w="857" w:type="dxa"/>
                  <w:tcBorders>
                    <w:tl2br w:val="nil"/>
                    <w:tr2bl w:val="nil"/>
                  </w:tcBorders>
                  <w:noWrap w:val="0"/>
                  <w:vAlign w:val="center"/>
                </w:tcPr>
                <w:p w14:paraId="13A5FD31">
                  <w:pPr>
                    <w:pStyle w:val="44"/>
                    <w:bidi w:val="0"/>
                    <w:rPr>
                      <w:rFonts w:hint="default" w:ascii="Times New Roman" w:hAnsi="Times New Roman" w:cs="Times New Roman"/>
                      <w:color w:val="auto"/>
                    </w:rPr>
                  </w:pPr>
                  <w:r>
                    <w:rPr>
                      <w:rFonts w:hint="default" w:ascii="Times New Roman" w:hAnsi="Times New Roman" w:cs="Times New Roman"/>
                      <w:color w:val="auto"/>
                    </w:rPr>
                    <w:t>符合</w:t>
                  </w:r>
                </w:p>
              </w:tc>
            </w:tr>
            <w:tr w14:paraId="17A593E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670" w:type="dxa"/>
                  <w:tcBorders>
                    <w:tl2br w:val="nil"/>
                    <w:tr2bl w:val="nil"/>
                  </w:tcBorders>
                  <w:noWrap w:val="0"/>
                  <w:vAlign w:val="center"/>
                </w:tcPr>
                <w:p w14:paraId="4C706C55">
                  <w:pPr>
                    <w:pStyle w:val="44"/>
                    <w:bidi w:val="0"/>
                    <w:rPr>
                      <w:rFonts w:hint="default" w:ascii="Times New Roman" w:hAnsi="Times New Roman" w:cs="Times New Roman"/>
                      <w:color w:val="auto"/>
                    </w:rPr>
                  </w:pPr>
                  <w:r>
                    <w:rPr>
                      <w:rFonts w:hint="default" w:ascii="Times New Roman" w:hAnsi="Times New Roman" w:cs="Times New Roman"/>
                      <w:color w:val="auto"/>
                    </w:rPr>
                    <w:t>三、强化无组织排放控制</w:t>
                  </w:r>
                </w:p>
              </w:tc>
              <w:tc>
                <w:tcPr>
                  <w:tcW w:w="4730" w:type="dxa"/>
                  <w:tcBorders>
                    <w:tl2br w:val="nil"/>
                    <w:tr2bl w:val="nil"/>
                  </w:tcBorders>
                  <w:noWrap w:val="0"/>
                  <w:vAlign w:val="center"/>
                </w:tcPr>
                <w:p w14:paraId="20ABD68C">
                  <w:pPr>
                    <w:pStyle w:val="44"/>
                    <w:bidi w:val="0"/>
                    <w:rPr>
                      <w:rFonts w:hint="default" w:ascii="Times New Roman" w:hAnsi="Times New Roman" w:cs="Times New Roman"/>
                      <w:color w:val="auto"/>
                    </w:rPr>
                  </w:pPr>
                  <w:r>
                    <w:rPr>
                      <w:rFonts w:hint="default" w:ascii="Times New Roman" w:hAnsi="Times New Roman" w:cs="Times New Roman"/>
                      <w:color w:val="auto"/>
                    </w:rPr>
                    <w:t>督促相关企业参照《山东省涉挥发性有机物企业分行业治理指导意见》（鲁环发〔2019〕146号），点对点排查逸散点位收集情况及效果，确定治理提升目标，制定整改措施清单。</w:t>
                  </w:r>
                </w:p>
              </w:tc>
              <w:tc>
                <w:tcPr>
                  <w:tcW w:w="1504" w:type="dxa"/>
                  <w:tcBorders>
                    <w:tl2br w:val="nil"/>
                    <w:tr2bl w:val="nil"/>
                  </w:tcBorders>
                  <w:noWrap w:val="0"/>
                  <w:vAlign w:val="center"/>
                </w:tcPr>
                <w:p w14:paraId="08786CF0">
                  <w:pPr>
                    <w:pStyle w:val="44"/>
                    <w:bidi w:val="0"/>
                    <w:rPr>
                      <w:rFonts w:hint="default" w:ascii="Times New Roman" w:hAnsi="Times New Roman" w:cs="Times New Roman"/>
                      <w:color w:val="auto"/>
                    </w:rPr>
                  </w:pPr>
                  <w:r>
                    <w:rPr>
                      <w:rFonts w:hint="default" w:ascii="Times New Roman" w:hAnsi="Times New Roman" w:cs="Times New Roman"/>
                      <w:color w:val="auto"/>
                    </w:rPr>
                    <w:t>项目</w:t>
                  </w:r>
                  <w:r>
                    <w:rPr>
                      <w:rFonts w:hint="default" w:ascii="Times New Roman" w:hAnsi="Times New Roman" w:cs="Times New Roman"/>
                      <w:color w:val="auto"/>
                      <w:lang w:val="en-US" w:eastAsia="zh-CN"/>
                    </w:rPr>
                    <w:t>产生的</w:t>
                  </w:r>
                  <w:r>
                    <w:rPr>
                      <w:rFonts w:hint="default" w:ascii="Times New Roman" w:hAnsi="Times New Roman" w:cs="Times New Roman"/>
                      <w:color w:val="auto"/>
                    </w:rPr>
                    <w:t>VOCs经</w:t>
                  </w:r>
                  <w:r>
                    <w:rPr>
                      <w:rFonts w:hint="default" w:ascii="Times New Roman" w:hAnsi="Times New Roman" w:cs="Times New Roman"/>
                      <w:color w:val="auto"/>
                      <w:lang w:eastAsia="zh-CN"/>
                    </w:rPr>
                    <w:t>集气管道</w:t>
                  </w:r>
                  <w:r>
                    <w:rPr>
                      <w:rFonts w:hint="default" w:ascii="Times New Roman" w:hAnsi="Times New Roman" w:cs="Times New Roman"/>
                      <w:color w:val="auto"/>
                    </w:rPr>
                    <w:t>收集至“</w:t>
                  </w:r>
                  <w:r>
                    <w:rPr>
                      <w:rFonts w:hint="default" w:ascii="Times New Roman" w:hAnsi="Times New Roman" w:cs="Times New Roman"/>
                      <w:color w:val="auto"/>
                      <w:lang w:val="en-US" w:eastAsia="zh-CN"/>
                    </w:rPr>
                    <w:t>冷凝</w:t>
                  </w:r>
                  <w:r>
                    <w:rPr>
                      <w:rFonts w:hint="default" w:ascii="Times New Roman" w:hAnsi="Times New Roman" w:cs="Times New Roman"/>
                      <w:color w:val="auto"/>
                    </w:rPr>
                    <w:t>+二级活性炭吸附装置”处理后通过15m高排气筒DA00</w:t>
                  </w:r>
                  <w:r>
                    <w:rPr>
                      <w:rFonts w:hint="default" w:ascii="Times New Roman" w:hAnsi="Times New Roman" w:cs="Times New Roman"/>
                      <w:color w:val="auto"/>
                      <w:lang w:val="en-US" w:eastAsia="zh-CN"/>
                    </w:rPr>
                    <w:t>2</w:t>
                  </w:r>
                  <w:r>
                    <w:rPr>
                      <w:rFonts w:hint="default" w:ascii="Times New Roman" w:hAnsi="Times New Roman" w:cs="Times New Roman"/>
                      <w:color w:val="auto"/>
                    </w:rPr>
                    <w:t>排放</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生产过程车间密闭</w:t>
                  </w:r>
                  <w:r>
                    <w:rPr>
                      <w:rFonts w:hint="default" w:ascii="Times New Roman" w:hAnsi="Times New Roman" w:cs="Times New Roman"/>
                      <w:color w:val="auto"/>
                    </w:rPr>
                    <w:t>。</w:t>
                  </w:r>
                </w:p>
              </w:tc>
              <w:tc>
                <w:tcPr>
                  <w:tcW w:w="857" w:type="dxa"/>
                  <w:tcBorders>
                    <w:tl2br w:val="nil"/>
                    <w:tr2bl w:val="nil"/>
                  </w:tcBorders>
                  <w:noWrap w:val="0"/>
                  <w:vAlign w:val="center"/>
                </w:tcPr>
                <w:p w14:paraId="0AA7A9B7">
                  <w:pPr>
                    <w:pStyle w:val="44"/>
                    <w:bidi w:val="0"/>
                    <w:rPr>
                      <w:rFonts w:hint="default" w:ascii="Times New Roman" w:hAnsi="Times New Roman" w:cs="Times New Roman"/>
                      <w:color w:val="auto"/>
                    </w:rPr>
                  </w:pPr>
                  <w:r>
                    <w:rPr>
                      <w:rFonts w:hint="default" w:ascii="Times New Roman" w:hAnsi="Times New Roman" w:cs="Times New Roman"/>
                      <w:color w:val="auto"/>
                    </w:rPr>
                    <w:t>符合</w:t>
                  </w:r>
                </w:p>
              </w:tc>
            </w:tr>
          </w:tbl>
          <w:p w14:paraId="34D7FD97">
            <w:pPr>
              <w:widowControl w:val="0"/>
              <w:tabs>
                <w:tab w:val="left" w:pos="2340"/>
                <w:tab w:val="left" w:pos="4320"/>
              </w:tabs>
              <w:adjustRightInd w:val="0"/>
              <w:snapToGrid w:val="0"/>
              <w:spacing w:line="360" w:lineRule="auto"/>
              <w:ind w:firstLine="480" w:firstLineChars="200"/>
              <w:jc w:val="left"/>
              <w:rPr>
                <w:rFonts w:hint="default" w:ascii="Times New Roman" w:hAnsi="Times New Roman" w:eastAsia="宋体" w:cs="Times New Roman"/>
                <w:b/>
                <w:bCs/>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由上表可知，项目符合《济宁市2020年挥发性有机物治理攻坚行动方案》要求。</w:t>
            </w:r>
          </w:p>
          <w:p w14:paraId="0FA32427">
            <w:pPr>
              <w:pStyle w:val="47"/>
              <w:bidi w:val="0"/>
              <w:rPr>
                <w:rFonts w:hint="default" w:ascii="Times New Roman" w:hAnsi="Times New Roman" w:cs="Times New Roman"/>
                <w:color w:val="auto"/>
              </w:rPr>
            </w:pPr>
            <w:r>
              <w:rPr>
                <w:rFonts w:hint="default" w:ascii="Times New Roman" w:hAnsi="Times New Roman" w:cs="Times New Roman"/>
                <w:color w:val="auto"/>
                <w:lang w:val="en-US" w:eastAsia="zh-CN"/>
              </w:rPr>
              <w:t>10、</w:t>
            </w:r>
            <w:r>
              <w:rPr>
                <w:rFonts w:hint="default" w:ascii="Times New Roman" w:hAnsi="Times New Roman" w:cs="Times New Roman"/>
                <w:color w:val="auto"/>
              </w:rPr>
              <w:t>与《关于进一步加强环保设备设施安全生产工作的通知》（安委办明电〔2022〕17号）符合性</w:t>
            </w:r>
          </w:p>
          <w:p w14:paraId="3FC9EB7D">
            <w:pPr>
              <w:pStyle w:val="47"/>
              <w:bidi w:val="0"/>
              <w:rPr>
                <w:rFonts w:hint="default" w:ascii="Times New Roman" w:hAnsi="Times New Roman" w:cs="Times New Roman"/>
                <w:color w:val="auto"/>
              </w:rPr>
            </w:pPr>
            <w:r>
              <w:rPr>
                <w:rFonts w:hint="default" w:ascii="Times New Roman" w:hAnsi="Times New Roman" w:cs="Times New Roman"/>
                <w:color w:val="auto"/>
              </w:rPr>
              <w:t>表1-</w:t>
            </w:r>
            <w:r>
              <w:rPr>
                <w:rFonts w:hint="default" w:ascii="Times New Roman" w:hAnsi="Times New Roman" w:cs="Times New Roman"/>
                <w:color w:val="auto"/>
                <w:lang w:val="en-US" w:eastAsia="zh-CN"/>
              </w:rPr>
              <w:t xml:space="preserve">11 </w:t>
            </w:r>
            <w:r>
              <w:rPr>
                <w:rFonts w:hint="default" w:ascii="Times New Roman" w:hAnsi="Times New Roman" w:cs="Times New Roman"/>
                <w:color w:val="auto"/>
              </w:rPr>
              <w:t>与安委办明电〔2022〕17号文符合情况</w:t>
            </w:r>
          </w:p>
          <w:tbl>
            <w:tblPr>
              <w:tblStyle w:val="33"/>
              <w:tblW w:w="7719"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4595"/>
              <w:gridCol w:w="1831"/>
              <w:gridCol w:w="1293"/>
            </w:tblGrid>
            <w:tr w14:paraId="5573D94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86" w:hRule="atLeast"/>
                <w:jc w:val="center"/>
              </w:trPr>
              <w:tc>
                <w:tcPr>
                  <w:tcW w:w="4595" w:type="dxa"/>
                  <w:tcBorders>
                    <w:tl2br w:val="nil"/>
                    <w:tr2bl w:val="nil"/>
                  </w:tcBorders>
                  <w:noWrap/>
                  <w:vAlign w:val="center"/>
                </w:tcPr>
                <w:p w14:paraId="46E90D7F">
                  <w:pPr>
                    <w:pStyle w:val="44"/>
                    <w:bidi w:val="0"/>
                    <w:rPr>
                      <w:rFonts w:hint="default" w:ascii="Times New Roman" w:hAnsi="Times New Roman" w:cs="Times New Roman"/>
                      <w:b/>
                      <w:bCs/>
                      <w:color w:val="auto"/>
                    </w:rPr>
                  </w:pPr>
                  <w:r>
                    <w:rPr>
                      <w:rFonts w:hint="default" w:ascii="Times New Roman" w:hAnsi="Times New Roman" w:cs="Times New Roman"/>
                      <w:b/>
                      <w:bCs/>
                      <w:color w:val="auto"/>
                    </w:rPr>
                    <w:t>文件要求</w:t>
                  </w:r>
                </w:p>
              </w:tc>
              <w:tc>
                <w:tcPr>
                  <w:tcW w:w="1831" w:type="dxa"/>
                  <w:tcBorders>
                    <w:tl2br w:val="nil"/>
                    <w:tr2bl w:val="nil"/>
                  </w:tcBorders>
                  <w:noWrap/>
                  <w:vAlign w:val="center"/>
                </w:tcPr>
                <w:p w14:paraId="18EB7806">
                  <w:pPr>
                    <w:pStyle w:val="44"/>
                    <w:bidi w:val="0"/>
                    <w:rPr>
                      <w:rFonts w:hint="default" w:ascii="Times New Roman" w:hAnsi="Times New Roman" w:cs="Times New Roman"/>
                      <w:b/>
                      <w:bCs/>
                      <w:color w:val="auto"/>
                    </w:rPr>
                  </w:pPr>
                  <w:r>
                    <w:rPr>
                      <w:rFonts w:hint="default" w:ascii="Times New Roman" w:hAnsi="Times New Roman" w:cs="Times New Roman"/>
                      <w:b/>
                      <w:bCs/>
                      <w:color w:val="auto"/>
                    </w:rPr>
                    <w:t>本项目情况</w:t>
                  </w:r>
                </w:p>
              </w:tc>
              <w:tc>
                <w:tcPr>
                  <w:tcW w:w="1293" w:type="dxa"/>
                  <w:tcBorders>
                    <w:tl2br w:val="nil"/>
                    <w:tr2bl w:val="nil"/>
                  </w:tcBorders>
                  <w:noWrap/>
                  <w:vAlign w:val="center"/>
                </w:tcPr>
                <w:p w14:paraId="6A192A11">
                  <w:pPr>
                    <w:pStyle w:val="44"/>
                    <w:bidi w:val="0"/>
                    <w:rPr>
                      <w:rFonts w:hint="default" w:ascii="Times New Roman" w:hAnsi="Times New Roman" w:cs="Times New Roman"/>
                      <w:b/>
                      <w:bCs/>
                      <w:color w:val="auto"/>
                    </w:rPr>
                  </w:pPr>
                  <w:r>
                    <w:rPr>
                      <w:rFonts w:hint="default" w:ascii="Times New Roman" w:hAnsi="Times New Roman" w:cs="Times New Roman"/>
                      <w:b/>
                      <w:bCs/>
                      <w:color w:val="auto"/>
                    </w:rPr>
                    <w:t>建议要求</w:t>
                  </w:r>
                </w:p>
              </w:tc>
            </w:tr>
            <w:tr w14:paraId="0C28986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1788" w:hRule="atLeast"/>
                <w:jc w:val="center"/>
              </w:trPr>
              <w:tc>
                <w:tcPr>
                  <w:tcW w:w="4595" w:type="dxa"/>
                  <w:tcBorders>
                    <w:tl2br w:val="nil"/>
                    <w:tr2bl w:val="nil"/>
                  </w:tcBorders>
                  <w:noWrap/>
                  <w:vAlign w:val="center"/>
                </w:tcPr>
                <w:p w14:paraId="68130FC0">
                  <w:pPr>
                    <w:pStyle w:val="44"/>
                    <w:bidi w:val="0"/>
                    <w:rPr>
                      <w:rFonts w:hint="default" w:ascii="Times New Roman" w:hAnsi="Times New Roman" w:cs="Times New Roman"/>
                      <w:color w:val="auto"/>
                    </w:rPr>
                  </w:pPr>
                  <w:r>
                    <w:rPr>
                      <w:rFonts w:hint="default" w:ascii="Times New Roman" w:hAnsi="Times New Roman" w:cs="Times New Roman"/>
                      <w:color w:val="auto"/>
                    </w:rPr>
                    <w:t>进一步落实部门监管指导责任。</w:t>
                  </w:r>
                </w:p>
                <w:p w14:paraId="3F54F13E">
                  <w:pPr>
                    <w:pStyle w:val="44"/>
                    <w:bidi w:val="0"/>
                    <w:rPr>
                      <w:rFonts w:hint="default" w:ascii="Times New Roman" w:hAnsi="Times New Roman" w:cs="Times New Roman"/>
                      <w:color w:val="auto"/>
                    </w:rPr>
                  </w:pPr>
                  <w:r>
                    <w:rPr>
                      <w:rFonts w:hint="default" w:ascii="Times New Roman" w:hAnsi="Times New Roman" w:cs="Times New Roman"/>
                      <w:color w:val="auto"/>
                    </w:rPr>
                    <w:t>要紧盯具有脱硫脱硝、挥发性有机物回收、污水处理、粉尘治理、蓄热式焚烧炉5类重点环保设备设施的企业，指导督促企业按照相关法律法规和技术标准规范要求，开展环保设备设施安全风险辨识评估和隐患排查治理，落实安全生产各项责任措施。</w:t>
                  </w:r>
                </w:p>
              </w:tc>
              <w:tc>
                <w:tcPr>
                  <w:tcW w:w="1831" w:type="dxa"/>
                  <w:tcBorders>
                    <w:tl2br w:val="nil"/>
                    <w:tr2bl w:val="nil"/>
                  </w:tcBorders>
                  <w:noWrap/>
                  <w:vAlign w:val="center"/>
                </w:tcPr>
                <w:p w14:paraId="752E6DC0">
                  <w:pPr>
                    <w:pStyle w:val="44"/>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项目</w:t>
                  </w:r>
                  <w:r>
                    <w:rPr>
                      <w:rFonts w:hint="eastAsia" w:cs="Times New Roman"/>
                      <w:color w:val="auto"/>
                      <w:lang w:val="en-US" w:eastAsia="zh-CN"/>
                    </w:rPr>
                    <w:t>产生的</w:t>
                  </w:r>
                  <w:r>
                    <w:rPr>
                      <w:rFonts w:hint="default" w:ascii="Times New Roman" w:hAnsi="Times New Roman" w:cs="Times New Roman"/>
                      <w:color w:val="auto"/>
                      <w:lang w:val="en-US" w:eastAsia="zh-CN"/>
                    </w:rPr>
                    <w:t>有机废气</w:t>
                  </w:r>
                  <w:r>
                    <w:rPr>
                      <w:rFonts w:hint="eastAsia" w:cs="Times New Roman"/>
                      <w:color w:val="auto"/>
                      <w:lang w:val="en-US" w:eastAsia="zh-CN"/>
                    </w:rPr>
                    <w:t>通过</w:t>
                  </w:r>
                  <w:r>
                    <w:rPr>
                      <w:rFonts w:hint="default" w:ascii="Times New Roman" w:hAnsi="Times New Roman" w:cs="Times New Roman"/>
                      <w:color w:val="auto"/>
                      <w:lang w:val="en-US" w:eastAsia="zh-CN"/>
                    </w:rPr>
                    <w:t>“冷凝+二级活性炭吸附</w:t>
                  </w:r>
                  <w:r>
                    <w:rPr>
                      <w:rFonts w:hint="eastAsia" w:cs="Times New Roman"/>
                      <w:color w:val="auto"/>
                      <w:lang w:val="en-US" w:eastAsia="zh-CN"/>
                    </w:rPr>
                    <w:t>装置</w:t>
                  </w:r>
                  <w:r>
                    <w:rPr>
                      <w:rFonts w:hint="default" w:ascii="Times New Roman" w:hAnsi="Times New Roman" w:cs="Times New Roman"/>
                      <w:color w:val="auto"/>
                      <w:lang w:val="en-US" w:eastAsia="zh-CN"/>
                    </w:rPr>
                    <w:t>”</w:t>
                  </w:r>
                  <w:r>
                    <w:rPr>
                      <w:rFonts w:hint="eastAsia" w:cs="Times New Roman"/>
                      <w:color w:val="auto"/>
                      <w:lang w:val="en-US" w:eastAsia="zh-CN"/>
                    </w:rPr>
                    <w:t>处理，投料粉尘经袋式除尘器处理</w:t>
                  </w:r>
                  <w:r>
                    <w:rPr>
                      <w:rFonts w:hint="default" w:ascii="Times New Roman" w:hAnsi="Times New Roman" w:cs="Times New Roman"/>
                      <w:color w:val="auto"/>
                      <w:lang w:val="en-US" w:eastAsia="zh-CN"/>
                    </w:rPr>
                    <w:t>。</w:t>
                  </w:r>
                </w:p>
              </w:tc>
              <w:tc>
                <w:tcPr>
                  <w:tcW w:w="1293" w:type="dxa"/>
                  <w:tcBorders>
                    <w:tl2br w:val="nil"/>
                    <w:tr2bl w:val="nil"/>
                  </w:tcBorders>
                  <w:noWrap/>
                  <w:vAlign w:val="center"/>
                </w:tcPr>
                <w:p w14:paraId="6F5B82C4">
                  <w:pPr>
                    <w:pStyle w:val="44"/>
                    <w:bidi w:val="0"/>
                    <w:rPr>
                      <w:rFonts w:hint="default" w:ascii="Times New Roman" w:hAnsi="Times New Roman" w:cs="Times New Roman"/>
                      <w:color w:val="auto"/>
                    </w:rPr>
                  </w:pPr>
                  <w:r>
                    <w:rPr>
                      <w:rFonts w:hint="default" w:ascii="Times New Roman" w:hAnsi="Times New Roman" w:cs="Times New Roman"/>
                      <w:color w:val="auto"/>
                    </w:rPr>
                    <w:t>营运期开展环保设备设施安全风险辨识评估和隐患排查治理，落实安全生产各项责任措施</w:t>
                  </w:r>
                </w:p>
              </w:tc>
            </w:tr>
            <w:tr w14:paraId="731C34D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977" w:hRule="atLeast"/>
                <w:jc w:val="center"/>
              </w:trPr>
              <w:tc>
                <w:tcPr>
                  <w:tcW w:w="4595" w:type="dxa"/>
                  <w:tcBorders>
                    <w:tl2br w:val="nil"/>
                    <w:tr2bl w:val="nil"/>
                  </w:tcBorders>
                  <w:noWrap/>
                  <w:vAlign w:val="center"/>
                </w:tcPr>
                <w:p w14:paraId="42C26840">
                  <w:pPr>
                    <w:pStyle w:val="44"/>
                    <w:bidi w:val="0"/>
                    <w:rPr>
                      <w:rFonts w:hint="default" w:ascii="Times New Roman" w:hAnsi="Times New Roman" w:cs="Times New Roman"/>
                      <w:color w:val="auto"/>
                    </w:rPr>
                  </w:pPr>
                  <w:r>
                    <w:rPr>
                      <w:rFonts w:hint="default" w:ascii="Times New Roman" w:hAnsi="Times New Roman" w:cs="Times New Roman"/>
                      <w:color w:val="auto"/>
                    </w:rPr>
                    <w:t>进一步落实企业主体责任。</w:t>
                  </w:r>
                </w:p>
                <w:p w14:paraId="79CAF55F">
                  <w:pPr>
                    <w:pStyle w:val="44"/>
                    <w:bidi w:val="0"/>
                    <w:rPr>
                      <w:rFonts w:hint="default" w:ascii="Times New Roman" w:hAnsi="Times New Roman" w:cs="Times New Roman"/>
                      <w:color w:val="auto"/>
                    </w:rPr>
                  </w:pPr>
                  <w:r>
                    <w:rPr>
                      <w:rFonts w:hint="default" w:ascii="Times New Roman" w:hAnsi="Times New Roman" w:cs="Times New Roman"/>
                      <w:color w:val="auto"/>
                    </w:rPr>
                    <w:t>推动企业主要负责人严格履行第一责任人责任，将环保设备设施安全作为企业安全管理的重要组成部分，全面负责落实本单位的环保设备设施安全生产工作。</w:t>
                  </w:r>
                </w:p>
                <w:p w14:paraId="7C1BC62B">
                  <w:pPr>
                    <w:pStyle w:val="44"/>
                    <w:bidi w:val="0"/>
                    <w:rPr>
                      <w:rFonts w:hint="default" w:ascii="Times New Roman" w:hAnsi="Times New Roman" w:cs="Times New Roman"/>
                      <w:color w:val="auto"/>
                    </w:rPr>
                  </w:pPr>
                  <w:r>
                    <w:rPr>
                      <w:rFonts w:hint="default" w:ascii="Times New Roman" w:hAnsi="Times New Roman" w:cs="Times New Roman"/>
                      <w:color w:val="auto"/>
                    </w:rPr>
                    <w:t>严格落实涉环保设备设施新、改、扩建项目环保和安全“ 三同时"有关要求，委托有资质的设计单位进行正规设计，在选用污染防治技术时要充分考虑安全因素；在环保设备设施改造中必须依法开展安全风险评估，按要求设置安全监测监控系统和联锁保护装置，做好安全防范。</w:t>
                  </w:r>
                </w:p>
                <w:p w14:paraId="593EA900">
                  <w:pPr>
                    <w:pStyle w:val="44"/>
                    <w:bidi w:val="0"/>
                    <w:rPr>
                      <w:rFonts w:hint="default" w:ascii="Times New Roman" w:hAnsi="Times New Roman" w:cs="Times New Roman"/>
                      <w:color w:val="auto"/>
                    </w:rPr>
                  </w:pPr>
                  <w:r>
                    <w:rPr>
                      <w:rFonts w:hint="default" w:ascii="Times New Roman" w:hAnsi="Times New Roman" w:cs="Times New Roman"/>
                      <w:color w:val="auto"/>
                    </w:rPr>
                    <w:t>对涉环保设备设施相关岗位人员进行操作规程、风险管控、应急处置、典型事故警示等专项安全培训教育。</w:t>
                  </w:r>
                </w:p>
                <w:p w14:paraId="0A9D961E">
                  <w:pPr>
                    <w:pStyle w:val="44"/>
                    <w:bidi w:val="0"/>
                    <w:rPr>
                      <w:rFonts w:hint="default" w:ascii="Times New Roman" w:hAnsi="Times New Roman" w:cs="Times New Roman"/>
                      <w:color w:val="auto"/>
                    </w:rPr>
                  </w:pPr>
                  <w:r>
                    <w:rPr>
                      <w:rFonts w:hint="default" w:ascii="Times New Roman" w:hAnsi="Times New Roman" w:cs="Times New Roman"/>
                      <w:color w:val="auto"/>
                    </w:rPr>
                    <w:t>开展环保设备设施安全风险辨识评估，系统排查隐患，依法建立隐患整改台账，明确整改责任人、措施、资金、时限和应急救援预案，及时消除隐患。</w:t>
                  </w:r>
                </w:p>
                <w:p w14:paraId="760DA3AE">
                  <w:pPr>
                    <w:pStyle w:val="44"/>
                    <w:bidi w:val="0"/>
                    <w:rPr>
                      <w:rFonts w:hint="default" w:ascii="Times New Roman" w:hAnsi="Times New Roman" w:cs="Times New Roman"/>
                      <w:color w:val="auto"/>
                    </w:rPr>
                  </w:pPr>
                  <w:r>
                    <w:rPr>
                      <w:rFonts w:hint="default" w:ascii="Times New Roman" w:hAnsi="Times New Roman" w:cs="Times New Roman"/>
                      <w:color w:val="auto"/>
                    </w:rPr>
                    <w:t>认真落实相关技术标准规范，严格执行吊装、动火、高处等危险作业审批制度，加强有限空间、检维修作业安全管理，采取有效隔离措施，实施现场安全监护和科学施救。</w:t>
                  </w:r>
                </w:p>
                <w:p w14:paraId="68348878">
                  <w:pPr>
                    <w:pStyle w:val="44"/>
                    <w:bidi w:val="0"/>
                    <w:rPr>
                      <w:rFonts w:hint="default" w:ascii="Times New Roman" w:hAnsi="Times New Roman" w:cs="Times New Roman"/>
                      <w:color w:val="auto"/>
                    </w:rPr>
                  </w:pPr>
                  <w:r>
                    <w:rPr>
                      <w:rFonts w:hint="default" w:ascii="Times New Roman" w:hAnsi="Times New Roman" w:cs="Times New Roman"/>
                      <w:color w:val="auto"/>
                    </w:rPr>
                    <w:t>对受委托开展环保设备设施建设、运营和检维修第三方的安全生产工作进行统一协调、管理，定期进行安全检查，发现安全问题的，及时督促整改，不得“一包了之"，不管不问。</w:t>
                  </w:r>
                </w:p>
              </w:tc>
              <w:tc>
                <w:tcPr>
                  <w:tcW w:w="1831" w:type="dxa"/>
                  <w:tcBorders>
                    <w:tl2br w:val="nil"/>
                    <w:tr2bl w:val="nil"/>
                  </w:tcBorders>
                  <w:noWrap/>
                  <w:vAlign w:val="center"/>
                </w:tcPr>
                <w:p w14:paraId="3AF983CC">
                  <w:pPr>
                    <w:pStyle w:val="44"/>
                    <w:bidi w:val="0"/>
                    <w:rPr>
                      <w:rFonts w:hint="default" w:ascii="Times New Roman" w:hAnsi="Times New Roman" w:cs="Times New Roman"/>
                      <w:color w:val="auto"/>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 1 \* GB3 \* MERGEFORMAT </w:instrText>
                  </w:r>
                  <w:r>
                    <w:rPr>
                      <w:rFonts w:hint="default" w:ascii="Times New Roman" w:hAnsi="Times New Roman" w:cs="Times New Roman"/>
                      <w:color w:val="auto"/>
                    </w:rPr>
                    <w:fldChar w:fldCharType="separate"/>
                  </w:r>
                  <w:r>
                    <w:rPr>
                      <w:rFonts w:hint="default" w:ascii="Times New Roman" w:hAnsi="Times New Roman" w:cs="Times New Roman"/>
                      <w:color w:val="auto"/>
                    </w:rPr>
                    <w:t>①</w:t>
                  </w:r>
                  <w:r>
                    <w:rPr>
                      <w:rFonts w:hint="default" w:ascii="Times New Roman" w:hAnsi="Times New Roman" w:cs="Times New Roman"/>
                      <w:color w:val="auto"/>
                    </w:rPr>
                    <w:fldChar w:fldCharType="end"/>
                  </w:r>
                  <w:r>
                    <w:rPr>
                      <w:rFonts w:hint="default" w:ascii="Times New Roman" w:hAnsi="Times New Roman" w:cs="Times New Roman"/>
                      <w:color w:val="auto"/>
                    </w:rPr>
                    <w:t>建设单位法人为厂区安全管理责任人，负责环保设备设施安全生产工作；</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 2 \* GB3 \* MERGEFORMAT </w:instrText>
                  </w:r>
                  <w:r>
                    <w:rPr>
                      <w:rFonts w:hint="default" w:ascii="Times New Roman" w:hAnsi="Times New Roman" w:cs="Times New Roman"/>
                      <w:color w:val="auto"/>
                    </w:rPr>
                    <w:fldChar w:fldCharType="separate"/>
                  </w:r>
                  <w:r>
                    <w:rPr>
                      <w:rFonts w:hint="default" w:ascii="Times New Roman" w:hAnsi="Times New Roman" w:cs="Times New Roman"/>
                      <w:color w:val="auto"/>
                    </w:rPr>
                    <w:t>②</w:t>
                  </w:r>
                  <w:r>
                    <w:rPr>
                      <w:rFonts w:hint="default" w:ascii="Times New Roman" w:hAnsi="Times New Roman" w:cs="Times New Roman"/>
                      <w:color w:val="auto"/>
                    </w:rPr>
                    <w:fldChar w:fldCharType="end"/>
                  </w:r>
                  <w:r>
                    <w:rPr>
                      <w:rFonts w:hint="default" w:ascii="Times New Roman" w:hAnsi="Times New Roman" w:cs="Times New Roman"/>
                      <w:color w:val="auto"/>
                    </w:rPr>
                    <w:t>本项目采用的废气</w:t>
                  </w:r>
                  <w:r>
                    <w:rPr>
                      <w:rFonts w:hint="default" w:ascii="Times New Roman" w:hAnsi="Times New Roman" w:cs="Times New Roman"/>
                      <w:color w:val="auto"/>
                      <w:lang w:val="en-US" w:eastAsia="zh-CN"/>
                    </w:rPr>
                    <w:t>废水</w:t>
                  </w:r>
                  <w:r>
                    <w:rPr>
                      <w:rFonts w:hint="default" w:ascii="Times New Roman" w:hAnsi="Times New Roman" w:cs="Times New Roman"/>
                      <w:color w:val="auto"/>
                    </w:rPr>
                    <w:t>治理设备落实环保和安全“ 三同时"有关要求，由有资质单位进行设计、生产、安装；</w:t>
                  </w:r>
                </w:p>
                <w:p w14:paraId="55780AEA">
                  <w:pPr>
                    <w:pStyle w:val="44"/>
                    <w:bidi w:val="0"/>
                    <w:rPr>
                      <w:rFonts w:hint="default" w:ascii="Times New Roman" w:hAnsi="Times New Roman" w:cs="Times New Roman"/>
                      <w:color w:val="auto"/>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 3 \* GB3 \* MERGEFORMAT </w:instrText>
                  </w:r>
                  <w:r>
                    <w:rPr>
                      <w:rFonts w:hint="default" w:ascii="Times New Roman" w:hAnsi="Times New Roman" w:cs="Times New Roman"/>
                      <w:color w:val="auto"/>
                    </w:rPr>
                    <w:fldChar w:fldCharType="separate"/>
                  </w:r>
                  <w:r>
                    <w:rPr>
                      <w:rFonts w:hint="default" w:ascii="Times New Roman" w:hAnsi="Times New Roman" w:cs="Times New Roman"/>
                      <w:color w:val="auto"/>
                    </w:rPr>
                    <w:t>③</w:t>
                  </w:r>
                  <w:r>
                    <w:rPr>
                      <w:rFonts w:hint="default" w:ascii="Times New Roman" w:hAnsi="Times New Roman" w:cs="Times New Roman"/>
                      <w:color w:val="auto"/>
                    </w:rPr>
                    <w:fldChar w:fldCharType="end"/>
                  </w:r>
                  <w:r>
                    <w:rPr>
                      <w:rFonts w:hint="default" w:ascii="Times New Roman" w:hAnsi="Times New Roman" w:cs="Times New Roman"/>
                      <w:color w:val="auto"/>
                    </w:rPr>
                    <w:t>建设单位对环保设备操作人员进行岗位培训；</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 4 \* GB3 \* MERGEFORMAT </w:instrText>
                  </w:r>
                  <w:r>
                    <w:rPr>
                      <w:rFonts w:hint="default" w:ascii="Times New Roman" w:hAnsi="Times New Roman" w:cs="Times New Roman"/>
                      <w:color w:val="auto"/>
                    </w:rPr>
                    <w:fldChar w:fldCharType="separate"/>
                  </w:r>
                  <w:r>
                    <w:rPr>
                      <w:rFonts w:hint="default" w:ascii="Times New Roman" w:hAnsi="Times New Roman" w:cs="Times New Roman"/>
                      <w:color w:val="auto"/>
                    </w:rPr>
                    <w:t>④</w:t>
                  </w:r>
                  <w:r>
                    <w:rPr>
                      <w:rFonts w:hint="default" w:ascii="Times New Roman" w:hAnsi="Times New Roman" w:cs="Times New Roman"/>
                      <w:color w:val="auto"/>
                    </w:rPr>
                    <w:fldChar w:fldCharType="end"/>
                  </w:r>
                  <w:r>
                    <w:rPr>
                      <w:rFonts w:hint="default" w:ascii="Times New Roman" w:hAnsi="Times New Roman" w:cs="Times New Roman"/>
                      <w:color w:val="auto"/>
                    </w:rPr>
                    <w:t>通过分析，项目使用的废气</w:t>
                  </w:r>
                  <w:r>
                    <w:rPr>
                      <w:rFonts w:hint="default" w:ascii="Times New Roman" w:hAnsi="Times New Roman" w:cs="Times New Roman"/>
                      <w:color w:val="auto"/>
                      <w:lang w:val="en-US" w:eastAsia="zh-CN"/>
                    </w:rPr>
                    <w:t>废水</w:t>
                  </w:r>
                  <w:r>
                    <w:rPr>
                      <w:rFonts w:hint="default" w:ascii="Times New Roman" w:hAnsi="Times New Roman" w:cs="Times New Roman"/>
                      <w:color w:val="auto"/>
                    </w:rPr>
                    <w:t>处理设施安全风险较低；</w:t>
                  </w:r>
                </w:p>
                <w:p w14:paraId="6FF111F7">
                  <w:pPr>
                    <w:pStyle w:val="44"/>
                    <w:bidi w:val="0"/>
                    <w:rPr>
                      <w:rFonts w:hint="default" w:ascii="Times New Roman" w:hAnsi="Times New Roman" w:cs="Times New Roman"/>
                      <w:color w:val="auto"/>
                    </w:rPr>
                  </w:pPr>
                  <w:r>
                    <w:rPr>
                      <w:rFonts w:hint="default" w:ascii="Times New Roman" w:hAnsi="Times New Roman" w:cs="Times New Roman"/>
                      <w:color w:val="auto"/>
                    </w:rPr>
                    <w:t>建设单位委托专业技术单位对环保设备进行安装、检修。</w:t>
                  </w:r>
                </w:p>
              </w:tc>
              <w:tc>
                <w:tcPr>
                  <w:tcW w:w="1293" w:type="dxa"/>
                  <w:tcBorders>
                    <w:tl2br w:val="nil"/>
                    <w:tr2bl w:val="nil"/>
                  </w:tcBorders>
                  <w:noWrap/>
                  <w:vAlign w:val="center"/>
                </w:tcPr>
                <w:p w14:paraId="4DCA7AC4">
                  <w:pPr>
                    <w:pStyle w:val="44"/>
                    <w:bidi w:val="0"/>
                    <w:rPr>
                      <w:rFonts w:hint="default" w:ascii="Times New Roman" w:hAnsi="Times New Roman" w:cs="Times New Roman"/>
                      <w:color w:val="auto"/>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 1 \* GB3 \* MERGEFORMAT </w:instrText>
                  </w:r>
                  <w:r>
                    <w:rPr>
                      <w:rFonts w:hint="default" w:ascii="Times New Roman" w:hAnsi="Times New Roman" w:cs="Times New Roman"/>
                      <w:color w:val="auto"/>
                    </w:rPr>
                    <w:fldChar w:fldCharType="separate"/>
                  </w:r>
                  <w:r>
                    <w:rPr>
                      <w:rFonts w:hint="default" w:ascii="Times New Roman" w:hAnsi="Times New Roman" w:cs="Times New Roman"/>
                      <w:color w:val="auto"/>
                    </w:rPr>
                    <w:t>①</w:t>
                  </w:r>
                  <w:r>
                    <w:rPr>
                      <w:rFonts w:hint="default" w:ascii="Times New Roman" w:hAnsi="Times New Roman" w:cs="Times New Roman"/>
                      <w:color w:val="auto"/>
                    </w:rPr>
                    <w:fldChar w:fldCharType="end"/>
                  </w:r>
                  <w:r>
                    <w:rPr>
                      <w:rFonts w:hint="default" w:ascii="Times New Roman" w:hAnsi="Times New Roman" w:cs="Times New Roman"/>
                      <w:color w:val="auto"/>
                    </w:rPr>
                    <w:t>建设单位作为厂区安全管理第一责任人，制定厂区环保设施安全管理制度；</w:t>
                  </w:r>
                </w:p>
                <w:p w14:paraId="757E3785">
                  <w:pPr>
                    <w:pStyle w:val="44"/>
                    <w:bidi w:val="0"/>
                    <w:rPr>
                      <w:rFonts w:hint="default" w:ascii="Times New Roman" w:hAnsi="Times New Roman" w:cs="Times New Roman"/>
                      <w:color w:val="auto"/>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 2 \* GB3 \* MERGEFORMAT </w:instrText>
                  </w:r>
                  <w:r>
                    <w:rPr>
                      <w:rFonts w:hint="default" w:ascii="Times New Roman" w:hAnsi="Times New Roman" w:cs="Times New Roman"/>
                      <w:color w:val="auto"/>
                    </w:rPr>
                    <w:fldChar w:fldCharType="separate"/>
                  </w:r>
                  <w:r>
                    <w:rPr>
                      <w:rFonts w:hint="default" w:ascii="Times New Roman" w:hAnsi="Times New Roman" w:cs="Times New Roman"/>
                      <w:color w:val="auto"/>
                    </w:rPr>
                    <w:t>②</w:t>
                  </w:r>
                  <w:r>
                    <w:rPr>
                      <w:rFonts w:hint="default" w:ascii="Times New Roman" w:hAnsi="Times New Roman" w:cs="Times New Roman"/>
                      <w:color w:val="auto"/>
                    </w:rPr>
                    <w:fldChar w:fldCharType="end"/>
                  </w:r>
                  <w:r>
                    <w:rPr>
                      <w:rFonts w:hint="default" w:ascii="Times New Roman" w:hAnsi="Times New Roman" w:cs="Times New Roman"/>
                      <w:color w:val="auto"/>
                    </w:rPr>
                    <w:t>环保设备由有资质单位进行设计、生产、安装、维护、检修，制定定期进行安全检查制度。</w:t>
                  </w:r>
                </w:p>
              </w:tc>
            </w:tr>
          </w:tbl>
          <w:p w14:paraId="609D7B62">
            <w:pPr>
              <w:pStyle w:val="4"/>
              <w:numPr>
                <w:ilvl w:val="0"/>
                <w:numId w:val="0"/>
              </w:numPr>
              <w:bidi w:val="0"/>
              <w:ind w:leftChars="0" w:firstLine="480" w:firstLineChars="200"/>
              <w:rPr>
                <w:rFonts w:hint="default" w:ascii="Times New Roman" w:hAnsi="Times New Roman" w:cs="Times New Roman"/>
                <w:color w:val="auto"/>
              </w:rPr>
            </w:pPr>
            <w:r>
              <w:rPr>
                <w:rFonts w:hint="default" w:ascii="Times New Roman" w:hAnsi="Times New Roman" w:cs="Times New Roman"/>
                <w:color w:val="auto"/>
                <w:lang w:val="en-US" w:eastAsia="zh-CN"/>
              </w:rPr>
              <w:t>11</w:t>
            </w:r>
            <w:r>
              <w:rPr>
                <w:rFonts w:hint="default" w:ascii="Times New Roman" w:hAnsi="Times New Roman" w:cs="Times New Roman"/>
                <w:color w:val="auto"/>
              </w:rPr>
              <w:t>、与关于“两高”项目管理有关事项的补充通知（鲁发改工业[2023]34号）及《关于促进轮胎铸造行业转型升级调整优化项目管理的通知》（鲁发改工业〔2024〕487号）符合性分析</w:t>
            </w:r>
          </w:p>
          <w:p w14:paraId="1FB6FEAC">
            <w:pPr>
              <w:autoSpaceDE w:val="0"/>
              <w:autoSpaceDN w:val="0"/>
              <w:adjustRightInd w:val="0"/>
              <w:snapToGrid w:val="0"/>
              <w:ind w:firstLine="480" w:firstLineChars="200"/>
              <w:rPr>
                <w:rFonts w:hint="default" w:ascii="Times New Roman" w:hAnsi="Times New Roman" w:cs="Times New Roman"/>
                <w:color w:val="auto"/>
                <w:szCs w:val="24"/>
                <w:highlight w:val="none"/>
              </w:rPr>
            </w:pPr>
            <w:r>
              <w:rPr>
                <w:rFonts w:hint="default" w:ascii="Times New Roman" w:hAnsi="Times New Roman" w:eastAsia="宋体" w:cs="Times New Roman"/>
                <w:b w:val="0"/>
                <w:bCs/>
                <w:color w:val="auto"/>
                <w:sz w:val="24"/>
                <w:szCs w:val="24"/>
                <w:lang w:val="en-US" w:eastAsia="zh-CN"/>
              </w:rPr>
              <w:t>根据《关于</w:t>
            </w:r>
            <w:r>
              <w:rPr>
                <w:rFonts w:hint="eastAsia" w:ascii="Times New Roman" w:hAnsi="Times New Roman" w:eastAsia="宋体" w:cs="Times New Roman"/>
                <w:b w:val="0"/>
                <w:bCs/>
                <w:color w:val="auto"/>
                <w:sz w:val="24"/>
                <w:szCs w:val="24"/>
                <w:lang w:val="en-US" w:eastAsia="zh-CN"/>
              </w:rPr>
              <w:t>“</w:t>
            </w:r>
            <w:r>
              <w:rPr>
                <w:rFonts w:hint="default" w:ascii="Times New Roman" w:hAnsi="Times New Roman" w:eastAsia="宋体" w:cs="Times New Roman"/>
                <w:b w:val="0"/>
                <w:bCs/>
                <w:color w:val="auto"/>
                <w:sz w:val="24"/>
                <w:szCs w:val="24"/>
                <w:lang w:val="en-US" w:eastAsia="zh-CN"/>
              </w:rPr>
              <w:t>两高</w:t>
            </w:r>
            <w:r>
              <w:rPr>
                <w:rFonts w:hint="eastAsia" w:ascii="Times New Roman" w:hAnsi="Times New Roman" w:eastAsia="宋体" w:cs="Times New Roman"/>
                <w:b w:val="0"/>
                <w:bCs/>
                <w:color w:val="auto"/>
                <w:sz w:val="24"/>
                <w:szCs w:val="24"/>
                <w:lang w:val="en-US" w:eastAsia="zh-CN"/>
              </w:rPr>
              <w:t>”</w:t>
            </w:r>
            <w:r>
              <w:rPr>
                <w:rFonts w:hint="default" w:ascii="Times New Roman" w:hAnsi="Times New Roman" w:eastAsia="宋体" w:cs="Times New Roman"/>
                <w:b w:val="0"/>
                <w:bCs/>
                <w:color w:val="auto"/>
                <w:sz w:val="24"/>
                <w:szCs w:val="24"/>
                <w:lang w:val="en-US" w:eastAsia="zh-CN"/>
              </w:rPr>
              <w:t>项目管理有关事项的补充通知》（鲁发改工业〔2023〕34号）中附件1山东省</w:t>
            </w:r>
            <w:r>
              <w:rPr>
                <w:rFonts w:hint="eastAsia" w:ascii="Times New Roman" w:hAnsi="Times New Roman" w:eastAsia="宋体" w:cs="Times New Roman"/>
                <w:b w:val="0"/>
                <w:bCs/>
                <w:color w:val="auto"/>
                <w:sz w:val="24"/>
                <w:szCs w:val="24"/>
                <w:lang w:val="en-US" w:eastAsia="zh-CN"/>
              </w:rPr>
              <w:t>“</w:t>
            </w:r>
            <w:r>
              <w:rPr>
                <w:rFonts w:hint="default" w:ascii="Times New Roman" w:hAnsi="Times New Roman" w:eastAsia="宋体" w:cs="Times New Roman"/>
                <w:b w:val="0"/>
                <w:bCs/>
                <w:color w:val="auto"/>
                <w:sz w:val="24"/>
                <w:szCs w:val="24"/>
                <w:lang w:val="en-US" w:eastAsia="zh-CN"/>
              </w:rPr>
              <w:t>两高</w:t>
            </w:r>
            <w:r>
              <w:rPr>
                <w:rFonts w:hint="eastAsia" w:ascii="Times New Roman" w:hAnsi="Times New Roman" w:eastAsia="宋体" w:cs="Times New Roman"/>
                <w:b w:val="0"/>
                <w:bCs/>
                <w:color w:val="auto"/>
                <w:sz w:val="24"/>
                <w:szCs w:val="24"/>
                <w:lang w:val="en-US" w:eastAsia="zh-CN"/>
              </w:rPr>
              <w:t>”</w:t>
            </w:r>
            <w:r>
              <w:rPr>
                <w:rFonts w:hint="default" w:ascii="Times New Roman" w:hAnsi="Times New Roman" w:eastAsia="宋体" w:cs="Times New Roman"/>
                <w:b w:val="0"/>
                <w:bCs/>
                <w:color w:val="auto"/>
                <w:sz w:val="24"/>
                <w:szCs w:val="24"/>
                <w:lang w:val="en-US" w:eastAsia="zh-CN"/>
              </w:rPr>
              <w:t>项目管理目录（2023年版）及《关于促进轮胎铸造行业转型升级调整优化项目管理的通知》（鲁发改工业〔2024〕487号），本项目不属于文件中</w:t>
            </w:r>
            <w:r>
              <w:rPr>
                <w:rFonts w:hint="eastAsia" w:ascii="Times New Roman" w:hAnsi="Times New Roman" w:eastAsia="宋体" w:cs="Times New Roman"/>
                <w:b w:val="0"/>
                <w:bCs/>
                <w:color w:val="auto"/>
                <w:sz w:val="24"/>
                <w:szCs w:val="24"/>
                <w:lang w:val="en-US" w:eastAsia="zh-CN"/>
              </w:rPr>
              <w:t>“</w:t>
            </w:r>
            <w:r>
              <w:rPr>
                <w:rFonts w:hint="default" w:ascii="Times New Roman" w:hAnsi="Times New Roman" w:eastAsia="宋体" w:cs="Times New Roman"/>
                <w:b w:val="0"/>
                <w:bCs/>
                <w:color w:val="auto"/>
                <w:sz w:val="24"/>
                <w:szCs w:val="24"/>
                <w:lang w:val="en-US" w:eastAsia="zh-CN"/>
              </w:rPr>
              <w:t>两高</w:t>
            </w:r>
            <w:r>
              <w:rPr>
                <w:rFonts w:hint="eastAsia" w:ascii="Times New Roman" w:hAnsi="Times New Roman" w:eastAsia="宋体" w:cs="Times New Roman"/>
                <w:b w:val="0"/>
                <w:bCs/>
                <w:color w:val="auto"/>
                <w:sz w:val="24"/>
                <w:szCs w:val="24"/>
                <w:lang w:val="en-US" w:eastAsia="zh-CN"/>
              </w:rPr>
              <w:t>”</w:t>
            </w:r>
            <w:r>
              <w:rPr>
                <w:rFonts w:hint="default" w:ascii="Times New Roman" w:hAnsi="Times New Roman" w:eastAsia="宋体" w:cs="Times New Roman"/>
                <w:b w:val="0"/>
                <w:bCs/>
                <w:color w:val="auto"/>
                <w:sz w:val="24"/>
                <w:szCs w:val="24"/>
                <w:lang w:val="en-US" w:eastAsia="zh-CN"/>
              </w:rPr>
              <w:t>行业类别</w:t>
            </w:r>
            <w:r>
              <w:rPr>
                <w:rFonts w:hint="default" w:ascii="Times New Roman" w:hAnsi="Times New Roman" w:eastAsia="新宋体" w:cs="Times New Roman"/>
                <w:color w:val="auto"/>
                <w:szCs w:val="22"/>
                <w:highlight w:val="none"/>
              </w:rPr>
              <w:t>。</w:t>
            </w:r>
          </w:p>
          <w:p w14:paraId="6E524696">
            <w:pPr>
              <w:pStyle w:val="4"/>
              <w:numPr>
                <w:ilvl w:val="0"/>
                <w:numId w:val="0"/>
              </w:numPr>
              <w:bidi w:val="0"/>
              <w:ind w:leftChars="0" w:firstLine="480" w:firstLineChars="200"/>
              <w:rPr>
                <w:rFonts w:hint="default" w:ascii="Times New Roman" w:hAnsi="Times New Roman" w:cs="Times New Roman"/>
                <w:color w:val="auto"/>
                <w:lang w:val="en-US" w:eastAsia="zh-CN"/>
              </w:rPr>
            </w:pPr>
            <w:r>
              <w:rPr>
                <w:rFonts w:hint="eastAsia" w:cs="Times New Roman"/>
                <w:color w:val="auto"/>
                <w:lang w:val="en-US" w:eastAsia="zh-CN"/>
              </w:rPr>
              <w:t>12、与《关于印发山东省化工行业投资项目管理规定的通知》（鲁工信发[2022]5号）的符合性分析</w:t>
            </w:r>
          </w:p>
          <w:p w14:paraId="2B9AEE8D">
            <w:pPr>
              <w:pStyle w:val="45"/>
              <w:bidi w:val="0"/>
              <w:rPr>
                <w:rFonts w:ascii="宋体" w:hAnsi="宋体" w:eastAsia="宋体" w:cs="宋体"/>
                <w:color w:val="auto"/>
                <w:szCs w:val="24"/>
              </w:rPr>
            </w:pPr>
            <w:r>
              <w:rPr>
                <w:color w:val="auto"/>
              </w:rPr>
              <w:t>表</w:t>
            </w:r>
            <w:r>
              <w:rPr>
                <w:rFonts w:hint="eastAsia"/>
                <w:color w:val="auto"/>
                <w:lang w:val="en-US" w:eastAsia="zh-CN"/>
              </w:rPr>
              <w:t>1-12</w:t>
            </w:r>
            <w:r>
              <w:rPr>
                <w:color w:val="auto"/>
              </w:rPr>
              <w:t xml:space="preserve"> 与《山东省化工行业投资项目管理规定》符合性分析</w:t>
            </w:r>
          </w:p>
          <w:tbl>
            <w:tblPr>
              <w:tblStyle w:val="139"/>
              <w:tblW w:w="7719" w:type="dxa"/>
              <w:tblInd w:w="24"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5838"/>
              <w:gridCol w:w="1881"/>
            </w:tblGrid>
            <w:tr w14:paraId="4AF421B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5838" w:type="dxa"/>
                  <w:tcBorders>
                    <w:tl2br w:val="nil"/>
                    <w:tr2bl w:val="nil"/>
                  </w:tcBorders>
                  <w:vAlign w:val="center"/>
                </w:tcPr>
                <w:p w14:paraId="2D6768BD">
                  <w:pPr>
                    <w:pStyle w:val="44"/>
                    <w:bidi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山东省化工行业投资项目管理规定</w:t>
                  </w:r>
                </w:p>
              </w:tc>
              <w:tc>
                <w:tcPr>
                  <w:tcW w:w="1881" w:type="dxa"/>
                  <w:tcBorders>
                    <w:tl2br w:val="nil"/>
                    <w:tr2bl w:val="nil"/>
                  </w:tcBorders>
                  <w:vAlign w:val="center"/>
                </w:tcPr>
                <w:p w14:paraId="602DEDA4">
                  <w:pPr>
                    <w:pStyle w:val="44"/>
                    <w:bidi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本项目情况</w:t>
                  </w:r>
                </w:p>
              </w:tc>
            </w:tr>
            <w:tr w14:paraId="0C767B2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489" w:hRule="atLeast"/>
              </w:trPr>
              <w:tc>
                <w:tcPr>
                  <w:tcW w:w="5838" w:type="dxa"/>
                  <w:tcBorders>
                    <w:tl2br w:val="nil"/>
                    <w:tr2bl w:val="nil"/>
                  </w:tcBorders>
                  <w:vAlign w:val="center"/>
                </w:tcPr>
                <w:p w14:paraId="2615DD89">
                  <w:pPr>
                    <w:pStyle w:val="44"/>
                    <w:bidi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第二条本规定所称化工行业，包括国家统计局《国民经济行业分类（GB/T4754—2017）》中以下行业：（1）25石油、煤炭及其他燃料加工业（其中2524煤制品制造、2530核燃料加工、2542生物质致密成型燃料加工除外）；（2）26化学原料和化学制品制造业（2671炸药及火工产品制造除外）；（3）291橡胶制品业。</w:t>
                  </w:r>
                </w:p>
                <w:p w14:paraId="2D453415">
                  <w:pPr>
                    <w:pStyle w:val="44"/>
                    <w:bidi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第三条本规定所称投资项目，是指企业实施的新建、扩建、改建和技术改造等固定资产投资项目。</w:t>
                  </w:r>
                </w:p>
                <w:p w14:paraId="623EE581">
                  <w:pPr>
                    <w:pStyle w:val="44"/>
                    <w:bidi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第四条本规定适用于山东省辖区内实施的化工行业投资项目</w:t>
                  </w:r>
                </w:p>
              </w:tc>
              <w:tc>
                <w:tcPr>
                  <w:tcW w:w="1881" w:type="dxa"/>
                  <w:tcBorders>
                    <w:tl2br w:val="nil"/>
                    <w:tr2bl w:val="nil"/>
                  </w:tcBorders>
                  <w:vAlign w:val="center"/>
                </w:tcPr>
                <w:p w14:paraId="47B3A574">
                  <w:pPr>
                    <w:pStyle w:val="44"/>
                    <w:bidi w:val="0"/>
                    <w:spacing w:line="240" w:lineRule="auto"/>
                    <w:jc w:val="center"/>
                    <w:rPr>
                      <w:rFonts w:hint="default" w:ascii="Times New Roman" w:hAnsi="Times New Roman" w:cs="Times New Roman"/>
                      <w:color w:val="auto"/>
                      <w:sz w:val="21"/>
                      <w:szCs w:val="21"/>
                    </w:rPr>
                  </w:pPr>
                </w:p>
                <w:p w14:paraId="1DD8E80E">
                  <w:pPr>
                    <w:pStyle w:val="44"/>
                    <w:bidi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本项目行业类别为</w:t>
                  </w:r>
                  <w:r>
                    <w:rPr>
                      <w:rFonts w:hint="eastAsia" w:ascii="Times New Roman" w:hAnsi="Times New Roman" w:cs="Times New Roman"/>
                      <w:color w:val="auto"/>
                      <w:sz w:val="21"/>
                      <w:szCs w:val="21"/>
                      <w:lang w:eastAsia="zh-CN"/>
                    </w:rPr>
                    <w:t>“C2646密封用填料及类似品制造”</w:t>
                  </w:r>
                  <w:r>
                    <w:rPr>
                      <w:rFonts w:hint="default" w:ascii="Times New Roman" w:hAnsi="Times New Roman" w:cs="Times New Roman"/>
                      <w:color w:val="auto"/>
                      <w:sz w:val="21"/>
                      <w:szCs w:val="21"/>
                    </w:rPr>
                    <w:t>，属于文件规定中的化工投资项目。</w:t>
                  </w:r>
                </w:p>
              </w:tc>
            </w:tr>
            <w:tr w14:paraId="0F1B47A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697" w:hRule="atLeast"/>
              </w:trPr>
              <w:tc>
                <w:tcPr>
                  <w:tcW w:w="5838" w:type="dxa"/>
                  <w:tcBorders>
                    <w:tl2br w:val="nil"/>
                    <w:tr2bl w:val="nil"/>
                  </w:tcBorders>
                  <w:vAlign w:val="center"/>
                </w:tcPr>
                <w:p w14:paraId="09DCDA25">
                  <w:pPr>
                    <w:pStyle w:val="44"/>
                    <w:bidi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第五条坚持高质高效原则。严格执行国家产业政策，支持建设国家《产业结构调整指导目录》鼓励类项目，严禁新建、扩建限制类项目，严禁建设淘汰类项目。</w:t>
                  </w:r>
                </w:p>
                <w:p w14:paraId="73FC2DCF">
                  <w:pPr>
                    <w:pStyle w:val="44"/>
                    <w:bidi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第六条坚持安全发展原则。认真落实国家环保、安全有关要求，做好环境影响评价和安全生产评价，确保投资项目中的安全、环保等设施与主体工程同时设计、同时施工、同时投产使用。</w:t>
                  </w:r>
                </w:p>
                <w:p w14:paraId="202DC147">
                  <w:pPr>
                    <w:pStyle w:val="44"/>
                    <w:bidi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第七条坚持绿色低碳原则。贯彻落实国家双碳战略，加强技术创新，提升工艺装备技术水平，加强能源消耗综合评价，推动工业领域绿色转型和循环低碳发展。</w:t>
                  </w:r>
                </w:p>
                <w:p w14:paraId="6DC391E1">
                  <w:pPr>
                    <w:pStyle w:val="44"/>
                    <w:bidi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第八条坚持集聚集约原则。大力推进化工企业进区入园，鼓励企业建链延链补链强链，推动上下游协同、耦合发展。</w:t>
                  </w:r>
                </w:p>
              </w:tc>
              <w:tc>
                <w:tcPr>
                  <w:tcW w:w="1881" w:type="dxa"/>
                  <w:tcBorders>
                    <w:tl2br w:val="nil"/>
                    <w:tr2bl w:val="nil"/>
                  </w:tcBorders>
                  <w:vAlign w:val="center"/>
                </w:tcPr>
                <w:p w14:paraId="61E36C7E">
                  <w:pPr>
                    <w:pStyle w:val="44"/>
                    <w:bidi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本项目符合国家产业政策，已取得备案证明；项目建设中落实环保设施与主体工程同时设计、同时施工、同时投产使用的制度；项目</w:t>
                  </w:r>
                  <w:r>
                    <w:rPr>
                      <w:rFonts w:hint="eastAsia" w:ascii="Times New Roman" w:hAnsi="Times New Roman" w:cs="Times New Roman"/>
                      <w:color w:val="auto"/>
                      <w:sz w:val="21"/>
                      <w:szCs w:val="21"/>
                      <w:lang w:val="en-US" w:eastAsia="zh-CN"/>
                    </w:rPr>
                    <w:t>生产工艺不涉及化学反应，仅为物理混合、分装，符合</w:t>
                  </w:r>
                  <w:r>
                    <w:rPr>
                      <w:rFonts w:hint="eastAsia" w:cs="Times New Roman"/>
                      <w:color w:val="auto"/>
                      <w:sz w:val="21"/>
                      <w:szCs w:val="21"/>
                      <w:lang w:val="en-US" w:eastAsia="zh-CN"/>
                    </w:rPr>
                    <w:t>卞庄工业园</w:t>
                  </w:r>
                  <w:r>
                    <w:rPr>
                      <w:rFonts w:hint="eastAsia" w:ascii="Times New Roman" w:hAnsi="Times New Roman" w:cs="Times New Roman"/>
                      <w:color w:val="auto"/>
                      <w:sz w:val="21"/>
                      <w:szCs w:val="21"/>
                      <w:lang w:val="en-US" w:eastAsia="zh-CN"/>
                    </w:rPr>
                    <w:t>产业政策，项目租赁现有车间建设，</w:t>
                  </w:r>
                  <w:r>
                    <w:rPr>
                      <w:rFonts w:hint="default" w:ascii="Times New Roman" w:hAnsi="Times New Roman" w:cs="Times New Roman"/>
                      <w:color w:val="auto"/>
                      <w:sz w:val="21"/>
                      <w:szCs w:val="21"/>
                    </w:rPr>
                    <w:t>工艺设备先进。</w:t>
                  </w:r>
                </w:p>
              </w:tc>
            </w:tr>
            <w:tr w14:paraId="419860D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6192" w:hRule="atLeast"/>
              </w:trPr>
              <w:tc>
                <w:tcPr>
                  <w:tcW w:w="5838" w:type="dxa"/>
                  <w:tcBorders>
                    <w:tl2br w:val="nil"/>
                    <w:tr2bl w:val="nil"/>
                  </w:tcBorders>
                  <w:vAlign w:val="center"/>
                </w:tcPr>
                <w:p w14:paraId="01F8003C">
                  <w:pPr>
                    <w:pStyle w:val="44"/>
                    <w:bidi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第十条化工项目原则上应在省政府认定的化工园区、专业化工园区和重点监控点实施，沿黄重点地区“十四五”时期拟建化工项目，除满足上述条件外，还应在合规工业园区实施。</w:t>
                  </w:r>
                </w:p>
                <w:p w14:paraId="6A603949">
                  <w:pPr>
                    <w:pStyle w:val="44"/>
                    <w:bidi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第十一条新建生产危险化学品的项目（危险化学品详见最新版《危险化学品目录》），固定资产投资额原则上不低于3亿元（不含土地费用）；列入国家《产业结构调整指导目录》鼓励类和《鼓励外商投资产业目录》项目，以及搬迁入园、配套氯碱企业耗氯和耗氢项目，不受3亿元投资额限制。</w:t>
                  </w:r>
                </w:p>
                <w:p w14:paraId="4158E8E7">
                  <w:pPr>
                    <w:pStyle w:val="44"/>
                    <w:bidi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第十二条符合下列情形之一的化工项目，除国家另有规定的外，可以在省政府认定的化工园区、专业化工园区和重点监控点外实施，且不受投资额限制。</w:t>
                  </w:r>
                </w:p>
                <w:p w14:paraId="66A7066C">
                  <w:pPr>
                    <w:pStyle w:val="44"/>
                    <w:bidi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（一）2625有机肥料及微生物肥料制造、2682化妆品制造、2683口腔清洁用品制造、291橡胶制品业项目。</w:t>
                  </w:r>
                </w:p>
                <w:p w14:paraId="4632D8C4">
                  <w:pPr>
                    <w:pStyle w:val="44"/>
                    <w:bidi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（二）列入《建设项目环境影响评价分类管理名录》的环评类别为报告表、登记表的非危险化学品项目。</w:t>
                  </w:r>
                </w:p>
                <w:p w14:paraId="3549F6E4">
                  <w:pPr>
                    <w:pStyle w:val="44"/>
                    <w:bidi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（三）海水或卤水提取溴素、二氧化碳收集、新建大型冶金项目配套焦化和制酸、可再生能源发电制氢、为非化工项目配套的空分以及依托钢铁企业副产煤气就地实施钢化联产项目。</w:t>
                  </w:r>
                </w:p>
                <w:p w14:paraId="68F03E26">
                  <w:pPr>
                    <w:pStyle w:val="44"/>
                    <w:bidi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第十三条园区外非重点监控点化工企业，可以在原厂区就地实施环境污染治理、安全隐患整治、机械化换人、自动化减人、智能化无人改造项目，不受投资额限制，但原则上不得新增产能。</w:t>
                  </w:r>
                </w:p>
                <w:p w14:paraId="0AFC585E">
                  <w:pPr>
                    <w:pStyle w:val="44"/>
                    <w:bidi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第十四条严格限制新建剧毒化学品项目，原则上剧毒化学品生产企业只减不增。</w:t>
                  </w:r>
                </w:p>
              </w:tc>
              <w:tc>
                <w:tcPr>
                  <w:tcW w:w="1881" w:type="dxa"/>
                  <w:tcBorders>
                    <w:tl2br w:val="nil"/>
                    <w:tr2bl w:val="nil"/>
                  </w:tcBorders>
                  <w:vAlign w:val="center"/>
                </w:tcPr>
                <w:p w14:paraId="53466BF9">
                  <w:pPr>
                    <w:pStyle w:val="44"/>
                    <w:bidi w:val="0"/>
                    <w:spacing w:line="240" w:lineRule="auto"/>
                    <w:jc w:val="center"/>
                    <w:rPr>
                      <w:rFonts w:hint="default" w:ascii="Times New Roman" w:hAnsi="Times New Roman" w:cs="Times New Roman"/>
                      <w:color w:val="auto"/>
                      <w:sz w:val="21"/>
                      <w:szCs w:val="21"/>
                    </w:rPr>
                  </w:pPr>
                </w:p>
                <w:p w14:paraId="3F2438B9">
                  <w:pPr>
                    <w:pStyle w:val="44"/>
                    <w:bidi w:val="0"/>
                    <w:spacing w:line="240" w:lineRule="auto"/>
                    <w:jc w:val="center"/>
                    <w:rPr>
                      <w:rFonts w:hint="default" w:ascii="Times New Roman" w:hAnsi="Times New Roman" w:cs="Times New Roman"/>
                      <w:color w:val="auto"/>
                      <w:sz w:val="21"/>
                      <w:szCs w:val="21"/>
                    </w:rPr>
                  </w:pPr>
                </w:p>
                <w:p w14:paraId="3E4C441F">
                  <w:pPr>
                    <w:pStyle w:val="44"/>
                    <w:bidi w:val="0"/>
                    <w:spacing w:line="240" w:lineRule="auto"/>
                    <w:jc w:val="center"/>
                    <w:rPr>
                      <w:rFonts w:hint="default" w:ascii="Times New Roman" w:hAnsi="Times New Roman" w:cs="Times New Roman"/>
                      <w:color w:val="auto"/>
                      <w:sz w:val="21"/>
                      <w:szCs w:val="21"/>
                    </w:rPr>
                  </w:pPr>
                </w:p>
                <w:p w14:paraId="7CF78853">
                  <w:pPr>
                    <w:pStyle w:val="44"/>
                    <w:bidi w:val="0"/>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项目</w:t>
                  </w:r>
                  <w:r>
                    <w:rPr>
                      <w:rFonts w:hint="eastAsia" w:cs="Times New Roman"/>
                      <w:color w:val="auto"/>
                      <w:sz w:val="21"/>
                      <w:szCs w:val="21"/>
                      <w:lang w:val="en-US" w:eastAsia="zh-CN"/>
                    </w:rPr>
                    <w:t>环评类别为报告表，</w:t>
                  </w:r>
                  <w:r>
                    <w:rPr>
                      <w:rFonts w:hint="eastAsia" w:ascii="Times New Roman" w:hAnsi="Times New Roman" w:cs="Times New Roman"/>
                      <w:color w:val="auto"/>
                      <w:sz w:val="21"/>
                      <w:szCs w:val="21"/>
                      <w:lang w:val="en-US" w:eastAsia="zh-CN"/>
                    </w:rPr>
                    <w:t>生产工艺不涉及化学反应，仅为物理混合、分装，</w:t>
                  </w:r>
                  <w:r>
                    <w:rPr>
                      <w:rFonts w:hint="eastAsia" w:cs="Times New Roman"/>
                      <w:color w:val="auto"/>
                      <w:sz w:val="21"/>
                      <w:szCs w:val="21"/>
                      <w:lang w:val="en-US" w:eastAsia="zh-CN"/>
                    </w:rPr>
                    <w:t>可在化工园区外实施。项目位于卞庄工业园，</w:t>
                  </w:r>
                </w:p>
                <w:p w14:paraId="2C83F482">
                  <w:pPr>
                    <w:pStyle w:val="44"/>
                    <w:bidi w:val="0"/>
                    <w:spacing w:line="240" w:lineRule="auto"/>
                    <w:jc w:val="center"/>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根据泗水县化转办组织对本项目的论证（见附件六），项目符合产业政策、经济效益、工艺技术、环境影响、安全风险、资源利用等方面要求。</w:t>
                  </w:r>
                  <w:r>
                    <w:rPr>
                      <w:rFonts w:hint="default" w:ascii="Times New Roman" w:hAnsi="Times New Roman" w:cs="Times New Roman"/>
                      <w:color w:val="auto"/>
                      <w:sz w:val="21"/>
                      <w:szCs w:val="21"/>
                    </w:rPr>
                    <w:t>本项目产品不属于危险化学品。本项目不属于新建剧毒化学品项目。</w:t>
                  </w:r>
                </w:p>
              </w:tc>
            </w:tr>
          </w:tbl>
          <w:p w14:paraId="640075B8">
            <w:pPr>
              <w:pStyle w:val="4"/>
              <w:numPr>
                <w:ilvl w:val="0"/>
                <w:numId w:val="0"/>
              </w:numPr>
              <w:bidi w:val="0"/>
              <w:ind w:leftChars="0" w:firstLine="444" w:firstLineChars="200"/>
              <w:rPr>
                <w:rFonts w:hint="eastAsia" w:ascii="Times New Roman" w:hAnsi="Times New Roman" w:eastAsia="宋体" w:cs="Times New Roman"/>
                <w:color w:val="auto"/>
                <w:lang w:val="en-US" w:eastAsia="zh-CN"/>
              </w:rPr>
            </w:pPr>
            <w:r>
              <w:rPr>
                <w:rFonts w:ascii="宋体" w:hAnsi="宋体" w:eastAsia="宋体" w:cs="宋体"/>
                <w:color w:val="auto"/>
                <w:spacing w:val="-9"/>
                <w:sz w:val="24"/>
                <w:szCs w:val="24"/>
              </w:rPr>
              <w:t>根据上表可知，本项目符合《山东省化工行业投资项目管理规定》（鲁工信发</w:t>
            </w:r>
            <w:r>
              <w:rPr>
                <w:rFonts w:ascii="Times New Roman" w:hAnsi="Times New Roman" w:eastAsia="Times New Roman" w:cs="Times New Roman"/>
                <w:color w:val="auto"/>
                <w:spacing w:val="-9"/>
                <w:sz w:val="24"/>
                <w:szCs w:val="24"/>
              </w:rPr>
              <w:t>[2022]5</w:t>
            </w:r>
            <w:r>
              <w:rPr>
                <w:rFonts w:ascii="Times New Roman" w:hAnsi="Times New Roman" w:eastAsia="Times New Roman" w:cs="Times New Roman"/>
                <w:color w:val="auto"/>
                <w:sz w:val="24"/>
                <w:szCs w:val="24"/>
              </w:rPr>
              <w:t xml:space="preserve"> </w:t>
            </w:r>
            <w:r>
              <w:rPr>
                <w:rFonts w:ascii="宋体" w:hAnsi="宋体" w:eastAsia="宋体" w:cs="宋体"/>
                <w:color w:val="auto"/>
                <w:spacing w:val="-4"/>
                <w:sz w:val="24"/>
                <w:szCs w:val="24"/>
              </w:rPr>
              <w:t>号）规定</w:t>
            </w:r>
            <w:r>
              <w:rPr>
                <w:rFonts w:hint="eastAsia" w:ascii="宋体" w:hAnsi="宋体" w:eastAsia="宋体" w:cs="宋体"/>
                <w:color w:val="auto"/>
                <w:spacing w:val="-4"/>
                <w:sz w:val="24"/>
                <w:szCs w:val="24"/>
                <w:lang w:eastAsia="zh-CN"/>
              </w:rPr>
              <w:t>。</w:t>
            </w:r>
          </w:p>
          <w:p w14:paraId="35677CE7">
            <w:pPr>
              <w:pStyle w:val="4"/>
              <w:numPr>
                <w:ilvl w:val="0"/>
                <w:numId w:val="0"/>
              </w:numPr>
              <w:bidi w:val="0"/>
              <w:ind w:leftChars="0" w:firstLine="480" w:firstLineChars="200"/>
              <w:rPr>
                <w:rFonts w:hint="default" w:ascii="Times New Roman" w:hAnsi="Times New Roman" w:cs="Times New Roman"/>
                <w:color w:val="auto"/>
              </w:rPr>
            </w:pPr>
            <w:r>
              <w:rPr>
                <w:rFonts w:hint="default" w:ascii="Times New Roman" w:hAnsi="Times New Roman" w:cs="Times New Roman"/>
                <w:color w:val="auto"/>
                <w:lang w:val="en-US" w:eastAsia="zh-CN"/>
              </w:rPr>
              <w:t>1</w:t>
            </w:r>
            <w:r>
              <w:rPr>
                <w:rFonts w:hint="eastAsia" w:cs="Times New Roman"/>
                <w:color w:val="auto"/>
                <w:lang w:val="en-US" w:eastAsia="zh-CN"/>
              </w:rPr>
              <w:t>3</w:t>
            </w:r>
            <w:r>
              <w:rPr>
                <w:rFonts w:hint="default" w:ascii="Times New Roman" w:hAnsi="Times New Roman" w:cs="Times New Roman"/>
                <w:color w:val="auto"/>
              </w:rPr>
              <w:t>、与鲁环发[2012]77号文符合性分析</w:t>
            </w:r>
          </w:p>
          <w:p w14:paraId="3390887F">
            <w:pPr>
              <w:autoSpaceDE w:val="0"/>
              <w:autoSpaceDN w:val="0"/>
              <w:adjustRightInd w:val="0"/>
              <w:snapToGrid w:val="0"/>
              <w:ind w:firstLine="480" w:firstLineChars="200"/>
              <w:rPr>
                <w:rFonts w:hint="default" w:ascii="Times New Roman" w:hAnsi="Times New Roman" w:cs="Times New Roman"/>
                <w:color w:val="auto"/>
                <w:szCs w:val="24"/>
              </w:rPr>
            </w:pPr>
            <w:r>
              <w:rPr>
                <w:rFonts w:hint="default" w:ascii="Times New Roman" w:hAnsi="Times New Roman" w:cs="Times New Roman"/>
                <w:color w:val="auto"/>
                <w:szCs w:val="24"/>
              </w:rPr>
              <w:t>本报告按照《建设项目环境风险评价技术导则》（HJ169-2018）和《关于进一步加强环境影响评价管理防范环境风险的通知》（环发[2012]77号）的规定，对本项目环境风险源进行了识别、环境风险预测、选址及敏感目标、防范措施等做出评价，本项目在生产过程、原料和产品储运过程中，环境风险源很小，不存在重大的环境风险。</w:t>
            </w:r>
          </w:p>
          <w:p w14:paraId="71B39123">
            <w:pPr>
              <w:pStyle w:val="4"/>
              <w:numPr>
                <w:ilvl w:val="0"/>
                <w:numId w:val="0"/>
              </w:numPr>
              <w:bidi w:val="0"/>
              <w:ind w:leftChars="0" w:firstLine="480" w:firstLineChars="200"/>
              <w:rPr>
                <w:rFonts w:hint="default" w:ascii="Times New Roman" w:hAnsi="Times New Roman" w:eastAsia="新宋体" w:cs="Times New Roman"/>
                <w:color w:val="auto"/>
              </w:rPr>
            </w:pPr>
            <w:r>
              <w:rPr>
                <w:rFonts w:hint="default" w:ascii="Times New Roman" w:hAnsi="Times New Roman" w:cs="Times New Roman"/>
                <w:color w:val="auto"/>
              </w:rPr>
              <w:t>1</w:t>
            </w:r>
            <w:r>
              <w:rPr>
                <w:rFonts w:hint="eastAsia" w:cs="Times New Roman"/>
                <w:color w:val="auto"/>
                <w:lang w:val="en-US" w:eastAsia="zh-CN"/>
              </w:rPr>
              <w:t>4</w:t>
            </w:r>
            <w:r>
              <w:rPr>
                <w:rFonts w:hint="default" w:ascii="Times New Roman" w:hAnsi="Times New Roman" w:cs="Times New Roman"/>
                <w:color w:val="auto"/>
              </w:rPr>
              <w:t>、项目与南水北调工程的关系</w:t>
            </w:r>
          </w:p>
          <w:p w14:paraId="51F9F65C">
            <w:pPr>
              <w:snapToGrid w:val="0"/>
              <w:ind w:firstLine="480" w:firstLineChars="200"/>
              <w:jc w:val="left"/>
              <w:rPr>
                <w:rFonts w:hint="default" w:ascii="Times New Roman" w:hAnsi="Times New Roman" w:eastAsia="宋体" w:cs="Times New Roman"/>
                <w:b/>
                <w:color w:val="auto"/>
                <w:szCs w:val="22"/>
                <w:lang w:val="en-US" w:eastAsia="zh-CN"/>
              </w:rPr>
            </w:pPr>
            <w:r>
              <w:rPr>
                <w:rFonts w:hint="default" w:ascii="Times New Roman" w:hAnsi="Times New Roman" w:cs="Times New Roman"/>
                <w:color w:val="auto"/>
                <w:szCs w:val="24"/>
              </w:rPr>
              <w:t>根据山东省生态环境厅2024年5月30日下达的文件《关于山东省南四湖流域核心、重点和一般保护区域涉及具体范围的公示》（网址：http://sthj.shandong.gov.cn/zwgk/gsgg/202405/t20240530_4733078.html）本项目属于</w:t>
            </w:r>
            <w:r>
              <w:rPr>
                <w:rFonts w:hint="eastAsia" w:ascii="Times New Roman" w:hAnsi="Times New Roman" w:cs="Times New Roman"/>
                <w:color w:val="auto"/>
                <w:szCs w:val="24"/>
                <w:lang w:val="en-US" w:eastAsia="zh-CN"/>
              </w:rPr>
              <w:t>一般</w:t>
            </w:r>
            <w:r>
              <w:rPr>
                <w:rFonts w:hint="default" w:ascii="Times New Roman" w:hAnsi="Times New Roman" w:cs="Times New Roman"/>
                <w:color w:val="auto"/>
                <w:szCs w:val="24"/>
              </w:rPr>
              <w:t>保护区域，排放水需满足《流域水污染物综合排放标准第1部分：南四湖东平湖流域》（DB37/3416.1-2023）</w:t>
            </w:r>
            <w:r>
              <w:rPr>
                <w:rFonts w:hint="eastAsia" w:ascii="Times New Roman" w:hAnsi="Times New Roman" w:cs="Times New Roman"/>
                <w:color w:val="auto"/>
                <w:szCs w:val="24"/>
                <w:lang w:val="en-US" w:eastAsia="zh-CN"/>
              </w:rPr>
              <w:t>一般</w:t>
            </w:r>
            <w:r>
              <w:rPr>
                <w:rFonts w:hint="default" w:ascii="Times New Roman" w:hAnsi="Times New Roman" w:cs="Times New Roman"/>
                <w:color w:val="auto"/>
                <w:szCs w:val="24"/>
              </w:rPr>
              <w:t>保护区域排放标准的同时需满足地方政府要求。</w:t>
            </w:r>
            <w:r>
              <w:rPr>
                <w:rFonts w:hint="default" w:ascii="Times New Roman" w:hAnsi="Times New Roman" w:cs="Times New Roman"/>
                <w:color w:val="auto"/>
                <w:szCs w:val="24"/>
                <w:lang w:val="en-US" w:eastAsia="zh-CN"/>
              </w:rPr>
              <w:t>本项目生活污水经化粪池收集后环卫部门清运，冷却水循环使用不外排，</w:t>
            </w:r>
            <w:r>
              <w:rPr>
                <w:rFonts w:hint="default" w:ascii="Times New Roman" w:hAnsi="Times New Roman" w:eastAsia="宋体" w:cs="Times New Roman"/>
                <w:color w:val="auto"/>
                <w:kern w:val="0"/>
                <w:sz w:val="24"/>
              </w:rPr>
              <w:t>对南水北调工程影响较小</w:t>
            </w:r>
            <w:r>
              <w:rPr>
                <w:rFonts w:hint="default" w:ascii="Times New Roman" w:hAnsi="Times New Roman" w:eastAsia="宋体" w:cs="Times New Roman"/>
                <w:color w:val="auto"/>
                <w:kern w:val="0"/>
                <w:sz w:val="24"/>
                <w:lang w:eastAsia="zh-CN"/>
              </w:rPr>
              <w:t>。</w:t>
            </w:r>
          </w:p>
          <w:p w14:paraId="324E43D9">
            <w:pPr>
              <w:autoSpaceDE w:val="0"/>
              <w:autoSpaceDN w:val="0"/>
              <w:adjustRightInd w:val="0"/>
              <w:snapToGrid w:val="0"/>
              <w:ind w:firstLine="480" w:firstLineChars="200"/>
              <w:rPr>
                <w:rFonts w:hint="default" w:ascii="Times New Roman" w:hAnsi="Times New Roman" w:cs="Times New Roman"/>
                <w:color w:val="auto"/>
                <w:szCs w:val="24"/>
                <w:lang w:eastAsia="zh-CN"/>
              </w:rPr>
            </w:pPr>
            <w:r>
              <w:rPr>
                <w:rFonts w:hint="default" w:ascii="Times New Roman" w:hAnsi="Times New Roman" w:cs="Times New Roman"/>
                <w:color w:val="auto"/>
                <w:szCs w:val="24"/>
              </w:rPr>
              <w:t>综上所述，项目建设符合相关国家法律、法规及环保政策的规定</w:t>
            </w:r>
            <w:r>
              <w:rPr>
                <w:rFonts w:hint="default" w:ascii="Times New Roman" w:hAnsi="Times New Roman" w:cs="Times New Roman"/>
                <w:color w:val="auto"/>
                <w:szCs w:val="24"/>
                <w:lang w:eastAsia="zh-CN"/>
              </w:rPr>
              <w:t>。</w:t>
            </w:r>
          </w:p>
          <w:p w14:paraId="2B88E07D">
            <w:pPr>
              <w:autoSpaceDE w:val="0"/>
              <w:autoSpaceDN w:val="0"/>
              <w:adjustRightInd w:val="0"/>
              <w:snapToGrid w:val="0"/>
              <w:ind w:firstLine="480" w:firstLineChars="200"/>
              <w:rPr>
                <w:rFonts w:hint="default" w:ascii="Times New Roman" w:hAnsi="Times New Roman" w:cs="Times New Roman"/>
                <w:color w:val="auto"/>
                <w:szCs w:val="24"/>
                <w:lang w:eastAsia="zh-CN"/>
              </w:rPr>
            </w:pPr>
          </w:p>
          <w:p w14:paraId="22633400">
            <w:pPr>
              <w:autoSpaceDE w:val="0"/>
              <w:autoSpaceDN w:val="0"/>
              <w:adjustRightInd w:val="0"/>
              <w:snapToGrid w:val="0"/>
              <w:ind w:firstLine="480" w:firstLineChars="200"/>
              <w:rPr>
                <w:rFonts w:hint="default" w:ascii="Times New Roman" w:hAnsi="Times New Roman" w:cs="Times New Roman"/>
                <w:color w:val="auto"/>
                <w:szCs w:val="24"/>
                <w:lang w:eastAsia="zh-CN"/>
              </w:rPr>
            </w:pPr>
          </w:p>
          <w:p w14:paraId="531A0C43">
            <w:pPr>
              <w:autoSpaceDE w:val="0"/>
              <w:autoSpaceDN w:val="0"/>
              <w:adjustRightInd w:val="0"/>
              <w:snapToGrid w:val="0"/>
              <w:ind w:firstLine="480" w:firstLineChars="200"/>
              <w:rPr>
                <w:rFonts w:hint="default" w:ascii="Times New Roman" w:hAnsi="Times New Roman" w:cs="Times New Roman"/>
                <w:color w:val="auto"/>
                <w:szCs w:val="24"/>
                <w:lang w:eastAsia="zh-CN"/>
              </w:rPr>
            </w:pPr>
          </w:p>
          <w:p w14:paraId="4EE0E3D2">
            <w:pPr>
              <w:autoSpaceDE w:val="0"/>
              <w:autoSpaceDN w:val="0"/>
              <w:adjustRightInd w:val="0"/>
              <w:snapToGrid w:val="0"/>
              <w:ind w:firstLine="480" w:firstLineChars="200"/>
              <w:rPr>
                <w:rFonts w:hint="default" w:ascii="Times New Roman" w:hAnsi="Times New Roman" w:cs="Times New Roman"/>
                <w:color w:val="auto"/>
                <w:szCs w:val="24"/>
                <w:lang w:eastAsia="zh-CN"/>
              </w:rPr>
            </w:pPr>
          </w:p>
          <w:p w14:paraId="21C4C5F3">
            <w:pPr>
              <w:autoSpaceDE w:val="0"/>
              <w:autoSpaceDN w:val="0"/>
              <w:adjustRightInd w:val="0"/>
              <w:snapToGrid w:val="0"/>
              <w:ind w:firstLine="480" w:firstLineChars="200"/>
              <w:rPr>
                <w:rFonts w:hint="default" w:ascii="Times New Roman" w:hAnsi="Times New Roman" w:cs="Times New Roman"/>
                <w:color w:val="auto"/>
                <w:szCs w:val="24"/>
                <w:lang w:eastAsia="zh-CN"/>
              </w:rPr>
            </w:pPr>
          </w:p>
          <w:p w14:paraId="543052B4">
            <w:pPr>
              <w:autoSpaceDE w:val="0"/>
              <w:autoSpaceDN w:val="0"/>
              <w:adjustRightInd w:val="0"/>
              <w:snapToGrid w:val="0"/>
              <w:ind w:firstLine="480" w:firstLineChars="200"/>
              <w:rPr>
                <w:rFonts w:hint="default" w:ascii="Times New Roman" w:hAnsi="Times New Roman" w:cs="Times New Roman"/>
                <w:color w:val="auto"/>
                <w:szCs w:val="24"/>
                <w:lang w:eastAsia="zh-CN"/>
              </w:rPr>
            </w:pPr>
          </w:p>
          <w:p w14:paraId="6AE0996E">
            <w:pPr>
              <w:autoSpaceDE w:val="0"/>
              <w:autoSpaceDN w:val="0"/>
              <w:adjustRightInd w:val="0"/>
              <w:snapToGrid w:val="0"/>
              <w:ind w:firstLine="480" w:firstLineChars="200"/>
              <w:rPr>
                <w:rFonts w:hint="default" w:ascii="Times New Roman" w:hAnsi="Times New Roman" w:cs="Times New Roman"/>
                <w:color w:val="auto"/>
                <w:szCs w:val="24"/>
                <w:lang w:eastAsia="zh-CN"/>
              </w:rPr>
            </w:pPr>
          </w:p>
          <w:p w14:paraId="3913E443">
            <w:pPr>
              <w:autoSpaceDE w:val="0"/>
              <w:autoSpaceDN w:val="0"/>
              <w:adjustRightInd w:val="0"/>
              <w:snapToGrid w:val="0"/>
              <w:ind w:firstLine="480" w:firstLineChars="200"/>
              <w:rPr>
                <w:rFonts w:hint="default" w:ascii="Times New Roman" w:hAnsi="Times New Roman" w:cs="Times New Roman"/>
                <w:color w:val="auto"/>
                <w:szCs w:val="24"/>
                <w:lang w:eastAsia="zh-CN"/>
              </w:rPr>
            </w:pPr>
          </w:p>
          <w:p w14:paraId="76824268">
            <w:pPr>
              <w:autoSpaceDE w:val="0"/>
              <w:autoSpaceDN w:val="0"/>
              <w:adjustRightInd w:val="0"/>
              <w:snapToGrid w:val="0"/>
              <w:rPr>
                <w:rFonts w:hint="default" w:ascii="Times New Roman" w:hAnsi="Times New Roman" w:cs="Times New Roman"/>
                <w:color w:val="auto"/>
                <w:szCs w:val="24"/>
                <w:lang w:eastAsia="zh-CN"/>
              </w:rPr>
            </w:pPr>
          </w:p>
          <w:p w14:paraId="0D203088">
            <w:pPr>
              <w:autoSpaceDE w:val="0"/>
              <w:autoSpaceDN w:val="0"/>
              <w:adjustRightInd w:val="0"/>
              <w:snapToGrid w:val="0"/>
              <w:ind w:firstLine="480" w:firstLineChars="200"/>
              <w:rPr>
                <w:rFonts w:hint="default" w:ascii="Times New Roman" w:hAnsi="Times New Roman" w:cs="Times New Roman"/>
                <w:color w:val="auto"/>
                <w:szCs w:val="24"/>
                <w:lang w:eastAsia="zh-CN"/>
              </w:rPr>
            </w:pPr>
          </w:p>
          <w:p w14:paraId="2EC57C3C">
            <w:pPr>
              <w:autoSpaceDE w:val="0"/>
              <w:autoSpaceDN w:val="0"/>
              <w:adjustRightInd w:val="0"/>
              <w:snapToGrid w:val="0"/>
              <w:ind w:firstLine="480" w:firstLineChars="200"/>
              <w:rPr>
                <w:rFonts w:hint="default" w:ascii="Times New Roman" w:hAnsi="Times New Roman" w:cs="Times New Roman"/>
                <w:color w:val="auto"/>
                <w:szCs w:val="24"/>
                <w:lang w:val="en-US" w:eastAsia="zh-CN"/>
              </w:rPr>
            </w:pPr>
          </w:p>
          <w:p w14:paraId="2979E815">
            <w:pPr>
              <w:autoSpaceDE w:val="0"/>
              <w:autoSpaceDN w:val="0"/>
              <w:adjustRightInd w:val="0"/>
              <w:snapToGrid w:val="0"/>
              <w:rPr>
                <w:rFonts w:hint="eastAsia" w:cs="Times New Roman"/>
                <w:color w:val="auto"/>
                <w:kern w:val="0"/>
                <w:szCs w:val="24"/>
                <w:lang w:val="en-US" w:eastAsia="zh-CN"/>
              </w:rPr>
            </w:pPr>
          </w:p>
          <w:p w14:paraId="38AC8B81">
            <w:pPr>
              <w:autoSpaceDE w:val="0"/>
              <w:autoSpaceDN w:val="0"/>
              <w:adjustRightInd w:val="0"/>
              <w:snapToGrid w:val="0"/>
              <w:rPr>
                <w:rFonts w:hint="eastAsia" w:cs="Times New Roman"/>
                <w:color w:val="auto"/>
                <w:kern w:val="0"/>
                <w:szCs w:val="24"/>
                <w:lang w:val="en-US" w:eastAsia="zh-CN"/>
              </w:rPr>
            </w:pPr>
          </w:p>
          <w:p w14:paraId="210CC47E">
            <w:pPr>
              <w:autoSpaceDE w:val="0"/>
              <w:autoSpaceDN w:val="0"/>
              <w:adjustRightInd w:val="0"/>
              <w:snapToGrid w:val="0"/>
              <w:rPr>
                <w:rFonts w:hint="default" w:ascii="Times New Roman" w:hAnsi="Times New Roman" w:cs="Times New Roman"/>
                <w:color w:val="auto"/>
                <w:kern w:val="0"/>
                <w:szCs w:val="24"/>
                <w:lang w:val="en-US" w:eastAsia="zh-CN"/>
              </w:rPr>
            </w:pPr>
          </w:p>
          <w:p w14:paraId="08B250D6">
            <w:pPr>
              <w:autoSpaceDE w:val="0"/>
              <w:autoSpaceDN w:val="0"/>
              <w:adjustRightInd w:val="0"/>
              <w:snapToGrid w:val="0"/>
              <w:rPr>
                <w:rFonts w:hint="default" w:ascii="Times New Roman" w:hAnsi="Times New Roman" w:eastAsia="宋体" w:cs="Times New Roman"/>
                <w:color w:val="auto"/>
                <w:kern w:val="0"/>
                <w:szCs w:val="24"/>
                <w:lang w:val="en-US" w:eastAsia="zh-CN"/>
              </w:rPr>
            </w:pPr>
          </w:p>
        </w:tc>
      </w:tr>
    </w:tbl>
    <w:p w14:paraId="4C5643F6">
      <w:pPr>
        <w:outlineLvl w:val="0"/>
        <w:rPr>
          <w:rFonts w:hint="eastAsia" w:ascii="宋体" w:hAnsi="宋体" w:cs="宋体"/>
          <w:color w:val="auto"/>
          <w:sz w:val="30"/>
        </w:rPr>
        <w:sectPr>
          <w:footerReference r:id="rId7" w:type="default"/>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14:paraId="271EB657">
      <w:pPr>
        <w:pStyle w:val="3"/>
        <w:bidi w:val="0"/>
        <w:rPr>
          <w:rFonts w:hint="eastAsia"/>
          <w:color w:val="auto"/>
        </w:rPr>
      </w:pPr>
      <w:r>
        <w:rPr>
          <w:rFonts w:hint="eastAsia"/>
          <w:color w:val="auto"/>
        </w:rPr>
        <w:t>二、建设项目工程分析</w:t>
      </w:r>
    </w:p>
    <w:tbl>
      <w:tblPr>
        <w:tblStyle w:val="3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67"/>
        <w:gridCol w:w="8194"/>
      </w:tblGrid>
      <w:tr w14:paraId="37D68A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74" w:hRule="atLeast"/>
          <w:jc w:val="center"/>
        </w:trPr>
        <w:tc>
          <w:tcPr>
            <w:tcW w:w="478" w:type="pct"/>
            <w:noWrap w:val="0"/>
            <w:vAlign w:val="center"/>
          </w:tcPr>
          <w:p w14:paraId="5A17E4C1">
            <w:pPr>
              <w:pStyle w:val="28"/>
              <w:adjustRightInd w:val="0"/>
              <w:snapToGrid w:val="0"/>
              <w:spacing w:before="0" w:beforeAutospacing="0" w:after="0" w:afterAutospacing="0"/>
              <w:jc w:val="center"/>
              <w:rPr>
                <w:rFonts w:hint="default" w:ascii="Times New Roman" w:hAnsi="Times New Roman" w:cs="Times New Roman"/>
                <w:color w:val="auto"/>
                <w:szCs w:val="24"/>
                <w:highlight w:val="none"/>
                <w:lang w:val="en-US" w:eastAsia="zh-CN"/>
              </w:rPr>
            </w:pPr>
            <w:r>
              <w:rPr>
                <w:rFonts w:hint="default" w:ascii="Times New Roman" w:hAnsi="Times New Roman" w:cs="Times New Roman"/>
                <w:color w:val="auto"/>
                <w:szCs w:val="24"/>
                <w:highlight w:val="none"/>
                <w:lang w:val="en-US" w:eastAsia="zh-CN"/>
              </w:rPr>
              <w:t>建设</w:t>
            </w:r>
          </w:p>
          <w:p w14:paraId="2333E2E7">
            <w:pPr>
              <w:pStyle w:val="28"/>
              <w:adjustRightInd w:val="0"/>
              <w:snapToGrid w:val="0"/>
              <w:spacing w:before="0" w:beforeAutospacing="0" w:after="0" w:afterAutospacing="0"/>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Cs w:val="24"/>
                <w:highlight w:val="none"/>
                <w:lang w:val="en-US" w:eastAsia="zh-CN"/>
              </w:rPr>
              <w:t>内容</w:t>
            </w:r>
          </w:p>
        </w:tc>
        <w:tc>
          <w:tcPr>
            <w:tcW w:w="4521" w:type="pct"/>
            <w:noWrap w:val="0"/>
            <w:vAlign w:val="top"/>
          </w:tcPr>
          <w:p w14:paraId="672B2AC5">
            <w:pPr>
              <w:pStyle w:val="4"/>
              <w:numPr>
                <w:ilvl w:val="0"/>
                <w:numId w:val="0"/>
              </w:numPr>
              <w:bidi w:val="0"/>
              <w:ind w:leftChars="0" w:firstLine="48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一、项目来源</w:t>
            </w:r>
          </w:p>
          <w:p w14:paraId="29EEA9DC">
            <w:pPr>
              <w:spacing w:line="360" w:lineRule="auto"/>
              <w:ind w:firstLine="480" w:firstLineChars="200"/>
              <w:jc w:val="left"/>
              <w:rPr>
                <w:rFonts w:hint="default" w:cs="Times New Roman"/>
                <w:color w:val="auto"/>
                <w:kern w:val="0"/>
                <w:sz w:val="24"/>
                <w:szCs w:val="24"/>
                <w:highlight w:val="none"/>
                <w:lang w:val="en-US" w:eastAsia="zh-CN"/>
              </w:rPr>
            </w:pPr>
            <w:r>
              <w:rPr>
                <w:rFonts w:hint="eastAsia" w:cs="Times New Roman"/>
                <w:color w:val="auto"/>
                <w:kern w:val="0"/>
                <w:sz w:val="24"/>
                <w:szCs w:val="24"/>
                <w:highlight w:val="none"/>
                <w:lang w:val="en-US" w:eastAsia="zh-CN"/>
              </w:rPr>
              <w:t>欣达新材料（山东）有限公司成立日期2024年1月19日，主要经营范围为新材料技术研发、密封用填料销售、电子专用材料销售等。</w:t>
            </w:r>
          </w:p>
          <w:p w14:paraId="3F099ACD">
            <w:pPr>
              <w:spacing w:line="360" w:lineRule="auto"/>
              <w:ind w:firstLine="480" w:firstLineChars="200"/>
              <w:jc w:val="left"/>
              <w:rPr>
                <w:rFonts w:hint="default" w:cs="Times New Roman"/>
                <w:color w:val="auto"/>
                <w:kern w:val="0"/>
                <w:sz w:val="24"/>
                <w:szCs w:val="24"/>
                <w:highlight w:val="none"/>
                <w:lang w:val="en-US" w:eastAsia="zh-CN"/>
              </w:rPr>
            </w:pPr>
            <w:r>
              <w:rPr>
                <w:rFonts w:hint="eastAsia" w:cs="Times New Roman"/>
                <w:color w:val="auto"/>
                <w:kern w:val="0"/>
                <w:sz w:val="24"/>
                <w:szCs w:val="24"/>
                <w:highlight w:val="none"/>
                <w:lang w:val="en-US" w:eastAsia="zh-CN"/>
              </w:rPr>
              <w:t>根据市场需要，企业拟投资3000万元，租赁泗水县金庄镇卞庄工业园现有A7厂房，建设年产20000吨新型环保密封材料项目。</w:t>
            </w:r>
          </w:p>
          <w:p w14:paraId="195B66CB">
            <w:pPr>
              <w:bidi w:val="0"/>
              <w:ind w:firstLine="480" w:firstLineChars="200"/>
              <w:rPr>
                <w:rFonts w:hint="default" w:ascii="Times New Roman" w:hAnsi="Times New Roman" w:eastAsia="宋体" w:cs="Times New Roman"/>
                <w:color w:val="auto"/>
                <w:szCs w:val="24"/>
                <w:highlight w:val="none"/>
                <w:lang w:val="en-US" w:eastAsia="zh-CN"/>
              </w:rPr>
            </w:pPr>
            <w:r>
              <w:rPr>
                <w:rFonts w:hint="default" w:ascii="Times New Roman" w:hAnsi="Times New Roman" w:cs="Times New Roman"/>
                <w:color w:val="auto"/>
                <w:kern w:val="0"/>
                <w:szCs w:val="24"/>
                <w:highlight w:val="none"/>
                <w:lang w:val="en-US" w:eastAsia="zh-CN"/>
              </w:rPr>
              <w:t>依据《中华人民共和国环境影响评价法》（主席令第48号）、《建设项目环境保护管理条例》（国务院令第682号）、《建设项目环境影响评价分类管理名录（2021版）》（中华人民共和国生态环境部令第16号，2021年1月1日起施行），本项目属于</w:t>
            </w:r>
            <w:r>
              <w:rPr>
                <w:rFonts w:hint="eastAsia" w:cs="Times New Roman"/>
                <w:color w:val="auto"/>
                <w:kern w:val="0"/>
                <w:szCs w:val="24"/>
                <w:highlight w:val="none"/>
                <w:lang w:val="en-US" w:eastAsia="zh-CN"/>
              </w:rPr>
              <w:t>“二十三、化学原料和化学制品制造业”中“涂料、油墨、颜料及类似产品制造264-单纯物理分离、物理提纯、混合、分装的”</w:t>
            </w:r>
            <w:r>
              <w:rPr>
                <w:rFonts w:hint="default" w:ascii="Times New Roman" w:hAnsi="Times New Roman" w:cs="Times New Roman"/>
                <w:color w:val="auto"/>
                <w:kern w:val="0"/>
                <w:szCs w:val="24"/>
                <w:highlight w:val="none"/>
                <w:lang w:val="en-US" w:eastAsia="zh-CN"/>
              </w:rPr>
              <w:t>，需编制环境影响报告表。</w:t>
            </w:r>
          </w:p>
          <w:p w14:paraId="43DCD7C8">
            <w:pPr>
              <w:pStyle w:val="47"/>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表</w:t>
            </w:r>
            <w:r>
              <w:rPr>
                <w:rFonts w:hint="default" w:ascii="Times New Roman" w:hAnsi="Times New Roman" w:cs="Times New Roman"/>
                <w:color w:val="auto"/>
                <w:highlight w:val="none"/>
                <w:lang w:val="en-US" w:eastAsia="zh-CN"/>
              </w:rPr>
              <w:t>2</w:t>
            </w:r>
            <w:r>
              <w:rPr>
                <w:rFonts w:hint="default" w:ascii="Times New Roman" w:hAnsi="Times New Roman" w:cs="Times New Roman"/>
                <w:color w:val="auto"/>
                <w:highlight w:val="none"/>
              </w:rPr>
              <w:t>-1 建设项目环境影响评价分类管理目录</w:t>
            </w:r>
          </w:p>
          <w:tbl>
            <w:tblPr>
              <w:tblStyle w:val="33"/>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94"/>
              <w:gridCol w:w="880"/>
              <w:gridCol w:w="1969"/>
              <w:gridCol w:w="3448"/>
              <w:gridCol w:w="984"/>
            </w:tblGrid>
            <w:tr w14:paraId="1F220A3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5" w:type="pct"/>
                  <w:tcBorders>
                    <w:tl2br w:val="nil"/>
                    <w:tr2bl w:val="nil"/>
                  </w:tcBorders>
                  <w:noWrap w:val="0"/>
                  <w:vAlign w:val="center"/>
                </w:tcPr>
                <w:p w14:paraId="67D2ADA4">
                  <w:pPr>
                    <w:pStyle w:val="44"/>
                    <w:bidi w:val="0"/>
                    <w:rPr>
                      <w:rFonts w:hint="default"/>
                      <w:b/>
                      <w:bCs/>
                      <w:color w:val="auto"/>
                    </w:rPr>
                  </w:pPr>
                  <w:r>
                    <w:rPr>
                      <w:rFonts w:hint="default"/>
                      <w:b/>
                      <w:bCs/>
                      <w:color w:val="auto"/>
                    </w:rPr>
                    <w:t>项目类别</w:t>
                  </w:r>
                </w:p>
              </w:tc>
              <w:tc>
                <w:tcPr>
                  <w:tcW w:w="551" w:type="pct"/>
                  <w:tcBorders>
                    <w:tl2br w:val="nil"/>
                    <w:tr2bl w:val="nil"/>
                  </w:tcBorders>
                  <w:noWrap w:val="0"/>
                  <w:vAlign w:val="center"/>
                </w:tcPr>
                <w:p w14:paraId="6191EB25">
                  <w:pPr>
                    <w:pStyle w:val="44"/>
                    <w:bidi w:val="0"/>
                    <w:rPr>
                      <w:rFonts w:hint="default"/>
                      <w:b/>
                      <w:bCs/>
                      <w:color w:val="auto"/>
                    </w:rPr>
                  </w:pPr>
                  <w:r>
                    <w:rPr>
                      <w:rFonts w:hint="default"/>
                      <w:b/>
                      <w:bCs/>
                      <w:color w:val="auto"/>
                    </w:rPr>
                    <w:t>环评</w:t>
                  </w:r>
                </w:p>
                <w:p w14:paraId="3693779A">
                  <w:pPr>
                    <w:pStyle w:val="44"/>
                    <w:bidi w:val="0"/>
                    <w:rPr>
                      <w:rFonts w:hint="default"/>
                      <w:b/>
                      <w:bCs/>
                      <w:color w:val="auto"/>
                    </w:rPr>
                  </w:pPr>
                  <w:r>
                    <w:rPr>
                      <w:rFonts w:hint="default"/>
                      <w:b/>
                      <w:bCs/>
                      <w:color w:val="auto"/>
                    </w:rPr>
                    <w:t>类别</w:t>
                  </w:r>
                </w:p>
              </w:tc>
              <w:tc>
                <w:tcPr>
                  <w:tcW w:w="1234" w:type="pct"/>
                  <w:tcBorders>
                    <w:tl2br w:val="nil"/>
                    <w:tr2bl w:val="nil"/>
                  </w:tcBorders>
                  <w:noWrap w:val="0"/>
                  <w:vAlign w:val="center"/>
                </w:tcPr>
                <w:p w14:paraId="1501C92B">
                  <w:pPr>
                    <w:pStyle w:val="44"/>
                    <w:bidi w:val="0"/>
                    <w:rPr>
                      <w:rFonts w:hint="default"/>
                      <w:b/>
                      <w:bCs/>
                      <w:color w:val="auto"/>
                    </w:rPr>
                  </w:pPr>
                  <w:r>
                    <w:rPr>
                      <w:rFonts w:hint="default"/>
                      <w:b/>
                      <w:bCs/>
                      <w:color w:val="auto"/>
                    </w:rPr>
                    <w:t>报告书</w:t>
                  </w:r>
                </w:p>
              </w:tc>
              <w:tc>
                <w:tcPr>
                  <w:tcW w:w="2161" w:type="pct"/>
                  <w:tcBorders>
                    <w:tl2br w:val="nil"/>
                    <w:tr2bl w:val="nil"/>
                  </w:tcBorders>
                  <w:noWrap w:val="0"/>
                  <w:vAlign w:val="center"/>
                </w:tcPr>
                <w:p w14:paraId="0ED1084A">
                  <w:pPr>
                    <w:pStyle w:val="44"/>
                    <w:bidi w:val="0"/>
                    <w:rPr>
                      <w:rFonts w:hint="default"/>
                      <w:b/>
                      <w:bCs/>
                      <w:color w:val="auto"/>
                    </w:rPr>
                  </w:pPr>
                  <w:r>
                    <w:rPr>
                      <w:rFonts w:hint="default"/>
                      <w:b/>
                      <w:bCs/>
                      <w:color w:val="auto"/>
                    </w:rPr>
                    <w:t>报告表</w:t>
                  </w:r>
                </w:p>
              </w:tc>
              <w:tc>
                <w:tcPr>
                  <w:tcW w:w="616" w:type="pct"/>
                  <w:tcBorders>
                    <w:tl2br w:val="nil"/>
                    <w:tr2bl w:val="nil"/>
                  </w:tcBorders>
                  <w:noWrap w:val="0"/>
                  <w:vAlign w:val="center"/>
                </w:tcPr>
                <w:p w14:paraId="04F6ADC6">
                  <w:pPr>
                    <w:pStyle w:val="44"/>
                    <w:bidi w:val="0"/>
                    <w:rPr>
                      <w:rFonts w:hint="default"/>
                      <w:b/>
                      <w:bCs/>
                      <w:color w:val="auto"/>
                    </w:rPr>
                  </w:pPr>
                  <w:r>
                    <w:rPr>
                      <w:rFonts w:hint="default"/>
                      <w:b/>
                      <w:bCs/>
                      <w:color w:val="auto"/>
                    </w:rPr>
                    <w:t>登记表</w:t>
                  </w:r>
                </w:p>
              </w:tc>
            </w:tr>
            <w:tr w14:paraId="4156399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000" w:type="pct"/>
                  <w:gridSpan w:val="5"/>
                  <w:tcBorders>
                    <w:tl2br w:val="nil"/>
                    <w:tr2bl w:val="nil"/>
                  </w:tcBorders>
                  <w:noWrap w:val="0"/>
                  <w:vAlign w:val="center"/>
                </w:tcPr>
                <w:p w14:paraId="3D6A12B6">
                  <w:pPr>
                    <w:pStyle w:val="44"/>
                    <w:bidi w:val="0"/>
                    <w:rPr>
                      <w:rFonts w:hint="default"/>
                      <w:color w:val="auto"/>
                      <w:lang w:val="en-US" w:eastAsia="zh-CN"/>
                    </w:rPr>
                  </w:pPr>
                  <w:r>
                    <w:rPr>
                      <w:rFonts w:hint="default"/>
                      <w:color w:val="auto"/>
                      <w:lang w:val="en-US" w:eastAsia="zh-CN"/>
                    </w:rPr>
                    <w:t>二十三、化学原料和化学制品制造业</w:t>
                  </w:r>
                  <w:r>
                    <w:rPr>
                      <w:rFonts w:hint="eastAsia"/>
                      <w:color w:val="auto"/>
                      <w:lang w:val="en-US" w:eastAsia="zh-CN"/>
                    </w:rPr>
                    <w:t>26</w:t>
                  </w:r>
                </w:p>
              </w:tc>
            </w:tr>
            <w:tr w14:paraId="5D1CFBD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6" w:type="pct"/>
                  <w:gridSpan w:val="2"/>
                  <w:tcBorders>
                    <w:tl2br w:val="nil"/>
                    <w:tr2bl w:val="nil"/>
                  </w:tcBorders>
                  <w:shd w:val="clear" w:color="auto" w:fill="auto"/>
                  <w:noWrap w:val="0"/>
                  <w:vAlign w:val="center"/>
                </w:tcPr>
                <w:p w14:paraId="74CF203B">
                  <w:pPr>
                    <w:pStyle w:val="44"/>
                    <w:bidi w:val="0"/>
                    <w:rPr>
                      <w:rFonts w:hint="default"/>
                      <w:color w:val="auto"/>
                      <w:lang w:val="en-US" w:eastAsia="zh-CN"/>
                    </w:rPr>
                  </w:pPr>
                  <w:r>
                    <w:rPr>
                      <w:rFonts w:hint="default"/>
                      <w:color w:val="auto"/>
                      <w:lang w:val="en-US" w:eastAsia="zh-CN"/>
                    </w:rPr>
                    <w:t>涂料、油墨、颜料及类似产品制造264</w:t>
                  </w:r>
                </w:p>
              </w:tc>
              <w:tc>
                <w:tcPr>
                  <w:tcW w:w="1234" w:type="pct"/>
                  <w:tcBorders>
                    <w:tl2br w:val="nil"/>
                    <w:tr2bl w:val="nil"/>
                  </w:tcBorders>
                  <w:shd w:val="clear" w:color="auto" w:fill="auto"/>
                  <w:noWrap w:val="0"/>
                  <w:vAlign w:val="center"/>
                </w:tcPr>
                <w:p w14:paraId="7F14168F">
                  <w:pPr>
                    <w:pStyle w:val="44"/>
                    <w:bidi w:val="0"/>
                    <w:rPr>
                      <w:rFonts w:hint="eastAsia"/>
                      <w:color w:val="auto"/>
                      <w:lang w:val="en-US" w:eastAsia="zh-CN"/>
                    </w:rPr>
                  </w:pPr>
                  <w:r>
                    <w:rPr>
                      <w:rFonts w:hint="eastAsia"/>
                      <w:color w:val="auto"/>
                      <w:lang w:val="en-US" w:eastAsia="zh-CN"/>
                    </w:rPr>
                    <w:t>全部（含研发中试；不含单纯物理分离、物理提纯、混合、分装的）</w:t>
                  </w:r>
                </w:p>
              </w:tc>
              <w:tc>
                <w:tcPr>
                  <w:tcW w:w="2161" w:type="pct"/>
                  <w:tcBorders>
                    <w:tl2br w:val="nil"/>
                    <w:tr2bl w:val="nil"/>
                  </w:tcBorders>
                  <w:shd w:val="clear" w:color="auto" w:fill="EEECE1"/>
                  <w:noWrap w:val="0"/>
                  <w:vAlign w:val="center"/>
                </w:tcPr>
                <w:p w14:paraId="40242310">
                  <w:pPr>
                    <w:pStyle w:val="44"/>
                    <w:bidi w:val="0"/>
                    <w:rPr>
                      <w:rFonts w:hint="default"/>
                      <w:color w:val="auto"/>
                    </w:rPr>
                  </w:pPr>
                  <w:r>
                    <w:rPr>
                      <w:rFonts w:hint="default"/>
                      <w:b/>
                      <w:bCs/>
                      <w:color w:val="auto"/>
                    </w:rPr>
                    <w:t>单纯物理分离、物理提纯、混合、分装的（不产生废水或挥发性有机物的除外）</w:t>
                  </w:r>
                </w:p>
              </w:tc>
              <w:tc>
                <w:tcPr>
                  <w:tcW w:w="616" w:type="pct"/>
                  <w:tcBorders>
                    <w:tl2br w:val="nil"/>
                    <w:tr2bl w:val="nil"/>
                  </w:tcBorders>
                  <w:noWrap w:val="0"/>
                  <w:vAlign w:val="center"/>
                </w:tcPr>
                <w:p w14:paraId="67B099D2">
                  <w:pPr>
                    <w:pStyle w:val="44"/>
                    <w:bidi w:val="0"/>
                    <w:rPr>
                      <w:rFonts w:hint="eastAsia"/>
                      <w:color w:val="auto"/>
                      <w:lang w:val="en-US" w:eastAsia="zh-CN"/>
                    </w:rPr>
                  </w:pPr>
                  <w:r>
                    <w:rPr>
                      <w:rFonts w:hint="eastAsia"/>
                      <w:color w:val="auto"/>
                      <w:lang w:val="en-US" w:eastAsia="zh-CN"/>
                    </w:rPr>
                    <w:t>/</w:t>
                  </w:r>
                </w:p>
              </w:tc>
            </w:tr>
          </w:tbl>
          <w:p w14:paraId="50EEFDA2">
            <w:pPr>
              <w:pStyle w:val="4"/>
              <w:numPr>
                <w:ilvl w:val="0"/>
                <w:numId w:val="0"/>
              </w:numPr>
              <w:bidi w:val="0"/>
              <w:ind w:leftChars="0" w:firstLine="48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二、项目组成</w:t>
            </w:r>
          </w:p>
          <w:p w14:paraId="606205FD">
            <w:pPr>
              <w:bidi w:val="0"/>
              <w:ind w:firstLine="48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项目主要建设内容见下表。</w:t>
            </w:r>
          </w:p>
          <w:p w14:paraId="0ECFD451">
            <w:pPr>
              <w:pStyle w:val="47"/>
              <w:spacing w:line="240" w:lineRule="auto"/>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表2-2 项目组成及工程内容一览表</w:t>
            </w:r>
          </w:p>
          <w:tbl>
            <w:tblPr>
              <w:tblStyle w:val="33"/>
              <w:tblW w:w="4998"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089"/>
              <w:gridCol w:w="1446"/>
              <w:gridCol w:w="4360"/>
              <w:gridCol w:w="1080"/>
            </w:tblGrid>
            <w:tr w14:paraId="02C2899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82" w:type="pct"/>
                  <w:tcBorders>
                    <w:tl2br w:val="nil"/>
                    <w:tr2bl w:val="nil"/>
                  </w:tcBorders>
                  <w:noWrap w:val="0"/>
                  <w:vAlign w:val="center"/>
                </w:tcPr>
                <w:p w14:paraId="1A799C60">
                  <w:pPr>
                    <w:pStyle w:val="44"/>
                    <w:bidi w:val="0"/>
                    <w:rPr>
                      <w:rFonts w:hint="default"/>
                      <w:b/>
                      <w:bCs/>
                      <w:color w:val="auto"/>
                    </w:rPr>
                  </w:pPr>
                  <w:r>
                    <w:rPr>
                      <w:rFonts w:hint="default"/>
                      <w:b/>
                      <w:bCs/>
                      <w:color w:val="auto"/>
                    </w:rPr>
                    <w:t>工程类别</w:t>
                  </w:r>
                </w:p>
              </w:tc>
              <w:tc>
                <w:tcPr>
                  <w:tcW w:w="906" w:type="pct"/>
                  <w:tcBorders>
                    <w:tl2br w:val="nil"/>
                    <w:tr2bl w:val="nil"/>
                  </w:tcBorders>
                  <w:noWrap w:val="0"/>
                  <w:vAlign w:val="center"/>
                </w:tcPr>
                <w:p w14:paraId="312A65DA">
                  <w:pPr>
                    <w:pStyle w:val="44"/>
                    <w:bidi w:val="0"/>
                    <w:rPr>
                      <w:rFonts w:hint="default"/>
                      <w:b/>
                      <w:bCs/>
                      <w:color w:val="auto"/>
                    </w:rPr>
                  </w:pPr>
                  <w:r>
                    <w:rPr>
                      <w:rFonts w:hint="default"/>
                      <w:b/>
                      <w:bCs/>
                      <w:color w:val="auto"/>
                    </w:rPr>
                    <w:t>工程名称</w:t>
                  </w:r>
                </w:p>
              </w:tc>
              <w:tc>
                <w:tcPr>
                  <w:tcW w:w="2733" w:type="pct"/>
                  <w:tcBorders>
                    <w:tl2br w:val="nil"/>
                    <w:tr2bl w:val="nil"/>
                  </w:tcBorders>
                  <w:noWrap w:val="0"/>
                  <w:vAlign w:val="center"/>
                </w:tcPr>
                <w:p w14:paraId="67159475">
                  <w:pPr>
                    <w:pStyle w:val="44"/>
                    <w:bidi w:val="0"/>
                    <w:rPr>
                      <w:rFonts w:hint="default"/>
                      <w:b/>
                      <w:bCs/>
                      <w:color w:val="auto"/>
                    </w:rPr>
                  </w:pPr>
                  <w:r>
                    <w:rPr>
                      <w:rFonts w:hint="default"/>
                      <w:b/>
                      <w:bCs/>
                      <w:color w:val="auto"/>
                    </w:rPr>
                    <w:t>工程内容</w:t>
                  </w:r>
                </w:p>
              </w:tc>
              <w:tc>
                <w:tcPr>
                  <w:tcW w:w="677" w:type="pct"/>
                  <w:tcBorders>
                    <w:tl2br w:val="nil"/>
                    <w:tr2bl w:val="nil"/>
                  </w:tcBorders>
                  <w:noWrap w:val="0"/>
                  <w:vAlign w:val="center"/>
                </w:tcPr>
                <w:p w14:paraId="1577BBB2">
                  <w:pPr>
                    <w:pStyle w:val="44"/>
                    <w:bidi w:val="0"/>
                    <w:rPr>
                      <w:rFonts w:hint="default"/>
                      <w:b/>
                      <w:bCs/>
                      <w:color w:val="auto"/>
                    </w:rPr>
                  </w:pPr>
                  <w:r>
                    <w:rPr>
                      <w:rFonts w:hint="default"/>
                      <w:b/>
                      <w:bCs/>
                      <w:color w:val="auto"/>
                    </w:rPr>
                    <w:t>备注</w:t>
                  </w:r>
                </w:p>
              </w:tc>
            </w:tr>
            <w:tr w14:paraId="1B92A0B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0" w:hRule="atLeast"/>
                <w:jc w:val="center"/>
              </w:trPr>
              <w:tc>
                <w:tcPr>
                  <w:tcW w:w="682" w:type="pct"/>
                  <w:tcBorders>
                    <w:tl2br w:val="nil"/>
                    <w:tr2bl w:val="nil"/>
                  </w:tcBorders>
                  <w:noWrap w:val="0"/>
                  <w:vAlign w:val="center"/>
                </w:tcPr>
                <w:p w14:paraId="4C4A2ECA">
                  <w:pPr>
                    <w:pStyle w:val="44"/>
                    <w:bidi w:val="0"/>
                    <w:rPr>
                      <w:rFonts w:hint="default"/>
                      <w:color w:val="auto"/>
                      <w:lang w:val="en-US" w:eastAsia="zh-CN"/>
                    </w:rPr>
                  </w:pPr>
                  <w:r>
                    <w:rPr>
                      <w:rFonts w:hint="default"/>
                      <w:color w:val="auto"/>
                    </w:rPr>
                    <w:t>主体工程</w:t>
                  </w:r>
                </w:p>
              </w:tc>
              <w:tc>
                <w:tcPr>
                  <w:tcW w:w="906" w:type="pct"/>
                  <w:tcBorders>
                    <w:tl2br w:val="nil"/>
                    <w:tr2bl w:val="nil"/>
                  </w:tcBorders>
                  <w:noWrap w:val="0"/>
                  <w:vAlign w:val="center"/>
                </w:tcPr>
                <w:p w14:paraId="75D60DFE">
                  <w:pPr>
                    <w:pStyle w:val="44"/>
                    <w:bidi w:val="0"/>
                    <w:rPr>
                      <w:rFonts w:hint="default"/>
                      <w:color w:val="auto"/>
                      <w:lang w:val="en-US" w:eastAsia="zh-CN"/>
                    </w:rPr>
                  </w:pPr>
                  <w:r>
                    <w:rPr>
                      <w:rFonts w:hint="default"/>
                      <w:color w:val="auto"/>
                      <w:lang w:val="en-US" w:eastAsia="zh-CN"/>
                    </w:rPr>
                    <w:t>生产车间</w:t>
                  </w:r>
                </w:p>
              </w:tc>
              <w:tc>
                <w:tcPr>
                  <w:tcW w:w="2733" w:type="pct"/>
                  <w:tcBorders>
                    <w:tl2br w:val="nil"/>
                    <w:tr2bl w:val="nil"/>
                  </w:tcBorders>
                  <w:noWrap w:val="0"/>
                  <w:vAlign w:val="center"/>
                </w:tcPr>
                <w:p w14:paraId="605F76B5">
                  <w:pPr>
                    <w:pStyle w:val="44"/>
                    <w:bidi w:val="0"/>
                    <w:rPr>
                      <w:rFonts w:hint="default"/>
                      <w:color w:val="auto"/>
                      <w:lang w:val="en-US"/>
                    </w:rPr>
                  </w:pPr>
                  <w:r>
                    <w:rPr>
                      <w:rFonts w:hint="default"/>
                      <w:color w:val="auto"/>
                      <w:lang w:val="en-US" w:eastAsia="zh-CN"/>
                    </w:rPr>
                    <w:t>建筑面积</w:t>
                  </w:r>
                  <w:r>
                    <w:rPr>
                      <w:rFonts w:hint="eastAsia"/>
                      <w:color w:val="auto"/>
                      <w:lang w:val="en-US" w:eastAsia="zh-CN"/>
                    </w:rPr>
                    <w:t>3600</w:t>
                  </w:r>
                  <w:r>
                    <w:rPr>
                      <w:rFonts w:hint="default"/>
                      <w:color w:val="auto"/>
                      <w:lang w:val="en-US" w:eastAsia="zh-CN"/>
                    </w:rPr>
                    <w:t>m</w:t>
                  </w:r>
                  <w:r>
                    <w:rPr>
                      <w:rFonts w:hint="default"/>
                      <w:color w:val="auto"/>
                      <w:vertAlign w:val="superscript"/>
                      <w:lang w:val="en-US" w:eastAsia="zh-CN"/>
                    </w:rPr>
                    <w:t>2</w:t>
                  </w:r>
                  <w:r>
                    <w:rPr>
                      <w:rFonts w:hint="eastAsia"/>
                      <w:color w:val="auto"/>
                      <w:lang w:val="en-US" w:eastAsia="zh-CN"/>
                    </w:rPr>
                    <w:t>，由东向西依次布置粉状物料投料区、混合搅拌区、包装区、原料区、成品区，办公区，形成年产密封材料20000t生产线。</w:t>
                  </w:r>
                </w:p>
              </w:tc>
              <w:tc>
                <w:tcPr>
                  <w:tcW w:w="677" w:type="pct"/>
                  <w:tcBorders>
                    <w:tl2br w:val="nil"/>
                    <w:tr2bl w:val="nil"/>
                  </w:tcBorders>
                  <w:noWrap w:val="0"/>
                  <w:vAlign w:val="center"/>
                </w:tcPr>
                <w:p w14:paraId="379AFAAA">
                  <w:pPr>
                    <w:pStyle w:val="44"/>
                    <w:bidi w:val="0"/>
                    <w:rPr>
                      <w:rFonts w:hint="default"/>
                      <w:color w:val="auto"/>
                      <w:lang w:val="en-US" w:eastAsia="zh-CN"/>
                    </w:rPr>
                  </w:pPr>
                  <w:r>
                    <w:rPr>
                      <w:rFonts w:hint="eastAsia"/>
                      <w:color w:val="auto"/>
                      <w:lang w:val="en-US" w:eastAsia="zh-CN"/>
                    </w:rPr>
                    <w:t>租赁现有车间</w:t>
                  </w:r>
                </w:p>
              </w:tc>
            </w:tr>
            <w:tr w14:paraId="0D79B58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82" w:type="pct"/>
                  <w:vMerge w:val="restart"/>
                  <w:tcBorders>
                    <w:tl2br w:val="nil"/>
                    <w:tr2bl w:val="nil"/>
                  </w:tcBorders>
                  <w:noWrap w:val="0"/>
                  <w:vAlign w:val="center"/>
                </w:tcPr>
                <w:p w14:paraId="4B526C0E">
                  <w:pPr>
                    <w:pStyle w:val="44"/>
                    <w:bidi w:val="0"/>
                    <w:rPr>
                      <w:rFonts w:hint="default"/>
                      <w:color w:val="auto"/>
                    </w:rPr>
                  </w:pPr>
                  <w:r>
                    <w:rPr>
                      <w:rFonts w:hint="default"/>
                      <w:color w:val="auto"/>
                    </w:rPr>
                    <w:t>辅助工程</w:t>
                  </w:r>
                </w:p>
              </w:tc>
              <w:tc>
                <w:tcPr>
                  <w:tcW w:w="906" w:type="pct"/>
                  <w:tcBorders>
                    <w:tl2br w:val="nil"/>
                    <w:tr2bl w:val="nil"/>
                  </w:tcBorders>
                  <w:noWrap w:val="0"/>
                  <w:vAlign w:val="center"/>
                </w:tcPr>
                <w:p w14:paraId="34C63ADE">
                  <w:pPr>
                    <w:pStyle w:val="44"/>
                    <w:bidi w:val="0"/>
                    <w:rPr>
                      <w:rFonts w:hint="default"/>
                      <w:color w:val="auto"/>
                      <w:lang w:val="en-US"/>
                    </w:rPr>
                  </w:pPr>
                  <w:r>
                    <w:rPr>
                      <w:rFonts w:hint="eastAsia"/>
                      <w:color w:val="auto"/>
                      <w:lang w:val="en-US" w:eastAsia="zh-CN"/>
                    </w:rPr>
                    <w:t>办公区</w:t>
                  </w:r>
                </w:p>
              </w:tc>
              <w:tc>
                <w:tcPr>
                  <w:tcW w:w="2733" w:type="pct"/>
                  <w:tcBorders>
                    <w:tl2br w:val="nil"/>
                    <w:tr2bl w:val="nil"/>
                  </w:tcBorders>
                  <w:noWrap w:val="0"/>
                  <w:vAlign w:val="center"/>
                </w:tcPr>
                <w:p w14:paraId="3D4FC8D9">
                  <w:pPr>
                    <w:pStyle w:val="44"/>
                    <w:bidi w:val="0"/>
                    <w:rPr>
                      <w:rFonts w:hint="default"/>
                      <w:color w:val="auto"/>
                      <w:lang w:val="en-US" w:eastAsia="zh-CN"/>
                    </w:rPr>
                  </w:pPr>
                  <w:r>
                    <w:rPr>
                      <w:rFonts w:hint="eastAsia"/>
                      <w:color w:val="auto"/>
                      <w:lang w:val="en-US" w:eastAsia="zh-CN"/>
                    </w:rPr>
                    <w:t>位于生产车间内东侧，建筑面积约600</w:t>
                  </w:r>
                  <w:r>
                    <w:rPr>
                      <w:rFonts w:hint="default"/>
                      <w:color w:val="auto"/>
                      <w:lang w:val="en-US" w:eastAsia="zh-CN"/>
                    </w:rPr>
                    <w:t>m</w:t>
                  </w:r>
                  <w:r>
                    <w:rPr>
                      <w:rFonts w:hint="default"/>
                      <w:color w:val="auto"/>
                      <w:vertAlign w:val="superscript"/>
                      <w:lang w:val="en-US" w:eastAsia="zh-CN"/>
                    </w:rPr>
                    <w:t>2</w:t>
                  </w:r>
                  <w:r>
                    <w:rPr>
                      <w:rFonts w:hint="eastAsia"/>
                      <w:color w:val="auto"/>
                      <w:lang w:val="en-US" w:eastAsia="zh-CN"/>
                    </w:rPr>
                    <w:t>。</w:t>
                  </w:r>
                </w:p>
              </w:tc>
              <w:tc>
                <w:tcPr>
                  <w:tcW w:w="677" w:type="pct"/>
                  <w:vMerge w:val="restart"/>
                  <w:tcBorders>
                    <w:tl2br w:val="nil"/>
                    <w:tr2bl w:val="nil"/>
                  </w:tcBorders>
                  <w:noWrap w:val="0"/>
                  <w:vAlign w:val="center"/>
                </w:tcPr>
                <w:p w14:paraId="2F3E2654">
                  <w:pPr>
                    <w:pStyle w:val="44"/>
                    <w:bidi w:val="0"/>
                    <w:rPr>
                      <w:rFonts w:hint="default"/>
                      <w:color w:val="auto"/>
                    </w:rPr>
                  </w:pPr>
                  <w:r>
                    <w:rPr>
                      <w:rFonts w:hint="eastAsia"/>
                      <w:color w:val="auto"/>
                      <w:lang w:val="en-US" w:eastAsia="zh-CN"/>
                    </w:rPr>
                    <w:t>租赁现有车间</w:t>
                  </w:r>
                </w:p>
              </w:tc>
            </w:tr>
            <w:tr w14:paraId="529011F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82" w:type="pct"/>
                  <w:vMerge w:val="continue"/>
                  <w:tcBorders>
                    <w:tl2br w:val="nil"/>
                    <w:tr2bl w:val="nil"/>
                  </w:tcBorders>
                  <w:noWrap w:val="0"/>
                  <w:vAlign w:val="center"/>
                </w:tcPr>
                <w:p w14:paraId="32722533">
                  <w:pPr>
                    <w:pStyle w:val="44"/>
                    <w:bidi w:val="0"/>
                    <w:rPr>
                      <w:rFonts w:hint="default"/>
                      <w:color w:val="auto"/>
                    </w:rPr>
                  </w:pPr>
                </w:p>
              </w:tc>
              <w:tc>
                <w:tcPr>
                  <w:tcW w:w="906" w:type="pct"/>
                  <w:tcBorders>
                    <w:tl2br w:val="nil"/>
                    <w:tr2bl w:val="nil"/>
                  </w:tcBorders>
                  <w:noWrap w:val="0"/>
                  <w:vAlign w:val="center"/>
                </w:tcPr>
                <w:p w14:paraId="49F1BF16">
                  <w:pPr>
                    <w:pStyle w:val="44"/>
                    <w:bidi w:val="0"/>
                    <w:rPr>
                      <w:rFonts w:hint="default"/>
                      <w:color w:val="auto"/>
                      <w:lang w:val="en-US" w:eastAsia="zh-CN"/>
                    </w:rPr>
                  </w:pPr>
                  <w:r>
                    <w:rPr>
                      <w:rFonts w:hint="eastAsia"/>
                      <w:color w:val="auto"/>
                      <w:lang w:val="en-US" w:eastAsia="zh-CN"/>
                    </w:rPr>
                    <w:t>生产办公室</w:t>
                  </w:r>
                </w:p>
              </w:tc>
              <w:tc>
                <w:tcPr>
                  <w:tcW w:w="2733" w:type="pct"/>
                  <w:tcBorders>
                    <w:tl2br w:val="nil"/>
                    <w:tr2bl w:val="nil"/>
                  </w:tcBorders>
                  <w:noWrap w:val="0"/>
                  <w:vAlign w:val="center"/>
                </w:tcPr>
                <w:p w14:paraId="5C1A663B">
                  <w:pPr>
                    <w:pStyle w:val="44"/>
                    <w:bidi w:val="0"/>
                    <w:rPr>
                      <w:rFonts w:hint="eastAsia"/>
                      <w:color w:val="auto"/>
                      <w:lang w:val="en-US" w:eastAsia="zh-CN"/>
                    </w:rPr>
                  </w:pPr>
                  <w:r>
                    <w:rPr>
                      <w:rFonts w:hint="eastAsia"/>
                      <w:color w:val="auto"/>
                      <w:lang w:val="en-US" w:eastAsia="zh-CN"/>
                    </w:rPr>
                    <w:t>位于车间内南侧中部，建筑面积约50</w:t>
                  </w:r>
                  <w:r>
                    <w:rPr>
                      <w:rFonts w:hint="default"/>
                      <w:color w:val="auto"/>
                      <w:lang w:val="en-US" w:eastAsia="zh-CN"/>
                    </w:rPr>
                    <w:t>m</w:t>
                  </w:r>
                  <w:r>
                    <w:rPr>
                      <w:rFonts w:hint="default"/>
                      <w:color w:val="auto"/>
                      <w:vertAlign w:val="superscript"/>
                      <w:lang w:val="en-US" w:eastAsia="zh-CN"/>
                    </w:rPr>
                    <w:t>2</w:t>
                  </w:r>
                  <w:r>
                    <w:rPr>
                      <w:rFonts w:hint="eastAsia"/>
                      <w:color w:val="auto"/>
                      <w:lang w:val="en-US" w:eastAsia="zh-CN"/>
                    </w:rPr>
                    <w:t>。</w:t>
                  </w:r>
                </w:p>
              </w:tc>
              <w:tc>
                <w:tcPr>
                  <w:tcW w:w="677" w:type="pct"/>
                  <w:vMerge w:val="continue"/>
                  <w:tcBorders>
                    <w:tl2br w:val="nil"/>
                    <w:tr2bl w:val="nil"/>
                  </w:tcBorders>
                  <w:noWrap w:val="0"/>
                  <w:vAlign w:val="center"/>
                </w:tcPr>
                <w:p w14:paraId="20CD5892">
                  <w:pPr>
                    <w:pStyle w:val="44"/>
                    <w:bidi w:val="0"/>
                    <w:rPr>
                      <w:rFonts w:hint="eastAsia"/>
                      <w:color w:val="auto"/>
                      <w:lang w:val="en-US" w:eastAsia="zh-CN"/>
                    </w:rPr>
                  </w:pPr>
                </w:p>
              </w:tc>
            </w:tr>
            <w:tr w14:paraId="4CA2F96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82" w:type="pct"/>
                  <w:vMerge w:val="restart"/>
                  <w:tcBorders>
                    <w:tl2br w:val="nil"/>
                    <w:tr2bl w:val="nil"/>
                  </w:tcBorders>
                  <w:noWrap w:val="0"/>
                  <w:vAlign w:val="center"/>
                </w:tcPr>
                <w:p w14:paraId="7610E060">
                  <w:pPr>
                    <w:pStyle w:val="44"/>
                    <w:bidi w:val="0"/>
                    <w:rPr>
                      <w:rFonts w:hint="default"/>
                      <w:color w:val="auto"/>
                    </w:rPr>
                  </w:pPr>
                  <w:r>
                    <w:rPr>
                      <w:rFonts w:hint="default"/>
                      <w:color w:val="auto"/>
                    </w:rPr>
                    <w:t>储运工程</w:t>
                  </w:r>
                </w:p>
              </w:tc>
              <w:tc>
                <w:tcPr>
                  <w:tcW w:w="906" w:type="pct"/>
                  <w:tcBorders>
                    <w:tl2br w:val="nil"/>
                    <w:tr2bl w:val="nil"/>
                  </w:tcBorders>
                  <w:noWrap w:val="0"/>
                  <w:vAlign w:val="center"/>
                </w:tcPr>
                <w:p w14:paraId="5EC9E1F9">
                  <w:pPr>
                    <w:pStyle w:val="44"/>
                    <w:bidi w:val="0"/>
                    <w:rPr>
                      <w:rFonts w:hint="eastAsia" w:eastAsia="宋体"/>
                      <w:color w:val="auto"/>
                      <w:lang w:val="en-US" w:eastAsia="zh-CN"/>
                    </w:rPr>
                  </w:pPr>
                  <w:r>
                    <w:rPr>
                      <w:rFonts w:hint="eastAsia"/>
                      <w:color w:val="auto"/>
                    </w:rPr>
                    <w:t>成品</w:t>
                  </w:r>
                  <w:r>
                    <w:rPr>
                      <w:rFonts w:hint="eastAsia"/>
                      <w:color w:val="auto"/>
                      <w:lang w:val="en-US" w:eastAsia="zh-CN"/>
                    </w:rPr>
                    <w:t>区</w:t>
                  </w:r>
                </w:p>
              </w:tc>
              <w:tc>
                <w:tcPr>
                  <w:tcW w:w="2733" w:type="pct"/>
                  <w:tcBorders>
                    <w:tl2br w:val="nil"/>
                    <w:tr2bl w:val="nil"/>
                  </w:tcBorders>
                  <w:noWrap w:val="0"/>
                  <w:vAlign w:val="center"/>
                </w:tcPr>
                <w:p w14:paraId="55491005">
                  <w:pPr>
                    <w:pStyle w:val="44"/>
                    <w:bidi w:val="0"/>
                    <w:rPr>
                      <w:rFonts w:hint="default" w:eastAsia="宋体"/>
                      <w:color w:val="auto"/>
                      <w:lang w:val="en-US" w:eastAsia="zh-CN"/>
                    </w:rPr>
                  </w:pPr>
                  <w:r>
                    <w:rPr>
                      <w:rFonts w:hint="eastAsia"/>
                      <w:color w:val="auto"/>
                      <w:lang w:val="en-US" w:eastAsia="zh-CN"/>
                    </w:rPr>
                    <w:t>位于车间内东南侧，</w:t>
                  </w:r>
                  <w:r>
                    <w:rPr>
                      <w:rFonts w:hint="default"/>
                      <w:color w:val="auto"/>
                      <w:lang w:val="en-US" w:eastAsia="zh-CN"/>
                    </w:rPr>
                    <w:t>建筑面积</w:t>
                  </w:r>
                  <w:r>
                    <w:rPr>
                      <w:rFonts w:hint="eastAsia"/>
                      <w:color w:val="auto"/>
                      <w:lang w:val="en-US" w:eastAsia="zh-CN"/>
                    </w:rPr>
                    <w:t>约500</w:t>
                  </w:r>
                  <w:r>
                    <w:rPr>
                      <w:rFonts w:hint="default"/>
                      <w:color w:val="auto"/>
                      <w:lang w:val="en-US" w:eastAsia="zh-CN"/>
                    </w:rPr>
                    <w:t>m</w:t>
                  </w:r>
                  <w:r>
                    <w:rPr>
                      <w:rFonts w:hint="default"/>
                      <w:color w:val="auto"/>
                      <w:vertAlign w:val="superscript"/>
                      <w:lang w:val="en-US" w:eastAsia="zh-CN"/>
                    </w:rPr>
                    <w:t>2</w:t>
                  </w:r>
                  <w:r>
                    <w:rPr>
                      <w:rFonts w:hint="eastAsia"/>
                      <w:color w:val="auto"/>
                      <w:lang w:val="en-US" w:eastAsia="zh-CN"/>
                    </w:rPr>
                    <w:t>。</w:t>
                  </w:r>
                </w:p>
              </w:tc>
              <w:tc>
                <w:tcPr>
                  <w:tcW w:w="677" w:type="pct"/>
                  <w:vMerge w:val="continue"/>
                  <w:tcBorders>
                    <w:tl2br w:val="nil"/>
                    <w:tr2bl w:val="nil"/>
                  </w:tcBorders>
                  <w:noWrap w:val="0"/>
                  <w:vAlign w:val="center"/>
                </w:tcPr>
                <w:p w14:paraId="0C600C21">
                  <w:pPr>
                    <w:pStyle w:val="44"/>
                    <w:bidi w:val="0"/>
                    <w:rPr>
                      <w:rFonts w:hint="default"/>
                      <w:color w:val="auto"/>
                    </w:rPr>
                  </w:pPr>
                </w:p>
              </w:tc>
            </w:tr>
            <w:tr w14:paraId="5690EC7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82" w:type="pct"/>
                  <w:vMerge w:val="continue"/>
                  <w:tcBorders>
                    <w:tl2br w:val="nil"/>
                    <w:tr2bl w:val="nil"/>
                  </w:tcBorders>
                  <w:noWrap w:val="0"/>
                  <w:vAlign w:val="center"/>
                </w:tcPr>
                <w:p w14:paraId="561897D9">
                  <w:pPr>
                    <w:pStyle w:val="44"/>
                    <w:bidi w:val="0"/>
                    <w:rPr>
                      <w:rFonts w:hint="default"/>
                      <w:color w:val="auto"/>
                    </w:rPr>
                  </w:pPr>
                </w:p>
              </w:tc>
              <w:tc>
                <w:tcPr>
                  <w:tcW w:w="906" w:type="pct"/>
                  <w:tcBorders>
                    <w:tl2br w:val="nil"/>
                    <w:tr2bl w:val="nil"/>
                  </w:tcBorders>
                  <w:noWrap w:val="0"/>
                  <w:vAlign w:val="center"/>
                </w:tcPr>
                <w:p w14:paraId="4BE5E799">
                  <w:pPr>
                    <w:pStyle w:val="44"/>
                    <w:bidi w:val="0"/>
                    <w:rPr>
                      <w:rFonts w:hint="default" w:eastAsia="宋体"/>
                      <w:color w:val="auto"/>
                      <w:lang w:val="en-US" w:eastAsia="zh-CN"/>
                    </w:rPr>
                  </w:pPr>
                  <w:r>
                    <w:rPr>
                      <w:rFonts w:hint="eastAsia"/>
                      <w:color w:val="auto"/>
                      <w:lang w:val="en-US" w:eastAsia="zh-CN"/>
                    </w:rPr>
                    <w:t>液体原料区</w:t>
                  </w:r>
                </w:p>
              </w:tc>
              <w:tc>
                <w:tcPr>
                  <w:tcW w:w="2733" w:type="pct"/>
                  <w:tcBorders>
                    <w:tl2br w:val="nil"/>
                    <w:tr2bl w:val="nil"/>
                  </w:tcBorders>
                  <w:noWrap w:val="0"/>
                  <w:vAlign w:val="center"/>
                </w:tcPr>
                <w:p w14:paraId="49B9C9D2">
                  <w:pPr>
                    <w:pStyle w:val="44"/>
                    <w:bidi w:val="0"/>
                    <w:rPr>
                      <w:rFonts w:hint="default"/>
                      <w:color w:val="auto"/>
                      <w:lang w:val="en-US" w:eastAsia="zh-CN"/>
                    </w:rPr>
                  </w:pPr>
                  <w:r>
                    <w:rPr>
                      <w:rFonts w:hint="eastAsia"/>
                      <w:color w:val="auto"/>
                      <w:lang w:val="en-US" w:eastAsia="zh-CN"/>
                    </w:rPr>
                    <w:t>位于车间内东北侧，</w:t>
                  </w:r>
                  <w:r>
                    <w:rPr>
                      <w:rFonts w:hint="default"/>
                      <w:color w:val="auto"/>
                      <w:lang w:val="en-US" w:eastAsia="zh-CN"/>
                    </w:rPr>
                    <w:t>建筑面积</w:t>
                  </w:r>
                  <w:r>
                    <w:rPr>
                      <w:rFonts w:hint="eastAsia"/>
                      <w:color w:val="auto"/>
                      <w:lang w:val="en-US" w:eastAsia="zh-CN"/>
                    </w:rPr>
                    <w:t>约500</w:t>
                  </w:r>
                  <w:r>
                    <w:rPr>
                      <w:rFonts w:hint="default"/>
                      <w:color w:val="auto"/>
                      <w:lang w:val="en-US" w:eastAsia="zh-CN"/>
                    </w:rPr>
                    <w:t>m</w:t>
                  </w:r>
                  <w:r>
                    <w:rPr>
                      <w:rFonts w:hint="default"/>
                      <w:color w:val="auto"/>
                      <w:vertAlign w:val="superscript"/>
                      <w:lang w:val="en-US" w:eastAsia="zh-CN"/>
                    </w:rPr>
                    <w:t>2</w:t>
                  </w:r>
                  <w:r>
                    <w:rPr>
                      <w:rFonts w:hint="eastAsia"/>
                      <w:color w:val="auto"/>
                      <w:lang w:val="en-US" w:eastAsia="zh-CN"/>
                    </w:rPr>
                    <w:t>。</w:t>
                  </w:r>
                </w:p>
              </w:tc>
              <w:tc>
                <w:tcPr>
                  <w:tcW w:w="677" w:type="pct"/>
                  <w:vMerge w:val="continue"/>
                  <w:tcBorders>
                    <w:tl2br w:val="nil"/>
                    <w:tr2bl w:val="nil"/>
                  </w:tcBorders>
                  <w:noWrap w:val="0"/>
                  <w:vAlign w:val="center"/>
                </w:tcPr>
                <w:p w14:paraId="555CFEEA">
                  <w:pPr>
                    <w:pStyle w:val="44"/>
                    <w:bidi w:val="0"/>
                    <w:rPr>
                      <w:rFonts w:hint="default"/>
                      <w:color w:val="auto"/>
                    </w:rPr>
                  </w:pPr>
                </w:p>
              </w:tc>
            </w:tr>
            <w:tr w14:paraId="50FBD04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82" w:type="pct"/>
                  <w:vMerge w:val="continue"/>
                  <w:tcBorders>
                    <w:tl2br w:val="nil"/>
                    <w:tr2bl w:val="nil"/>
                  </w:tcBorders>
                  <w:noWrap w:val="0"/>
                  <w:vAlign w:val="center"/>
                </w:tcPr>
                <w:p w14:paraId="12FFD148">
                  <w:pPr>
                    <w:pStyle w:val="44"/>
                    <w:bidi w:val="0"/>
                    <w:rPr>
                      <w:rFonts w:hint="default"/>
                      <w:color w:val="auto"/>
                    </w:rPr>
                  </w:pPr>
                </w:p>
              </w:tc>
              <w:tc>
                <w:tcPr>
                  <w:tcW w:w="906" w:type="pct"/>
                  <w:tcBorders>
                    <w:tl2br w:val="nil"/>
                    <w:tr2bl w:val="nil"/>
                  </w:tcBorders>
                  <w:noWrap w:val="0"/>
                  <w:vAlign w:val="center"/>
                </w:tcPr>
                <w:p w14:paraId="42119A9A">
                  <w:pPr>
                    <w:pStyle w:val="44"/>
                    <w:bidi w:val="0"/>
                    <w:rPr>
                      <w:rFonts w:hint="default"/>
                      <w:color w:val="auto"/>
                      <w:lang w:val="en-US" w:eastAsia="zh-CN"/>
                    </w:rPr>
                  </w:pPr>
                  <w:r>
                    <w:rPr>
                      <w:rFonts w:hint="eastAsia"/>
                      <w:color w:val="auto"/>
                      <w:lang w:val="en-US" w:eastAsia="zh-CN"/>
                    </w:rPr>
                    <w:t>仓库</w:t>
                  </w:r>
                </w:p>
              </w:tc>
              <w:tc>
                <w:tcPr>
                  <w:tcW w:w="2733" w:type="pct"/>
                  <w:tcBorders>
                    <w:tl2br w:val="nil"/>
                    <w:tr2bl w:val="nil"/>
                  </w:tcBorders>
                  <w:noWrap w:val="0"/>
                  <w:vAlign w:val="center"/>
                </w:tcPr>
                <w:p w14:paraId="0B7B191E">
                  <w:pPr>
                    <w:pStyle w:val="44"/>
                    <w:bidi w:val="0"/>
                    <w:rPr>
                      <w:rFonts w:hint="default"/>
                      <w:color w:val="auto"/>
                      <w:lang w:val="en-US" w:eastAsia="zh-CN"/>
                    </w:rPr>
                  </w:pPr>
                  <w:r>
                    <w:rPr>
                      <w:rFonts w:hint="eastAsia"/>
                      <w:color w:val="auto"/>
                      <w:lang w:val="en-US" w:eastAsia="zh-CN"/>
                    </w:rPr>
                    <w:t>位于车间内南侧中部，</w:t>
                  </w:r>
                  <w:r>
                    <w:rPr>
                      <w:rFonts w:hint="default"/>
                      <w:color w:val="auto"/>
                      <w:lang w:val="en-US" w:eastAsia="zh-CN"/>
                    </w:rPr>
                    <w:t>建筑面积</w:t>
                  </w:r>
                  <w:r>
                    <w:rPr>
                      <w:rFonts w:hint="eastAsia"/>
                      <w:color w:val="auto"/>
                      <w:lang w:val="en-US" w:eastAsia="zh-CN"/>
                    </w:rPr>
                    <w:t>约150</w:t>
                  </w:r>
                  <w:r>
                    <w:rPr>
                      <w:rFonts w:hint="default"/>
                      <w:color w:val="auto"/>
                      <w:lang w:val="en-US" w:eastAsia="zh-CN"/>
                    </w:rPr>
                    <w:t>m</w:t>
                  </w:r>
                  <w:r>
                    <w:rPr>
                      <w:rFonts w:hint="default"/>
                      <w:color w:val="auto"/>
                      <w:vertAlign w:val="superscript"/>
                      <w:lang w:val="en-US" w:eastAsia="zh-CN"/>
                    </w:rPr>
                    <w:t>2</w:t>
                  </w:r>
                </w:p>
              </w:tc>
              <w:tc>
                <w:tcPr>
                  <w:tcW w:w="677" w:type="pct"/>
                  <w:tcBorders>
                    <w:tl2br w:val="nil"/>
                    <w:tr2bl w:val="nil"/>
                  </w:tcBorders>
                  <w:noWrap w:val="0"/>
                  <w:vAlign w:val="center"/>
                </w:tcPr>
                <w:p w14:paraId="65E9F89D">
                  <w:pPr>
                    <w:pStyle w:val="44"/>
                    <w:bidi w:val="0"/>
                    <w:rPr>
                      <w:rFonts w:hint="default"/>
                      <w:color w:val="auto"/>
                    </w:rPr>
                  </w:pPr>
                </w:p>
              </w:tc>
            </w:tr>
            <w:tr w14:paraId="39226A2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82" w:type="pct"/>
                  <w:vMerge w:val="restart"/>
                  <w:tcBorders>
                    <w:tl2br w:val="nil"/>
                    <w:tr2bl w:val="nil"/>
                  </w:tcBorders>
                  <w:noWrap w:val="0"/>
                  <w:vAlign w:val="center"/>
                </w:tcPr>
                <w:p w14:paraId="58F8FBD6">
                  <w:pPr>
                    <w:pStyle w:val="44"/>
                    <w:bidi w:val="0"/>
                    <w:rPr>
                      <w:rFonts w:hint="default"/>
                      <w:color w:val="auto"/>
                    </w:rPr>
                  </w:pPr>
                  <w:r>
                    <w:rPr>
                      <w:rFonts w:hint="default"/>
                      <w:color w:val="auto"/>
                    </w:rPr>
                    <w:t>公用工程</w:t>
                  </w:r>
                </w:p>
              </w:tc>
              <w:tc>
                <w:tcPr>
                  <w:tcW w:w="906" w:type="pct"/>
                  <w:tcBorders>
                    <w:tl2br w:val="nil"/>
                    <w:tr2bl w:val="nil"/>
                  </w:tcBorders>
                  <w:noWrap w:val="0"/>
                  <w:vAlign w:val="center"/>
                </w:tcPr>
                <w:p w14:paraId="53368540">
                  <w:pPr>
                    <w:pStyle w:val="44"/>
                    <w:bidi w:val="0"/>
                    <w:rPr>
                      <w:rFonts w:hint="default"/>
                      <w:color w:val="auto"/>
                    </w:rPr>
                  </w:pPr>
                  <w:r>
                    <w:rPr>
                      <w:rFonts w:hint="eastAsia"/>
                      <w:color w:val="auto"/>
                      <w:lang w:val="en-US" w:eastAsia="zh-CN"/>
                    </w:rPr>
                    <w:t>供</w:t>
                  </w:r>
                  <w:r>
                    <w:rPr>
                      <w:color w:val="auto"/>
                    </w:rPr>
                    <w:t>水</w:t>
                  </w:r>
                </w:p>
              </w:tc>
              <w:tc>
                <w:tcPr>
                  <w:tcW w:w="2733" w:type="pct"/>
                  <w:tcBorders>
                    <w:tl2br w:val="nil"/>
                    <w:tr2bl w:val="nil"/>
                  </w:tcBorders>
                  <w:noWrap w:val="0"/>
                  <w:vAlign w:val="center"/>
                </w:tcPr>
                <w:p w14:paraId="458ADA3D">
                  <w:pPr>
                    <w:pStyle w:val="44"/>
                    <w:bidi w:val="0"/>
                    <w:rPr>
                      <w:rFonts w:hint="default"/>
                      <w:color w:val="auto"/>
                    </w:rPr>
                  </w:pPr>
                  <w:r>
                    <w:rPr>
                      <w:rFonts w:hint="default" w:ascii="Times New Roman" w:hAnsi="Times New Roman" w:cs="Times New Roman"/>
                      <w:color w:val="auto"/>
                      <w:szCs w:val="24"/>
                      <w:highlight w:val="none"/>
                    </w:rPr>
                    <w:t>由</w:t>
                  </w:r>
                  <w:r>
                    <w:rPr>
                      <w:rFonts w:hint="default" w:ascii="Times New Roman" w:hAnsi="Times New Roman" w:cs="Times New Roman"/>
                      <w:color w:val="auto"/>
                      <w:kern w:val="0"/>
                      <w:szCs w:val="21"/>
                      <w:highlight w:val="none"/>
                    </w:rPr>
                    <w:t>泗水</w:t>
                  </w:r>
                  <w:r>
                    <w:rPr>
                      <w:rFonts w:hint="eastAsia" w:ascii="Times New Roman" w:hAnsi="Times New Roman" w:cs="Times New Roman"/>
                      <w:color w:val="auto"/>
                      <w:kern w:val="0"/>
                      <w:szCs w:val="21"/>
                      <w:highlight w:val="none"/>
                      <w:lang w:val="en-US" w:eastAsia="zh-CN"/>
                    </w:rPr>
                    <w:t>金庄镇</w:t>
                  </w:r>
                  <w:r>
                    <w:rPr>
                      <w:rFonts w:hint="default" w:ascii="Times New Roman" w:hAnsi="Times New Roman" w:cs="Times New Roman"/>
                      <w:color w:val="auto"/>
                      <w:szCs w:val="24"/>
                      <w:highlight w:val="none"/>
                    </w:rPr>
                    <w:t>供水管网供给</w:t>
                  </w:r>
                </w:p>
              </w:tc>
              <w:tc>
                <w:tcPr>
                  <w:tcW w:w="677" w:type="pct"/>
                  <w:tcBorders>
                    <w:tl2br w:val="nil"/>
                    <w:tr2bl w:val="nil"/>
                  </w:tcBorders>
                  <w:noWrap w:val="0"/>
                  <w:vAlign w:val="center"/>
                </w:tcPr>
                <w:p w14:paraId="18343682">
                  <w:pPr>
                    <w:pStyle w:val="44"/>
                    <w:bidi w:val="0"/>
                    <w:rPr>
                      <w:rFonts w:hint="eastAsia" w:eastAsia="宋体"/>
                      <w:color w:val="auto"/>
                      <w:lang w:val="en-US" w:eastAsia="zh-CN"/>
                    </w:rPr>
                  </w:pPr>
                  <w:r>
                    <w:rPr>
                      <w:rFonts w:hint="eastAsia"/>
                      <w:color w:val="auto"/>
                      <w:lang w:val="en-US" w:eastAsia="zh-CN"/>
                    </w:rPr>
                    <w:t>/</w:t>
                  </w:r>
                </w:p>
              </w:tc>
            </w:tr>
            <w:tr w14:paraId="5C970F3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82" w:type="pct"/>
                  <w:vMerge w:val="continue"/>
                  <w:tcBorders>
                    <w:tl2br w:val="nil"/>
                    <w:tr2bl w:val="nil"/>
                  </w:tcBorders>
                  <w:noWrap w:val="0"/>
                  <w:vAlign w:val="center"/>
                </w:tcPr>
                <w:p w14:paraId="00530520">
                  <w:pPr>
                    <w:pStyle w:val="44"/>
                    <w:bidi w:val="0"/>
                    <w:rPr>
                      <w:rFonts w:hint="default"/>
                      <w:color w:val="auto"/>
                    </w:rPr>
                  </w:pPr>
                </w:p>
              </w:tc>
              <w:tc>
                <w:tcPr>
                  <w:tcW w:w="906" w:type="pct"/>
                  <w:tcBorders>
                    <w:tl2br w:val="nil"/>
                    <w:tr2bl w:val="nil"/>
                  </w:tcBorders>
                  <w:noWrap w:val="0"/>
                  <w:vAlign w:val="center"/>
                </w:tcPr>
                <w:p w14:paraId="35357569">
                  <w:pPr>
                    <w:pStyle w:val="44"/>
                    <w:bidi w:val="0"/>
                    <w:rPr>
                      <w:rFonts w:hint="default"/>
                      <w:color w:val="auto"/>
                    </w:rPr>
                  </w:pPr>
                  <w:r>
                    <w:rPr>
                      <w:color w:val="auto"/>
                    </w:rPr>
                    <w:t xml:space="preserve">供电 </w:t>
                  </w:r>
                </w:p>
              </w:tc>
              <w:tc>
                <w:tcPr>
                  <w:tcW w:w="2733" w:type="pct"/>
                  <w:tcBorders>
                    <w:tl2br w:val="nil"/>
                    <w:tr2bl w:val="nil"/>
                  </w:tcBorders>
                  <w:noWrap w:val="0"/>
                  <w:vAlign w:val="center"/>
                </w:tcPr>
                <w:p w14:paraId="41AE6EB5">
                  <w:pPr>
                    <w:pStyle w:val="44"/>
                    <w:bidi w:val="0"/>
                    <w:rPr>
                      <w:rFonts w:hint="default" w:eastAsia="宋体"/>
                      <w:color w:val="auto"/>
                      <w:lang w:val="en-US" w:eastAsia="zh-CN"/>
                    </w:rPr>
                  </w:pPr>
                  <w:r>
                    <w:rPr>
                      <w:rFonts w:hint="default" w:ascii="Times New Roman" w:hAnsi="Times New Roman" w:cs="Times New Roman"/>
                      <w:color w:val="auto"/>
                      <w:szCs w:val="24"/>
                      <w:highlight w:val="none"/>
                    </w:rPr>
                    <w:t>由</w:t>
                  </w:r>
                  <w:r>
                    <w:rPr>
                      <w:rFonts w:hint="default" w:ascii="Times New Roman" w:hAnsi="Times New Roman" w:cs="Times New Roman"/>
                      <w:color w:val="auto"/>
                      <w:kern w:val="0"/>
                      <w:szCs w:val="21"/>
                      <w:highlight w:val="none"/>
                    </w:rPr>
                    <w:t>泗水</w:t>
                  </w:r>
                  <w:r>
                    <w:rPr>
                      <w:rFonts w:hint="eastAsia" w:ascii="Times New Roman" w:hAnsi="Times New Roman" w:cs="Times New Roman"/>
                      <w:color w:val="auto"/>
                      <w:kern w:val="0"/>
                      <w:szCs w:val="21"/>
                      <w:highlight w:val="none"/>
                      <w:lang w:val="en-US" w:eastAsia="zh-CN"/>
                    </w:rPr>
                    <w:t>金庄镇供电网络提供，厂区设备配电室</w:t>
                  </w:r>
                </w:p>
              </w:tc>
              <w:tc>
                <w:tcPr>
                  <w:tcW w:w="677" w:type="pct"/>
                  <w:tcBorders>
                    <w:tl2br w:val="nil"/>
                    <w:tr2bl w:val="nil"/>
                  </w:tcBorders>
                  <w:noWrap w:val="0"/>
                  <w:vAlign w:val="center"/>
                </w:tcPr>
                <w:p w14:paraId="50FF341E">
                  <w:pPr>
                    <w:pStyle w:val="44"/>
                    <w:bidi w:val="0"/>
                    <w:rPr>
                      <w:rFonts w:hint="default"/>
                      <w:color w:val="auto"/>
                    </w:rPr>
                  </w:pPr>
                  <w:r>
                    <w:rPr>
                      <w:rFonts w:hint="eastAsia"/>
                      <w:color w:val="auto"/>
                      <w:lang w:val="en-US" w:eastAsia="zh-CN"/>
                    </w:rPr>
                    <w:t>/</w:t>
                  </w:r>
                </w:p>
              </w:tc>
            </w:tr>
            <w:tr w14:paraId="4AC038C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82" w:type="pct"/>
                  <w:vMerge w:val="restart"/>
                  <w:tcBorders>
                    <w:tl2br w:val="nil"/>
                    <w:tr2bl w:val="nil"/>
                  </w:tcBorders>
                  <w:noWrap w:val="0"/>
                  <w:vAlign w:val="center"/>
                </w:tcPr>
                <w:p w14:paraId="18C11FE7">
                  <w:pPr>
                    <w:pStyle w:val="44"/>
                    <w:bidi w:val="0"/>
                    <w:rPr>
                      <w:rFonts w:hint="default"/>
                      <w:color w:val="auto"/>
                    </w:rPr>
                  </w:pPr>
                  <w:r>
                    <w:rPr>
                      <w:rFonts w:hint="default"/>
                      <w:color w:val="auto"/>
                    </w:rPr>
                    <w:t>环保工程</w:t>
                  </w:r>
                </w:p>
              </w:tc>
              <w:tc>
                <w:tcPr>
                  <w:tcW w:w="906" w:type="pct"/>
                  <w:vMerge w:val="restart"/>
                  <w:tcBorders>
                    <w:tl2br w:val="nil"/>
                    <w:tr2bl w:val="nil"/>
                  </w:tcBorders>
                  <w:noWrap w:val="0"/>
                  <w:vAlign w:val="center"/>
                </w:tcPr>
                <w:p w14:paraId="034FDEC8">
                  <w:pPr>
                    <w:pStyle w:val="44"/>
                    <w:bidi w:val="0"/>
                    <w:rPr>
                      <w:rFonts w:hint="default"/>
                      <w:color w:val="auto"/>
                    </w:rPr>
                  </w:pPr>
                  <w:r>
                    <w:rPr>
                      <w:rFonts w:hint="default"/>
                      <w:color w:val="auto"/>
                    </w:rPr>
                    <w:t>废气治理</w:t>
                  </w:r>
                </w:p>
              </w:tc>
              <w:tc>
                <w:tcPr>
                  <w:tcW w:w="2733" w:type="pct"/>
                  <w:tcBorders>
                    <w:tl2br w:val="nil"/>
                    <w:tr2bl w:val="nil"/>
                  </w:tcBorders>
                  <w:noWrap w:val="0"/>
                  <w:vAlign w:val="center"/>
                </w:tcPr>
                <w:p w14:paraId="3EBCB4EE">
                  <w:pPr>
                    <w:pStyle w:val="44"/>
                    <w:bidi w:val="0"/>
                    <w:jc w:val="both"/>
                    <w:rPr>
                      <w:rFonts w:hint="default"/>
                      <w:color w:val="auto"/>
                      <w:lang w:val="en-US" w:eastAsia="zh-CN"/>
                    </w:rPr>
                  </w:pPr>
                  <w:r>
                    <w:rPr>
                      <w:rFonts w:hint="eastAsia"/>
                      <w:color w:val="auto"/>
                      <w:lang w:val="en-US" w:eastAsia="zh-CN"/>
                    </w:rPr>
                    <w:t>有组织：计量投料粉尘经集气罩收集至袋式除尘器处理，通过15m高排气筒DA001排放；抽真空、混合搅拌、设备开盖、灌装等过程产生的有机废气经管道收集至“</w:t>
                  </w:r>
                  <w:r>
                    <w:rPr>
                      <w:snapToGrid w:val="0"/>
                      <w:color w:val="auto"/>
                      <w:szCs w:val="21"/>
                    </w:rPr>
                    <w:t>冷凝+二级活性炭吸附</w:t>
                  </w:r>
                  <w:r>
                    <w:rPr>
                      <w:rFonts w:hint="eastAsia"/>
                      <w:snapToGrid w:val="0"/>
                      <w:color w:val="auto"/>
                      <w:szCs w:val="21"/>
                      <w:lang w:val="en-US" w:eastAsia="zh-CN"/>
                    </w:rPr>
                    <w:t>装置</w:t>
                  </w:r>
                  <w:r>
                    <w:rPr>
                      <w:rFonts w:hint="eastAsia"/>
                      <w:color w:val="auto"/>
                      <w:lang w:val="en-US" w:eastAsia="zh-CN"/>
                    </w:rPr>
                    <w:t>”处理后，通过15m高排气筒DA002排放。</w:t>
                  </w:r>
                </w:p>
              </w:tc>
              <w:tc>
                <w:tcPr>
                  <w:tcW w:w="677" w:type="pct"/>
                  <w:tcBorders>
                    <w:tl2br w:val="nil"/>
                    <w:tr2bl w:val="nil"/>
                  </w:tcBorders>
                  <w:noWrap w:val="0"/>
                  <w:vAlign w:val="center"/>
                </w:tcPr>
                <w:p w14:paraId="631A512A">
                  <w:pPr>
                    <w:pStyle w:val="44"/>
                    <w:bidi w:val="0"/>
                    <w:rPr>
                      <w:rFonts w:hint="eastAsia"/>
                      <w:color w:val="auto"/>
                      <w:lang w:val="en-US" w:eastAsia="zh-CN"/>
                    </w:rPr>
                  </w:pPr>
                  <w:r>
                    <w:rPr>
                      <w:rFonts w:hint="eastAsia"/>
                      <w:color w:val="auto"/>
                      <w:lang w:val="en-US" w:eastAsia="zh-CN"/>
                    </w:rPr>
                    <w:t>新建</w:t>
                  </w:r>
                </w:p>
              </w:tc>
            </w:tr>
            <w:tr w14:paraId="1EEDD73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82" w:type="pct"/>
                  <w:vMerge w:val="continue"/>
                  <w:tcBorders>
                    <w:tl2br w:val="nil"/>
                    <w:tr2bl w:val="nil"/>
                  </w:tcBorders>
                  <w:noWrap w:val="0"/>
                  <w:vAlign w:val="center"/>
                </w:tcPr>
                <w:p w14:paraId="5B6F5989">
                  <w:pPr>
                    <w:pStyle w:val="44"/>
                    <w:bidi w:val="0"/>
                    <w:rPr>
                      <w:rFonts w:hint="default"/>
                      <w:color w:val="auto"/>
                    </w:rPr>
                  </w:pPr>
                </w:p>
              </w:tc>
              <w:tc>
                <w:tcPr>
                  <w:tcW w:w="906" w:type="pct"/>
                  <w:vMerge w:val="continue"/>
                  <w:tcBorders>
                    <w:tl2br w:val="nil"/>
                    <w:tr2bl w:val="nil"/>
                  </w:tcBorders>
                  <w:noWrap w:val="0"/>
                  <w:vAlign w:val="center"/>
                </w:tcPr>
                <w:p w14:paraId="41B8FEFE">
                  <w:pPr>
                    <w:pStyle w:val="44"/>
                    <w:bidi w:val="0"/>
                    <w:rPr>
                      <w:rFonts w:hint="default"/>
                      <w:color w:val="auto"/>
                    </w:rPr>
                  </w:pPr>
                </w:p>
              </w:tc>
              <w:tc>
                <w:tcPr>
                  <w:tcW w:w="2733" w:type="pct"/>
                  <w:tcBorders>
                    <w:tl2br w:val="nil"/>
                    <w:tr2bl w:val="nil"/>
                  </w:tcBorders>
                  <w:noWrap w:val="0"/>
                  <w:vAlign w:val="center"/>
                </w:tcPr>
                <w:p w14:paraId="0E285C44">
                  <w:pPr>
                    <w:pStyle w:val="44"/>
                    <w:bidi w:val="0"/>
                    <w:jc w:val="both"/>
                    <w:rPr>
                      <w:rFonts w:hint="default"/>
                      <w:color w:val="auto"/>
                      <w:lang w:val="en-US" w:eastAsia="zh-CN"/>
                    </w:rPr>
                  </w:pPr>
                  <w:r>
                    <w:rPr>
                      <w:rFonts w:hint="eastAsia"/>
                      <w:color w:val="auto"/>
                      <w:lang w:val="en-US" w:eastAsia="zh-CN"/>
                    </w:rPr>
                    <w:t>无组织：未收集的VOCs、颗粒物车间无组织排放。</w:t>
                  </w:r>
                </w:p>
              </w:tc>
              <w:tc>
                <w:tcPr>
                  <w:tcW w:w="677" w:type="pct"/>
                  <w:tcBorders>
                    <w:tl2br w:val="nil"/>
                    <w:tr2bl w:val="nil"/>
                  </w:tcBorders>
                  <w:noWrap w:val="0"/>
                  <w:vAlign w:val="center"/>
                </w:tcPr>
                <w:p w14:paraId="2FE8F46C">
                  <w:pPr>
                    <w:pStyle w:val="44"/>
                    <w:bidi w:val="0"/>
                    <w:rPr>
                      <w:rFonts w:hint="eastAsia"/>
                      <w:color w:val="auto"/>
                      <w:lang w:val="en-US" w:eastAsia="zh-CN"/>
                    </w:rPr>
                  </w:pPr>
                  <w:r>
                    <w:rPr>
                      <w:rFonts w:hint="eastAsia"/>
                      <w:color w:val="auto"/>
                      <w:lang w:val="en-US" w:eastAsia="zh-CN"/>
                    </w:rPr>
                    <w:t>新建</w:t>
                  </w:r>
                </w:p>
              </w:tc>
            </w:tr>
            <w:tr w14:paraId="6AD40FB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82" w:type="pct"/>
                  <w:vMerge w:val="continue"/>
                  <w:tcBorders>
                    <w:tl2br w:val="nil"/>
                    <w:tr2bl w:val="nil"/>
                  </w:tcBorders>
                  <w:noWrap w:val="0"/>
                  <w:vAlign w:val="center"/>
                </w:tcPr>
                <w:p w14:paraId="73116702">
                  <w:pPr>
                    <w:pStyle w:val="44"/>
                    <w:bidi w:val="0"/>
                    <w:rPr>
                      <w:rFonts w:hint="default"/>
                      <w:color w:val="auto"/>
                    </w:rPr>
                  </w:pPr>
                </w:p>
              </w:tc>
              <w:tc>
                <w:tcPr>
                  <w:tcW w:w="906" w:type="pct"/>
                  <w:tcBorders>
                    <w:tl2br w:val="nil"/>
                    <w:tr2bl w:val="nil"/>
                  </w:tcBorders>
                  <w:noWrap w:val="0"/>
                  <w:vAlign w:val="center"/>
                </w:tcPr>
                <w:p w14:paraId="02D40298">
                  <w:pPr>
                    <w:pStyle w:val="44"/>
                    <w:bidi w:val="0"/>
                    <w:rPr>
                      <w:rFonts w:hint="default"/>
                      <w:color w:val="auto"/>
                    </w:rPr>
                  </w:pPr>
                  <w:r>
                    <w:rPr>
                      <w:rFonts w:hint="default"/>
                      <w:color w:val="auto"/>
                    </w:rPr>
                    <w:t>废水治理</w:t>
                  </w:r>
                </w:p>
              </w:tc>
              <w:tc>
                <w:tcPr>
                  <w:tcW w:w="2733" w:type="pct"/>
                  <w:tcBorders>
                    <w:tl2br w:val="nil"/>
                    <w:tr2bl w:val="nil"/>
                  </w:tcBorders>
                  <w:noWrap w:val="0"/>
                  <w:vAlign w:val="center"/>
                </w:tcPr>
                <w:p w14:paraId="257160CB">
                  <w:pPr>
                    <w:pStyle w:val="44"/>
                    <w:bidi w:val="0"/>
                    <w:jc w:val="both"/>
                    <w:rPr>
                      <w:rFonts w:hint="default"/>
                      <w:color w:val="auto"/>
                      <w:lang w:val="en-US" w:eastAsia="zh-CN"/>
                    </w:rPr>
                  </w:pPr>
                  <w:r>
                    <w:rPr>
                      <w:rFonts w:hint="eastAsia"/>
                      <w:color w:val="auto"/>
                      <w:lang w:val="en-US" w:eastAsia="zh-CN"/>
                    </w:rPr>
                    <w:t>项目无废水排放：生活污水经化粪池暂存后委托环卫部门清运；</w:t>
                  </w:r>
                  <w:r>
                    <w:rPr>
                      <w:rFonts w:hint="eastAsia"/>
                      <w:color w:val="FF0000"/>
                      <w:lang w:val="en-US" w:eastAsia="zh-CN"/>
                    </w:rPr>
                    <w:t>设备冷却水、冷凝冷却水</w:t>
                  </w:r>
                  <w:r>
                    <w:rPr>
                      <w:rFonts w:hint="eastAsia"/>
                      <w:color w:val="auto"/>
                      <w:lang w:val="en-US" w:eastAsia="zh-CN"/>
                    </w:rPr>
                    <w:t>循环使用不外排。</w:t>
                  </w:r>
                </w:p>
              </w:tc>
              <w:tc>
                <w:tcPr>
                  <w:tcW w:w="677" w:type="pct"/>
                  <w:tcBorders>
                    <w:tl2br w:val="nil"/>
                    <w:tr2bl w:val="nil"/>
                  </w:tcBorders>
                  <w:noWrap w:val="0"/>
                  <w:vAlign w:val="center"/>
                </w:tcPr>
                <w:p w14:paraId="5BE7D7F2">
                  <w:pPr>
                    <w:pStyle w:val="44"/>
                    <w:bidi w:val="0"/>
                    <w:rPr>
                      <w:rFonts w:hint="default"/>
                      <w:color w:val="auto"/>
                      <w:lang w:val="en-US" w:eastAsia="zh-CN"/>
                    </w:rPr>
                  </w:pPr>
                  <w:r>
                    <w:rPr>
                      <w:rFonts w:hint="eastAsia"/>
                      <w:color w:val="auto"/>
                      <w:lang w:val="en-US" w:eastAsia="zh-CN"/>
                    </w:rPr>
                    <w:t>新建</w:t>
                  </w:r>
                </w:p>
              </w:tc>
            </w:tr>
            <w:tr w14:paraId="492FA29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35" w:hRule="atLeast"/>
                <w:jc w:val="center"/>
              </w:trPr>
              <w:tc>
                <w:tcPr>
                  <w:tcW w:w="682" w:type="pct"/>
                  <w:vMerge w:val="continue"/>
                  <w:tcBorders>
                    <w:tl2br w:val="nil"/>
                    <w:tr2bl w:val="nil"/>
                  </w:tcBorders>
                  <w:noWrap w:val="0"/>
                  <w:vAlign w:val="center"/>
                </w:tcPr>
                <w:p w14:paraId="1CC19A42">
                  <w:pPr>
                    <w:pStyle w:val="44"/>
                    <w:bidi w:val="0"/>
                    <w:rPr>
                      <w:rFonts w:hint="default"/>
                      <w:color w:val="auto"/>
                    </w:rPr>
                  </w:pPr>
                </w:p>
              </w:tc>
              <w:tc>
                <w:tcPr>
                  <w:tcW w:w="906" w:type="pct"/>
                  <w:tcBorders>
                    <w:tl2br w:val="nil"/>
                    <w:tr2bl w:val="nil"/>
                  </w:tcBorders>
                  <w:noWrap w:val="0"/>
                  <w:vAlign w:val="center"/>
                </w:tcPr>
                <w:p w14:paraId="4B36E1B3">
                  <w:pPr>
                    <w:pStyle w:val="44"/>
                    <w:bidi w:val="0"/>
                    <w:rPr>
                      <w:rFonts w:hint="default"/>
                      <w:color w:val="auto"/>
                    </w:rPr>
                  </w:pPr>
                  <w:r>
                    <w:rPr>
                      <w:rFonts w:hint="default"/>
                      <w:color w:val="auto"/>
                    </w:rPr>
                    <w:t>噪声治理</w:t>
                  </w:r>
                </w:p>
              </w:tc>
              <w:tc>
                <w:tcPr>
                  <w:tcW w:w="2733" w:type="pct"/>
                  <w:tcBorders>
                    <w:tl2br w:val="nil"/>
                    <w:tr2bl w:val="nil"/>
                  </w:tcBorders>
                  <w:noWrap w:val="0"/>
                  <w:vAlign w:val="center"/>
                </w:tcPr>
                <w:p w14:paraId="7326A104">
                  <w:pPr>
                    <w:pStyle w:val="44"/>
                    <w:bidi w:val="0"/>
                    <w:rPr>
                      <w:rFonts w:hint="default"/>
                      <w:color w:val="auto"/>
                    </w:rPr>
                  </w:pPr>
                  <w:r>
                    <w:rPr>
                      <w:rFonts w:hint="default"/>
                      <w:color w:val="auto"/>
                    </w:rPr>
                    <w:t>选取低噪声设备，采取车间隔声、减振等措施</w:t>
                  </w:r>
                </w:p>
              </w:tc>
              <w:tc>
                <w:tcPr>
                  <w:tcW w:w="677" w:type="pct"/>
                  <w:tcBorders>
                    <w:tl2br w:val="nil"/>
                    <w:tr2bl w:val="nil"/>
                  </w:tcBorders>
                  <w:noWrap w:val="0"/>
                  <w:vAlign w:val="center"/>
                </w:tcPr>
                <w:p w14:paraId="2F7BF258">
                  <w:pPr>
                    <w:pStyle w:val="44"/>
                    <w:bidi w:val="0"/>
                    <w:rPr>
                      <w:rFonts w:hint="default"/>
                      <w:color w:val="auto"/>
                      <w:lang w:val="en-US" w:eastAsia="zh-CN"/>
                    </w:rPr>
                  </w:pPr>
                  <w:r>
                    <w:rPr>
                      <w:rFonts w:hint="eastAsia"/>
                      <w:color w:val="auto"/>
                      <w:lang w:val="en-US" w:eastAsia="zh-CN"/>
                    </w:rPr>
                    <w:t>依托现有厂房隔声</w:t>
                  </w:r>
                </w:p>
              </w:tc>
            </w:tr>
            <w:tr w14:paraId="2B41951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82" w:type="pct"/>
                  <w:vMerge w:val="continue"/>
                  <w:tcBorders>
                    <w:tl2br w:val="nil"/>
                    <w:tr2bl w:val="nil"/>
                  </w:tcBorders>
                  <w:noWrap w:val="0"/>
                  <w:vAlign w:val="center"/>
                </w:tcPr>
                <w:p w14:paraId="56AC6E61">
                  <w:pPr>
                    <w:pStyle w:val="44"/>
                    <w:bidi w:val="0"/>
                    <w:rPr>
                      <w:rFonts w:hint="default"/>
                      <w:color w:val="auto"/>
                    </w:rPr>
                  </w:pPr>
                </w:p>
              </w:tc>
              <w:tc>
                <w:tcPr>
                  <w:tcW w:w="906" w:type="pct"/>
                  <w:tcBorders>
                    <w:tl2br w:val="nil"/>
                    <w:tr2bl w:val="nil"/>
                  </w:tcBorders>
                  <w:noWrap w:val="0"/>
                  <w:vAlign w:val="center"/>
                </w:tcPr>
                <w:p w14:paraId="35A4BA49">
                  <w:pPr>
                    <w:pStyle w:val="44"/>
                    <w:bidi w:val="0"/>
                    <w:rPr>
                      <w:rFonts w:hint="default"/>
                      <w:color w:val="auto"/>
                    </w:rPr>
                  </w:pPr>
                  <w:r>
                    <w:rPr>
                      <w:rFonts w:hint="default"/>
                      <w:color w:val="auto"/>
                    </w:rPr>
                    <w:t>固废治理</w:t>
                  </w:r>
                </w:p>
              </w:tc>
              <w:tc>
                <w:tcPr>
                  <w:tcW w:w="2733" w:type="pct"/>
                  <w:tcBorders>
                    <w:tl2br w:val="nil"/>
                    <w:tr2bl w:val="nil"/>
                  </w:tcBorders>
                  <w:noWrap w:val="0"/>
                  <w:vAlign w:val="center"/>
                </w:tcPr>
                <w:p w14:paraId="5C1C9F12">
                  <w:pPr>
                    <w:pStyle w:val="44"/>
                    <w:bidi w:val="0"/>
                    <w:jc w:val="both"/>
                    <w:rPr>
                      <w:rFonts w:hint="default"/>
                      <w:color w:val="auto"/>
                      <w:lang w:val="en-US" w:eastAsia="zh-CN"/>
                    </w:rPr>
                  </w:pPr>
                  <w:r>
                    <w:rPr>
                      <w:rFonts w:hint="eastAsia"/>
                      <w:color w:val="auto"/>
                      <w:lang w:val="en-US" w:eastAsia="zh-CN"/>
                    </w:rPr>
                    <w:t>一般固废：普通废包装、废布袋外售，除尘器收尘、车间沉降粉尘回用于生产。生活垃圾委托环卫部门清运。</w:t>
                  </w:r>
                </w:p>
                <w:p w14:paraId="4DDBD8FF">
                  <w:pPr>
                    <w:pStyle w:val="44"/>
                    <w:bidi w:val="0"/>
                    <w:jc w:val="both"/>
                    <w:rPr>
                      <w:rFonts w:hint="default"/>
                      <w:color w:val="auto"/>
                      <w:lang w:val="en-US" w:eastAsia="zh-CN"/>
                    </w:rPr>
                  </w:pPr>
                  <w:r>
                    <w:rPr>
                      <w:rFonts w:hint="eastAsia"/>
                      <w:color w:val="auto"/>
                      <w:lang w:val="en-US" w:eastAsia="zh-CN"/>
                    </w:rPr>
                    <w:t>危险废物：废包装桶、冷凝废液、废活性炭、废过滤棉、废机油及废机油桶委托有资质单位处置。项目在厂区南侧设置危废间1座，面积约50m</w:t>
                  </w:r>
                  <w:r>
                    <w:rPr>
                      <w:rFonts w:hint="eastAsia"/>
                      <w:color w:val="auto"/>
                      <w:vertAlign w:val="superscript"/>
                      <w:lang w:val="en-US" w:eastAsia="zh-CN"/>
                    </w:rPr>
                    <w:t>3</w:t>
                  </w:r>
                  <w:r>
                    <w:rPr>
                      <w:rFonts w:hint="eastAsia"/>
                      <w:color w:val="auto"/>
                      <w:lang w:val="en-US" w:eastAsia="zh-CN"/>
                    </w:rPr>
                    <w:t>。</w:t>
                  </w:r>
                </w:p>
              </w:tc>
              <w:tc>
                <w:tcPr>
                  <w:tcW w:w="677" w:type="pct"/>
                  <w:tcBorders>
                    <w:tl2br w:val="nil"/>
                    <w:tr2bl w:val="nil"/>
                  </w:tcBorders>
                  <w:noWrap w:val="0"/>
                  <w:vAlign w:val="center"/>
                </w:tcPr>
                <w:p w14:paraId="0FC7F29D">
                  <w:pPr>
                    <w:pStyle w:val="44"/>
                    <w:bidi w:val="0"/>
                    <w:rPr>
                      <w:rFonts w:hint="default"/>
                      <w:color w:val="auto"/>
                      <w:lang w:val="en-US" w:eastAsia="zh-CN"/>
                    </w:rPr>
                  </w:pPr>
                  <w:r>
                    <w:rPr>
                      <w:rFonts w:hint="eastAsia"/>
                      <w:color w:val="auto"/>
                      <w:lang w:val="en-US" w:eastAsia="zh-CN"/>
                    </w:rPr>
                    <w:t>新建</w:t>
                  </w:r>
                </w:p>
              </w:tc>
            </w:tr>
          </w:tbl>
          <w:p w14:paraId="01968163">
            <w:pPr>
              <w:pStyle w:val="4"/>
              <w:numPr>
                <w:ilvl w:val="0"/>
                <w:numId w:val="0"/>
              </w:numPr>
              <w:bidi w:val="0"/>
              <w:ind w:leftChars="0" w:firstLine="48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二、产品方案</w:t>
            </w:r>
          </w:p>
          <w:p w14:paraId="550C6C06">
            <w:pPr>
              <w:tabs>
                <w:tab w:val="left" w:pos="360"/>
              </w:tabs>
              <w:adjustRightInd w:val="0"/>
              <w:snapToGrid w:val="0"/>
              <w:ind w:firstLine="480" w:firstLineChars="200"/>
              <w:rPr>
                <w:rFonts w:hint="default" w:ascii="Times New Roman" w:hAnsi="Times New Roman" w:cs="Times New Roman"/>
                <w:color w:val="auto"/>
                <w:highlight w:val="none"/>
              </w:rPr>
            </w:pPr>
            <w:r>
              <w:rPr>
                <w:rFonts w:hint="default" w:ascii="Times New Roman" w:hAnsi="Times New Roman" w:eastAsia="宋体" w:cs="Times New Roman"/>
                <w:b w:val="0"/>
                <w:bCs w:val="0"/>
                <w:color w:val="auto"/>
                <w:sz w:val="24"/>
                <w:highlight w:val="none"/>
                <w:lang w:eastAsia="zh-CN"/>
              </w:rPr>
              <w:t>项目具体产品方案见下表</w:t>
            </w:r>
            <w:r>
              <w:rPr>
                <w:rFonts w:hint="default" w:ascii="Times New Roman" w:hAnsi="Times New Roman" w:cs="Times New Roman"/>
                <w:color w:val="auto"/>
                <w:highlight w:val="none"/>
              </w:rPr>
              <w:t>。</w:t>
            </w:r>
          </w:p>
          <w:p w14:paraId="6BD7183D">
            <w:pPr>
              <w:pStyle w:val="47"/>
              <w:bidi w:val="0"/>
              <w:spacing w:line="240" w:lineRule="auto"/>
              <w:rPr>
                <w:rFonts w:hint="default" w:ascii="Times New Roman" w:hAnsi="Times New Roman" w:cs="Times New Roman"/>
                <w:color w:val="auto"/>
                <w:szCs w:val="24"/>
                <w:highlight w:val="none"/>
              </w:rPr>
            </w:pPr>
            <w:r>
              <w:rPr>
                <w:rFonts w:hint="default" w:ascii="Times New Roman" w:hAnsi="Times New Roman" w:cs="Times New Roman"/>
                <w:color w:val="auto"/>
                <w:highlight w:val="none"/>
              </w:rPr>
              <w:t>表2-</w:t>
            </w:r>
            <w:r>
              <w:rPr>
                <w:rFonts w:hint="default" w:ascii="Times New Roman" w:hAnsi="Times New Roman" w:cs="Times New Roman"/>
                <w:color w:val="auto"/>
                <w:highlight w:val="none"/>
                <w:lang w:val="en-US" w:eastAsia="zh-CN"/>
              </w:rPr>
              <w:t xml:space="preserve">3 </w:t>
            </w:r>
            <w:r>
              <w:rPr>
                <w:rFonts w:hint="eastAsia" w:cs="Times New Roman"/>
                <w:color w:val="auto"/>
                <w:highlight w:val="none"/>
                <w:lang w:val="en-US" w:eastAsia="zh-CN"/>
              </w:rPr>
              <w:t>本项目</w:t>
            </w:r>
            <w:r>
              <w:rPr>
                <w:rFonts w:hint="default" w:ascii="Times New Roman" w:hAnsi="Times New Roman" w:cs="Times New Roman"/>
                <w:color w:val="auto"/>
                <w:highlight w:val="none"/>
              </w:rPr>
              <w:t>产品方案一览表</w:t>
            </w:r>
          </w:p>
          <w:tbl>
            <w:tblPr>
              <w:tblStyle w:val="34"/>
              <w:tblW w:w="7977" w:type="dxa"/>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738"/>
              <w:gridCol w:w="2118"/>
              <w:gridCol w:w="999"/>
              <w:gridCol w:w="2061"/>
              <w:gridCol w:w="2061"/>
            </w:tblGrid>
            <w:tr w14:paraId="7EE86A9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4" w:hRule="atLeast"/>
              </w:trPr>
              <w:tc>
                <w:tcPr>
                  <w:tcW w:w="462" w:type="pct"/>
                  <w:tcBorders>
                    <w:tl2br w:val="nil"/>
                    <w:tr2bl w:val="nil"/>
                  </w:tcBorders>
                  <w:noWrap w:val="0"/>
                  <w:vAlign w:val="center"/>
                </w:tcPr>
                <w:p w14:paraId="6595CAFC">
                  <w:pPr>
                    <w:pStyle w:val="44"/>
                    <w:bidi w:val="0"/>
                    <w:rPr>
                      <w:rFonts w:hint="default"/>
                      <w:b/>
                      <w:bCs/>
                      <w:color w:val="auto"/>
                    </w:rPr>
                  </w:pPr>
                  <w:r>
                    <w:rPr>
                      <w:rFonts w:hint="default"/>
                      <w:b/>
                      <w:bCs/>
                      <w:color w:val="auto"/>
                    </w:rPr>
                    <w:t>序号</w:t>
                  </w:r>
                </w:p>
              </w:tc>
              <w:tc>
                <w:tcPr>
                  <w:tcW w:w="1327" w:type="pct"/>
                  <w:tcBorders>
                    <w:tl2br w:val="nil"/>
                    <w:tr2bl w:val="nil"/>
                  </w:tcBorders>
                  <w:noWrap w:val="0"/>
                  <w:vAlign w:val="center"/>
                </w:tcPr>
                <w:p w14:paraId="190E28A3">
                  <w:pPr>
                    <w:pStyle w:val="44"/>
                    <w:bidi w:val="0"/>
                    <w:rPr>
                      <w:rFonts w:hint="default"/>
                      <w:b/>
                      <w:bCs/>
                      <w:color w:val="auto"/>
                    </w:rPr>
                  </w:pPr>
                  <w:r>
                    <w:rPr>
                      <w:rFonts w:hint="default"/>
                      <w:b/>
                      <w:bCs/>
                      <w:color w:val="auto"/>
                      <w:lang w:eastAsia="zh-CN"/>
                    </w:rPr>
                    <w:t>产品</w:t>
                  </w:r>
                </w:p>
              </w:tc>
              <w:tc>
                <w:tcPr>
                  <w:tcW w:w="626" w:type="pct"/>
                  <w:tcBorders>
                    <w:tl2br w:val="nil"/>
                    <w:tr2bl w:val="nil"/>
                  </w:tcBorders>
                  <w:noWrap w:val="0"/>
                  <w:vAlign w:val="center"/>
                </w:tcPr>
                <w:p w14:paraId="2B882491">
                  <w:pPr>
                    <w:pStyle w:val="44"/>
                    <w:bidi w:val="0"/>
                    <w:rPr>
                      <w:rFonts w:hint="default"/>
                      <w:b/>
                      <w:bCs/>
                      <w:color w:val="auto"/>
                      <w:lang w:val="en-US" w:eastAsia="zh-CN"/>
                    </w:rPr>
                  </w:pPr>
                  <w:r>
                    <w:rPr>
                      <w:rFonts w:hint="default"/>
                      <w:b/>
                      <w:bCs/>
                      <w:color w:val="auto"/>
                      <w:lang w:val="en-US" w:eastAsia="zh-CN"/>
                    </w:rPr>
                    <w:t>产能</w:t>
                  </w:r>
                </w:p>
              </w:tc>
              <w:tc>
                <w:tcPr>
                  <w:tcW w:w="1291" w:type="pct"/>
                  <w:tcBorders>
                    <w:tl2br w:val="nil"/>
                    <w:tr2bl w:val="nil"/>
                  </w:tcBorders>
                  <w:noWrap w:val="0"/>
                  <w:vAlign w:val="center"/>
                </w:tcPr>
                <w:p w14:paraId="02F0DF9D">
                  <w:pPr>
                    <w:pStyle w:val="44"/>
                    <w:bidi w:val="0"/>
                    <w:rPr>
                      <w:rFonts w:hint="default"/>
                      <w:b/>
                      <w:bCs/>
                      <w:color w:val="auto"/>
                      <w:lang w:val="en-US" w:eastAsia="zh-CN"/>
                    </w:rPr>
                  </w:pPr>
                  <w:r>
                    <w:rPr>
                      <w:rFonts w:hint="eastAsia"/>
                      <w:b/>
                      <w:bCs/>
                      <w:color w:val="auto"/>
                      <w:lang w:val="en-US" w:eastAsia="zh-CN"/>
                    </w:rPr>
                    <w:t>规格</w:t>
                  </w:r>
                </w:p>
              </w:tc>
              <w:tc>
                <w:tcPr>
                  <w:tcW w:w="1291" w:type="pct"/>
                  <w:tcBorders>
                    <w:tl2br w:val="nil"/>
                    <w:tr2bl w:val="nil"/>
                  </w:tcBorders>
                  <w:noWrap w:val="0"/>
                  <w:vAlign w:val="center"/>
                </w:tcPr>
                <w:p w14:paraId="0B3A0AD8">
                  <w:pPr>
                    <w:pStyle w:val="44"/>
                    <w:bidi w:val="0"/>
                    <w:rPr>
                      <w:rFonts w:hint="default"/>
                      <w:b/>
                      <w:bCs/>
                      <w:color w:val="auto"/>
                      <w:lang w:val="en-US" w:eastAsia="zh-CN"/>
                    </w:rPr>
                  </w:pPr>
                  <w:r>
                    <w:rPr>
                      <w:rFonts w:hint="eastAsia"/>
                      <w:b/>
                      <w:bCs/>
                      <w:color w:val="auto"/>
                      <w:lang w:val="en-US" w:eastAsia="zh-CN"/>
                    </w:rPr>
                    <w:t>备注</w:t>
                  </w:r>
                </w:p>
              </w:tc>
            </w:tr>
            <w:tr w14:paraId="0F2580B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462" w:type="pct"/>
                  <w:tcBorders>
                    <w:tl2br w:val="nil"/>
                    <w:tr2bl w:val="nil"/>
                  </w:tcBorders>
                  <w:noWrap w:val="0"/>
                  <w:vAlign w:val="center"/>
                </w:tcPr>
                <w:p w14:paraId="12B94FBD">
                  <w:pPr>
                    <w:pStyle w:val="44"/>
                    <w:bidi w:val="0"/>
                    <w:rPr>
                      <w:rFonts w:hint="default"/>
                      <w:color w:val="auto"/>
                      <w:lang w:val="en-US" w:eastAsia="zh-CN"/>
                    </w:rPr>
                  </w:pPr>
                  <w:r>
                    <w:rPr>
                      <w:rFonts w:hint="default"/>
                      <w:color w:val="auto"/>
                      <w:lang w:val="en-US" w:eastAsia="zh-CN"/>
                    </w:rPr>
                    <w:t>1</w:t>
                  </w:r>
                </w:p>
              </w:tc>
              <w:tc>
                <w:tcPr>
                  <w:tcW w:w="1327" w:type="pct"/>
                  <w:tcBorders>
                    <w:tl2br w:val="nil"/>
                    <w:tr2bl w:val="nil"/>
                  </w:tcBorders>
                  <w:noWrap w:val="0"/>
                  <w:vAlign w:val="center"/>
                </w:tcPr>
                <w:p w14:paraId="0523E0B3">
                  <w:pPr>
                    <w:pStyle w:val="44"/>
                    <w:bidi w:val="0"/>
                    <w:rPr>
                      <w:rFonts w:hint="default"/>
                      <w:color w:val="auto"/>
                      <w:lang w:val="en-US" w:eastAsia="zh-CN"/>
                    </w:rPr>
                  </w:pPr>
                  <w:r>
                    <w:rPr>
                      <w:rFonts w:hint="default"/>
                      <w:color w:val="auto"/>
                      <w:lang w:val="en-US" w:eastAsia="zh-CN"/>
                    </w:rPr>
                    <w:t>电池PACK密封材料</w:t>
                  </w:r>
                </w:p>
              </w:tc>
              <w:tc>
                <w:tcPr>
                  <w:tcW w:w="626" w:type="pct"/>
                  <w:tcBorders>
                    <w:tl2br w:val="nil"/>
                    <w:tr2bl w:val="nil"/>
                  </w:tcBorders>
                  <w:noWrap w:val="0"/>
                  <w:vAlign w:val="center"/>
                </w:tcPr>
                <w:p w14:paraId="7B724946">
                  <w:pPr>
                    <w:pStyle w:val="44"/>
                    <w:bidi w:val="0"/>
                    <w:rPr>
                      <w:rFonts w:hint="default"/>
                      <w:color w:val="auto"/>
                      <w:lang w:val="en-US" w:eastAsia="zh-CN"/>
                    </w:rPr>
                  </w:pPr>
                  <w:r>
                    <w:rPr>
                      <w:rFonts w:hint="eastAsia"/>
                      <w:color w:val="auto"/>
                      <w:lang w:val="en-US" w:eastAsia="zh-CN"/>
                    </w:rPr>
                    <w:t>12000t</w:t>
                  </w:r>
                  <w:r>
                    <w:rPr>
                      <w:rFonts w:hint="default"/>
                      <w:color w:val="auto"/>
                      <w:lang w:val="en-US" w:eastAsia="zh-CN"/>
                    </w:rPr>
                    <w:t>/a</w:t>
                  </w:r>
                </w:p>
              </w:tc>
              <w:tc>
                <w:tcPr>
                  <w:tcW w:w="1291" w:type="pct"/>
                  <w:tcBorders>
                    <w:tl2br w:val="nil"/>
                    <w:tr2bl w:val="nil"/>
                  </w:tcBorders>
                  <w:noWrap w:val="0"/>
                  <w:vAlign w:val="center"/>
                </w:tcPr>
                <w:p w14:paraId="778E8B67">
                  <w:pPr>
                    <w:pStyle w:val="44"/>
                    <w:bidi w:val="0"/>
                    <w:rPr>
                      <w:rFonts w:hint="default"/>
                      <w:color w:val="auto"/>
                      <w:lang w:val="en-US" w:eastAsia="zh-CN"/>
                    </w:rPr>
                  </w:pPr>
                  <w:r>
                    <w:rPr>
                      <w:rFonts w:hint="eastAsia"/>
                      <w:color w:val="auto"/>
                      <w:lang w:val="en-US" w:eastAsia="zh-CN"/>
                    </w:rPr>
                    <w:t>20kg/桶</w:t>
                  </w:r>
                </w:p>
              </w:tc>
              <w:tc>
                <w:tcPr>
                  <w:tcW w:w="1291" w:type="pct"/>
                  <w:vMerge w:val="restart"/>
                  <w:tcBorders>
                    <w:tl2br w:val="nil"/>
                    <w:tr2bl w:val="nil"/>
                  </w:tcBorders>
                  <w:noWrap w:val="0"/>
                  <w:vAlign w:val="center"/>
                </w:tcPr>
                <w:p w14:paraId="3B2829B1">
                  <w:pPr>
                    <w:pStyle w:val="44"/>
                    <w:bidi w:val="0"/>
                    <w:rPr>
                      <w:rFonts w:hint="default"/>
                      <w:color w:val="auto"/>
                      <w:lang w:val="en-US" w:eastAsia="zh-CN"/>
                    </w:rPr>
                  </w:pPr>
                  <w:r>
                    <w:rPr>
                      <w:rFonts w:hint="eastAsia"/>
                      <w:color w:val="auto"/>
                      <w:lang w:val="en-US" w:eastAsia="zh-CN"/>
                    </w:rPr>
                    <w:t>满足《胶粘剂挥发性有机化合物限量》（GB 33372-2020）</w:t>
                  </w:r>
                </w:p>
              </w:tc>
            </w:tr>
            <w:tr w14:paraId="5CE9B40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14" w:hRule="atLeast"/>
              </w:trPr>
              <w:tc>
                <w:tcPr>
                  <w:tcW w:w="462" w:type="pct"/>
                  <w:tcBorders>
                    <w:tl2br w:val="nil"/>
                    <w:tr2bl w:val="nil"/>
                  </w:tcBorders>
                  <w:noWrap w:val="0"/>
                  <w:vAlign w:val="center"/>
                </w:tcPr>
                <w:p w14:paraId="794CDEEE">
                  <w:pPr>
                    <w:pStyle w:val="44"/>
                    <w:bidi w:val="0"/>
                    <w:rPr>
                      <w:rFonts w:hint="default"/>
                      <w:color w:val="auto"/>
                      <w:lang w:val="en-US" w:eastAsia="zh-CN"/>
                    </w:rPr>
                  </w:pPr>
                  <w:r>
                    <w:rPr>
                      <w:rFonts w:hint="default"/>
                      <w:color w:val="auto"/>
                      <w:lang w:val="en-US" w:eastAsia="zh-CN"/>
                    </w:rPr>
                    <w:t>2</w:t>
                  </w:r>
                </w:p>
              </w:tc>
              <w:tc>
                <w:tcPr>
                  <w:tcW w:w="1327" w:type="pct"/>
                  <w:tcBorders>
                    <w:tl2br w:val="nil"/>
                    <w:tr2bl w:val="nil"/>
                  </w:tcBorders>
                  <w:noWrap w:val="0"/>
                  <w:vAlign w:val="center"/>
                </w:tcPr>
                <w:p w14:paraId="26C7B0B3">
                  <w:pPr>
                    <w:pStyle w:val="44"/>
                    <w:bidi w:val="0"/>
                    <w:rPr>
                      <w:rFonts w:hint="default"/>
                      <w:color w:val="auto"/>
                      <w:lang w:val="en-US" w:eastAsia="zh-CN"/>
                    </w:rPr>
                  </w:pPr>
                  <w:r>
                    <w:rPr>
                      <w:rFonts w:hint="default"/>
                      <w:color w:val="auto"/>
                      <w:lang w:val="en-US" w:eastAsia="zh-CN"/>
                    </w:rPr>
                    <w:t>电子电器密封材料</w:t>
                  </w:r>
                </w:p>
              </w:tc>
              <w:tc>
                <w:tcPr>
                  <w:tcW w:w="626" w:type="pct"/>
                  <w:tcBorders>
                    <w:tl2br w:val="nil"/>
                    <w:tr2bl w:val="nil"/>
                  </w:tcBorders>
                  <w:noWrap w:val="0"/>
                  <w:vAlign w:val="center"/>
                </w:tcPr>
                <w:p w14:paraId="2FED580B">
                  <w:pPr>
                    <w:pStyle w:val="44"/>
                    <w:bidi w:val="0"/>
                    <w:rPr>
                      <w:rFonts w:hint="default"/>
                      <w:color w:val="auto"/>
                      <w:lang w:val="en-US" w:eastAsia="zh-CN"/>
                    </w:rPr>
                  </w:pPr>
                  <w:r>
                    <w:rPr>
                      <w:rFonts w:hint="eastAsia"/>
                      <w:color w:val="auto"/>
                      <w:lang w:val="en-US" w:eastAsia="zh-CN"/>
                    </w:rPr>
                    <w:t>8000t</w:t>
                  </w:r>
                  <w:r>
                    <w:rPr>
                      <w:rFonts w:hint="default"/>
                      <w:color w:val="auto"/>
                      <w:lang w:val="en-US" w:eastAsia="zh-CN"/>
                    </w:rPr>
                    <w:t>/a</w:t>
                  </w:r>
                </w:p>
              </w:tc>
              <w:tc>
                <w:tcPr>
                  <w:tcW w:w="1291" w:type="pct"/>
                  <w:tcBorders>
                    <w:tl2br w:val="nil"/>
                    <w:tr2bl w:val="nil"/>
                  </w:tcBorders>
                  <w:noWrap w:val="0"/>
                  <w:vAlign w:val="center"/>
                </w:tcPr>
                <w:p w14:paraId="684FB809">
                  <w:pPr>
                    <w:pStyle w:val="44"/>
                    <w:bidi w:val="0"/>
                    <w:rPr>
                      <w:rFonts w:hint="default"/>
                      <w:color w:val="auto"/>
                      <w:lang w:val="en-US" w:eastAsia="zh-CN"/>
                    </w:rPr>
                  </w:pPr>
                  <w:r>
                    <w:rPr>
                      <w:rFonts w:hint="eastAsia"/>
                      <w:color w:val="auto"/>
                      <w:lang w:val="en-US" w:eastAsia="zh-CN"/>
                    </w:rPr>
                    <w:t>20kg/桶</w:t>
                  </w:r>
                </w:p>
              </w:tc>
              <w:tc>
                <w:tcPr>
                  <w:tcW w:w="1291" w:type="pct"/>
                  <w:vMerge w:val="continue"/>
                  <w:tcBorders>
                    <w:tl2br w:val="nil"/>
                    <w:tr2bl w:val="nil"/>
                  </w:tcBorders>
                  <w:noWrap w:val="0"/>
                  <w:vAlign w:val="center"/>
                </w:tcPr>
                <w:p w14:paraId="113BD58E">
                  <w:pPr>
                    <w:pStyle w:val="44"/>
                    <w:bidi w:val="0"/>
                    <w:rPr>
                      <w:rFonts w:hint="eastAsia"/>
                      <w:color w:val="auto"/>
                      <w:lang w:val="en-US" w:eastAsia="zh-CN"/>
                    </w:rPr>
                  </w:pPr>
                </w:p>
              </w:tc>
            </w:tr>
          </w:tbl>
          <w:p w14:paraId="69AE0EE9">
            <w:pPr>
              <w:pStyle w:val="4"/>
              <w:numPr>
                <w:ilvl w:val="0"/>
                <w:numId w:val="0"/>
              </w:numPr>
              <w:bidi w:val="0"/>
              <w:ind w:leftChars="0" w:firstLine="48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三、主要原辅材料及能源消耗</w:t>
            </w:r>
          </w:p>
          <w:p w14:paraId="147B7477">
            <w:pPr>
              <w:adjustRightInd w:val="0"/>
              <w:snapToGrid w:val="0"/>
              <w:ind w:firstLine="480" w:firstLineChars="200"/>
              <w:rPr>
                <w:rFonts w:hint="default" w:ascii="Times New Roman" w:hAnsi="Times New Roman" w:cs="Times New Roman"/>
                <w:color w:val="auto"/>
                <w:highlight w:val="none"/>
              </w:rPr>
            </w:pPr>
            <w:r>
              <w:rPr>
                <w:rFonts w:hint="default" w:ascii="Times New Roman" w:hAnsi="Times New Roman" w:eastAsia="宋体" w:cs="Times New Roman"/>
                <w:color w:val="auto"/>
                <w:sz w:val="24"/>
                <w:highlight w:val="none"/>
              </w:rPr>
              <w:t>项目主要原辅材料名称、用量见</w:t>
            </w:r>
            <w:r>
              <w:rPr>
                <w:rFonts w:hint="default" w:ascii="Times New Roman" w:hAnsi="Times New Roman" w:eastAsia="宋体" w:cs="Times New Roman"/>
                <w:color w:val="auto"/>
                <w:sz w:val="24"/>
                <w:highlight w:val="none"/>
                <w:lang w:val="en-US" w:eastAsia="zh-CN"/>
              </w:rPr>
              <w:t>下</w:t>
            </w:r>
            <w:r>
              <w:rPr>
                <w:rFonts w:hint="default" w:ascii="Times New Roman" w:hAnsi="Times New Roman" w:eastAsia="宋体" w:cs="Times New Roman"/>
                <w:color w:val="auto"/>
                <w:sz w:val="24"/>
                <w:highlight w:val="none"/>
              </w:rPr>
              <w:t>表</w:t>
            </w:r>
            <w:r>
              <w:rPr>
                <w:rFonts w:hint="default" w:ascii="Times New Roman" w:hAnsi="Times New Roman" w:cs="Times New Roman"/>
                <w:color w:val="auto"/>
                <w:highlight w:val="none"/>
              </w:rPr>
              <w:t>。</w:t>
            </w:r>
          </w:p>
          <w:p w14:paraId="13570D6C">
            <w:pPr>
              <w:pStyle w:val="47"/>
              <w:bidi w:val="0"/>
              <w:rPr>
                <w:rFonts w:hint="default" w:ascii="Times New Roman" w:hAnsi="Times New Roman" w:cs="Times New Roman"/>
                <w:color w:val="auto"/>
                <w:highlight w:val="none"/>
              </w:rPr>
            </w:pPr>
            <w:bookmarkStart w:id="1" w:name="_Hlk3793908"/>
            <w:r>
              <w:rPr>
                <w:rFonts w:hint="default" w:ascii="Times New Roman" w:hAnsi="Times New Roman" w:cs="Times New Roman"/>
                <w:color w:val="auto"/>
                <w:highlight w:val="none"/>
              </w:rPr>
              <w:t>表2-</w:t>
            </w:r>
            <w:r>
              <w:rPr>
                <w:rFonts w:hint="default" w:ascii="Times New Roman" w:hAnsi="Times New Roman" w:cs="Times New Roman"/>
                <w:color w:val="auto"/>
                <w:highlight w:val="none"/>
                <w:lang w:val="en-US" w:eastAsia="zh-CN"/>
              </w:rPr>
              <w:t>4</w:t>
            </w:r>
            <w:r>
              <w:rPr>
                <w:rFonts w:hint="default" w:ascii="Times New Roman" w:hAnsi="Times New Roman" w:cs="Times New Roman"/>
                <w:color w:val="auto"/>
                <w:highlight w:val="none"/>
              </w:rPr>
              <w:t xml:space="preserve"> 主要原辅料表</w:t>
            </w:r>
          </w:p>
          <w:bookmarkEnd w:id="1"/>
          <w:tbl>
            <w:tblPr>
              <w:tblStyle w:val="33"/>
              <w:tblW w:w="4964"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584"/>
              <w:gridCol w:w="1041"/>
              <w:gridCol w:w="1101"/>
              <w:gridCol w:w="1010"/>
              <w:gridCol w:w="1071"/>
              <w:gridCol w:w="771"/>
              <w:gridCol w:w="646"/>
            </w:tblGrid>
            <w:tr w14:paraId="0BA342D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39" w:type="pct"/>
                  <w:tcBorders>
                    <w:tl2br w:val="nil"/>
                    <w:tr2bl w:val="nil"/>
                  </w:tcBorders>
                  <w:noWrap w:val="0"/>
                  <w:vAlign w:val="center"/>
                </w:tcPr>
                <w:p w14:paraId="0662AFFC">
                  <w:pPr>
                    <w:pStyle w:val="44"/>
                    <w:bidi w:val="0"/>
                    <w:rPr>
                      <w:rFonts w:hint="default" w:eastAsia="宋体"/>
                      <w:b/>
                      <w:bCs/>
                      <w:color w:val="auto"/>
                      <w:lang w:val="en-US" w:eastAsia="zh-CN"/>
                    </w:rPr>
                  </w:pPr>
                  <w:r>
                    <w:rPr>
                      <w:rFonts w:hint="eastAsia"/>
                      <w:b/>
                      <w:bCs/>
                      <w:color w:val="auto"/>
                      <w:lang w:val="en-US" w:eastAsia="zh-CN"/>
                    </w:rPr>
                    <w:t>类别</w:t>
                  </w:r>
                </w:p>
              </w:tc>
              <w:tc>
                <w:tcPr>
                  <w:tcW w:w="999" w:type="pct"/>
                  <w:tcBorders>
                    <w:tl2br w:val="nil"/>
                    <w:tr2bl w:val="nil"/>
                  </w:tcBorders>
                  <w:noWrap w:val="0"/>
                  <w:vAlign w:val="center"/>
                </w:tcPr>
                <w:p w14:paraId="5DFD5FB1">
                  <w:pPr>
                    <w:pStyle w:val="44"/>
                    <w:bidi w:val="0"/>
                    <w:rPr>
                      <w:rFonts w:hint="default"/>
                      <w:b/>
                      <w:bCs/>
                      <w:color w:val="auto"/>
                    </w:rPr>
                  </w:pPr>
                  <w:r>
                    <w:rPr>
                      <w:rFonts w:hint="default"/>
                      <w:b/>
                      <w:bCs/>
                      <w:color w:val="auto"/>
                    </w:rPr>
                    <w:t>名称</w:t>
                  </w:r>
                </w:p>
              </w:tc>
              <w:tc>
                <w:tcPr>
                  <w:tcW w:w="657" w:type="pct"/>
                  <w:tcBorders>
                    <w:tl2br w:val="nil"/>
                    <w:tr2bl w:val="nil"/>
                  </w:tcBorders>
                  <w:noWrap w:val="0"/>
                  <w:vAlign w:val="center"/>
                </w:tcPr>
                <w:p w14:paraId="7FACE948">
                  <w:pPr>
                    <w:pStyle w:val="44"/>
                    <w:bidi w:val="0"/>
                    <w:rPr>
                      <w:rFonts w:hint="default"/>
                      <w:b/>
                      <w:bCs/>
                      <w:color w:val="auto"/>
                      <w:lang w:val="en-US" w:eastAsia="zh-CN"/>
                    </w:rPr>
                  </w:pPr>
                  <w:r>
                    <w:rPr>
                      <w:rFonts w:hint="eastAsia"/>
                      <w:b/>
                      <w:bCs/>
                      <w:color w:val="auto"/>
                      <w:lang w:val="en-US" w:eastAsia="zh-CN"/>
                    </w:rPr>
                    <w:t>形态</w:t>
                  </w:r>
                </w:p>
              </w:tc>
              <w:tc>
                <w:tcPr>
                  <w:tcW w:w="694" w:type="pct"/>
                  <w:tcBorders>
                    <w:tl2br w:val="nil"/>
                    <w:tr2bl w:val="nil"/>
                  </w:tcBorders>
                  <w:noWrap w:val="0"/>
                  <w:vAlign w:val="center"/>
                </w:tcPr>
                <w:p w14:paraId="2FE5A543">
                  <w:pPr>
                    <w:pStyle w:val="44"/>
                    <w:bidi w:val="0"/>
                    <w:rPr>
                      <w:rFonts w:hint="eastAsia"/>
                      <w:b/>
                      <w:bCs/>
                      <w:color w:val="auto"/>
                      <w:lang w:val="en-US" w:eastAsia="zh-CN"/>
                    </w:rPr>
                  </w:pPr>
                  <w:r>
                    <w:rPr>
                      <w:rFonts w:hint="eastAsia"/>
                      <w:b/>
                      <w:bCs/>
                      <w:color w:val="auto"/>
                      <w:lang w:val="en-US" w:eastAsia="zh-CN"/>
                    </w:rPr>
                    <w:t>包装方式/规格</w:t>
                  </w:r>
                </w:p>
              </w:tc>
              <w:tc>
                <w:tcPr>
                  <w:tcW w:w="637" w:type="pct"/>
                  <w:tcBorders>
                    <w:tl2br w:val="nil"/>
                    <w:tr2bl w:val="nil"/>
                  </w:tcBorders>
                  <w:noWrap w:val="0"/>
                  <w:vAlign w:val="center"/>
                </w:tcPr>
                <w:p w14:paraId="33BD6B1A">
                  <w:pPr>
                    <w:pStyle w:val="44"/>
                    <w:bidi w:val="0"/>
                    <w:rPr>
                      <w:rFonts w:hint="default"/>
                      <w:b/>
                      <w:bCs/>
                      <w:color w:val="auto"/>
                      <w:lang w:val="en-US" w:eastAsia="zh-CN"/>
                    </w:rPr>
                  </w:pPr>
                  <w:r>
                    <w:rPr>
                      <w:rFonts w:hint="default"/>
                      <w:b/>
                      <w:bCs/>
                      <w:color w:val="auto"/>
                      <w:lang w:eastAsia="zh-CN"/>
                    </w:rPr>
                    <w:t>用量</w:t>
                  </w:r>
                </w:p>
              </w:tc>
              <w:tc>
                <w:tcPr>
                  <w:tcW w:w="676" w:type="pct"/>
                  <w:tcBorders>
                    <w:tl2br w:val="nil"/>
                    <w:tr2bl w:val="nil"/>
                  </w:tcBorders>
                  <w:noWrap w:val="0"/>
                  <w:vAlign w:val="center"/>
                </w:tcPr>
                <w:p w14:paraId="03FB9D92">
                  <w:pPr>
                    <w:pStyle w:val="44"/>
                    <w:bidi w:val="0"/>
                    <w:rPr>
                      <w:rFonts w:hint="eastAsia"/>
                      <w:b/>
                      <w:bCs/>
                      <w:color w:val="auto"/>
                      <w:lang w:val="en-US" w:eastAsia="zh-CN"/>
                    </w:rPr>
                  </w:pPr>
                  <w:r>
                    <w:rPr>
                      <w:rFonts w:hint="eastAsia"/>
                      <w:b/>
                      <w:bCs/>
                      <w:color w:val="auto"/>
                      <w:lang w:val="en-US" w:eastAsia="zh-CN"/>
                    </w:rPr>
                    <w:t>存储</w:t>
                  </w:r>
                </w:p>
                <w:p w14:paraId="21710616">
                  <w:pPr>
                    <w:pStyle w:val="44"/>
                    <w:bidi w:val="0"/>
                    <w:rPr>
                      <w:rFonts w:hint="default"/>
                      <w:b/>
                      <w:bCs/>
                      <w:color w:val="auto"/>
                      <w:lang w:val="en-US" w:eastAsia="zh-CN"/>
                    </w:rPr>
                  </w:pPr>
                  <w:r>
                    <w:rPr>
                      <w:rFonts w:hint="eastAsia"/>
                      <w:b/>
                      <w:bCs/>
                      <w:color w:val="auto"/>
                      <w:lang w:val="en-US" w:eastAsia="zh-CN"/>
                    </w:rPr>
                    <w:t>位置</w:t>
                  </w:r>
                </w:p>
              </w:tc>
              <w:tc>
                <w:tcPr>
                  <w:tcW w:w="486" w:type="pct"/>
                  <w:tcBorders>
                    <w:tl2br w:val="nil"/>
                    <w:tr2bl w:val="nil"/>
                  </w:tcBorders>
                  <w:noWrap w:val="0"/>
                  <w:vAlign w:val="center"/>
                </w:tcPr>
                <w:p w14:paraId="6172C2DD">
                  <w:pPr>
                    <w:pStyle w:val="44"/>
                    <w:bidi w:val="0"/>
                    <w:rPr>
                      <w:rFonts w:hint="default"/>
                      <w:b/>
                      <w:bCs/>
                      <w:color w:val="auto"/>
                      <w:lang w:val="en-US" w:eastAsia="zh-CN"/>
                    </w:rPr>
                  </w:pPr>
                  <w:r>
                    <w:rPr>
                      <w:rFonts w:hint="eastAsia"/>
                      <w:b/>
                      <w:bCs/>
                      <w:color w:val="auto"/>
                      <w:lang w:val="en-US" w:eastAsia="zh-CN"/>
                    </w:rPr>
                    <w:t>最大储量</w:t>
                  </w:r>
                </w:p>
              </w:tc>
              <w:tc>
                <w:tcPr>
                  <w:tcW w:w="407" w:type="pct"/>
                  <w:tcBorders>
                    <w:tl2br w:val="nil"/>
                    <w:tr2bl w:val="nil"/>
                  </w:tcBorders>
                  <w:noWrap w:val="0"/>
                  <w:vAlign w:val="center"/>
                </w:tcPr>
                <w:p w14:paraId="6E000B7C">
                  <w:pPr>
                    <w:pStyle w:val="44"/>
                    <w:bidi w:val="0"/>
                    <w:rPr>
                      <w:rFonts w:hint="default"/>
                      <w:b/>
                      <w:bCs/>
                      <w:color w:val="auto"/>
                      <w:lang w:val="en-US" w:eastAsia="zh-CN"/>
                    </w:rPr>
                  </w:pPr>
                  <w:r>
                    <w:rPr>
                      <w:rFonts w:hint="eastAsia"/>
                      <w:b/>
                      <w:bCs/>
                      <w:color w:val="auto"/>
                      <w:lang w:val="en-US" w:eastAsia="zh-CN"/>
                    </w:rPr>
                    <w:t>备注</w:t>
                  </w:r>
                </w:p>
              </w:tc>
            </w:tr>
            <w:tr w14:paraId="02FFBFD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000" w:type="pct"/>
                  <w:gridSpan w:val="8"/>
                  <w:tcBorders>
                    <w:tl2br w:val="nil"/>
                    <w:tr2bl w:val="nil"/>
                  </w:tcBorders>
                  <w:noWrap w:val="0"/>
                  <w:vAlign w:val="center"/>
                </w:tcPr>
                <w:p w14:paraId="54211E68">
                  <w:pPr>
                    <w:pStyle w:val="44"/>
                    <w:bidi w:val="0"/>
                    <w:rPr>
                      <w:rFonts w:hint="default"/>
                      <w:color w:val="auto"/>
                      <w:lang w:val="en-US" w:eastAsia="zh-CN"/>
                    </w:rPr>
                  </w:pPr>
                  <w:r>
                    <w:rPr>
                      <w:rFonts w:hint="eastAsia"/>
                      <w:color w:val="auto"/>
                      <w:lang w:val="en-US" w:eastAsia="zh-CN"/>
                    </w:rPr>
                    <w:t>原辅材料</w:t>
                  </w:r>
                </w:p>
              </w:tc>
            </w:tr>
            <w:tr w14:paraId="7C1EE58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39" w:type="pct"/>
                  <w:vMerge w:val="restart"/>
                  <w:tcBorders>
                    <w:tl2br w:val="nil"/>
                    <w:tr2bl w:val="nil"/>
                  </w:tcBorders>
                  <w:noWrap w:val="0"/>
                  <w:vAlign w:val="center"/>
                </w:tcPr>
                <w:p w14:paraId="7C16DFB6">
                  <w:pPr>
                    <w:pStyle w:val="44"/>
                    <w:bidi w:val="0"/>
                    <w:rPr>
                      <w:rFonts w:hint="default" w:ascii="Times New Roman" w:hAnsi="Times New Roman" w:eastAsia="宋体"/>
                      <w:color w:val="auto"/>
                      <w:kern w:val="2"/>
                      <w:sz w:val="21"/>
                      <w:szCs w:val="21"/>
                      <w:lang w:val="en-US" w:eastAsia="zh-CN" w:bidi="ar-SA"/>
                    </w:rPr>
                  </w:pPr>
                  <w:r>
                    <w:rPr>
                      <w:rFonts w:hint="default"/>
                      <w:color w:val="auto"/>
                      <w:lang w:eastAsia="zh-CN"/>
                    </w:rPr>
                    <w:t>电池PACK密封材料</w:t>
                  </w:r>
                </w:p>
              </w:tc>
              <w:tc>
                <w:tcPr>
                  <w:tcW w:w="999" w:type="pct"/>
                  <w:tcBorders>
                    <w:tl2br w:val="nil"/>
                    <w:tr2bl w:val="nil"/>
                  </w:tcBorders>
                  <w:noWrap w:val="0"/>
                  <w:vAlign w:val="center"/>
                </w:tcPr>
                <w:p w14:paraId="7346988C">
                  <w:pPr>
                    <w:pStyle w:val="44"/>
                    <w:bidi w:val="0"/>
                    <w:jc w:val="center"/>
                    <w:rPr>
                      <w:rFonts w:hint="default"/>
                      <w:color w:val="auto"/>
                      <w:lang w:val="en-US" w:eastAsia="zh-CN"/>
                    </w:rPr>
                  </w:pPr>
                  <w:r>
                    <w:rPr>
                      <w:rFonts w:hint="eastAsia"/>
                      <w:color w:val="auto"/>
                    </w:rPr>
                    <w:t>硅烷改性聚醚</w:t>
                  </w:r>
                </w:p>
              </w:tc>
              <w:tc>
                <w:tcPr>
                  <w:tcW w:w="657" w:type="pct"/>
                  <w:tcBorders>
                    <w:tl2br w:val="nil"/>
                    <w:tr2bl w:val="nil"/>
                  </w:tcBorders>
                  <w:noWrap w:val="0"/>
                  <w:vAlign w:val="center"/>
                </w:tcPr>
                <w:p w14:paraId="45A8048D">
                  <w:pPr>
                    <w:pStyle w:val="44"/>
                    <w:bidi w:val="0"/>
                    <w:rPr>
                      <w:rFonts w:hint="default"/>
                      <w:color w:val="auto"/>
                      <w:lang w:val="en-US" w:eastAsia="zh-CN"/>
                    </w:rPr>
                  </w:pPr>
                  <w:r>
                    <w:rPr>
                      <w:rFonts w:hint="eastAsia"/>
                      <w:color w:val="auto"/>
                      <w:lang w:val="en-US" w:eastAsia="zh-CN"/>
                    </w:rPr>
                    <w:t>半固态</w:t>
                  </w:r>
                </w:p>
              </w:tc>
              <w:tc>
                <w:tcPr>
                  <w:tcW w:w="694" w:type="pct"/>
                  <w:tcBorders>
                    <w:tl2br w:val="nil"/>
                    <w:tr2bl w:val="nil"/>
                  </w:tcBorders>
                  <w:noWrap w:val="0"/>
                  <w:vAlign w:val="center"/>
                </w:tcPr>
                <w:p w14:paraId="7505F0C3">
                  <w:pPr>
                    <w:pStyle w:val="44"/>
                    <w:bidi w:val="0"/>
                    <w:rPr>
                      <w:rFonts w:hint="default"/>
                      <w:color w:val="auto"/>
                      <w:lang w:val="en-US" w:eastAsia="zh-CN"/>
                    </w:rPr>
                  </w:pPr>
                  <w:r>
                    <w:rPr>
                      <w:rFonts w:hint="eastAsia"/>
                      <w:color w:val="auto"/>
                      <w:lang w:val="en-US" w:eastAsia="zh-CN"/>
                    </w:rPr>
                    <w:t>桶装</w:t>
                  </w:r>
                </w:p>
              </w:tc>
              <w:tc>
                <w:tcPr>
                  <w:tcW w:w="637" w:type="pct"/>
                  <w:tcBorders>
                    <w:tl2br w:val="nil"/>
                    <w:tr2bl w:val="nil"/>
                  </w:tcBorders>
                  <w:noWrap w:val="0"/>
                  <w:vAlign w:val="center"/>
                </w:tcPr>
                <w:p w14:paraId="20831E3E">
                  <w:pPr>
                    <w:pStyle w:val="44"/>
                    <w:bidi w:val="0"/>
                    <w:rPr>
                      <w:rFonts w:hint="default"/>
                      <w:color w:val="auto"/>
                      <w:lang w:val="en-US" w:eastAsia="zh-CN"/>
                    </w:rPr>
                  </w:pPr>
                  <w:r>
                    <w:rPr>
                      <w:rFonts w:hint="eastAsia"/>
                      <w:color w:val="auto"/>
                      <w:lang w:val="en-US" w:eastAsia="zh-CN"/>
                    </w:rPr>
                    <w:t>3160</w:t>
                  </w:r>
                  <w:r>
                    <w:rPr>
                      <w:rFonts w:hint="default"/>
                      <w:color w:val="auto"/>
                      <w:lang w:val="en-US" w:eastAsia="zh-CN"/>
                    </w:rPr>
                    <w:t>t/a</w:t>
                  </w:r>
                </w:p>
              </w:tc>
              <w:tc>
                <w:tcPr>
                  <w:tcW w:w="676" w:type="pct"/>
                  <w:tcBorders>
                    <w:tl2br w:val="nil"/>
                    <w:tr2bl w:val="nil"/>
                  </w:tcBorders>
                  <w:noWrap w:val="0"/>
                  <w:vAlign w:val="center"/>
                </w:tcPr>
                <w:p w14:paraId="5861836E">
                  <w:pPr>
                    <w:pStyle w:val="44"/>
                    <w:bidi w:val="0"/>
                    <w:rPr>
                      <w:rFonts w:hint="default"/>
                      <w:color w:val="auto"/>
                      <w:lang w:val="en-US" w:eastAsia="zh-CN"/>
                    </w:rPr>
                  </w:pPr>
                  <w:r>
                    <w:rPr>
                      <w:rFonts w:hint="eastAsia"/>
                      <w:color w:val="auto"/>
                      <w:lang w:val="en-US" w:eastAsia="zh-CN"/>
                    </w:rPr>
                    <w:t>原料仓库</w:t>
                  </w:r>
                </w:p>
              </w:tc>
              <w:tc>
                <w:tcPr>
                  <w:tcW w:w="486" w:type="pct"/>
                  <w:tcBorders>
                    <w:tl2br w:val="nil"/>
                    <w:tr2bl w:val="nil"/>
                  </w:tcBorders>
                  <w:noWrap w:val="0"/>
                  <w:vAlign w:val="center"/>
                </w:tcPr>
                <w:p w14:paraId="7D78D2B6">
                  <w:pPr>
                    <w:pStyle w:val="44"/>
                    <w:bidi w:val="0"/>
                    <w:rPr>
                      <w:rFonts w:hint="default"/>
                      <w:color w:val="auto"/>
                      <w:lang w:val="en-US" w:eastAsia="zh-CN"/>
                    </w:rPr>
                  </w:pPr>
                  <w:r>
                    <w:rPr>
                      <w:rFonts w:hint="eastAsia"/>
                      <w:color w:val="auto"/>
                      <w:lang w:val="en-US" w:eastAsia="zh-CN"/>
                    </w:rPr>
                    <w:t>500t</w:t>
                  </w:r>
                </w:p>
              </w:tc>
              <w:tc>
                <w:tcPr>
                  <w:tcW w:w="407" w:type="pct"/>
                  <w:tcBorders>
                    <w:tl2br w:val="nil"/>
                    <w:tr2bl w:val="nil"/>
                  </w:tcBorders>
                  <w:noWrap w:val="0"/>
                  <w:vAlign w:val="center"/>
                </w:tcPr>
                <w:p w14:paraId="7997B100">
                  <w:pPr>
                    <w:pStyle w:val="44"/>
                    <w:bidi w:val="0"/>
                    <w:rPr>
                      <w:rFonts w:hint="default"/>
                      <w:color w:val="auto"/>
                      <w:lang w:val="en-US" w:eastAsia="zh-CN"/>
                    </w:rPr>
                  </w:pPr>
                  <w:r>
                    <w:rPr>
                      <w:rFonts w:hint="eastAsia"/>
                      <w:color w:val="auto"/>
                      <w:lang w:val="en-US" w:eastAsia="zh-CN"/>
                    </w:rPr>
                    <w:t>外购</w:t>
                  </w:r>
                </w:p>
              </w:tc>
            </w:tr>
            <w:tr w14:paraId="6CD310E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39" w:type="pct"/>
                  <w:vMerge w:val="continue"/>
                  <w:tcBorders>
                    <w:tl2br w:val="nil"/>
                    <w:tr2bl w:val="nil"/>
                  </w:tcBorders>
                  <w:noWrap w:val="0"/>
                  <w:vAlign w:val="center"/>
                </w:tcPr>
                <w:p w14:paraId="2FBC1AE8">
                  <w:pPr>
                    <w:pStyle w:val="44"/>
                    <w:bidi w:val="0"/>
                    <w:rPr>
                      <w:rFonts w:hint="default"/>
                      <w:color w:val="auto"/>
                      <w:lang w:val="en-US" w:eastAsia="zh-CN"/>
                    </w:rPr>
                  </w:pPr>
                </w:p>
              </w:tc>
              <w:tc>
                <w:tcPr>
                  <w:tcW w:w="999" w:type="pct"/>
                  <w:tcBorders>
                    <w:tl2br w:val="nil"/>
                    <w:tr2bl w:val="nil"/>
                  </w:tcBorders>
                  <w:noWrap w:val="0"/>
                  <w:vAlign w:val="center"/>
                </w:tcPr>
                <w:p w14:paraId="1A0093A5">
                  <w:pPr>
                    <w:pStyle w:val="44"/>
                    <w:bidi w:val="0"/>
                    <w:jc w:val="center"/>
                    <w:rPr>
                      <w:rFonts w:hint="default"/>
                      <w:color w:val="auto"/>
                      <w:lang w:val="en-US" w:eastAsia="zh-CN"/>
                    </w:rPr>
                  </w:pPr>
                  <w:r>
                    <w:rPr>
                      <w:rFonts w:hint="eastAsia"/>
                      <w:color w:val="auto"/>
                      <w:lang w:val="en-US" w:eastAsia="zh-CN"/>
                    </w:rPr>
                    <w:t>环保</w:t>
                  </w:r>
                  <w:r>
                    <w:rPr>
                      <w:rFonts w:hint="eastAsia"/>
                      <w:color w:val="auto"/>
                    </w:rPr>
                    <w:t>增塑剂</w:t>
                  </w:r>
                </w:p>
              </w:tc>
              <w:tc>
                <w:tcPr>
                  <w:tcW w:w="657" w:type="pct"/>
                  <w:tcBorders>
                    <w:tl2br w:val="nil"/>
                    <w:tr2bl w:val="nil"/>
                  </w:tcBorders>
                  <w:noWrap w:val="0"/>
                  <w:vAlign w:val="center"/>
                </w:tcPr>
                <w:p w14:paraId="59F2550D">
                  <w:pPr>
                    <w:pStyle w:val="44"/>
                    <w:bidi w:val="0"/>
                    <w:rPr>
                      <w:rFonts w:hint="eastAsia"/>
                      <w:color w:val="auto"/>
                      <w:lang w:val="en-US" w:eastAsia="zh-CN"/>
                    </w:rPr>
                  </w:pPr>
                  <w:r>
                    <w:rPr>
                      <w:rFonts w:hint="eastAsia"/>
                      <w:color w:val="auto"/>
                      <w:lang w:val="en-US" w:eastAsia="zh-CN"/>
                    </w:rPr>
                    <w:t>液态</w:t>
                  </w:r>
                </w:p>
              </w:tc>
              <w:tc>
                <w:tcPr>
                  <w:tcW w:w="694" w:type="pct"/>
                  <w:tcBorders>
                    <w:tl2br w:val="nil"/>
                    <w:tr2bl w:val="nil"/>
                  </w:tcBorders>
                  <w:noWrap w:val="0"/>
                  <w:vAlign w:val="center"/>
                </w:tcPr>
                <w:p w14:paraId="1943F786">
                  <w:pPr>
                    <w:pStyle w:val="44"/>
                    <w:bidi w:val="0"/>
                    <w:rPr>
                      <w:rFonts w:hint="eastAsia"/>
                      <w:color w:val="auto"/>
                      <w:lang w:val="en-US" w:eastAsia="zh-CN"/>
                    </w:rPr>
                  </w:pPr>
                  <w:r>
                    <w:rPr>
                      <w:rFonts w:hint="eastAsia"/>
                      <w:color w:val="auto"/>
                      <w:lang w:val="en-US" w:eastAsia="zh-CN"/>
                    </w:rPr>
                    <w:t>桶装</w:t>
                  </w:r>
                </w:p>
              </w:tc>
              <w:tc>
                <w:tcPr>
                  <w:tcW w:w="637" w:type="pct"/>
                  <w:tcBorders>
                    <w:tl2br w:val="nil"/>
                    <w:tr2bl w:val="nil"/>
                  </w:tcBorders>
                  <w:noWrap w:val="0"/>
                  <w:vAlign w:val="center"/>
                </w:tcPr>
                <w:p w14:paraId="0AC82BF6">
                  <w:pPr>
                    <w:pStyle w:val="44"/>
                    <w:bidi w:val="0"/>
                    <w:rPr>
                      <w:rFonts w:hint="default"/>
                      <w:color w:val="auto"/>
                    </w:rPr>
                  </w:pPr>
                  <w:r>
                    <w:rPr>
                      <w:rFonts w:hint="eastAsia"/>
                      <w:color w:val="auto"/>
                      <w:lang w:val="en-US" w:eastAsia="zh-CN"/>
                    </w:rPr>
                    <w:t>2570</w:t>
                  </w:r>
                  <w:r>
                    <w:rPr>
                      <w:rFonts w:hint="default"/>
                      <w:color w:val="auto"/>
                      <w:lang w:val="en-US" w:eastAsia="zh-CN"/>
                    </w:rPr>
                    <w:t>t/a</w:t>
                  </w:r>
                </w:p>
              </w:tc>
              <w:tc>
                <w:tcPr>
                  <w:tcW w:w="676" w:type="pct"/>
                  <w:tcBorders>
                    <w:tl2br w:val="nil"/>
                    <w:tr2bl w:val="nil"/>
                  </w:tcBorders>
                  <w:noWrap w:val="0"/>
                  <w:vAlign w:val="center"/>
                </w:tcPr>
                <w:p w14:paraId="249F72FA">
                  <w:pPr>
                    <w:pStyle w:val="44"/>
                    <w:bidi w:val="0"/>
                    <w:rPr>
                      <w:rFonts w:hint="default"/>
                      <w:color w:val="auto"/>
                      <w:lang w:val="en-US" w:eastAsia="zh-CN"/>
                    </w:rPr>
                  </w:pPr>
                  <w:r>
                    <w:rPr>
                      <w:rFonts w:hint="eastAsia"/>
                      <w:color w:val="auto"/>
                      <w:lang w:val="en-US" w:eastAsia="zh-CN"/>
                    </w:rPr>
                    <w:t>原料仓库</w:t>
                  </w:r>
                </w:p>
              </w:tc>
              <w:tc>
                <w:tcPr>
                  <w:tcW w:w="486" w:type="pct"/>
                  <w:tcBorders>
                    <w:tl2br w:val="nil"/>
                    <w:tr2bl w:val="nil"/>
                  </w:tcBorders>
                  <w:noWrap w:val="0"/>
                  <w:vAlign w:val="center"/>
                </w:tcPr>
                <w:p w14:paraId="50AC7963">
                  <w:pPr>
                    <w:pStyle w:val="44"/>
                    <w:bidi w:val="0"/>
                    <w:rPr>
                      <w:rFonts w:hint="default"/>
                      <w:color w:val="auto"/>
                      <w:lang w:val="en-US" w:eastAsia="zh-CN"/>
                    </w:rPr>
                  </w:pPr>
                  <w:r>
                    <w:rPr>
                      <w:rFonts w:hint="eastAsia"/>
                      <w:color w:val="auto"/>
                      <w:lang w:val="en-US" w:eastAsia="zh-CN"/>
                    </w:rPr>
                    <w:t>500t</w:t>
                  </w:r>
                </w:p>
              </w:tc>
              <w:tc>
                <w:tcPr>
                  <w:tcW w:w="407" w:type="pct"/>
                  <w:tcBorders>
                    <w:tl2br w:val="nil"/>
                    <w:tr2bl w:val="nil"/>
                  </w:tcBorders>
                  <w:noWrap w:val="0"/>
                  <w:vAlign w:val="center"/>
                </w:tcPr>
                <w:p w14:paraId="2C6F29FC">
                  <w:pPr>
                    <w:pStyle w:val="44"/>
                    <w:bidi w:val="0"/>
                    <w:rPr>
                      <w:rFonts w:hint="default"/>
                      <w:color w:val="auto"/>
                      <w:lang w:val="en-US" w:eastAsia="zh-CN"/>
                    </w:rPr>
                  </w:pPr>
                  <w:r>
                    <w:rPr>
                      <w:rFonts w:hint="eastAsia"/>
                      <w:color w:val="auto"/>
                      <w:lang w:val="en-US" w:eastAsia="zh-CN"/>
                    </w:rPr>
                    <w:t>外购</w:t>
                  </w:r>
                </w:p>
              </w:tc>
            </w:tr>
            <w:tr w14:paraId="4A71BCE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39" w:type="pct"/>
                  <w:vMerge w:val="continue"/>
                  <w:tcBorders>
                    <w:tl2br w:val="nil"/>
                    <w:tr2bl w:val="nil"/>
                  </w:tcBorders>
                  <w:noWrap w:val="0"/>
                  <w:vAlign w:val="center"/>
                </w:tcPr>
                <w:p w14:paraId="617DBB33">
                  <w:pPr>
                    <w:pStyle w:val="44"/>
                    <w:bidi w:val="0"/>
                    <w:rPr>
                      <w:rFonts w:hint="default" w:ascii="Times New Roman" w:hAnsi="Times New Roman" w:eastAsia="宋体"/>
                      <w:color w:val="auto"/>
                      <w:kern w:val="2"/>
                      <w:sz w:val="21"/>
                      <w:szCs w:val="21"/>
                      <w:lang w:val="en-US" w:eastAsia="zh-CN" w:bidi="ar-SA"/>
                    </w:rPr>
                  </w:pPr>
                </w:p>
              </w:tc>
              <w:tc>
                <w:tcPr>
                  <w:tcW w:w="999" w:type="pct"/>
                  <w:tcBorders>
                    <w:tl2br w:val="nil"/>
                    <w:tr2bl w:val="nil"/>
                  </w:tcBorders>
                  <w:noWrap w:val="0"/>
                  <w:vAlign w:val="center"/>
                </w:tcPr>
                <w:p w14:paraId="17D16459">
                  <w:pPr>
                    <w:pStyle w:val="44"/>
                    <w:bidi w:val="0"/>
                    <w:jc w:val="center"/>
                    <w:rPr>
                      <w:rFonts w:hint="default"/>
                      <w:color w:val="auto"/>
                      <w:lang w:val="en-US" w:eastAsia="zh-CN"/>
                    </w:rPr>
                  </w:pPr>
                  <w:r>
                    <w:rPr>
                      <w:rFonts w:hint="eastAsia"/>
                      <w:color w:val="auto"/>
                    </w:rPr>
                    <w:t>无机粉体</w:t>
                  </w:r>
                </w:p>
              </w:tc>
              <w:tc>
                <w:tcPr>
                  <w:tcW w:w="657" w:type="pct"/>
                  <w:tcBorders>
                    <w:tl2br w:val="nil"/>
                    <w:tr2bl w:val="nil"/>
                  </w:tcBorders>
                  <w:noWrap w:val="0"/>
                  <w:vAlign w:val="center"/>
                </w:tcPr>
                <w:p w14:paraId="19A5905B">
                  <w:pPr>
                    <w:pStyle w:val="44"/>
                    <w:bidi w:val="0"/>
                    <w:rPr>
                      <w:rFonts w:hint="eastAsia"/>
                      <w:color w:val="auto"/>
                      <w:lang w:val="en-US" w:eastAsia="zh-CN"/>
                    </w:rPr>
                  </w:pPr>
                  <w:r>
                    <w:rPr>
                      <w:rFonts w:hint="eastAsia"/>
                      <w:color w:val="auto"/>
                      <w:lang w:val="en-US" w:eastAsia="zh-CN"/>
                    </w:rPr>
                    <w:t>固</w:t>
                  </w:r>
                </w:p>
              </w:tc>
              <w:tc>
                <w:tcPr>
                  <w:tcW w:w="694" w:type="pct"/>
                  <w:tcBorders>
                    <w:tl2br w:val="nil"/>
                    <w:tr2bl w:val="nil"/>
                  </w:tcBorders>
                  <w:noWrap w:val="0"/>
                  <w:vAlign w:val="center"/>
                </w:tcPr>
                <w:p w14:paraId="54F4A956">
                  <w:pPr>
                    <w:pStyle w:val="44"/>
                    <w:bidi w:val="0"/>
                    <w:rPr>
                      <w:rFonts w:hint="default"/>
                      <w:color w:val="auto"/>
                      <w:lang w:val="en-US" w:eastAsia="zh-CN"/>
                    </w:rPr>
                  </w:pPr>
                  <w:r>
                    <w:rPr>
                      <w:rFonts w:hint="eastAsia"/>
                      <w:color w:val="auto"/>
                      <w:lang w:val="en-US" w:eastAsia="zh-CN"/>
                    </w:rPr>
                    <w:t>袋装</w:t>
                  </w:r>
                </w:p>
              </w:tc>
              <w:tc>
                <w:tcPr>
                  <w:tcW w:w="637" w:type="pct"/>
                  <w:tcBorders>
                    <w:tl2br w:val="nil"/>
                    <w:tr2bl w:val="nil"/>
                  </w:tcBorders>
                  <w:noWrap w:val="0"/>
                  <w:vAlign w:val="center"/>
                </w:tcPr>
                <w:p w14:paraId="5E957B28">
                  <w:pPr>
                    <w:pStyle w:val="44"/>
                    <w:bidi w:val="0"/>
                    <w:rPr>
                      <w:rFonts w:hint="default" w:eastAsia="宋体"/>
                      <w:color w:val="auto"/>
                      <w:lang w:val="en-US" w:eastAsia="zh-CN"/>
                    </w:rPr>
                  </w:pPr>
                  <w:r>
                    <w:rPr>
                      <w:rFonts w:hint="eastAsia"/>
                      <w:color w:val="auto"/>
                      <w:lang w:val="en-US" w:eastAsia="zh-CN"/>
                    </w:rPr>
                    <w:t>6123.5</w:t>
                  </w:r>
                  <w:r>
                    <w:rPr>
                      <w:rFonts w:hint="default"/>
                      <w:color w:val="auto"/>
                      <w:lang w:val="en-US" w:eastAsia="zh-CN"/>
                    </w:rPr>
                    <w:t>t/a</w:t>
                  </w:r>
                </w:p>
              </w:tc>
              <w:tc>
                <w:tcPr>
                  <w:tcW w:w="676" w:type="pct"/>
                  <w:tcBorders>
                    <w:tl2br w:val="nil"/>
                    <w:tr2bl w:val="nil"/>
                  </w:tcBorders>
                  <w:noWrap w:val="0"/>
                  <w:vAlign w:val="center"/>
                </w:tcPr>
                <w:p w14:paraId="75E6697D">
                  <w:pPr>
                    <w:pStyle w:val="44"/>
                    <w:bidi w:val="0"/>
                    <w:rPr>
                      <w:rFonts w:hint="default"/>
                      <w:color w:val="auto"/>
                      <w:lang w:val="en-US" w:eastAsia="zh-CN"/>
                    </w:rPr>
                  </w:pPr>
                  <w:r>
                    <w:rPr>
                      <w:rFonts w:hint="eastAsia"/>
                      <w:color w:val="auto"/>
                      <w:lang w:val="en-US" w:eastAsia="zh-CN"/>
                    </w:rPr>
                    <w:t>原料仓库</w:t>
                  </w:r>
                </w:p>
              </w:tc>
              <w:tc>
                <w:tcPr>
                  <w:tcW w:w="486" w:type="pct"/>
                  <w:tcBorders>
                    <w:tl2br w:val="nil"/>
                    <w:tr2bl w:val="nil"/>
                  </w:tcBorders>
                  <w:noWrap w:val="0"/>
                  <w:vAlign w:val="center"/>
                </w:tcPr>
                <w:p w14:paraId="643655E9">
                  <w:pPr>
                    <w:pStyle w:val="44"/>
                    <w:bidi w:val="0"/>
                    <w:rPr>
                      <w:rFonts w:hint="default"/>
                      <w:color w:val="auto"/>
                      <w:lang w:val="en-US" w:eastAsia="zh-CN"/>
                    </w:rPr>
                  </w:pPr>
                  <w:r>
                    <w:rPr>
                      <w:rFonts w:hint="eastAsia"/>
                      <w:color w:val="auto"/>
                      <w:lang w:val="en-US" w:eastAsia="zh-CN"/>
                    </w:rPr>
                    <w:t>500t</w:t>
                  </w:r>
                </w:p>
              </w:tc>
              <w:tc>
                <w:tcPr>
                  <w:tcW w:w="407" w:type="pct"/>
                  <w:tcBorders>
                    <w:tl2br w:val="nil"/>
                    <w:tr2bl w:val="nil"/>
                  </w:tcBorders>
                  <w:noWrap w:val="0"/>
                  <w:vAlign w:val="center"/>
                </w:tcPr>
                <w:p w14:paraId="723C7864">
                  <w:pPr>
                    <w:pStyle w:val="44"/>
                    <w:bidi w:val="0"/>
                    <w:rPr>
                      <w:rFonts w:hint="default"/>
                      <w:color w:val="auto"/>
                      <w:lang w:val="en-US" w:eastAsia="zh-CN"/>
                    </w:rPr>
                  </w:pPr>
                  <w:r>
                    <w:rPr>
                      <w:rFonts w:hint="eastAsia"/>
                      <w:color w:val="auto"/>
                      <w:lang w:val="en-US" w:eastAsia="zh-CN"/>
                    </w:rPr>
                    <w:t>外购</w:t>
                  </w:r>
                </w:p>
              </w:tc>
            </w:tr>
            <w:tr w14:paraId="3B4C9AD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39" w:type="pct"/>
                  <w:vMerge w:val="continue"/>
                  <w:tcBorders>
                    <w:tl2br w:val="nil"/>
                    <w:tr2bl w:val="nil"/>
                  </w:tcBorders>
                  <w:noWrap w:val="0"/>
                  <w:vAlign w:val="center"/>
                </w:tcPr>
                <w:p w14:paraId="747EDB13">
                  <w:pPr>
                    <w:pStyle w:val="44"/>
                    <w:bidi w:val="0"/>
                    <w:rPr>
                      <w:rFonts w:hint="default" w:ascii="Times New Roman" w:hAnsi="Times New Roman" w:eastAsia="宋体"/>
                      <w:color w:val="auto"/>
                      <w:kern w:val="2"/>
                      <w:sz w:val="21"/>
                      <w:szCs w:val="21"/>
                      <w:lang w:val="en-US" w:eastAsia="zh-CN" w:bidi="ar-SA"/>
                    </w:rPr>
                  </w:pPr>
                </w:p>
              </w:tc>
              <w:tc>
                <w:tcPr>
                  <w:tcW w:w="999" w:type="pct"/>
                  <w:tcBorders>
                    <w:tl2br w:val="nil"/>
                    <w:tr2bl w:val="nil"/>
                  </w:tcBorders>
                  <w:noWrap w:val="0"/>
                  <w:vAlign w:val="center"/>
                </w:tcPr>
                <w:p w14:paraId="0251D041">
                  <w:pPr>
                    <w:pStyle w:val="44"/>
                    <w:bidi w:val="0"/>
                    <w:jc w:val="center"/>
                    <w:rPr>
                      <w:rFonts w:hint="default"/>
                      <w:color w:val="auto"/>
                      <w:lang w:val="en-US" w:eastAsia="zh-CN"/>
                    </w:rPr>
                  </w:pPr>
                  <w:r>
                    <w:rPr>
                      <w:rFonts w:hint="eastAsia"/>
                      <w:color w:val="auto"/>
                    </w:rPr>
                    <w:t>硅烷偶联剂</w:t>
                  </w:r>
                </w:p>
              </w:tc>
              <w:tc>
                <w:tcPr>
                  <w:tcW w:w="657" w:type="pct"/>
                  <w:tcBorders>
                    <w:tl2br w:val="nil"/>
                    <w:tr2bl w:val="nil"/>
                  </w:tcBorders>
                  <w:noWrap w:val="0"/>
                  <w:vAlign w:val="center"/>
                </w:tcPr>
                <w:p w14:paraId="0ED9BDFF">
                  <w:pPr>
                    <w:pStyle w:val="44"/>
                    <w:bidi w:val="0"/>
                    <w:rPr>
                      <w:rFonts w:hint="eastAsia"/>
                      <w:color w:val="auto"/>
                      <w:lang w:val="en-US" w:eastAsia="zh-CN"/>
                    </w:rPr>
                  </w:pPr>
                  <w:r>
                    <w:rPr>
                      <w:rFonts w:hint="eastAsia"/>
                      <w:color w:val="auto"/>
                      <w:lang w:val="en-US" w:eastAsia="zh-CN"/>
                    </w:rPr>
                    <w:t>液态</w:t>
                  </w:r>
                </w:p>
              </w:tc>
              <w:tc>
                <w:tcPr>
                  <w:tcW w:w="694" w:type="pct"/>
                  <w:tcBorders>
                    <w:tl2br w:val="nil"/>
                    <w:tr2bl w:val="nil"/>
                  </w:tcBorders>
                  <w:noWrap w:val="0"/>
                  <w:vAlign w:val="center"/>
                </w:tcPr>
                <w:p w14:paraId="74449E8A">
                  <w:pPr>
                    <w:pStyle w:val="44"/>
                    <w:bidi w:val="0"/>
                    <w:rPr>
                      <w:rFonts w:hint="default"/>
                      <w:color w:val="auto"/>
                      <w:lang w:val="en-US" w:eastAsia="zh-CN"/>
                    </w:rPr>
                  </w:pPr>
                  <w:r>
                    <w:rPr>
                      <w:rFonts w:hint="eastAsia"/>
                      <w:color w:val="auto"/>
                      <w:lang w:val="en-US" w:eastAsia="zh-CN"/>
                    </w:rPr>
                    <w:t>桶装</w:t>
                  </w:r>
                </w:p>
              </w:tc>
              <w:tc>
                <w:tcPr>
                  <w:tcW w:w="637" w:type="pct"/>
                  <w:tcBorders>
                    <w:tl2br w:val="nil"/>
                    <w:tr2bl w:val="nil"/>
                  </w:tcBorders>
                  <w:noWrap w:val="0"/>
                  <w:vAlign w:val="center"/>
                </w:tcPr>
                <w:p w14:paraId="0452CFBC">
                  <w:pPr>
                    <w:pStyle w:val="44"/>
                    <w:bidi w:val="0"/>
                    <w:rPr>
                      <w:rFonts w:hint="default" w:eastAsia="宋体"/>
                      <w:color w:val="auto"/>
                      <w:lang w:val="en-US" w:eastAsia="zh-CN"/>
                    </w:rPr>
                  </w:pPr>
                  <w:r>
                    <w:rPr>
                      <w:rFonts w:hint="eastAsia"/>
                      <w:color w:val="auto"/>
                      <w:lang w:val="en-US" w:eastAsia="zh-CN"/>
                    </w:rPr>
                    <w:t>116</w:t>
                  </w:r>
                  <w:r>
                    <w:rPr>
                      <w:rFonts w:hint="default"/>
                      <w:color w:val="auto"/>
                      <w:lang w:val="en-US" w:eastAsia="zh-CN"/>
                    </w:rPr>
                    <w:t>t/a</w:t>
                  </w:r>
                </w:p>
              </w:tc>
              <w:tc>
                <w:tcPr>
                  <w:tcW w:w="676" w:type="pct"/>
                  <w:tcBorders>
                    <w:tl2br w:val="nil"/>
                    <w:tr2bl w:val="nil"/>
                  </w:tcBorders>
                  <w:noWrap w:val="0"/>
                  <w:vAlign w:val="center"/>
                </w:tcPr>
                <w:p w14:paraId="4384C344">
                  <w:pPr>
                    <w:pStyle w:val="44"/>
                    <w:bidi w:val="0"/>
                    <w:rPr>
                      <w:rFonts w:hint="default"/>
                      <w:color w:val="auto"/>
                      <w:lang w:val="en-US" w:eastAsia="zh-CN"/>
                    </w:rPr>
                  </w:pPr>
                  <w:r>
                    <w:rPr>
                      <w:rFonts w:hint="eastAsia"/>
                      <w:color w:val="auto"/>
                      <w:lang w:val="en-US" w:eastAsia="zh-CN"/>
                    </w:rPr>
                    <w:t>原料仓库</w:t>
                  </w:r>
                </w:p>
              </w:tc>
              <w:tc>
                <w:tcPr>
                  <w:tcW w:w="486" w:type="pct"/>
                  <w:tcBorders>
                    <w:tl2br w:val="nil"/>
                    <w:tr2bl w:val="nil"/>
                  </w:tcBorders>
                  <w:noWrap w:val="0"/>
                  <w:vAlign w:val="center"/>
                </w:tcPr>
                <w:p w14:paraId="37438D8F">
                  <w:pPr>
                    <w:pStyle w:val="44"/>
                    <w:bidi w:val="0"/>
                    <w:rPr>
                      <w:rFonts w:hint="default"/>
                      <w:color w:val="auto"/>
                      <w:lang w:val="en-US" w:eastAsia="zh-CN"/>
                    </w:rPr>
                  </w:pPr>
                  <w:r>
                    <w:rPr>
                      <w:rFonts w:hint="eastAsia"/>
                      <w:color w:val="auto"/>
                      <w:lang w:val="en-US" w:eastAsia="zh-CN"/>
                    </w:rPr>
                    <w:t>216t</w:t>
                  </w:r>
                </w:p>
              </w:tc>
              <w:tc>
                <w:tcPr>
                  <w:tcW w:w="407" w:type="pct"/>
                  <w:tcBorders>
                    <w:tl2br w:val="nil"/>
                    <w:tr2bl w:val="nil"/>
                  </w:tcBorders>
                  <w:noWrap w:val="0"/>
                  <w:vAlign w:val="center"/>
                </w:tcPr>
                <w:p w14:paraId="18FFE687">
                  <w:pPr>
                    <w:pStyle w:val="44"/>
                    <w:bidi w:val="0"/>
                    <w:rPr>
                      <w:rFonts w:hint="default"/>
                      <w:color w:val="auto"/>
                      <w:lang w:val="en-US" w:eastAsia="zh-CN"/>
                    </w:rPr>
                  </w:pPr>
                  <w:r>
                    <w:rPr>
                      <w:rFonts w:hint="eastAsia"/>
                      <w:color w:val="auto"/>
                      <w:lang w:val="en-US" w:eastAsia="zh-CN"/>
                    </w:rPr>
                    <w:t>外购</w:t>
                  </w:r>
                </w:p>
              </w:tc>
            </w:tr>
            <w:tr w14:paraId="59EAD27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39" w:type="pct"/>
                  <w:vMerge w:val="continue"/>
                  <w:tcBorders>
                    <w:tl2br w:val="nil"/>
                    <w:tr2bl w:val="nil"/>
                  </w:tcBorders>
                  <w:noWrap w:val="0"/>
                  <w:vAlign w:val="center"/>
                </w:tcPr>
                <w:p w14:paraId="02600B58">
                  <w:pPr>
                    <w:pStyle w:val="44"/>
                    <w:bidi w:val="0"/>
                    <w:rPr>
                      <w:rFonts w:hint="default" w:ascii="Times New Roman" w:hAnsi="Times New Roman" w:eastAsia="宋体"/>
                      <w:color w:val="auto"/>
                      <w:kern w:val="2"/>
                      <w:sz w:val="21"/>
                      <w:szCs w:val="21"/>
                      <w:lang w:val="en-US" w:eastAsia="zh-CN" w:bidi="ar-SA"/>
                    </w:rPr>
                  </w:pPr>
                </w:p>
              </w:tc>
              <w:tc>
                <w:tcPr>
                  <w:tcW w:w="999" w:type="pct"/>
                  <w:tcBorders>
                    <w:tl2br w:val="nil"/>
                    <w:tr2bl w:val="nil"/>
                  </w:tcBorders>
                  <w:noWrap w:val="0"/>
                  <w:vAlign w:val="center"/>
                </w:tcPr>
                <w:p w14:paraId="218A3C04">
                  <w:pPr>
                    <w:pStyle w:val="44"/>
                    <w:bidi w:val="0"/>
                    <w:jc w:val="center"/>
                    <w:rPr>
                      <w:rFonts w:hint="default"/>
                      <w:color w:val="auto"/>
                      <w:lang w:val="en-US" w:eastAsia="zh-CN"/>
                    </w:rPr>
                  </w:pPr>
                  <w:r>
                    <w:rPr>
                      <w:rFonts w:hint="eastAsia"/>
                      <w:color w:val="auto"/>
                    </w:rPr>
                    <w:t>抗老化剂</w:t>
                  </w:r>
                </w:p>
              </w:tc>
              <w:tc>
                <w:tcPr>
                  <w:tcW w:w="657" w:type="pct"/>
                  <w:tcBorders>
                    <w:tl2br w:val="nil"/>
                    <w:tr2bl w:val="nil"/>
                  </w:tcBorders>
                  <w:noWrap w:val="0"/>
                  <w:vAlign w:val="center"/>
                </w:tcPr>
                <w:p w14:paraId="395177FA">
                  <w:pPr>
                    <w:pStyle w:val="44"/>
                    <w:bidi w:val="0"/>
                    <w:rPr>
                      <w:rFonts w:hint="eastAsia"/>
                      <w:color w:val="auto"/>
                      <w:lang w:val="en-US" w:eastAsia="zh-CN"/>
                    </w:rPr>
                  </w:pPr>
                  <w:r>
                    <w:rPr>
                      <w:rFonts w:hint="eastAsia"/>
                      <w:color w:val="auto"/>
                      <w:lang w:val="en-US" w:eastAsia="zh-CN"/>
                    </w:rPr>
                    <w:t>固</w:t>
                  </w:r>
                </w:p>
              </w:tc>
              <w:tc>
                <w:tcPr>
                  <w:tcW w:w="694" w:type="pct"/>
                  <w:tcBorders>
                    <w:tl2br w:val="nil"/>
                    <w:tr2bl w:val="nil"/>
                  </w:tcBorders>
                  <w:noWrap w:val="0"/>
                  <w:vAlign w:val="center"/>
                </w:tcPr>
                <w:p w14:paraId="55FB1565">
                  <w:pPr>
                    <w:pStyle w:val="44"/>
                    <w:bidi w:val="0"/>
                    <w:rPr>
                      <w:rFonts w:hint="default"/>
                      <w:color w:val="auto"/>
                      <w:lang w:val="en-US" w:eastAsia="zh-CN"/>
                    </w:rPr>
                  </w:pPr>
                  <w:r>
                    <w:rPr>
                      <w:rFonts w:hint="eastAsia"/>
                      <w:color w:val="auto"/>
                      <w:lang w:val="en-US" w:eastAsia="zh-CN"/>
                    </w:rPr>
                    <w:t>袋装</w:t>
                  </w:r>
                </w:p>
              </w:tc>
              <w:tc>
                <w:tcPr>
                  <w:tcW w:w="637" w:type="pct"/>
                  <w:tcBorders>
                    <w:tl2br w:val="nil"/>
                    <w:tr2bl w:val="nil"/>
                  </w:tcBorders>
                  <w:noWrap w:val="0"/>
                  <w:vAlign w:val="center"/>
                </w:tcPr>
                <w:p w14:paraId="77A37843">
                  <w:pPr>
                    <w:pStyle w:val="44"/>
                    <w:bidi w:val="0"/>
                    <w:rPr>
                      <w:rFonts w:hint="default" w:eastAsia="宋体"/>
                      <w:color w:val="auto"/>
                      <w:lang w:val="en-US" w:eastAsia="zh-CN"/>
                    </w:rPr>
                  </w:pPr>
                  <w:r>
                    <w:rPr>
                      <w:rFonts w:hint="eastAsia"/>
                      <w:color w:val="auto"/>
                      <w:lang w:val="en-US" w:eastAsia="zh-CN"/>
                    </w:rPr>
                    <w:t>20</w:t>
                  </w:r>
                  <w:r>
                    <w:rPr>
                      <w:rFonts w:hint="default"/>
                      <w:color w:val="auto"/>
                      <w:lang w:val="en-US" w:eastAsia="zh-CN"/>
                    </w:rPr>
                    <w:t>t/a</w:t>
                  </w:r>
                </w:p>
              </w:tc>
              <w:tc>
                <w:tcPr>
                  <w:tcW w:w="676" w:type="pct"/>
                  <w:tcBorders>
                    <w:tl2br w:val="nil"/>
                    <w:tr2bl w:val="nil"/>
                  </w:tcBorders>
                  <w:noWrap w:val="0"/>
                  <w:vAlign w:val="center"/>
                </w:tcPr>
                <w:p w14:paraId="3C49325D">
                  <w:pPr>
                    <w:pStyle w:val="44"/>
                    <w:bidi w:val="0"/>
                    <w:rPr>
                      <w:rFonts w:hint="default"/>
                      <w:color w:val="auto"/>
                      <w:lang w:val="en-US" w:eastAsia="zh-CN"/>
                    </w:rPr>
                  </w:pPr>
                  <w:r>
                    <w:rPr>
                      <w:rFonts w:hint="eastAsia"/>
                      <w:color w:val="auto"/>
                      <w:lang w:val="en-US" w:eastAsia="zh-CN"/>
                    </w:rPr>
                    <w:t>原料仓库</w:t>
                  </w:r>
                </w:p>
              </w:tc>
              <w:tc>
                <w:tcPr>
                  <w:tcW w:w="486" w:type="pct"/>
                  <w:tcBorders>
                    <w:tl2br w:val="nil"/>
                    <w:tr2bl w:val="nil"/>
                  </w:tcBorders>
                  <w:noWrap w:val="0"/>
                  <w:vAlign w:val="center"/>
                </w:tcPr>
                <w:p w14:paraId="4FECC397">
                  <w:pPr>
                    <w:pStyle w:val="44"/>
                    <w:bidi w:val="0"/>
                    <w:rPr>
                      <w:rFonts w:hint="default"/>
                      <w:color w:val="auto"/>
                      <w:lang w:val="en-US" w:eastAsia="zh-CN"/>
                    </w:rPr>
                  </w:pPr>
                  <w:r>
                    <w:rPr>
                      <w:rFonts w:hint="eastAsia"/>
                      <w:color w:val="auto"/>
                      <w:lang w:val="en-US" w:eastAsia="zh-CN"/>
                    </w:rPr>
                    <w:t>20t</w:t>
                  </w:r>
                </w:p>
              </w:tc>
              <w:tc>
                <w:tcPr>
                  <w:tcW w:w="407" w:type="pct"/>
                  <w:tcBorders>
                    <w:tl2br w:val="nil"/>
                    <w:tr2bl w:val="nil"/>
                  </w:tcBorders>
                  <w:noWrap w:val="0"/>
                  <w:vAlign w:val="center"/>
                </w:tcPr>
                <w:p w14:paraId="450060DE">
                  <w:pPr>
                    <w:pStyle w:val="44"/>
                    <w:bidi w:val="0"/>
                    <w:rPr>
                      <w:rFonts w:hint="default"/>
                      <w:color w:val="auto"/>
                      <w:lang w:val="en-US" w:eastAsia="zh-CN"/>
                    </w:rPr>
                  </w:pPr>
                  <w:r>
                    <w:rPr>
                      <w:rFonts w:hint="eastAsia"/>
                      <w:color w:val="auto"/>
                      <w:lang w:val="en-US" w:eastAsia="zh-CN"/>
                    </w:rPr>
                    <w:t>外购</w:t>
                  </w:r>
                </w:p>
              </w:tc>
            </w:tr>
            <w:tr w14:paraId="7456B11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39" w:type="pct"/>
                  <w:vMerge w:val="continue"/>
                  <w:tcBorders>
                    <w:tl2br w:val="nil"/>
                    <w:tr2bl w:val="nil"/>
                  </w:tcBorders>
                  <w:noWrap w:val="0"/>
                  <w:vAlign w:val="center"/>
                </w:tcPr>
                <w:p w14:paraId="2046AD0B">
                  <w:pPr>
                    <w:pStyle w:val="44"/>
                    <w:bidi w:val="0"/>
                    <w:rPr>
                      <w:rFonts w:hint="default" w:ascii="Times New Roman" w:hAnsi="Times New Roman" w:eastAsia="宋体"/>
                      <w:color w:val="auto"/>
                      <w:kern w:val="2"/>
                      <w:sz w:val="21"/>
                      <w:szCs w:val="21"/>
                      <w:lang w:val="en-US" w:eastAsia="zh-CN" w:bidi="ar-SA"/>
                    </w:rPr>
                  </w:pPr>
                </w:p>
              </w:tc>
              <w:tc>
                <w:tcPr>
                  <w:tcW w:w="999" w:type="pct"/>
                  <w:tcBorders>
                    <w:tl2br w:val="nil"/>
                    <w:tr2bl w:val="nil"/>
                  </w:tcBorders>
                  <w:noWrap w:val="0"/>
                  <w:vAlign w:val="center"/>
                </w:tcPr>
                <w:p w14:paraId="3E4B4BDB">
                  <w:pPr>
                    <w:pStyle w:val="44"/>
                    <w:bidi w:val="0"/>
                    <w:jc w:val="center"/>
                    <w:rPr>
                      <w:rFonts w:hint="default"/>
                      <w:color w:val="auto"/>
                      <w:lang w:val="en-US" w:eastAsia="zh-CN"/>
                    </w:rPr>
                  </w:pPr>
                  <w:r>
                    <w:rPr>
                      <w:rFonts w:hint="eastAsia"/>
                      <w:color w:val="auto"/>
                    </w:rPr>
                    <w:t>纳米二氧化硅</w:t>
                  </w:r>
                </w:p>
              </w:tc>
              <w:tc>
                <w:tcPr>
                  <w:tcW w:w="657" w:type="pct"/>
                  <w:tcBorders>
                    <w:tl2br w:val="nil"/>
                    <w:tr2bl w:val="nil"/>
                  </w:tcBorders>
                  <w:noWrap w:val="0"/>
                  <w:vAlign w:val="center"/>
                </w:tcPr>
                <w:p w14:paraId="7A47DCD3">
                  <w:pPr>
                    <w:pStyle w:val="44"/>
                    <w:bidi w:val="0"/>
                    <w:rPr>
                      <w:rFonts w:hint="eastAsia" w:ascii="Times New Roman" w:hAnsi="Times New Roman" w:eastAsia="宋体"/>
                      <w:color w:val="auto"/>
                      <w:kern w:val="2"/>
                      <w:sz w:val="21"/>
                      <w:szCs w:val="21"/>
                      <w:lang w:val="en-US" w:eastAsia="zh-CN" w:bidi="ar-SA"/>
                    </w:rPr>
                  </w:pPr>
                  <w:r>
                    <w:rPr>
                      <w:rFonts w:hint="eastAsia"/>
                      <w:color w:val="auto"/>
                      <w:lang w:val="en-US" w:eastAsia="zh-CN"/>
                    </w:rPr>
                    <w:t>固</w:t>
                  </w:r>
                </w:p>
              </w:tc>
              <w:tc>
                <w:tcPr>
                  <w:tcW w:w="694" w:type="pct"/>
                  <w:tcBorders>
                    <w:tl2br w:val="nil"/>
                    <w:tr2bl w:val="nil"/>
                  </w:tcBorders>
                  <w:noWrap w:val="0"/>
                  <w:vAlign w:val="center"/>
                </w:tcPr>
                <w:p w14:paraId="5E99A7EA">
                  <w:pPr>
                    <w:pStyle w:val="44"/>
                    <w:bidi w:val="0"/>
                    <w:rPr>
                      <w:rFonts w:hint="default" w:ascii="Times New Roman" w:hAnsi="Times New Roman" w:eastAsia="宋体"/>
                      <w:color w:val="auto"/>
                      <w:kern w:val="2"/>
                      <w:sz w:val="21"/>
                      <w:szCs w:val="21"/>
                      <w:lang w:val="en-US" w:eastAsia="zh-CN" w:bidi="ar-SA"/>
                    </w:rPr>
                  </w:pPr>
                  <w:r>
                    <w:rPr>
                      <w:rFonts w:hint="eastAsia"/>
                      <w:color w:val="auto"/>
                      <w:lang w:val="en-US" w:eastAsia="zh-CN"/>
                    </w:rPr>
                    <w:t>袋装</w:t>
                  </w:r>
                </w:p>
              </w:tc>
              <w:tc>
                <w:tcPr>
                  <w:tcW w:w="637" w:type="pct"/>
                  <w:tcBorders>
                    <w:tl2br w:val="nil"/>
                    <w:tr2bl w:val="nil"/>
                  </w:tcBorders>
                  <w:noWrap w:val="0"/>
                  <w:vAlign w:val="center"/>
                </w:tcPr>
                <w:p w14:paraId="22FE7B73">
                  <w:pPr>
                    <w:pStyle w:val="44"/>
                    <w:bidi w:val="0"/>
                    <w:rPr>
                      <w:rFonts w:hint="default"/>
                      <w:color w:val="auto"/>
                      <w:lang w:val="en-US" w:eastAsia="zh-CN"/>
                    </w:rPr>
                  </w:pPr>
                  <w:r>
                    <w:rPr>
                      <w:rFonts w:hint="eastAsia"/>
                      <w:color w:val="auto"/>
                      <w:lang w:val="en-US" w:eastAsia="zh-CN"/>
                    </w:rPr>
                    <w:t>120</w:t>
                  </w:r>
                  <w:r>
                    <w:rPr>
                      <w:rFonts w:hint="default"/>
                      <w:color w:val="auto"/>
                      <w:lang w:val="en-US" w:eastAsia="zh-CN"/>
                    </w:rPr>
                    <w:t>t/a</w:t>
                  </w:r>
                </w:p>
              </w:tc>
              <w:tc>
                <w:tcPr>
                  <w:tcW w:w="676" w:type="pct"/>
                  <w:tcBorders>
                    <w:tl2br w:val="nil"/>
                    <w:tr2bl w:val="nil"/>
                  </w:tcBorders>
                  <w:noWrap w:val="0"/>
                  <w:vAlign w:val="center"/>
                </w:tcPr>
                <w:p w14:paraId="307D7E17">
                  <w:pPr>
                    <w:pStyle w:val="44"/>
                    <w:bidi w:val="0"/>
                    <w:rPr>
                      <w:rFonts w:hint="default"/>
                      <w:color w:val="auto"/>
                      <w:lang w:val="en-US" w:eastAsia="zh-CN"/>
                    </w:rPr>
                  </w:pPr>
                  <w:r>
                    <w:rPr>
                      <w:rFonts w:hint="eastAsia"/>
                      <w:color w:val="auto"/>
                      <w:lang w:val="en-US" w:eastAsia="zh-CN"/>
                    </w:rPr>
                    <w:t>原料仓库</w:t>
                  </w:r>
                </w:p>
              </w:tc>
              <w:tc>
                <w:tcPr>
                  <w:tcW w:w="486" w:type="pct"/>
                  <w:tcBorders>
                    <w:tl2br w:val="nil"/>
                    <w:tr2bl w:val="nil"/>
                  </w:tcBorders>
                  <w:noWrap w:val="0"/>
                  <w:vAlign w:val="center"/>
                </w:tcPr>
                <w:p w14:paraId="4E47DAC7">
                  <w:pPr>
                    <w:pStyle w:val="44"/>
                    <w:bidi w:val="0"/>
                    <w:rPr>
                      <w:rFonts w:hint="default"/>
                      <w:color w:val="auto"/>
                      <w:lang w:val="en-US" w:eastAsia="zh-CN"/>
                    </w:rPr>
                  </w:pPr>
                  <w:r>
                    <w:rPr>
                      <w:rFonts w:hint="eastAsia"/>
                      <w:color w:val="auto"/>
                      <w:lang w:val="en-US" w:eastAsia="zh-CN"/>
                    </w:rPr>
                    <w:t>200t</w:t>
                  </w:r>
                </w:p>
              </w:tc>
              <w:tc>
                <w:tcPr>
                  <w:tcW w:w="407" w:type="pct"/>
                  <w:tcBorders>
                    <w:tl2br w:val="nil"/>
                    <w:tr2bl w:val="nil"/>
                  </w:tcBorders>
                  <w:noWrap w:val="0"/>
                  <w:vAlign w:val="center"/>
                </w:tcPr>
                <w:p w14:paraId="5A1BB09F">
                  <w:pPr>
                    <w:pStyle w:val="44"/>
                    <w:bidi w:val="0"/>
                    <w:rPr>
                      <w:rFonts w:hint="default"/>
                      <w:color w:val="auto"/>
                      <w:lang w:val="en-US" w:eastAsia="zh-CN"/>
                    </w:rPr>
                  </w:pPr>
                  <w:r>
                    <w:rPr>
                      <w:rFonts w:hint="eastAsia"/>
                      <w:color w:val="auto"/>
                      <w:lang w:val="en-US" w:eastAsia="zh-CN"/>
                    </w:rPr>
                    <w:t>外购</w:t>
                  </w:r>
                </w:p>
              </w:tc>
            </w:tr>
            <w:tr w14:paraId="6BBB267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39" w:type="pct"/>
                  <w:vMerge w:val="continue"/>
                  <w:tcBorders>
                    <w:tl2br w:val="nil"/>
                    <w:tr2bl w:val="nil"/>
                  </w:tcBorders>
                  <w:noWrap w:val="0"/>
                  <w:vAlign w:val="center"/>
                </w:tcPr>
                <w:p w14:paraId="17528FEC">
                  <w:pPr>
                    <w:pStyle w:val="44"/>
                    <w:bidi w:val="0"/>
                    <w:rPr>
                      <w:rFonts w:hint="default" w:ascii="Times New Roman" w:hAnsi="Times New Roman" w:eastAsia="宋体"/>
                      <w:color w:val="auto"/>
                      <w:kern w:val="2"/>
                      <w:sz w:val="21"/>
                      <w:szCs w:val="21"/>
                      <w:lang w:val="en-US" w:eastAsia="zh-CN" w:bidi="ar-SA"/>
                    </w:rPr>
                  </w:pPr>
                </w:p>
              </w:tc>
              <w:tc>
                <w:tcPr>
                  <w:tcW w:w="999" w:type="pct"/>
                  <w:tcBorders>
                    <w:tl2br w:val="nil"/>
                    <w:tr2bl w:val="nil"/>
                  </w:tcBorders>
                  <w:noWrap w:val="0"/>
                  <w:vAlign w:val="center"/>
                </w:tcPr>
                <w:p w14:paraId="2CEF6198">
                  <w:pPr>
                    <w:pStyle w:val="44"/>
                    <w:bidi w:val="0"/>
                    <w:rPr>
                      <w:rFonts w:hint="default"/>
                      <w:color w:val="auto"/>
                      <w:lang w:val="en-US" w:eastAsia="zh-CN"/>
                    </w:rPr>
                  </w:pPr>
                  <w:r>
                    <w:rPr>
                      <w:rFonts w:hint="eastAsia"/>
                      <w:color w:val="auto"/>
                      <w:lang w:val="en-US" w:eastAsia="zh-CN"/>
                    </w:rPr>
                    <w:t>催化剂</w:t>
                  </w:r>
                </w:p>
              </w:tc>
              <w:tc>
                <w:tcPr>
                  <w:tcW w:w="657" w:type="pct"/>
                  <w:tcBorders>
                    <w:tl2br w:val="nil"/>
                    <w:tr2bl w:val="nil"/>
                  </w:tcBorders>
                  <w:noWrap w:val="0"/>
                  <w:vAlign w:val="center"/>
                </w:tcPr>
                <w:p w14:paraId="08BA47AE">
                  <w:pPr>
                    <w:pStyle w:val="44"/>
                    <w:bidi w:val="0"/>
                    <w:rPr>
                      <w:rFonts w:hint="eastAsia" w:ascii="Times New Roman" w:hAnsi="Times New Roman" w:eastAsia="宋体"/>
                      <w:color w:val="auto"/>
                      <w:kern w:val="2"/>
                      <w:sz w:val="21"/>
                      <w:szCs w:val="21"/>
                      <w:lang w:val="en-US" w:eastAsia="zh-CN" w:bidi="ar-SA"/>
                    </w:rPr>
                  </w:pPr>
                  <w:r>
                    <w:rPr>
                      <w:rFonts w:hint="eastAsia"/>
                      <w:color w:val="auto"/>
                      <w:lang w:val="en-US" w:eastAsia="zh-CN"/>
                    </w:rPr>
                    <w:t>液态</w:t>
                  </w:r>
                </w:p>
              </w:tc>
              <w:tc>
                <w:tcPr>
                  <w:tcW w:w="694" w:type="pct"/>
                  <w:tcBorders>
                    <w:tl2br w:val="nil"/>
                    <w:tr2bl w:val="nil"/>
                  </w:tcBorders>
                  <w:noWrap w:val="0"/>
                  <w:vAlign w:val="center"/>
                </w:tcPr>
                <w:p w14:paraId="263D4E9C">
                  <w:pPr>
                    <w:pStyle w:val="44"/>
                    <w:bidi w:val="0"/>
                    <w:rPr>
                      <w:rFonts w:hint="default" w:ascii="Times New Roman" w:hAnsi="Times New Roman" w:eastAsia="宋体"/>
                      <w:color w:val="auto"/>
                      <w:kern w:val="2"/>
                      <w:sz w:val="21"/>
                      <w:szCs w:val="21"/>
                      <w:lang w:val="en-US" w:eastAsia="zh-CN" w:bidi="ar-SA"/>
                    </w:rPr>
                  </w:pPr>
                  <w:r>
                    <w:rPr>
                      <w:rFonts w:hint="eastAsia"/>
                      <w:color w:val="auto"/>
                      <w:lang w:val="en-US" w:eastAsia="zh-CN"/>
                    </w:rPr>
                    <w:t>桶装</w:t>
                  </w:r>
                </w:p>
              </w:tc>
              <w:tc>
                <w:tcPr>
                  <w:tcW w:w="637" w:type="pct"/>
                  <w:tcBorders>
                    <w:tl2br w:val="nil"/>
                    <w:tr2bl w:val="nil"/>
                  </w:tcBorders>
                  <w:noWrap w:val="0"/>
                  <w:vAlign w:val="center"/>
                </w:tcPr>
                <w:p w14:paraId="4F991026">
                  <w:pPr>
                    <w:pStyle w:val="44"/>
                    <w:bidi w:val="0"/>
                    <w:rPr>
                      <w:rFonts w:hint="default"/>
                      <w:color w:val="auto"/>
                      <w:lang w:val="en-US" w:eastAsia="zh-CN"/>
                    </w:rPr>
                  </w:pPr>
                  <w:r>
                    <w:rPr>
                      <w:rFonts w:hint="eastAsia"/>
                      <w:color w:val="auto"/>
                      <w:lang w:val="en-US" w:eastAsia="zh-CN"/>
                    </w:rPr>
                    <w:t>18</w:t>
                  </w:r>
                  <w:r>
                    <w:rPr>
                      <w:rFonts w:hint="default"/>
                      <w:color w:val="auto"/>
                      <w:lang w:val="en-US" w:eastAsia="zh-CN"/>
                    </w:rPr>
                    <w:t>t/a</w:t>
                  </w:r>
                </w:p>
              </w:tc>
              <w:tc>
                <w:tcPr>
                  <w:tcW w:w="676" w:type="pct"/>
                  <w:tcBorders>
                    <w:tl2br w:val="nil"/>
                    <w:tr2bl w:val="nil"/>
                  </w:tcBorders>
                  <w:noWrap w:val="0"/>
                  <w:vAlign w:val="center"/>
                </w:tcPr>
                <w:p w14:paraId="7DEE2686">
                  <w:pPr>
                    <w:pStyle w:val="44"/>
                    <w:bidi w:val="0"/>
                    <w:rPr>
                      <w:rFonts w:hint="default"/>
                      <w:color w:val="auto"/>
                      <w:lang w:val="en-US" w:eastAsia="zh-CN"/>
                    </w:rPr>
                  </w:pPr>
                  <w:r>
                    <w:rPr>
                      <w:rFonts w:hint="eastAsia"/>
                      <w:color w:val="auto"/>
                      <w:lang w:val="en-US" w:eastAsia="zh-CN"/>
                    </w:rPr>
                    <w:t>原料仓库</w:t>
                  </w:r>
                </w:p>
              </w:tc>
              <w:tc>
                <w:tcPr>
                  <w:tcW w:w="486" w:type="pct"/>
                  <w:tcBorders>
                    <w:tl2br w:val="nil"/>
                    <w:tr2bl w:val="nil"/>
                  </w:tcBorders>
                  <w:noWrap w:val="0"/>
                  <w:vAlign w:val="center"/>
                </w:tcPr>
                <w:p w14:paraId="61C329F8">
                  <w:pPr>
                    <w:pStyle w:val="44"/>
                    <w:bidi w:val="0"/>
                    <w:rPr>
                      <w:rFonts w:hint="default"/>
                      <w:color w:val="auto"/>
                      <w:lang w:val="en-US" w:eastAsia="zh-CN"/>
                    </w:rPr>
                  </w:pPr>
                  <w:r>
                    <w:rPr>
                      <w:rFonts w:hint="eastAsia"/>
                      <w:color w:val="auto"/>
                      <w:lang w:val="en-US" w:eastAsia="zh-CN"/>
                    </w:rPr>
                    <w:t>30t</w:t>
                  </w:r>
                </w:p>
              </w:tc>
              <w:tc>
                <w:tcPr>
                  <w:tcW w:w="407" w:type="pct"/>
                  <w:tcBorders>
                    <w:tl2br w:val="nil"/>
                    <w:tr2bl w:val="nil"/>
                  </w:tcBorders>
                  <w:noWrap w:val="0"/>
                  <w:vAlign w:val="center"/>
                </w:tcPr>
                <w:p w14:paraId="7102FCAE">
                  <w:pPr>
                    <w:pStyle w:val="44"/>
                    <w:bidi w:val="0"/>
                    <w:rPr>
                      <w:rFonts w:hint="default"/>
                      <w:color w:val="auto"/>
                      <w:lang w:val="en-US" w:eastAsia="zh-CN"/>
                    </w:rPr>
                  </w:pPr>
                  <w:r>
                    <w:rPr>
                      <w:rFonts w:hint="eastAsia"/>
                      <w:color w:val="auto"/>
                      <w:lang w:val="en-US" w:eastAsia="zh-CN"/>
                    </w:rPr>
                    <w:t>外购</w:t>
                  </w:r>
                </w:p>
              </w:tc>
            </w:tr>
            <w:tr w14:paraId="7B2F69A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39" w:type="pct"/>
                  <w:vMerge w:val="restart"/>
                  <w:tcBorders>
                    <w:tl2br w:val="nil"/>
                    <w:tr2bl w:val="nil"/>
                  </w:tcBorders>
                  <w:noWrap w:val="0"/>
                  <w:vAlign w:val="center"/>
                </w:tcPr>
                <w:p w14:paraId="5186FD6D">
                  <w:pPr>
                    <w:pStyle w:val="44"/>
                    <w:bidi w:val="0"/>
                    <w:rPr>
                      <w:rFonts w:hint="default"/>
                      <w:color w:val="auto"/>
                      <w:lang w:val="en-US" w:eastAsia="zh-CN"/>
                    </w:rPr>
                  </w:pPr>
                  <w:r>
                    <w:rPr>
                      <w:rFonts w:hint="default"/>
                      <w:color w:val="auto"/>
                      <w:lang w:val="en-US" w:eastAsia="zh-CN"/>
                    </w:rPr>
                    <w:t>电子电器密封材料</w:t>
                  </w:r>
                </w:p>
              </w:tc>
              <w:tc>
                <w:tcPr>
                  <w:tcW w:w="999" w:type="pct"/>
                  <w:tcBorders>
                    <w:tl2br w:val="nil"/>
                    <w:tr2bl w:val="nil"/>
                  </w:tcBorders>
                  <w:noWrap w:val="0"/>
                  <w:vAlign w:val="center"/>
                </w:tcPr>
                <w:p w14:paraId="1A399058">
                  <w:pPr>
                    <w:pStyle w:val="44"/>
                    <w:bidi w:val="0"/>
                    <w:jc w:val="center"/>
                    <w:rPr>
                      <w:rFonts w:hint="eastAsia"/>
                      <w:color w:val="auto"/>
                      <w:lang w:val="en-US" w:eastAsia="zh-CN"/>
                    </w:rPr>
                  </w:pPr>
                  <w:r>
                    <w:rPr>
                      <w:rFonts w:hint="eastAsia"/>
                      <w:color w:val="auto"/>
                    </w:rPr>
                    <w:t>硅烷改性聚醚</w:t>
                  </w:r>
                </w:p>
              </w:tc>
              <w:tc>
                <w:tcPr>
                  <w:tcW w:w="657" w:type="pct"/>
                  <w:tcBorders>
                    <w:tl2br w:val="nil"/>
                    <w:tr2bl w:val="nil"/>
                  </w:tcBorders>
                  <w:noWrap w:val="0"/>
                  <w:vAlign w:val="center"/>
                </w:tcPr>
                <w:p w14:paraId="39955828">
                  <w:pPr>
                    <w:pStyle w:val="44"/>
                    <w:bidi w:val="0"/>
                    <w:rPr>
                      <w:rFonts w:hint="eastAsia"/>
                      <w:color w:val="auto"/>
                      <w:lang w:val="en-US" w:eastAsia="zh-CN"/>
                    </w:rPr>
                  </w:pPr>
                  <w:r>
                    <w:rPr>
                      <w:rFonts w:hint="eastAsia"/>
                      <w:color w:val="auto"/>
                      <w:lang w:val="en-US" w:eastAsia="zh-CN"/>
                    </w:rPr>
                    <w:t>半固态</w:t>
                  </w:r>
                </w:p>
              </w:tc>
              <w:tc>
                <w:tcPr>
                  <w:tcW w:w="694" w:type="pct"/>
                  <w:tcBorders>
                    <w:tl2br w:val="nil"/>
                    <w:tr2bl w:val="nil"/>
                  </w:tcBorders>
                  <w:noWrap w:val="0"/>
                  <w:vAlign w:val="center"/>
                </w:tcPr>
                <w:p w14:paraId="5C9DBC96">
                  <w:pPr>
                    <w:pStyle w:val="44"/>
                    <w:bidi w:val="0"/>
                    <w:rPr>
                      <w:rFonts w:hint="eastAsia"/>
                      <w:color w:val="auto"/>
                      <w:lang w:val="en-US" w:eastAsia="zh-CN"/>
                    </w:rPr>
                  </w:pPr>
                  <w:r>
                    <w:rPr>
                      <w:rFonts w:hint="eastAsia"/>
                      <w:color w:val="auto"/>
                      <w:lang w:val="en-US" w:eastAsia="zh-CN"/>
                    </w:rPr>
                    <w:t>桶装</w:t>
                  </w:r>
                </w:p>
              </w:tc>
              <w:tc>
                <w:tcPr>
                  <w:tcW w:w="637" w:type="pct"/>
                  <w:tcBorders>
                    <w:tl2br w:val="nil"/>
                    <w:tr2bl w:val="nil"/>
                  </w:tcBorders>
                  <w:noWrap w:val="0"/>
                  <w:vAlign w:val="center"/>
                </w:tcPr>
                <w:p w14:paraId="5F10D649">
                  <w:pPr>
                    <w:pStyle w:val="44"/>
                    <w:bidi w:val="0"/>
                    <w:rPr>
                      <w:rFonts w:hint="eastAsia"/>
                      <w:color w:val="auto"/>
                      <w:lang w:val="en-US" w:eastAsia="zh-CN"/>
                    </w:rPr>
                  </w:pPr>
                  <w:r>
                    <w:rPr>
                      <w:rFonts w:hint="eastAsia"/>
                      <w:color w:val="auto"/>
                      <w:lang w:val="en-US" w:eastAsia="zh-CN"/>
                    </w:rPr>
                    <w:t>5400</w:t>
                  </w:r>
                  <w:r>
                    <w:rPr>
                      <w:rFonts w:hint="default"/>
                      <w:color w:val="auto"/>
                      <w:lang w:val="en-US" w:eastAsia="zh-CN"/>
                    </w:rPr>
                    <w:t>t/a</w:t>
                  </w:r>
                </w:p>
              </w:tc>
              <w:tc>
                <w:tcPr>
                  <w:tcW w:w="676" w:type="pct"/>
                  <w:tcBorders>
                    <w:tl2br w:val="nil"/>
                    <w:tr2bl w:val="nil"/>
                  </w:tcBorders>
                  <w:noWrap w:val="0"/>
                  <w:vAlign w:val="center"/>
                </w:tcPr>
                <w:p w14:paraId="6EC63B3E">
                  <w:pPr>
                    <w:pStyle w:val="44"/>
                    <w:bidi w:val="0"/>
                    <w:rPr>
                      <w:rFonts w:hint="eastAsia"/>
                      <w:color w:val="auto"/>
                      <w:lang w:val="en-US" w:eastAsia="zh-CN"/>
                    </w:rPr>
                  </w:pPr>
                  <w:r>
                    <w:rPr>
                      <w:rFonts w:hint="eastAsia"/>
                      <w:color w:val="auto"/>
                      <w:lang w:val="en-US" w:eastAsia="zh-CN"/>
                    </w:rPr>
                    <w:t>原料仓库</w:t>
                  </w:r>
                </w:p>
              </w:tc>
              <w:tc>
                <w:tcPr>
                  <w:tcW w:w="486" w:type="pct"/>
                  <w:tcBorders>
                    <w:tl2br w:val="nil"/>
                    <w:tr2bl w:val="nil"/>
                  </w:tcBorders>
                  <w:noWrap w:val="0"/>
                  <w:vAlign w:val="center"/>
                </w:tcPr>
                <w:p w14:paraId="3CFDE75F">
                  <w:pPr>
                    <w:pStyle w:val="44"/>
                    <w:bidi w:val="0"/>
                    <w:rPr>
                      <w:rFonts w:hint="eastAsia"/>
                      <w:color w:val="auto"/>
                      <w:lang w:val="en-US" w:eastAsia="zh-CN"/>
                    </w:rPr>
                  </w:pPr>
                  <w:r>
                    <w:rPr>
                      <w:rFonts w:hint="eastAsia"/>
                      <w:color w:val="auto"/>
                      <w:lang w:val="en-US" w:eastAsia="zh-CN"/>
                    </w:rPr>
                    <w:t>500t</w:t>
                  </w:r>
                </w:p>
              </w:tc>
              <w:tc>
                <w:tcPr>
                  <w:tcW w:w="407" w:type="pct"/>
                  <w:tcBorders>
                    <w:tl2br w:val="nil"/>
                    <w:tr2bl w:val="nil"/>
                  </w:tcBorders>
                  <w:noWrap w:val="0"/>
                  <w:vAlign w:val="center"/>
                </w:tcPr>
                <w:p w14:paraId="5ED53B1E">
                  <w:pPr>
                    <w:pStyle w:val="44"/>
                    <w:bidi w:val="0"/>
                    <w:rPr>
                      <w:rFonts w:hint="eastAsia"/>
                      <w:color w:val="auto"/>
                      <w:lang w:val="en-US" w:eastAsia="zh-CN"/>
                    </w:rPr>
                  </w:pPr>
                  <w:r>
                    <w:rPr>
                      <w:rFonts w:hint="eastAsia"/>
                      <w:color w:val="auto"/>
                      <w:lang w:val="en-US" w:eastAsia="zh-CN"/>
                    </w:rPr>
                    <w:t>外购</w:t>
                  </w:r>
                </w:p>
              </w:tc>
            </w:tr>
            <w:tr w14:paraId="3012981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39" w:type="pct"/>
                  <w:vMerge w:val="continue"/>
                  <w:tcBorders>
                    <w:tl2br w:val="nil"/>
                    <w:tr2bl w:val="nil"/>
                  </w:tcBorders>
                  <w:noWrap w:val="0"/>
                  <w:vAlign w:val="center"/>
                </w:tcPr>
                <w:p w14:paraId="73E3F6FD">
                  <w:pPr>
                    <w:pStyle w:val="44"/>
                    <w:bidi w:val="0"/>
                    <w:rPr>
                      <w:rFonts w:hint="default"/>
                      <w:color w:val="auto"/>
                      <w:lang w:val="en-US" w:eastAsia="zh-CN"/>
                    </w:rPr>
                  </w:pPr>
                </w:p>
              </w:tc>
              <w:tc>
                <w:tcPr>
                  <w:tcW w:w="999" w:type="pct"/>
                  <w:tcBorders>
                    <w:tl2br w:val="nil"/>
                    <w:tr2bl w:val="nil"/>
                  </w:tcBorders>
                  <w:noWrap w:val="0"/>
                  <w:vAlign w:val="center"/>
                </w:tcPr>
                <w:p w14:paraId="7D39770C">
                  <w:pPr>
                    <w:pStyle w:val="44"/>
                    <w:bidi w:val="0"/>
                    <w:jc w:val="center"/>
                    <w:rPr>
                      <w:rFonts w:hint="eastAsia"/>
                      <w:color w:val="auto"/>
                      <w:lang w:val="en-US" w:eastAsia="zh-CN"/>
                    </w:rPr>
                  </w:pPr>
                  <w:r>
                    <w:rPr>
                      <w:rFonts w:hint="eastAsia"/>
                      <w:color w:val="auto"/>
                      <w:lang w:val="en-US" w:eastAsia="zh-CN"/>
                    </w:rPr>
                    <w:t>环保</w:t>
                  </w:r>
                  <w:r>
                    <w:rPr>
                      <w:rFonts w:hint="eastAsia"/>
                      <w:color w:val="auto"/>
                    </w:rPr>
                    <w:t>增塑剂</w:t>
                  </w:r>
                </w:p>
              </w:tc>
              <w:tc>
                <w:tcPr>
                  <w:tcW w:w="657" w:type="pct"/>
                  <w:tcBorders>
                    <w:tl2br w:val="nil"/>
                    <w:tr2bl w:val="nil"/>
                  </w:tcBorders>
                  <w:noWrap w:val="0"/>
                  <w:vAlign w:val="center"/>
                </w:tcPr>
                <w:p w14:paraId="51B03EBD">
                  <w:pPr>
                    <w:pStyle w:val="44"/>
                    <w:bidi w:val="0"/>
                    <w:rPr>
                      <w:rFonts w:hint="eastAsia"/>
                      <w:color w:val="auto"/>
                      <w:lang w:val="en-US" w:eastAsia="zh-CN"/>
                    </w:rPr>
                  </w:pPr>
                  <w:r>
                    <w:rPr>
                      <w:rFonts w:hint="eastAsia"/>
                      <w:color w:val="auto"/>
                      <w:lang w:val="en-US" w:eastAsia="zh-CN"/>
                    </w:rPr>
                    <w:t>液态</w:t>
                  </w:r>
                </w:p>
              </w:tc>
              <w:tc>
                <w:tcPr>
                  <w:tcW w:w="694" w:type="pct"/>
                  <w:tcBorders>
                    <w:tl2br w:val="nil"/>
                    <w:tr2bl w:val="nil"/>
                  </w:tcBorders>
                  <w:noWrap w:val="0"/>
                  <w:vAlign w:val="center"/>
                </w:tcPr>
                <w:p w14:paraId="3F084B39">
                  <w:pPr>
                    <w:pStyle w:val="44"/>
                    <w:bidi w:val="0"/>
                    <w:rPr>
                      <w:rFonts w:hint="eastAsia"/>
                      <w:color w:val="auto"/>
                      <w:lang w:val="en-US" w:eastAsia="zh-CN"/>
                    </w:rPr>
                  </w:pPr>
                  <w:r>
                    <w:rPr>
                      <w:rFonts w:hint="eastAsia"/>
                      <w:color w:val="auto"/>
                      <w:lang w:val="en-US" w:eastAsia="zh-CN"/>
                    </w:rPr>
                    <w:t>桶装</w:t>
                  </w:r>
                </w:p>
              </w:tc>
              <w:tc>
                <w:tcPr>
                  <w:tcW w:w="637" w:type="pct"/>
                  <w:tcBorders>
                    <w:tl2br w:val="nil"/>
                    <w:tr2bl w:val="nil"/>
                  </w:tcBorders>
                  <w:noWrap w:val="0"/>
                  <w:vAlign w:val="center"/>
                </w:tcPr>
                <w:p w14:paraId="6CBFF383">
                  <w:pPr>
                    <w:pStyle w:val="44"/>
                    <w:bidi w:val="0"/>
                    <w:rPr>
                      <w:rFonts w:hint="eastAsia"/>
                      <w:color w:val="auto"/>
                      <w:lang w:val="en-US" w:eastAsia="zh-CN"/>
                    </w:rPr>
                  </w:pPr>
                  <w:r>
                    <w:rPr>
                      <w:rFonts w:hint="eastAsia"/>
                      <w:color w:val="auto"/>
                      <w:lang w:val="en-US" w:eastAsia="zh-CN"/>
                    </w:rPr>
                    <w:t>1950</w:t>
                  </w:r>
                  <w:r>
                    <w:rPr>
                      <w:rFonts w:hint="default"/>
                      <w:color w:val="auto"/>
                      <w:lang w:val="en-US" w:eastAsia="zh-CN"/>
                    </w:rPr>
                    <w:t>t/a</w:t>
                  </w:r>
                </w:p>
              </w:tc>
              <w:tc>
                <w:tcPr>
                  <w:tcW w:w="676" w:type="pct"/>
                  <w:tcBorders>
                    <w:tl2br w:val="nil"/>
                    <w:tr2bl w:val="nil"/>
                  </w:tcBorders>
                  <w:noWrap w:val="0"/>
                  <w:vAlign w:val="center"/>
                </w:tcPr>
                <w:p w14:paraId="51EC49D5">
                  <w:pPr>
                    <w:pStyle w:val="44"/>
                    <w:bidi w:val="0"/>
                    <w:rPr>
                      <w:rFonts w:hint="eastAsia"/>
                      <w:color w:val="auto"/>
                      <w:lang w:val="en-US" w:eastAsia="zh-CN"/>
                    </w:rPr>
                  </w:pPr>
                  <w:r>
                    <w:rPr>
                      <w:rFonts w:hint="eastAsia"/>
                      <w:color w:val="auto"/>
                      <w:lang w:val="en-US" w:eastAsia="zh-CN"/>
                    </w:rPr>
                    <w:t>原料仓库</w:t>
                  </w:r>
                </w:p>
              </w:tc>
              <w:tc>
                <w:tcPr>
                  <w:tcW w:w="486" w:type="pct"/>
                  <w:tcBorders>
                    <w:tl2br w:val="nil"/>
                    <w:tr2bl w:val="nil"/>
                  </w:tcBorders>
                  <w:noWrap w:val="0"/>
                  <w:vAlign w:val="center"/>
                </w:tcPr>
                <w:p w14:paraId="165E606E">
                  <w:pPr>
                    <w:pStyle w:val="44"/>
                    <w:bidi w:val="0"/>
                    <w:rPr>
                      <w:rFonts w:hint="eastAsia"/>
                      <w:color w:val="auto"/>
                      <w:lang w:val="en-US" w:eastAsia="zh-CN"/>
                    </w:rPr>
                  </w:pPr>
                  <w:r>
                    <w:rPr>
                      <w:rFonts w:hint="eastAsia"/>
                      <w:color w:val="auto"/>
                      <w:lang w:val="en-US" w:eastAsia="zh-CN"/>
                    </w:rPr>
                    <w:t>500t</w:t>
                  </w:r>
                </w:p>
              </w:tc>
              <w:tc>
                <w:tcPr>
                  <w:tcW w:w="407" w:type="pct"/>
                  <w:tcBorders>
                    <w:tl2br w:val="nil"/>
                    <w:tr2bl w:val="nil"/>
                  </w:tcBorders>
                  <w:noWrap w:val="0"/>
                  <w:vAlign w:val="center"/>
                </w:tcPr>
                <w:p w14:paraId="7EF4231E">
                  <w:pPr>
                    <w:pStyle w:val="44"/>
                    <w:bidi w:val="0"/>
                    <w:rPr>
                      <w:rFonts w:hint="eastAsia"/>
                      <w:color w:val="auto"/>
                      <w:lang w:val="en-US" w:eastAsia="zh-CN"/>
                    </w:rPr>
                  </w:pPr>
                  <w:r>
                    <w:rPr>
                      <w:rFonts w:hint="eastAsia"/>
                      <w:color w:val="auto"/>
                      <w:lang w:val="en-US" w:eastAsia="zh-CN"/>
                    </w:rPr>
                    <w:t>外购</w:t>
                  </w:r>
                </w:p>
              </w:tc>
            </w:tr>
            <w:tr w14:paraId="455F392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39" w:type="pct"/>
                  <w:vMerge w:val="continue"/>
                  <w:tcBorders>
                    <w:tl2br w:val="nil"/>
                    <w:tr2bl w:val="nil"/>
                  </w:tcBorders>
                  <w:noWrap w:val="0"/>
                  <w:vAlign w:val="center"/>
                </w:tcPr>
                <w:p w14:paraId="6AD5BAF6">
                  <w:pPr>
                    <w:pStyle w:val="44"/>
                    <w:bidi w:val="0"/>
                    <w:rPr>
                      <w:rFonts w:hint="default"/>
                      <w:color w:val="auto"/>
                      <w:lang w:val="en-US" w:eastAsia="zh-CN"/>
                    </w:rPr>
                  </w:pPr>
                </w:p>
              </w:tc>
              <w:tc>
                <w:tcPr>
                  <w:tcW w:w="999" w:type="pct"/>
                  <w:tcBorders>
                    <w:tl2br w:val="nil"/>
                    <w:tr2bl w:val="nil"/>
                  </w:tcBorders>
                  <w:noWrap w:val="0"/>
                  <w:vAlign w:val="center"/>
                </w:tcPr>
                <w:p w14:paraId="6954F9D8">
                  <w:pPr>
                    <w:pStyle w:val="44"/>
                    <w:bidi w:val="0"/>
                    <w:jc w:val="center"/>
                    <w:rPr>
                      <w:rFonts w:hint="eastAsia"/>
                      <w:color w:val="auto"/>
                      <w:lang w:val="en-US" w:eastAsia="zh-CN"/>
                    </w:rPr>
                  </w:pPr>
                  <w:r>
                    <w:rPr>
                      <w:rFonts w:hint="eastAsia"/>
                      <w:color w:val="auto"/>
                    </w:rPr>
                    <w:t>硅烷偶联剂</w:t>
                  </w:r>
                </w:p>
              </w:tc>
              <w:tc>
                <w:tcPr>
                  <w:tcW w:w="657" w:type="pct"/>
                  <w:tcBorders>
                    <w:tl2br w:val="nil"/>
                    <w:tr2bl w:val="nil"/>
                  </w:tcBorders>
                  <w:noWrap w:val="0"/>
                  <w:vAlign w:val="center"/>
                </w:tcPr>
                <w:p w14:paraId="2F45230D">
                  <w:pPr>
                    <w:pStyle w:val="44"/>
                    <w:bidi w:val="0"/>
                    <w:rPr>
                      <w:rFonts w:hint="eastAsia"/>
                      <w:color w:val="auto"/>
                      <w:lang w:val="en-US" w:eastAsia="zh-CN"/>
                    </w:rPr>
                  </w:pPr>
                  <w:r>
                    <w:rPr>
                      <w:rFonts w:hint="eastAsia"/>
                      <w:color w:val="auto"/>
                      <w:lang w:val="en-US" w:eastAsia="zh-CN"/>
                    </w:rPr>
                    <w:t>液态</w:t>
                  </w:r>
                </w:p>
              </w:tc>
              <w:tc>
                <w:tcPr>
                  <w:tcW w:w="694" w:type="pct"/>
                  <w:tcBorders>
                    <w:tl2br w:val="nil"/>
                    <w:tr2bl w:val="nil"/>
                  </w:tcBorders>
                  <w:noWrap w:val="0"/>
                  <w:vAlign w:val="center"/>
                </w:tcPr>
                <w:p w14:paraId="317159BD">
                  <w:pPr>
                    <w:pStyle w:val="44"/>
                    <w:bidi w:val="0"/>
                    <w:rPr>
                      <w:rFonts w:hint="eastAsia"/>
                      <w:color w:val="auto"/>
                      <w:lang w:val="en-US" w:eastAsia="zh-CN"/>
                    </w:rPr>
                  </w:pPr>
                  <w:r>
                    <w:rPr>
                      <w:rFonts w:hint="eastAsia"/>
                      <w:color w:val="auto"/>
                      <w:lang w:val="en-US" w:eastAsia="zh-CN"/>
                    </w:rPr>
                    <w:t>桶装</w:t>
                  </w:r>
                </w:p>
              </w:tc>
              <w:tc>
                <w:tcPr>
                  <w:tcW w:w="637" w:type="pct"/>
                  <w:tcBorders>
                    <w:tl2br w:val="nil"/>
                    <w:tr2bl w:val="nil"/>
                  </w:tcBorders>
                  <w:noWrap w:val="0"/>
                  <w:vAlign w:val="center"/>
                </w:tcPr>
                <w:p w14:paraId="5F91541C">
                  <w:pPr>
                    <w:pStyle w:val="44"/>
                    <w:bidi w:val="0"/>
                    <w:rPr>
                      <w:rFonts w:hint="eastAsia"/>
                      <w:color w:val="auto"/>
                      <w:lang w:val="en-US" w:eastAsia="zh-CN"/>
                    </w:rPr>
                  </w:pPr>
                  <w:r>
                    <w:rPr>
                      <w:rFonts w:hint="eastAsia"/>
                      <w:color w:val="auto"/>
                      <w:lang w:val="en-US" w:eastAsia="zh-CN"/>
                    </w:rPr>
                    <w:t>100</w:t>
                  </w:r>
                  <w:r>
                    <w:rPr>
                      <w:rFonts w:hint="default"/>
                      <w:color w:val="auto"/>
                      <w:lang w:val="en-US" w:eastAsia="zh-CN"/>
                    </w:rPr>
                    <w:t>t/a</w:t>
                  </w:r>
                </w:p>
              </w:tc>
              <w:tc>
                <w:tcPr>
                  <w:tcW w:w="676" w:type="pct"/>
                  <w:tcBorders>
                    <w:tl2br w:val="nil"/>
                    <w:tr2bl w:val="nil"/>
                  </w:tcBorders>
                  <w:noWrap w:val="0"/>
                  <w:vAlign w:val="center"/>
                </w:tcPr>
                <w:p w14:paraId="21F1A534">
                  <w:pPr>
                    <w:pStyle w:val="44"/>
                    <w:bidi w:val="0"/>
                    <w:rPr>
                      <w:rFonts w:hint="eastAsia"/>
                      <w:color w:val="auto"/>
                      <w:lang w:val="en-US" w:eastAsia="zh-CN"/>
                    </w:rPr>
                  </w:pPr>
                  <w:r>
                    <w:rPr>
                      <w:rFonts w:hint="eastAsia"/>
                      <w:color w:val="auto"/>
                      <w:lang w:val="en-US" w:eastAsia="zh-CN"/>
                    </w:rPr>
                    <w:t>原料仓库</w:t>
                  </w:r>
                </w:p>
              </w:tc>
              <w:tc>
                <w:tcPr>
                  <w:tcW w:w="486" w:type="pct"/>
                  <w:tcBorders>
                    <w:tl2br w:val="nil"/>
                    <w:tr2bl w:val="nil"/>
                  </w:tcBorders>
                  <w:noWrap w:val="0"/>
                  <w:vAlign w:val="center"/>
                </w:tcPr>
                <w:p w14:paraId="53C59D8C">
                  <w:pPr>
                    <w:pStyle w:val="44"/>
                    <w:bidi w:val="0"/>
                    <w:rPr>
                      <w:rFonts w:hint="eastAsia"/>
                      <w:color w:val="auto"/>
                      <w:lang w:val="en-US" w:eastAsia="zh-CN"/>
                    </w:rPr>
                  </w:pPr>
                  <w:r>
                    <w:rPr>
                      <w:rFonts w:hint="eastAsia"/>
                      <w:color w:val="auto"/>
                      <w:lang w:val="en-US" w:eastAsia="zh-CN"/>
                    </w:rPr>
                    <w:t>216t</w:t>
                  </w:r>
                </w:p>
              </w:tc>
              <w:tc>
                <w:tcPr>
                  <w:tcW w:w="407" w:type="pct"/>
                  <w:tcBorders>
                    <w:tl2br w:val="nil"/>
                    <w:tr2bl w:val="nil"/>
                  </w:tcBorders>
                  <w:noWrap w:val="0"/>
                  <w:vAlign w:val="center"/>
                </w:tcPr>
                <w:p w14:paraId="6C461065">
                  <w:pPr>
                    <w:pStyle w:val="44"/>
                    <w:bidi w:val="0"/>
                    <w:rPr>
                      <w:rFonts w:hint="eastAsia"/>
                      <w:color w:val="auto"/>
                      <w:lang w:val="en-US" w:eastAsia="zh-CN"/>
                    </w:rPr>
                  </w:pPr>
                  <w:r>
                    <w:rPr>
                      <w:rFonts w:hint="eastAsia"/>
                      <w:color w:val="auto"/>
                      <w:lang w:val="en-US" w:eastAsia="zh-CN"/>
                    </w:rPr>
                    <w:t>外购</w:t>
                  </w:r>
                </w:p>
              </w:tc>
            </w:tr>
            <w:tr w14:paraId="2BABC3F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39" w:type="pct"/>
                  <w:vMerge w:val="continue"/>
                  <w:tcBorders>
                    <w:tl2br w:val="nil"/>
                    <w:tr2bl w:val="nil"/>
                  </w:tcBorders>
                  <w:noWrap w:val="0"/>
                  <w:vAlign w:val="center"/>
                </w:tcPr>
                <w:p w14:paraId="711DFA21">
                  <w:pPr>
                    <w:pStyle w:val="44"/>
                    <w:bidi w:val="0"/>
                    <w:rPr>
                      <w:rFonts w:hint="default"/>
                      <w:color w:val="auto"/>
                      <w:lang w:val="en-US" w:eastAsia="zh-CN"/>
                    </w:rPr>
                  </w:pPr>
                </w:p>
              </w:tc>
              <w:tc>
                <w:tcPr>
                  <w:tcW w:w="999" w:type="pct"/>
                  <w:tcBorders>
                    <w:tl2br w:val="nil"/>
                    <w:tr2bl w:val="nil"/>
                  </w:tcBorders>
                  <w:noWrap w:val="0"/>
                  <w:vAlign w:val="center"/>
                </w:tcPr>
                <w:p w14:paraId="27925B28">
                  <w:pPr>
                    <w:pStyle w:val="44"/>
                    <w:bidi w:val="0"/>
                    <w:jc w:val="center"/>
                    <w:rPr>
                      <w:rFonts w:hint="eastAsia"/>
                      <w:color w:val="auto"/>
                      <w:lang w:val="en-US" w:eastAsia="zh-CN"/>
                    </w:rPr>
                  </w:pPr>
                  <w:r>
                    <w:rPr>
                      <w:rFonts w:hint="eastAsia"/>
                      <w:color w:val="auto"/>
                    </w:rPr>
                    <w:t>抗老化剂</w:t>
                  </w:r>
                </w:p>
              </w:tc>
              <w:tc>
                <w:tcPr>
                  <w:tcW w:w="657" w:type="pct"/>
                  <w:tcBorders>
                    <w:tl2br w:val="nil"/>
                    <w:tr2bl w:val="nil"/>
                  </w:tcBorders>
                  <w:noWrap w:val="0"/>
                  <w:vAlign w:val="center"/>
                </w:tcPr>
                <w:p w14:paraId="38DC7A04">
                  <w:pPr>
                    <w:pStyle w:val="44"/>
                    <w:bidi w:val="0"/>
                    <w:rPr>
                      <w:rFonts w:hint="eastAsia"/>
                      <w:color w:val="auto"/>
                      <w:lang w:val="en-US" w:eastAsia="zh-CN"/>
                    </w:rPr>
                  </w:pPr>
                  <w:r>
                    <w:rPr>
                      <w:rFonts w:hint="eastAsia"/>
                      <w:color w:val="auto"/>
                      <w:lang w:val="en-US" w:eastAsia="zh-CN"/>
                    </w:rPr>
                    <w:t>固</w:t>
                  </w:r>
                </w:p>
              </w:tc>
              <w:tc>
                <w:tcPr>
                  <w:tcW w:w="694" w:type="pct"/>
                  <w:tcBorders>
                    <w:tl2br w:val="nil"/>
                    <w:tr2bl w:val="nil"/>
                  </w:tcBorders>
                  <w:noWrap w:val="0"/>
                  <w:vAlign w:val="center"/>
                </w:tcPr>
                <w:p w14:paraId="67BF2862">
                  <w:pPr>
                    <w:pStyle w:val="44"/>
                    <w:bidi w:val="0"/>
                    <w:rPr>
                      <w:rFonts w:hint="eastAsia"/>
                      <w:color w:val="auto"/>
                      <w:lang w:val="en-US" w:eastAsia="zh-CN"/>
                    </w:rPr>
                  </w:pPr>
                  <w:r>
                    <w:rPr>
                      <w:rFonts w:hint="eastAsia"/>
                      <w:color w:val="auto"/>
                      <w:lang w:val="en-US" w:eastAsia="zh-CN"/>
                    </w:rPr>
                    <w:t>袋装</w:t>
                  </w:r>
                </w:p>
              </w:tc>
              <w:tc>
                <w:tcPr>
                  <w:tcW w:w="637" w:type="pct"/>
                  <w:tcBorders>
                    <w:tl2br w:val="nil"/>
                    <w:tr2bl w:val="nil"/>
                  </w:tcBorders>
                  <w:noWrap w:val="0"/>
                  <w:vAlign w:val="center"/>
                </w:tcPr>
                <w:p w14:paraId="407DD498">
                  <w:pPr>
                    <w:pStyle w:val="44"/>
                    <w:bidi w:val="0"/>
                    <w:rPr>
                      <w:rFonts w:hint="eastAsia"/>
                      <w:color w:val="auto"/>
                      <w:lang w:val="en-US" w:eastAsia="zh-CN"/>
                    </w:rPr>
                  </w:pPr>
                  <w:r>
                    <w:rPr>
                      <w:rFonts w:hint="eastAsia"/>
                      <w:color w:val="auto"/>
                      <w:lang w:val="en-US" w:eastAsia="zh-CN"/>
                    </w:rPr>
                    <w:t>20</w:t>
                  </w:r>
                  <w:r>
                    <w:rPr>
                      <w:rFonts w:hint="default"/>
                      <w:color w:val="auto"/>
                      <w:lang w:val="en-US" w:eastAsia="zh-CN"/>
                    </w:rPr>
                    <w:t>t/a</w:t>
                  </w:r>
                </w:p>
              </w:tc>
              <w:tc>
                <w:tcPr>
                  <w:tcW w:w="676" w:type="pct"/>
                  <w:tcBorders>
                    <w:tl2br w:val="nil"/>
                    <w:tr2bl w:val="nil"/>
                  </w:tcBorders>
                  <w:noWrap w:val="0"/>
                  <w:vAlign w:val="center"/>
                </w:tcPr>
                <w:p w14:paraId="54F43683">
                  <w:pPr>
                    <w:pStyle w:val="44"/>
                    <w:bidi w:val="0"/>
                    <w:rPr>
                      <w:rFonts w:hint="eastAsia"/>
                      <w:color w:val="auto"/>
                      <w:lang w:val="en-US" w:eastAsia="zh-CN"/>
                    </w:rPr>
                  </w:pPr>
                  <w:r>
                    <w:rPr>
                      <w:rFonts w:hint="eastAsia"/>
                      <w:color w:val="auto"/>
                      <w:lang w:val="en-US" w:eastAsia="zh-CN"/>
                    </w:rPr>
                    <w:t>原料仓库</w:t>
                  </w:r>
                </w:p>
              </w:tc>
              <w:tc>
                <w:tcPr>
                  <w:tcW w:w="486" w:type="pct"/>
                  <w:tcBorders>
                    <w:tl2br w:val="nil"/>
                    <w:tr2bl w:val="nil"/>
                  </w:tcBorders>
                  <w:noWrap w:val="0"/>
                  <w:vAlign w:val="center"/>
                </w:tcPr>
                <w:p w14:paraId="3D8CC67C">
                  <w:pPr>
                    <w:pStyle w:val="44"/>
                    <w:bidi w:val="0"/>
                    <w:rPr>
                      <w:rFonts w:hint="eastAsia"/>
                      <w:color w:val="auto"/>
                      <w:lang w:val="en-US" w:eastAsia="zh-CN"/>
                    </w:rPr>
                  </w:pPr>
                  <w:r>
                    <w:rPr>
                      <w:rFonts w:hint="eastAsia"/>
                      <w:color w:val="auto"/>
                      <w:lang w:val="en-US" w:eastAsia="zh-CN"/>
                    </w:rPr>
                    <w:t>20t</w:t>
                  </w:r>
                </w:p>
              </w:tc>
              <w:tc>
                <w:tcPr>
                  <w:tcW w:w="407" w:type="pct"/>
                  <w:tcBorders>
                    <w:tl2br w:val="nil"/>
                    <w:tr2bl w:val="nil"/>
                  </w:tcBorders>
                  <w:noWrap w:val="0"/>
                  <w:vAlign w:val="center"/>
                </w:tcPr>
                <w:p w14:paraId="572D8B60">
                  <w:pPr>
                    <w:pStyle w:val="44"/>
                    <w:bidi w:val="0"/>
                    <w:rPr>
                      <w:rFonts w:hint="eastAsia"/>
                      <w:color w:val="auto"/>
                      <w:lang w:val="en-US" w:eastAsia="zh-CN"/>
                    </w:rPr>
                  </w:pPr>
                  <w:r>
                    <w:rPr>
                      <w:rFonts w:hint="eastAsia"/>
                      <w:color w:val="auto"/>
                      <w:lang w:val="en-US" w:eastAsia="zh-CN"/>
                    </w:rPr>
                    <w:t>外购</w:t>
                  </w:r>
                </w:p>
              </w:tc>
            </w:tr>
            <w:tr w14:paraId="71C7D18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39" w:type="pct"/>
                  <w:vMerge w:val="continue"/>
                  <w:tcBorders>
                    <w:tl2br w:val="nil"/>
                    <w:tr2bl w:val="nil"/>
                  </w:tcBorders>
                  <w:noWrap w:val="0"/>
                  <w:vAlign w:val="center"/>
                </w:tcPr>
                <w:p w14:paraId="550B355C">
                  <w:pPr>
                    <w:pStyle w:val="44"/>
                    <w:bidi w:val="0"/>
                    <w:rPr>
                      <w:rFonts w:hint="default"/>
                      <w:color w:val="auto"/>
                      <w:lang w:val="en-US" w:eastAsia="zh-CN"/>
                    </w:rPr>
                  </w:pPr>
                </w:p>
              </w:tc>
              <w:tc>
                <w:tcPr>
                  <w:tcW w:w="999" w:type="pct"/>
                  <w:tcBorders>
                    <w:tl2br w:val="nil"/>
                    <w:tr2bl w:val="nil"/>
                  </w:tcBorders>
                  <w:noWrap w:val="0"/>
                  <w:vAlign w:val="center"/>
                </w:tcPr>
                <w:p w14:paraId="52B13882">
                  <w:pPr>
                    <w:pStyle w:val="44"/>
                    <w:bidi w:val="0"/>
                    <w:jc w:val="center"/>
                    <w:rPr>
                      <w:rFonts w:hint="eastAsia"/>
                      <w:color w:val="auto"/>
                      <w:lang w:val="en-US" w:eastAsia="zh-CN"/>
                    </w:rPr>
                  </w:pPr>
                  <w:r>
                    <w:rPr>
                      <w:rFonts w:hint="eastAsia"/>
                      <w:color w:val="auto"/>
                    </w:rPr>
                    <w:t>纳米二氧化硅</w:t>
                  </w:r>
                </w:p>
              </w:tc>
              <w:tc>
                <w:tcPr>
                  <w:tcW w:w="657" w:type="pct"/>
                  <w:tcBorders>
                    <w:tl2br w:val="nil"/>
                    <w:tr2bl w:val="nil"/>
                  </w:tcBorders>
                  <w:noWrap w:val="0"/>
                  <w:vAlign w:val="center"/>
                </w:tcPr>
                <w:p w14:paraId="3302F6EC">
                  <w:pPr>
                    <w:pStyle w:val="44"/>
                    <w:bidi w:val="0"/>
                    <w:rPr>
                      <w:rFonts w:hint="eastAsia"/>
                      <w:color w:val="auto"/>
                      <w:lang w:val="en-US" w:eastAsia="zh-CN"/>
                    </w:rPr>
                  </w:pPr>
                  <w:r>
                    <w:rPr>
                      <w:rFonts w:hint="eastAsia"/>
                      <w:color w:val="auto"/>
                      <w:lang w:val="en-US" w:eastAsia="zh-CN"/>
                    </w:rPr>
                    <w:t>固</w:t>
                  </w:r>
                </w:p>
              </w:tc>
              <w:tc>
                <w:tcPr>
                  <w:tcW w:w="694" w:type="pct"/>
                  <w:tcBorders>
                    <w:tl2br w:val="nil"/>
                    <w:tr2bl w:val="nil"/>
                  </w:tcBorders>
                  <w:noWrap w:val="0"/>
                  <w:vAlign w:val="center"/>
                </w:tcPr>
                <w:p w14:paraId="78544802">
                  <w:pPr>
                    <w:pStyle w:val="44"/>
                    <w:bidi w:val="0"/>
                    <w:rPr>
                      <w:rFonts w:hint="eastAsia"/>
                      <w:color w:val="auto"/>
                      <w:lang w:val="en-US" w:eastAsia="zh-CN"/>
                    </w:rPr>
                  </w:pPr>
                  <w:r>
                    <w:rPr>
                      <w:rFonts w:hint="eastAsia"/>
                      <w:color w:val="auto"/>
                      <w:lang w:val="en-US" w:eastAsia="zh-CN"/>
                    </w:rPr>
                    <w:t>袋装</w:t>
                  </w:r>
                </w:p>
              </w:tc>
              <w:tc>
                <w:tcPr>
                  <w:tcW w:w="637" w:type="pct"/>
                  <w:tcBorders>
                    <w:tl2br w:val="nil"/>
                    <w:tr2bl w:val="nil"/>
                  </w:tcBorders>
                  <w:noWrap w:val="0"/>
                  <w:vAlign w:val="center"/>
                </w:tcPr>
                <w:p w14:paraId="4529E9DA">
                  <w:pPr>
                    <w:pStyle w:val="44"/>
                    <w:bidi w:val="0"/>
                    <w:rPr>
                      <w:rFonts w:hint="eastAsia"/>
                      <w:color w:val="auto"/>
                      <w:lang w:val="en-US" w:eastAsia="zh-CN"/>
                    </w:rPr>
                  </w:pPr>
                  <w:r>
                    <w:rPr>
                      <w:rFonts w:hint="eastAsia"/>
                      <w:color w:val="auto"/>
                      <w:lang w:val="en-US" w:eastAsia="zh-CN"/>
                    </w:rPr>
                    <w:t>424.53</w:t>
                  </w:r>
                  <w:r>
                    <w:rPr>
                      <w:rFonts w:hint="default"/>
                      <w:color w:val="auto"/>
                      <w:lang w:val="en-US" w:eastAsia="zh-CN"/>
                    </w:rPr>
                    <w:t>t/a</w:t>
                  </w:r>
                </w:p>
              </w:tc>
              <w:tc>
                <w:tcPr>
                  <w:tcW w:w="676" w:type="pct"/>
                  <w:tcBorders>
                    <w:tl2br w:val="nil"/>
                    <w:tr2bl w:val="nil"/>
                  </w:tcBorders>
                  <w:noWrap w:val="0"/>
                  <w:vAlign w:val="center"/>
                </w:tcPr>
                <w:p w14:paraId="797B9863">
                  <w:pPr>
                    <w:pStyle w:val="44"/>
                    <w:bidi w:val="0"/>
                    <w:rPr>
                      <w:rFonts w:hint="eastAsia"/>
                      <w:color w:val="auto"/>
                      <w:lang w:val="en-US" w:eastAsia="zh-CN"/>
                    </w:rPr>
                  </w:pPr>
                  <w:r>
                    <w:rPr>
                      <w:rFonts w:hint="eastAsia"/>
                      <w:color w:val="auto"/>
                      <w:lang w:val="en-US" w:eastAsia="zh-CN"/>
                    </w:rPr>
                    <w:t>原料仓库</w:t>
                  </w:r>
                </w:p>
              </w:tc>
              <w:tc>
                <w:tcPr>
                  <w:tcW w:w="486" w:type="pct"/>
                  <w:tcBorders>
                    <w:tl2br w:val="nil"/>
                    <w:tr2bl w:val="nil"/>
                  </w:tcBorders>
                  <w:noWrap w:val="0"/>
                  <w:vAlign w:val="center"/>
                </w:tcPr>
                <w:p w14:paraId="4231528E">
                  <w:pPr>
                    <w:pStyle w:val="44"/>
                    <w:bidi w:val="0"/>
                    <w:rPr>
                      <w:rFonts w:hint="eastAsia"/>
                      <w:color w:val="auto"/>
                      <w:lang w:val="en-US" w:eastAsia="zh-CN"/>
                    </w:rPr>
                  </w:pPr>
                  <w:r>
                    <w:rPr>
                      <w:rFonts w:hint="eastAsia"/>
                      <w:color w:val="auto"/>
                      <w:lang w:val="en-US" w:eastAsia="zh-CN"/>
                    </w:rPr>
                    <w:t>200t</w:t>
                  </w:r>
                </w:p>
              </w:tc>
              <w:tc>
                <w:tcPr>
                  <w:tcW w:w="407" w:type="pct"/>
                  <w:tcBorders>
                    <w:tl2br w:val="nil"/>
                    <w:tr2bl w:val="nil"/>
                  </w:tcBorders>
                  <w:noWrap w:val="0"/>
                  <w:vAlign w:val="center"/>
                </w:tcPr>
                <w:p w14:paraId="47EB5254">
                  <w:pPr>
                    <w:pStyle w:val="44"/>
                    <w:bidi w:val="0"/>
                    <w:rPr>
                      <w:rFonts w:hint="eastAsia"/>
                      <w:color w:val="auto"/>
                      <w:lang w:val="en-US" w:eastAsia="zh-CN"/>
                    </w:rPr>
                  </w:pPr>
                  <w:r>
                    <w:rPr>
                      <w:rFonts w:hint="eastAsia"/>
                      <w:color w:val="auto"/>
                      <w:lang w:val="en-US" w:eastAsia="zh-CN"/>
                    </w:rPr>
                    <w:t>外购</w:t>
                  </w:r>
                </w:p>
              </w:tc>
            </w:tr>
            <w:tr w14:paraId="1D983F4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39" w:type="pct"/>
                  <w:vMerge w:val="continue"/>
                  <w:tcBorders>
                    <w:tl2br w:val="nil"/>
                    <w:tr2bl w:val="nil"/>
                  </w:tcBorders>
                  <w:noWrap w:val="0"/>
                  <w:vAlign w:val="center"/>
                </w:tcPr>
                <w:p w14:paraId="750A2566">
                  <w:pPr>
                    <w:pStyle w:val="44"/>
                    <w:bidi w:val="0"/>
                    <w:rPr>
                      <w:rFonts w:hint="default"/>
                      <w:color w:val="auto"/>
                      <w:lang w:val="en-US" w:eastAsia="zh-CN"/>
                    </w:rPr>
                  </w:pPr>
                </w:p>
              </w:tc>
              <w:tc>
                <w:tcPr>
                  <w:tcW w:w="999" w:type="pct"/>
                  <w:tcBorders>
                    <w:tl2br w:val="nil"/>
                    <w:tr2bl w:val="nil"/>
                  </w:tcBorders>
                  <w:noWrap w:val="0"/>
                  <w:vAlign w:val="center"/>
                </w:tcPr>
                <w:p w14:paraId="4368D4CC">
                  <w:pPr>
                    <w:pStyle w:val="44"/>
                    <w:bidi w:val="0"/>
                    <w:rPr>
                      <w:rFonts w:hint="eastAsia"/>
                      <w:color w:val="auto"/>
                      <w:lang w:val="en-US" w:eastAsia="zh-CN"/>
                    </w:rPr>
                  </w:pPr>
                  <w:r>
                    <w:rPr>
                      <w:rFonts w:hint="eastAsia"/>
                      <w:color w:val="auto"/>
                      <w:lang w:val="en-US" w:eastAsia="zh-CN"/>
                    </w:rPr>
                    <w:t>催化剂</w:t>
                  </w:r>
                </w:p>
              </w:tc>
              <w:tc>
                <w:tcPr>
                  <w:tcW w:w="657" w:type="pct"/>
                  <w:tcBorders>
                    <w:tl2br w:val="nil"/>
                    <w:tr2bl w:val="nil"/>
                  </w:tcBorders>
                  <w:noWrap w:val="0"/>
                  <w:vAlign w:val="center"/>
                </w:tcPr>
                <w:p w14:paraId="4CB4B3F3">
                  <w:pPr>
                    <w:pStyle w:val="44"/>
                    <w:bidi w:val="0"/>
                    <w:rPr>
                      <w:rFonts w:hint="eastAsia"/>
                      <w:color w:val="auto"/>
                      <w:lang w:val="en-US" w:eastAsia="zh-CN"/>
                    </w:rPr>
                  </w:pPr>
                  <w:r>
                    <w:rPr>
                      <w:rFonts w:hint="eastAsia"/>
                      <w:color w:val="auto"/>
                      <w:lang w:val="en-US" w:eastAsia="zh-CN"/>
                    </w:rPr>
                    <w:t>液态</w:t>
                  </w:r>
                </w:p>
              </w:tc>
              <w:tc>
                <w:tcPr>
                  <w:tcW w:w="694" w:type="pct"/>
                  <w:tcBorders>
                    <w:tl2br w:val="nil"/>
                    <w:tr2bl w:val="nil"/>
                  </w:tcBorders>
                  <w:noWrap w:val="0"/>
                  <w:vAlign w:val="center"/>
                </w:tcPr>
                <w:p w14:paraId="12E50D3B">
                  <w:pPr>
                    <w:pStyle w:val="44"/>
                    <w:bidi w:val="0"/>
                    <w:rPr>
                      <w:rFonts w:hint="eastAsia"/>
                      <w:color w:val="auto"/>
                      <w:lang w:val="en-US" w:eastAsia="zh-CN"/>
                    </w:rPr>
                  </w:pPr>
                  <w:r>
                    <w:rPr>
                      <w:rFonts w:hint="eastAsia"/>
                      <w:color w:val="auto"/>
                      <w:lang w:val="en-US" w:eastAsia="zh-CN"/>
                    </w:rPr>
                    <w:t>桶装</w:t>
                  </w:r>
                </w:p>
              </w:tc>
              <w:tc>
                <w:tcPr>
                  <w:tcW w:w="637" w:type="pct"/>
                  <w:tcBorders>
                    <w:tl2br w:val="nil"/>
                    <w:tr2bl w:val="nil"/>
                  </w:tcBorders>
                  <w:noWrap w:val="0"/>
                  <w:vAlign w:val="center"/>
                </w:tcPr>
                <w:p w14:paraId="313FE5E3">
                  <w:pPr>
                    <w:pStyle w:val="44"/>
                    <w:bidi w:val="0"/>
                    <w:rPr>
                      <w:rFonts w:hint="eastAsia"/>
                      <w:color w:val="auto"/>
                      <w:lang w:val="en-US" w:eastAsia="zh-CN"/>
                    </w:rPr>
                  </w:pPr>
                  <w:r>
                    <w:rPr>
                      <w:rFonts w:hint="eastAsia"/>
                      <w:color w:val="auto"/>
                      <w:lang w:val="en-US" w:eastAsia="zh-CN"/>
                    </w:rPr>
                    <w:t>12</w:t>
                  </w:r>
                  <w:r>
                    <w:rPr>
                      <w:rFonts w:hint="default"/>
                      <w:color w:val="auto"/>
                      <w:lang w:val="en-US" w:eastAsia="zh-CN"/>
                    </w:rPr>
                    <w:t>t/a</w:t>
                  </w:r>
                </w:p>
              </w:tc>
              <w:tc>
                <w:tcPr>
                  <w:tcW w:w="676" w:type="pct"/>
                  <w:tcBorders>
                    <w:tl2br w:val="nil"/>
                    <w:tr2bl w:val="nil"/>
                  </w:tcBorders>
                  <w:noWrap w:val="0"/>
                  <w:vAlign w:val="center"/>
                </w:tcPr>
                <w:p w14:paraId="6CB03CC4">
                  <w:pPr>
                    <w:pStyle w:val="44"/>
                    <w:bidi w:val="0"/>
                    <w:rPr>
                      <w:rFonts w:hint="eastAsia"/>
                      <w:color w:val="auto"/>
                      <w:lang w:val="en-US" w:eastAsia="zh-CN"/>
                    </w:rPr>
                  </w:pPr>
                  <w:r>
                    <w:rPr>
                      <w:rFonts w:hint="eastAsia"/>
                      <w:color w:val="auto"/>
                      <w:lang w:val="en-US" w:eastAsia="zh-CN"/>
                    </w:rPr>
                    <w:t>原料仓库</w:t>
                  </w:r>
                </w:p>
              </w:tc>
              <w:tc>
                <w:tcPr>
                  <w:tcW w:w="486" w:type="pct"/>
                  <w:tcBorders>
                    <w:tl2br w:val="nil"/>
                    <w:tr2bl w:val="nil"/>
                  </w:tcBorders>
                  <w:noWrap w:val="0"/>
                  <w:vAlign w:val="center"/>
                </w:tcPr>
                <w:p w14:paraId="2816D828">
                  <w:pPr>
                    <w:pStyle w:val="44"/>
                    <w:bidi w:val="0"/>
                    <w:rPr>
                      <w:rFonts w:hint="eastAsia"/>
                      <w:color w:val="auto"/>
                      <w:lang w:val="en-US" w:eastAsia="zh-CN"/>
                    </w:rPr>
                  </w:pPr>
                  <w:r>
                    <w:rPr>
                      <w:rFonts w:hint="eastAsia"/>
                      <w:color w:val="auto"/>
                      <w:lang w:val="en-US" w:eastAsia="zh-CN"/>
                    </w:rPr>
                    <w:t>30t</w:t>
                  </w:r>
                </w:p>
              </w:tc>
              <w:tc>
                <w:tcPr>
                  <w:tcW w:w="407" w:type="pct"/>
                  <w:tcBorders>
                    <w:tl2br w:val="nil"/>
                    <w:tr2bl w:val="nil"/>
                  </w:tcBorders>
                  <w:noWrap w:val="0"/>
                  <w:vAlign w:val="center"/>
                </w:tcPr>
                <w:p w14:paraId="0376C02E">
                  <w:pPr>
                    <w:pStyle w:val="44"/>
                    <w:bidi w:val="0"/>
                    <w:rPr>
                      <w:rFonts w:hint="eastAsia"/>
                      <w:color w:val="auto"/>
                      <w:lang w:val="en-US" w:eastAsia="zh-CN"/>
                    </w:rPr>
                  </w:pPr>
                  <w:r>
                    <w:rPr>
                      <w:rFonts w:hint="eastAsia"/>
                      <w:color w:val="auto"/>
                      <w:lang w:val="en-US" w:eastAsia="zh-CN"/>
                    </w:rPr>
                    <w:t>外购</w:t>
                  </w:r>
                </w:p>
              </w:tc>
            </w:tr>
            <w:tr w14:paraId="6077D6F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000" w:type="pct"/>
                  <w:gridSpan w:val="8"/>
                  <w:tcBorders>
                    <w:tl2br w:val="nil"/>
                    <w:tr2bl w:val="nil"/>
                  </w:tcBorders>
                  <w:noWrap w:val="0"/>
                  <w:vAlign w:val="center"/>
                </w:tcPr>
                <w:p w14:paraId="048A22A9">
                  <w:pPr>
                    <w:pStyle w:val="44"/>
                    <w:bidi w:val="0"/>
                    <w:rPr>
                      <w:rFonts w:hint="eastAsia" w:ascii="Times New Roman" w:hAnsi="Times New Roman" w:eastAsia="宋体"/>
                      <w:color w:val="auto"/>
                      <w:kern w:val="2"/>
                      <w:sz w:val="21"/>
                      <w:szCs w:val="21"/>
                      <w:lang w:val="en-US" w:eastAsia="zh-CN" w:bidi="ar-SA"/>
                    </w:rPr>
                  </w:pPr>
                  <w:r>
                    <w:rPr>
                      <w:rFonts w:hint="eastAsia"/>
                      <w:color w:val="auto"/>
                      <w:lang w:val="en-US" w:eastAsia="zh-CN"/>
                    </w:rPr>
                    <w:t>能源</w:t>
                  </w:r>
                </w:p>
              </w:tc>
            </w:tr>
            <w:tr w14:paraId="6FB1D42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39" w:type="pct"/>
                  <w:tcBorders>
                    <w:tl2br w:val="nil"/>
                    <w:tr2bl w:val="nil"/>
                  </w:tcBorders>
                  <w:noWrap w:val="0"/>
                  <w:vAlign w:val="center"/>
                </w:tcPr>
                <w:p w14:paraId="2E3B74B0">
                  <w:pPr>
                    <w:pStyle w:val="44"/>
                    <w:bidi w:val="0"/>
                    <w:rPr>
                      <w:rFonts w:hint="default"/>
                      <w:color w:val="auto"/>
                      <w:lang w:val="en-US" w:eastAsia="zh-CN"/>
                    </w:rPr>
                  </w:pPr>
                  <w:r>
                    <w:rPr>
                      <w:rFonts w:hint="eastAsia"/>
                      <w:color w:val="auto"/>
                      <w:lang w:val="en-US" w:eastAsia="zh-CN"/>
                    </w:rPr>
                    <w:t>1</w:t>
                  </w:r>
                </w:p>
              </w:tc>
              <w:tc>
                <w:tcPr>
                  <w:tcW w:w="1656" w:type="pct"/>
                  <w:gridSpan w:val="2"/>
                  <w:tcBorders>
                    <w:tl2br w:val="nil"/>
                    <w:tr2bl w:val="nil"/>
                  </w:tcBorders>
                  <w:noWrap w:val="0"/>
                  <w:vAlign w:val="center"/>
                </w:tcPr>
                <w:p w14:paraId="06076DA1">
                  <w:pPr>
                    <w:pStyle w:val="44"/>
                    <w:bidi w:val="0"/>
                    <w:rPr>
                      <w:rFonts w:hint="default"/>
                      <w:color w:val="auto"/>
                      <w:lang w:val="en-US" w:eastAsia="zh-CN"/>
                    </w:rPr>
                  </w:pPr>
                  <w:r>
                    <w:rPr>
                      <w:rFonts w:hint="eastAsia"/>
                      <w:color w:val="auto"/>
                      <w:lang w:val="en-US" w:eastAsia="zh-CN"/>
                    </w:rPr>
                    <w:t>水</w:t>
                  </w:r>
                </w:p>
              </w:tc>
              <w:tc>
                <w:tcPr>
                  <w:tcW w:w="2903" w:type="pct"/>
                  <w:gridSpan w:val="5"/>
                  <w:tcBorders>
                    <w:tl2br w:val="nil"/>
                    <w:tr2bl w:val="nil"/>
                  </w:tcBorders>
                  <w:noWrap w:val="0"/>
                  <w:vAlign w:val="center"/>
                </w:tcPr>
                <w:p w14:paraId="0A5747BC">
                  <w:pPr>
                    <w:pStyle w:val="44"/>
                    <w:bidi w:val="0"/>
                    <w:rPr>
                      <w:rFonts w:hint="eastAsia"/>
                      <w:color w:val="auto"/>
                    </w:rPr>
                  </w:pPr>
                  <w:r>
                    <w:rPr>
                      <w:rFonts w:hint="eastAsia"/>
                      <w:color w:val="auto"/>
                      <w:highlight w:val="none"/>
                      <w:lang w:val="en-US" w:eastAsia="zh-CN"/>
                    </w:rPr>
                    <w:t>2130</w:t>
                  </w:r>
                  <w:r>
                    <w:rPr>
                      <w:rFonts w:hint="default"/>
                      <w:color w:val="auto"/>
                      <w:highlight w:val="none"/>
                      <w:lang w:val="en-US" w:eastAsia="zh-CN"/>
                    </w:rPr>
                    <w:t>m</w:t>
                  </w:r>
                  <w:r>
                    <w:rPr>
                      <w:rFonts w:hint="default"/>
                      <w:color w:val="auto"/>
                      <w:highlight w:val="none"/>
                      <w:vertAlign w:val="superscript"/>
                      <w:lang w:val="en-US" w:eastAsia="zh-CN"/>
                    </w:rPr>
                    <w:t>3</w:t>
                  </w:r>
                  <w:r>
                    <w:rPr>
                      <w:rFonts w:hint="default"/>
                      <w:color w:val="auto"/>
                      <w:highlight w:val="none"/>
                      <w:lang w:val="en-US" w:eastAsia="zh-CN"/>
                    </w:rPr>
                    <w:t>/a</w:t>
                  </w:r>
                </w:p>
              </w:tc>
            </w:tr>
            <w:tr w14:paraId="31BC14A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39" w:type="pct"/>
                  <w:tcBorders>
                    <w:tl2br w:val="nil"/>
                    <w:tr2bl w:val="nil"/>
                  </w:tcBorders>
                  <w:noWrap w:val="0"/>
                  <w:vAlign w:val="center"/>
                </w:tcPr>
                <w:p w14:paraId="6B1DDCAF">
                  <w:pPr>
                    <w:pStyle w:val="44"/>
                    <w:bidi w:val="0"/>
                    <w:rPr>
                      <w:rFonts w:hint="default"/>
                      <w:color w:val="auto"/>
                      <w:lang w:val="en-US" w:eastAsia="zh-CN"/>
                    </w:rPr>
                  </w:pPr>
                  <w:r>
                    <w:rPr>
                      <w:rFonts w:hint="eastAsia"/>
                      <w:color w:val="auto"/>
                      <w:lang w:val="en-US" w:eastAsia="zh-CN"/>
                    </w:rPr>
                    <w:t>2</w:t>
                  </w:r>
                </w:p>
              </w:tc>
              <w:tc>
                <w:tcPr>
                  <w:tcW w:w="1656" w:type="pct"/>
                  <w:gridSpan w:val="2"/>
                  <w:tcBorders>
                    <w:tl2br w:val="nil"/>
                    <w:tr2bl w:val="nil"/>
                  </w:tcBorders>
                  <w:noWrap w:val="0"/>
                  <w:vAlign w:val="center"/>
                </w:tcPr>
                <w:p w14:paraId="04795003">
                  <w:pPr>
                    <w:pStyle w:val="44"/>
                    <w:bidi w:val="0"/>
                    <w:rPr>
                      <w:rFonts w:hint="default"/>
                      <w:color w:val="auto"/>
                      <w:lang w:val="en-US" w:eastAsia="zh-CN"/>
                    </w:rPr>
                  </w:pPr>
                  <w:r>
                    <w:rPr>
                      <w:rFonts w:hint="eastAsia"/>
                      <w:color w:val="auto"/>
                      <w:lang w:val="en-US" w:eastAsia="zh-CN"/>
                    </w:rPr>
                    <w:t>电</w:t>
                  </w:r>
                </w:p>
              </w:tc>
              <w:tc>
                <w:tcPr>
                  <w:tcW w:w="2903" w:type="pct"/>
                  <w:gridSpan w:val="5"/>
                  <w:tcBorders>
                    <w:tl2br w:val="nil"/>
                    <w:tr2bl w:val="nil"/>
                  </w:tcBorders>
                  <w:noWrap w:val="0"/>
                  <w:vAlign w:val="center"/>
                </w:tcPr>
                <w:p w14:paraId="73CA791C">
                  <w:pPr>
                    <w:pStyle w:val="44"/>
                    <w:bidi w:val="0"/>
                    <w:rPr>
                      <w:rFonts w:hint="eastAsia"/>
                      <w:color w:val="auto"/>
                    </w:rPr>
                  </w:pPr>
                  <w:r>
                    <w:rPr>
                      <w:rFonts w:hint="eastAsia"/>
                      <w:color w:val="auto"/>
                      <w:lang w:val="en-US" w:eastAsia="zh-CN"/>
                    </w:rPr>
                    <w:t>211.6</w:t>
                  </w:r>
                  <w:r>
                    <w:rPr>
                      <w:rFonts w:hint="default"/>
                      <w:color w:val="auto"/>
                      <w:lang w:val="en-US" w:eastAsia="zh-CN"/>
                    </w:rPr>
                    <w:t>万Kwh/a</w:t>
                  </w:r>
                </w:p>
              </w:tc>
            </w:tr>
          </w:tbl>
          <w:p w14:paraId="0AA21963">
            <w:pPr>
              <w:bidi w:val="0"/>
              <w:rPr>
                <w:rFonts w:hint="eastAsia"/>
                <w:color w:val="auto"/>
                <w:lang w:val="en-US" w:eastAsia="zh-CN"/>
              </w:rPr>
            </w:pPr>
            <w:r>
              <w:rPr>
                <w:rFonts w:hint="eastAsia"/>
                <w:color w:val="auto"/>
                <w:lang w:val="en-US" w:eastAsia="zh-CN"/>
              </w:rPr>
              <w:t xml:space="preserve">   硅烷改性聚醚：硅烷改性聚醚是一种有机硅功能材料，其分子结构中含有硅烷基和聚氧乙烯醚链。硅烷基的引入使其具有优异的亲水性和耐候性，聚氧乙烯醚链的引入使其具有良好的润滑性和分散性‌。硅烷改性聚醚还具有良好的耐水性、耐候性和化学稳定性。其熔点166℃，沸点600~800℃。硅烷改性聚醚具有低毒性，</w:t>
            </w:r>
            <w:r>
              <w:rPr>
                <w:rFonts w:hint="eastAsia"/>
                <w:color w:val="auto"/>
                <w:lang w:val="en-US" w:eastAsia="zh-CN"/>
              </w:rPr>
              <w:t>急性毒性类别为5</w:t>
            </w:r>
            <w:r>
              <w:rPr>
                <w:rFonts w:hint="eastAsia"/>
                <w:color w:val="auto"/>
                <w:lang w:val="en-US" w:eastAsia="zh-CN"/>
              </w:rPr>
              <w:t>，在正常使用条件下不会对人体和环境产生明显毒性问题。</w:t>
            </w:r>
            <w:r>
              <w:rPr>
                <w:rFonts w:hint="eastAsia"/>
                <w:color w:val="auto"/>
                <w:sz w:val="24"/>
                <w:szCs w:val="24"/>
              </w:rPr>
              <w:t>项目所用硅烷改性聚醚为上游硅烷改性聚醚生产厂家已合成好的，具有上述指定结构的烷氧基改性聚醚聚合物，是密封材料的主体树脂</w:t>
            </w:r>
            <w:r>
              <w:rPr>
                <w:rFonts w:hint="eastAsia"/>
                <w:color w:val="auto"/>
                <w:sz w:val="24"/>
                <w:szCs w:val="24"/>
                <w:lang w:eastAsia="zh-CN"/>
              </w:rPr>
              <w:t>。</w:t>
            </w:r>
            <w:bookmarkStart w:id="3" w:name="_GoBack"/>
            <w:bookmarkEnd w:id="3"/>
            <w:r>
              <w:rPr>
                <w:rFonts w:hint="eastAsia"/>
                <w:color w:val="auto"/>
                <w:lang w:val="en-US" w:eastAsia="zh-CN"/>
              </w:rPr>
              <w:t>‌</w:t>
            </w:r>
          </w:p>
          <w:p w14:paraId="2B620190">
            <w:pPr>
              <w:bidi w:val="0"/>
              <w:ind w:firstLine="480" w:firstLineChars="200"/>
              <w:rPr>
                <w:rFonts w:hint="eastAsia"/>
                <w:color w:val="auto"/>
                <w:lang w:val="en-US" w:eastAsia="zh-CN"/>
              </w:rPr>
            </w:pPr>
            <w:r>
              <w:rPr>
                <w:rFonts w:hint="eastAsia"/>
                <w:color w:val="auto"/>
                <w:lang w:val="en-US" w:eastAsia="zh-CN"/>
              </w:rPr>
              <w:t>环保增塑剂：一般为聚醚多元醇。聚醚多元醇主要为苄基缩水甘油醚（C</w:t>
            </w:r>
            <w:r>
              <w:rPr>
                <w:rFonts w:hint="eastAsia"/>
                <w:color w:val="auto"/>
                <w:vertAlign w:val="subscript"/>
                <w:lang w:val="en-US" w:eastAsia="zh-CN"/>
              </w:rPr>
              <w:t>10</w:t>
            </w:r>
            <w:r>
              <w:rPr>
                <w:rFonts w:hint="eastAsia"/>
                <w:color w:val="auto"/>
                <w:lang w:val="en-US" w:eastAsia="zh-CN"/>
              </w:rPr>
              <w:t>H</w:t>
            </w:r>
            <w:r>
              <w:rPr>
                <w:rFonts w:hint="eastAsia"/>
                <w:color w:val="auto"/>
                <w:vertAlign w:val="subscript"/>
                <w:lang w:val="en-US" w:eastAsia="zh-CN"/>
              </w:rPr>
              <w:t>12</w:t>
            </w:r>
            <w:r>
              <w:rPr>
                <w:rFonts w:hint="eastAsia"/>
                <w:color w:val="auto"/>
                <w:lang w:val="en-US" w:eastAsia="zh-CN"/>
              </w:rPr>
              <w:t>O</w:t>
            </w:r>
            <w:r>
              <w:rPr>
                <w:rFonts w:hint="eastAsia"/>
                <w:color w:val="auto"/>
                <w:vertAlign w:val="subscript"/>
                <w:lang w:val="en-US" w:eastAsia="zh-CN"/>
              </w:rPr>
              <w:t>2</w:t>
            </w:r>
            <w:r>
              <w:rPr>
                <w:rFonts w:hint="eastAsia"/>
                <w:color w:val="auto"/>
                <w:lang w:val="en-US" w:eastAsia="zh-CN"/>
              </w:rPr>
              <w:t>），是一种无色透明液体，气味小、毒性低、挥发性低、化学稳定性好。在结构上含有刚性链段，固化产物与丁基缩水甘油醚相比，热变形温度有明显提高，有利于工作环境保护。聚醚多元醇本身无毒，但长期暴露于聚醚多元醇的环境中，可能对眼睛、呼吸道和皮肤造成刺激。常用来制备酯类、醚类、酮类和胺类有机化合物，它还可用于制备香料、药品、染料和涂料等化学品。其主要作用为：改善密封材料加工性能，增加流动性，提高密封材料固化后的柔软性和延展性。‌</w:t>
            </w:r>
          </w:p>
          <w:p w14:paraId="0CAF1ED5">
            <w:pPr>
              <w:bidi w:val="0"/>
              <w:rPr>
                <w:rFonts w:hint="default" w:eastAsia="宋体"/>
                <w:color w:val="auto"/>
                <w:lang w:val="en-US" w:eastAsia="zh-CN"/>
              </w:rPr>
            </w:pPr>
            <w:r>
              <w:rPr>
                <w:rFonts w:hint="eastAsia"/>
                <w:color w:val="auto"/>
                <w:lang w:val="en-US" w:eastAsia="zh-CN"/>
              </w:rPr>
              <w:t xml:space="preserve">    无机粉体：一般为碳酸钙（CaCO</w:t>
            </w:r>
            <w:r>
              <w:rPr>
                <w:rFonts w:hint="eastAsia"/>
                <w:color w:val="auto"/>
                <w:vertAlign w:val="subscript"/>
                <w:lang w:val="en-US" w:eastAsia="zh-CN"/>
              </w:rPr>
              <w:t>3</w:t>
            </w:r>
            <w:r>
              <w:rPr>
                <w:rFonts w:hint="eastAsia"/>
                <w:color w:val="auto"/>
                <w:lang w:val="en-US" w:eastAsia="zh-CN"/>
              </w:rPr>
              <w:t>）粉，包括重质碳酸钙，轻质碳酸钙和纳米碳酸钙等等，其主要作用为：提升密封材料的硬度，强度和耐磨性能，降低成本。</w:t>
            </w:r>
          </w:p>
          <w:p w14:paraId="7B5AC9A2">
            <w:pPr>
              <w:bidi w:val="0"/>
              <w:ind w:firstLine="480" w:firstLineChars="200"/>
              <w:rPr>
                <w:rFonts w:hint="eastAsia"/>
                <w:color w:val="auto"/>
                <w:lang w:eastAsia="zh-CN"/>
              </w:rPr>
            </w:pPr>
            <w:r>
              <w:rPr>
                <w:rFonts w:hint="default"/>
                <w:color w:val="auto"/>
              </w:rPr>
              <w:t>硅烷偶联剂</w:t>
            </w:r>
            <w:r>
              <w:rPr>
                <w:rFonts w:hint="eastAsia"/>
                <w:color w:val="auto"/>
                <w:lang w:eastAsia="zh-CN"/>
              </w:rPr>
              <w:t>：</w:t>
            </w:r>
            <w:r>
              <w:rPr>
                <w:color w:val="auto"/>
              </w:rPr>
              <w:t>是一类在分子结构中同时含有两种不同化学性质基团的有机硅化合物</w:t>
            </w:r>
            <w:r>
              <w:rPr>
                <w:rFonts w:hint="default"/>
                <w:color w:val="auto"/>
              </w:rPr>
              <w:t>‌。其通式为YnSiX4-n，其中Y为不能水解的基团（如链烯基、氨基、巯基等），X为可以水解并生成Si-OH的基团（如氯、甲氧基、乙氧基等）。硅烷偶联剂的分子结构使其具有同时亲和有机物和无机物的性质，能够在无机物和有机物之间形成牢固的结合层</w:t>
            </w:r>
            <w:r>
              <w:rPr>
                <w:rFonts w:hint="eastAsia"/>
                <w:color w:val="auto"/>
                <w:lang w:eastAsia="zh-CN"/>
              </w:rPr>
              <w:t>。</w:t>
            </w:r>
            <w:r>
              <w:rPr>
                <w:rFonts w:hint="default"/>
                <w:color w:val="auto"/>
              </w:rPr>
              <w:t>硅烷偶联剂</w:t>
            </w:r>
            <w:r>
              <w:rPr>
                <w:rFonts w:hint="eastAsia"/>
                <w:color w:val="auto"/>
                <w:lang w:val="en-US" w:eastAsia="zh-CN"/>
              </w:rPr>
              <w:t>通常为无色透明液体，具有较低的黏度和良好的流动性。硅烷偶联剂在水溶液中不稳定，容易水解。其主要作用为：当密封材料使用时，体系接触空气中湿气，硅烷偶联剂烷氧基水解形成硅羟基，与基材表面羟基脱水形成Si-O-Si（或金属等其他材料）结构，另一端的反应型官能团也能与硅烷改性聚醚相结合，两者同时起作用，在密封材料和基材之间形成一种类似于桥梁的作用，提升密封材料对基材的附着力；同时，硅烷偶联剂还可以作为密封材料使用时硅烷改性聚醚固化反应的交联剂，提高最终产品的交联密度。</w:t>
            </w:r>
            <w:r>
              <w:rPr>
                <w:rFonts w:hint="default"/>
                <w:color w:val="auto"/>
              </w:rPr>
              <w:t>‌</w:t>
            </w:r>
          </w:p>
          <w:p w14:paraId="19C7B020">
            <w:pPr>
              <w:bidi w:val="0"/>
              <w:rPr>
                <w:rFonts w:hint="default" w:eastAsia="宋体"/>
                <w:color w:val="auto"/>
                <w:lang w:val="en-US" w:eastAsia="zh-CN"/>
              </w:rPr>
            </w:pPr>
            <w:r>
              <w:rPr>
                <w:rFonts w:hint="eastAsia"/>
                <w:color w:val="auto"/>
                <w:lang w:val="en-US" w:eastAsia="zh-CN"/>
              </w:rPr>
              <w:t xml:space="preserve">    抗老化剂：通用名为抗老化剂1010，化学名：四[β-（3，5-二叔丁基-4-羟基苯基）丙酸]季戊四醇酯。为白色结晶粉末，化学性质稳定，分子式：C</w:t>
            </w:r>
            <w:r>
              <w:rPr>
                <w:rFonts w:hint="eastAsia"/>
                <w:color w:val="auto"/>
                <w:vertAlign w:val="subscript"/>
                <w:lang w:val="en-US" w:eastAsia="zh-CN"/>
              </w:rPr>
              <w:t>73</w:t>
            </w:r>
            <w:r>
              <w:rPr>
                <w:rFonts w:hint="eastAsia"/>
                <w:color w:val="auto"/>
                <w:lang w:val="en-US" w:eastAsia="zh-CN"/>
              </w:rPr>
              <w:t>H</w:t>
            </w:r>
            <w:r>
              <w:rPr>
                <w:rFonts w:hint="eastAsia"/>
                <w:color w:val="auto"/>
                <w:vertAlign w:val="subscript"/>
                <w:lang w:val="en-US" w:eastAsia="zh-CN"/>
              </w:rPr>
              <w:t>108</w:t>
            </w:r>
            <w:r>
              <w:rPr>
                <w:rFonts w:hint="eastAsia"/>
                <w:color w:val="auto"/>
                <w:lang w:val="en-US" w:eastAsia="zh-CN"/>
              </w:rPr>
              <w:t>O</w:t>
            </w:r>
            <w:r>
              <w:rPr>
                <w:rFonts w:hint="eastAsia"/>
                <w:color w:val="auto"/>
                <w:vertAlign w:val="subscript"/>
                <w:lang w:val="en-US" w:eastAsia="zh-CN"/>
              </w:rPr>
              <w:t>12</w:t>
            </w:r>
            <w:r>
              <w:rPr>
                <w:rFonts w:hint="eastAsia"/>
                <w:color w:val="auto"/>
                <w:lang w:val="en-US" w:eastAsia="zh-CN"/>
              </w:rPr>
              <w:t xml:space="preserve"> ，熔点110.0～125.0℃，密度：1.15，可溶于苯、丙酮、氯仿，微溶于乙醇，不溶于水。毒性极低，大白鼠经口LD</w:t>
            </w:r>
            <w:r>
              <w:rPr>
                <w:rFonts w:hint="eastAsia"/>
                <w:color w:val="auto"/>
                <w:vertAlign w:val="subscript"/>
                <w:lang w:val="en-US" w:eastAsia="zh-CN"/>
              </w:rPr>
              <w:t>50</w:t>
            </w:r>
            <w:r>
              <w:rPr>
                <w:rFonts w:hint="eastAsia"/>
                <w:color w:val="auto"/>
                <w:lang w:val="en-US" w:eastAsia="zh-CN"/>
              </w:rPr>
              <w:t>＞5g/kg，可用于食品包装材料。其主要作用为提升密封材料的耐老化性能。</w:t>
            </w:r>
          </w:p>
          <w:p w14:paraId="10FB05F6">
            <w:pPr>
              <w:bidi w:val="0"/>
              <w:rPr>
                <w:rFonts w:hint="default" w:eastAsia="宋体"/>
                <w:color w:val="auto"/>
                <w:lang w:val="en-US" w:eastAsia="zh-CN"/>
              </w:rPr>
            </w:pPr>
            <w:r>
              <w:rPr>
                <w:rFonts w:hint="eastAsia"/>
                <w:color w:val="auto"/>
                <w:lang w:val="en-US" w:eastAsia="zh-CN"/>
              </w:rPr>
              <w:t xml:space="preserve">    催化剂：一般为有机锡类催化剂，如辛酸亚锡，二月桂酸二丁基锡等。通式RnSnX4-（n=1-4，R为烷基或芳香基）。有烷基锡化合物和芳香基化合物两类。其基本结构有一取代体、二取代体、三取代体和四取代体（指R的数目）。有机锡催化剂通常被用于聚氨酯等产品的生产，特别是在聚氨酯泡沫、涂料、弹性体、胶黏剂、树脂等行业中被广泛应用。其主要作用为：当密封材料使用时，体系接触空气中湿气，催化剂一方面可以促进体系的主体树脂（硅烷改性聚醚）分子链段两端烷氧基结构水解生成硅羟基结构，与基材表面羟基反应并自身交联聚合；另一方面可以促进体系中硅烷偶联剂水解，发挥其附着力促进的作用，最终实现提高密封材料固化时的反应速度，效率及交联密度。</w:t>
            </w:r>
          </w:p>
          <w:p w14:paraId="73FB1B7A">
            <w:pPr>
              <w:pStyle w:val="4"/>
              <w:numPr>
                <w:ilvl w:val="0"/>
                <w:numId w:val="0"/>
              </w:numPr>
              <w:bidi w:val="0"/>
              <w:ind w:leftChars="0" w:firstLine="48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四、主要设施设备</w:t>
            </w:r>
          </w:p>
          <w:p w14:paraId="204C1A6E">
            <w:pPr>
              <w:adjustRightInd w:val="0"/>
              <w:snapToGrid w:val="0"/>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项目</w:t>
            </w:r>
            <w:r>
              <w:rPr>
                <w:rFonts w:hint="default"/>
                <w:color w:val="auto"/>
                <w:lang w:eastAsia="zh-CN"/>
              </w:rPr>
              <w:t>电池PACK密封材料</w:t>
            </w:r>
            <w:r>
              <w:rPr>
                <w:rFonts w:hint="eastAsia"/>
                <w:color w:val="auto"/>
                <w:lang w:eastAsia="zh-CN"/>
              </w:rPr>
              <w:t>、</w:t>
            </w:r>
            <w:r>
              <w:rPr>
                <w:rFonts w:hint="default"/>
                <w:color w:val="auto"/>
                <w:lang w:val="en-US" w:eastAsia="zh-CN"/>
              </w:rPr>
              <w:t>电子电器密封材料</w:t>
            </w:r>
            <w:r>
              <w:rPr>
                <w:rFonts w:hint="eastAsia"/>
                <w:color w:val="auto"/>
                <w:lang w:val="en-US" w:eastAsia="zh-CN"/>
              </w:rPr>
              <w:t>生产工艺相同，共用生产线，</w:t>
            </w:r>
            <w:r>
              <w:rPr>
                <w:rFonts w:hint="default" w:ascii="Times New Roman" w:hAnsi="Times New Roman" w:cs="Times New Roman"/>
                <w:color w:val="auto"/>
                <w:highlight w:val="none"/>
              </w:rPr>
              <w:t>设备具体情况见</w:t>
            </w:r>
            <w:r>
              <w:rPr>
                <w:rFonts w:hint="default" w:ascii="Times New Roman" w:hAnsi="Times New Roman" w:cs="Times New Roman"/>
                <w:color w:val="auto"/>
                <w:highlight w:val="none"/>
                <w:lang w:val="en-US" w:eastAsia="zh-CN"/>
              </w:rPr>
              <w:t>下</w:t>
            </w:r>
            <w:r>
              <w:rPr>
                <w:rFonts w:hint="default" w:ascii="Times New Roman" w:hAnsi="Times New Roman" w:cs="Times New Roman"/>
                <w:color w:val="auto"/>
                <w:highlight w:val="none"/>
              </w:rPr>
              <w:t>表。</w:t>
            </w:r>
          </w:p>
          <w:p w14:paraId="72620F22">
            <w:pPr>
              <w:pStyle w:val="47"/>
              <w:bidi w:val="0"/>
              <w:rPr>
                <w:rFonts w:hint="default" w:ascii="Times New Roman" w:hAnsi="Times New Roman" w:cs="Times New Roman"/>
                <w:color w:val="auto"/>
                <w:highlight w:val="none"/>
              </w:rPr>
            </w:pPr>
          </w:p>
          <w:p w14:paraId="39F316EE">
            <w:pPr>
              <w:pStyle w:val="47"/>
              <w:bidi w:val="0"/>
              <w:rPr>
                <w:rFonts w:hint="default" w:ascii="Times New Roman" w:hAnsi="Times New Roman" w:cs="Times New Roman"/>
                <w:b/>
                <w:bCs w:val="0"/>
                <w:color w:val="auto"/>
                <w:szCs w:val="32"/>
                <w:highlight w:val="none"/>
              </w:rPr>
            </w:pPr>
            <w:r>
              <w:rPr>
                <w:rFonts w:hint="default" w:ascii="Times New Roman" w:hAnsi="Times New Roman" w:cs="Times New Roman"/>
                <w:color w:val="auto"/>
                <w:highlight w:val="none"/>
              </w:rPr>
              <w:t>表2-</w:t>
            </w:r>
            <w:r>
              <w:rPr>
                <w:rFonts w:hint="eastAsia" w:cs="Times New Roman"/>
                <w:color w:val="auto"/>
                <w:highlight w:val="none"/>
                <w:lang w:val="en-US" w:eastAsia="zh-CN"/>
              </w:rPr>
              <w:t>5</w:t>
            </w:r>
            <w:r>
              <w:rPr>
                <w:rFonts w:hint="default" w:ascii="Times New Roman" w:hAnsi="Times New Roman" w:cs="Times New Roman"/>
                <w:color w:val="auto"/>
                <w:highlight w:val="none"/>
              </w:rPr>
              <w:t xml:space="preserve"> 项目主要设备设施一览表</w:t>
            </w:r>
          </w:p>
          <w:tbl>
            <w:tblPr>
              <w:tblStyle w:val="33"/>
              <w:tblW w:w="7959"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2443"/>
              <w:gridCol w:w="2109"/>
              <w:gridCol w:w="2241"/>
            </w:tblGrid>
            <w:tr w14:paraId="3727A69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7" w:hRule="atLeast"/>
                <w:tblHeader/>
                <w:jc w:val="center"/>
              </w:trPr>
              <w:tc>
                <w:tcPr>
                  <w:tcW w:w="1166" w:type="dxa"/>
                  <w:vMerge w:val="restart"/>
                  <w:tcBorders>
                    <w:tl2br w:val="nil"/>
                    <w:tr2bl w:val="nil"/>
                  </w:tcBorders>
                  <w:noWrap w:val="0"/>
                  <w:vAlign w:val="center"/>
                </w:tcPr>
                <w:p w14:paraId="7E26FEF7">
                  <w:pPr>
                    <w:pStyle w:val="44"/>
                    <w:bidi w:val="0"/>
                    <w:rPr>
                      <w:rFonts w:hint="default"/>
                      <w:color w:val="auto"/>
                    </w:rPr>
                  </w:pPr>
                  <w:r>
                    <w:rPr>
                      <w:rFonts w:hint="default"/>
                      <w:color w:val="auto"/>
                    </w:rPr>
                    <w:t>序号</w:t>
                  </w:r>
                </w:p>
              </w:tc>
              <w:tc>
                <w:tcPr>
                  <w:tcW w:w="6793" w:type="dxa"/>
                  <w:gridSpan w:val="3"/>
                  <w:tcBorders>
                    <w:tl2br w:val="nil"/>
                    <w:tr2bl w:val="nil"/>
                  </w:tcBorders>
                  <w:noWrap w:val="0"/>
                  <w:vAlign w:val="center"/>
                </w:tcPr>
                <w:p w14:paraId="725036BE">
                  <w:pPr>
                    <w:pStyle w:val="44"/>
                    <w:bidi w:val="0"/>
                    <w:rPr>
                      <w:rFonts w:hint="default"/>
                      <w:color w:val="auto"/>
                    </w:rPr>
                  </w:pPr>
                  <w:r>
                    <w:rPr>
                      <w:rFonts w:hint="default"/>
                      <w:color w:val="auto"/>
                      <w:lang w:val="en-US" w:eastAsia="zh-CN"/>
                    </w:rPr>
                    <w:t>主要生产设施及参数</w:t>
                  </w:r>
                </w:p>
              </w:tc>
            </w:tr>
            <w:tr w14:paraId="32BBA6D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2" w:hRule="atLeast"/>
                <w:tblHeader/>
                <w:jc w:val="center"/>
              </w:trPr>
              <w:tc>
                <w:tcPr>
                  <w:tcW w:w="1166" w:type="dxa"/>
                  <w:vMerge w:val="continue"/>
                  <w:tcBorders>
                    <w:tl2br w:val="nil"/>
                    <w:tr2bl w:val="nil"/>
                  </w:tcBorders>
                  <w:noWrap w:val="0"/>
                  <w:vAlign w:val="center"/>
                </w:tcPr>
                <w:p w14:paraId="23EEA820">
                  <w:pPr>
                    <w:pStyle w:val="44"/>
                    <w:bidi w:val="0"/>
                    <w:rPr>
                      <w:rFonts w:hint="default"/>
                      <w:color w:val="auto"/>
                    </w:rPr>
                  </w:pPr>
                </w:p>
              </w:tc>
              <w:tc>
                <w:tcPr>
                  <w:tcW w:w="2443" w:type="dxa"/>
                  <w:tcBorders>
                    <w:tl2br w:val="nil"/>
                    <w:tr2bl w:val="nil"/>
                  </w:tcBorders>
                  <w:noWrap w:val="0"/>
                  <w:vAlign w:val="center"/>
                </w:tcPr>
                <w:p w14:paraId="2A260889">
                  <w:pPr>
                    <w:pStyle w:val="44"/>
                    <w:bidi w:val="0"/>
                    <w:rPr>
                      <w:rFonts w:hint="default"/>
                      <w:color w:val="auto"/>
                    </w:rPr>
                  </w:pPr>
                  <w:r>
                    <w:rPr>
                      <w:rFonts w:hint="default"/>
                      <w:color w:val="auto"/>
                    </w:rPr>
                    <w:t>设备名称</w:t>
                  </w:r>
                </w:p>
              </w:tc>
              <w:tc>
                <w:tcPr>
                  <w:tcW w:w="2109" w:type="dxa"/>
                  <w:tcBorders>
                    <w:tl2br w:val="nil"/>
                    <w:tr2bl w:val="nil"/>
                  </w:tcBorders>
                  <w:noWrap w:val="0"/>
                  <w:vAlign w:val="center"/>
                </w:tcPr>
                <w:p w14:paraId="2DA03606">
                  <w:pPr>
                    <w:pStyle w:val="44"/>
                    <w:bidi w:val="0"/>
                    <w:rPr>
                      <w:rFonts w:hint="default"/>
                      <w:color w:val="auto"/>
                    </w:rPr>
                  </w:pPr>
                  <w:r>
                    <w:rPr>
                      <w:rFonts w:hint="default"/>
                      <w:color w:val="auto"/>
                    </w:rPr>
                    <w:t>型号</w:t>
                  </w:r>
                </w:p>
              </w:tc>
              <w:tc>
                <w:tcPr>
                  <w:tcW w:w="2241" w:type="dxa"/>
                  <w:tcBorders>
                    <w:tl2br w:val="nil"/>
                    <w:tr2bl w:val="nil"/>
                  </w:tcBorders>
                  <w:noWrap w:val="0"/>
                  <w:vAlign w:val="center"/>
                </w:tcPr>
                <w:p w14:paraId="09B098ED">
                  <w:pPr>
                    <w:pStyle w:val="44"/>
                    <w:bidi w:val="0"/>
                    <w:rPr>
                      <w:rFonts w:hint="default"/>
                      <w:color w:val="auto"/>
                    </w:rPr>
                  </w:pPr>
                  <w:r>
                    <w:rPr>
                      <w:rFonts w:hint="default"/>
                      <w:color w:val="auto"/>
                    </w:rPr>
                    <w:t>数量</w:t>
                  </w:r>
                  <w:r>
                    <w:rPr>
                      <w:rFonts w:hint="default"/>
                      <w:color w:val="auto"/>
                      <w:lang w:eastAsia="zh-CN"/>
                    </w:rPr>
                    <w:t>（</w:t>
                  </w:r>
                  <w:r>
                    <w:rPr>
                      <w:rFonts w:hint="default"/>
                      <w:color w:val="auto"/>
                    </w:rPr>
                    <w:t>台/套</w:t>
                  </w:r>
                  <w:r>
                    <w:rPr>
                      <w:rFonts w:hint="default"/>
                      <w:color w:val="auto"/>
                      <w:lang w:eastAsia="zh-CN"/>
                    </w:rPr>
                    <w:t>）</w:t>
                  </w:r>
                </w:p>
              </w:tc>
            </w:tr>
            <w:tr w14:paraId="462131C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2" w:hRule="atLeast"/>
                <w:tblHeader/>
                <w:jc w:val="center"/>
              </w:trPr>
              <w:tc>
                <w:tcPr>
                  <w:tcW w:w="1166" w:type="dxa"/>
                  <w:tcBorders>
                    <w:tl2br w:val="nil"/>
                    <w:tr2bl w:val="nil"/>
                  </w:tcBorders>
                  <w:noWrap w:val="0"/>
                  <w:vAlign w:val="center"/>
                </w:tcPr>
                <w:p w14:paraId="230527D2">
                  <w:pPr>
                    <w:pStyle w:val="44"/>
                    <w:bidi w:val="0"/>
                    <w:rPr>
                      <w:rFonts w:hint="default"/>
                      <w:color w:val="auto"/>
                      <w:lang w:val="en-US" w:eastAsia="zh-CN"/>
                    </w:rPr>
                  </w:pPr>
                  <w:r>
                    <w:rPr>
                      <w:rFonts w:hint="default"/>
                      <w:color w:val="auto"/>
                      <w:lang w:val="en-US" w:eastAsia="zh-CN"/>
                    </w:rPr>
                    <w:t>1</w:t>
                  </w:r>
                </w:p>
              </w:tc>
              <w:tc>
                <w:tcPr>
                  <w:tcW w:w="2443" w:type="dxa"/>
                  <w:tcBorders>
                    <w:tl2br w:val="nil"/>
                    <w:tr2bl w:val="nil"/>
                  </w:tcBorders>
                  <w:noWrap w:val="0"/>
                  <w:vAlign w:val="top"/>
                </w:tcPr>
                <w:p w14:paraId="2F271DDA">
                  <w:pPr>
                    <w:pStyle w:val="44"/>
                    <w:bidi w:val="0"/>
                    <w:rPr>
                      <w:rFonts w:hint="default"/>
                      <w:color w:val="auto"/>
                      <w:lang w:val="en-US" w:eastAsia="zh-CN"/>
                    </w:rPr>
                  </w:pPr>
                  <w:r>
                    <w:rPr>
                      <w:rFonts w:hint="eastAsia"/>
                      <w:color w:val="auto"/>
                    </w:rPr>
                    <w:t>分散搅拌设备</w:t>
                  </w:r>
                </w:p>
              </w:tc>
              <w:tc>
                <w:tcPr>
                  <w:tcW w:w="2109" w:type="dxa"/>
                  <w:tcBorders>
                    <w:tl2br w:val="nil"/>
                    <w:tr2bl w:val="nil"/>
                  </w:tcBorders>
                  <w:noWrap w:val="0"/>
                  <w:vAlign w:val="top"/>
                </w:tcPr>
                <w:p w14:paraId="637119AE">
                  <w:pPr>
                    <w:pStyle w:val="44"/>
                    <w:bidi w:val="0"/>
                    <w:rPr>
                      <w:rFonts w:hint="default"/>
                      <w:color w:val="auto"/>
                      <w:lang w:val="en-US" w:eastAsia="zh-CN"/>
                    </w:rPr>
                  </w:pPr>
                  <w:r>
                    <w:rPr>
                      <w:rFonts w:hint="eastAsia"/>
                      <w:color w:val="auto"/>
                    </w:rPr>
                    <w:t>5000L</w:t>
                  </w:r>
                </w:p>
              </w:tc>
              <w:tc>
                <w:tcPr>
                  <w:tcW w:w="2241" w:type="dxa"/>
                  <w:tcBorders>
                    <w:tl2br w:val="nil"/>
                    <w:tr2bl w:val="nil"/>
                  </w:tcBorders>
                  <w:noWrap w:val="0"/>
                  <w:vAlign w:val="top"/>
                </w:tcPr>
                <w:p w14:paraId="251A057B">
                  <w:pPr>
                    <w:pStyle w:val="44"/>
                    <w:bidi w:val="0"/>
                    <w:rPr>
                      <w:rFonts w:hint="default"/>
                      <w:color w:val="auto"/>
                      <w:lang w:val="en-US" w:eastAsia="zh-CN"/>
                    </w:rPr>
                  </w:pPr>
                  <w:r>
                    <w:rPr>
                      <w:rFonts w:hint="eastAsia"/>
                      <w:color w:val="auto"/>
                    </w:rPr>
                    <w:t>8</w:t>
                  </w:r>
                </w:p>
              </w:tc>
            </w:tr>
            <w:tr w14:paraId="27426EE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2" w:hRule="atLeast"/>
                <w:tblHeader/>
                <w:jc w:val="center"/>
              </w:trPr>
              <w:tc>
                <w:tcPr>
                  <w:tcW w:w="1166" w:type="dxa"/>
                  <w:tcBorders>
                    <w:tl2br w:val="nil"/>
                    <w:tr2bl w:val="nil"/>
                  </w:tcBorders>
                  <w:noWrap w:val="0"/>
                  <w:vAlign w:val="center"/>
                </w:tcPr>
                <w:p w14:paraId="0B1C7851">
                  <w:pPr>
                    <w:pStyle w:val="44"/>
                    <w:bidi w:val="0"/>
                    <w:rPr>
                      <w:rFonts w:hint="default"/>
                      <w:color w:val="auto"/>
                      <w:lang w:val="en-US" w:eastAsia="zh-CN"/>
                    </w:rPr>
                  </w:pPr>
                  <w:r>
                    <w:rPr>
                      <w:rFonts w:hint="default"/>
                      <w:color w:val="auto"/>
                      <w:lang w:val="en-US" w:eastAsia="zh-CN"/>
                    </w:rPr>
                    <w:t>2</w:t>
                  </w:r>
                </w:p>
              </w:tc>
              <w:tc>
                <w:tcPr>
                  <w:tcW w:w="2443" w:type="dxa"/>
                  <w:tcBorders>
                    <w:tl2br w:val="nil"/>
                    <w:tr2bl w:val="nil"/>
                  </w:tcBorders>
                  <w:noWrap w:val="0"/>
                  <w:vAlign w:val="top"/>
                </w:tcPr>
                <w:p w14:paraId="60920E6A">
                  <w:pPr>
                    <w:pStyle w:val="44"/>
                    <w:bidi w:val="0"/>
                    <w:rPr>
                      <w:rFonts w:hint="eastAsia"/>
                      <w:color w:val="auto"/>
                    </w:rPr>
                  </w:pPr>
                  <w:r>
                    <w:rPr>
                      <w:rFonts w:hint="eastAsia"/>
                      <w:color w:val="auto"/>
                    </w:rPr>
                    <w:t>分散搅拌设备</w:t>
                  </w:r>
                </w:p>
              </w:tc>
              <w:tc>
                <w:tcPr>
                  <w:tcW w:w="2109" w:type="dxa"/>
                  <w:tcBorders>
                    <w:tl2br w:val="nil"/>
                    <w:tr2bl w:val="nil"/>
                  </w:tcBorders>
                  <w:noWrap w:val="0"/>
                  <w:vAlign w:val="top"/>
                </w:tcPr>
                <w:p w14:paraId="4669875B">
                  <w:pPr>
                    <w:pStyle w:val="44"/>
                    <w:bidi w:val="0"/>
                    <w:rPr>
                      <w:rFonts w:hint="eastAsia"/>
                      <w:color w:val="auto"/>
                    </w:rPr>
                  </w:pPr>
                  <w:r>
                    <w:rPr>
                      <w:rFonts w:hint="eastAsia"/>
                      <w:color w:val="auto"/>
                      <w:lang w:val="en-US" w:eastAsia="zh-CN"/>
                    </w:rPr>
                    <w:t>3</w:t>
                  </w:r>
                  <w:r>
                    <w:rPr>
                      <w:rFonts w:hint="eastAsia"/>
                      <w:color w:val="auto"/>
                    </w:rPr>
                    <w:t>000L</w:t>
                  </w:r>
                </w:p>
              </w:tc>
              <w:tc>
                <w:tcPr>
                  <w:tcW w:w="2241" w:type="dxa"/>
                  <w:tcBorders>
                    <w:tl2br w:val="nil"/>
                    <w:tr2bl w:val="nil"/>
                  </w:tcBorders>
                  <w:noWrap w:val="0"/>
                  <w:vAlign w:val="top"/>
                </w:tcPr>
                <w:p w14:paraId="58148201">
                  <w:pPr>
                    <w:pStyle w:val="44"/>
                    <w:bidi w:val="0"/>
                    <w:rPr>
                      <w:rFonts w:hint="eastAsia" w:eastAsia="宋体"/>
                      <w:color w:val="auto"/>
                      <w:lang w:val="en-US" w:eastAsia="zh-CN"/>
                    </w:rPr>
                  </w:pPr>
                  <w:r>
                    <w:rPr>
                      <w:rFonts w:hint="eastAsia"/>
                      <w:color w:val="auto"/>
                      <w:lang w:val="en-US" w:eastAsia="zh-CN"/>
                    </w:rPr>
                    <w:t>1</w:t>
                  </w:r>
                </w:p>
              </w:tc>
            </w:tr>
            <w:tr w14:paraId="31D2393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2" w:hRule="atLeast"/>
                <w:tblHeader/>
                <w:jc w:val="center"/>
              </w:trPr>
              <w:tc>
                <w:tcPr>
                  <w:tcW w:w="1166" w:type="dxa"/>
                  <w:tcBorders>
                    <w:tl2br w:val="nil"/>
                    <w:tr2bl w:val="nil"/>
                  </w:tcBorders>
                  <w:noWrap w:val="0"/>
                  <w:vAlign w:val="center"/>
                </w:tcPr>
                <w:p w14:paraId="5E8AB3FD">
                  <w:pPr>
                    <w:pStyle w:val="44"/>
                    <w:bidi w:val="0"/>
                    <w:rPr>
                      <w:rFonts w:hint="default" w:ascii="Times New Roman" w:hAnsi="Times New Roman" w:eastAsia="宋体"/>
                      <w:color w:val="auto"/>
                      <w:kern w:val="2"/>
                      <w:sz w:val="21"/>
                      <w:szCs w:val="21"/>
                      <w:lang w:val="en-US" w:eastAsia="zh-CN" w:bidi="ar-SA"/>
                    </w:rPr>
                  </w:pPr>
                  <w:r>
                    <w:rPr>
                      <w:rFonts w:hint="default"/>
                      <w:color w:val="auto"/>
                      <w:lang w:val="en-US" w:eastAsia="zh-CN"/>
                    </w:rPr>
                    <w:t>3</w:t>
                  </w:r>
                </w:p>
              </w:tc>
              <w:tc>
                <w:tcPr>
                  <w:tcW w:w="2443" w:type="dxa"/>
                  <w:tcBorders>
                    <w:tl2br w:val="nil"/>
                    <w:tr2bl w:val="nil"/>
                  </w:tcBorders>
                  <w:noWrap w:val="0"/>
                  <w:vAlign w:val="top"/>
                </w:tcPr>
                <w:p w14:paraId="70330EC7">
                  <w:pPr>
                    <w:pStyle w:val="44"/>
                    <w:bidi w:val="0"/>
                    <w:rPr>
                      <w:rFonts w:hint="default"/>
                      <w:color w:val="auto"/>
                      <w:lang w:val="en-US" w:eastAsia="zh-CN"/>
                    </w:rPr>
                  </w:pPr>
                  <w:r>
                    <w:rPr>
                      <w:rFonts w:hint="eastAsia"/>
                      <w:color w:val="auto"/>
                    </w:rPr>
                    <w:t>基料搅拌设备</w:t>
                  </w:r>
                </w:p>
              </w:tc>
              <w:tc>
                <w:tcPr>
                  <w:tcW w:w="2109" w:type="dxa"/>
                  <w:tcBorders>
                    <w:tl2br w:val="nil"/>
                    <w:tr2bl w:val="nil"/>
                  </w:tcBorders>
                  <w:noWrap w:val="0"/>
                  <w:vAlign w:val="top"/>
                </w:tcPr>
                <w:p w14:paraId="6357B47E">
                  <w:pPr>
                    <w:pStyle w:val="44"/>
                    <w:bidi w:val="0"/>
                    <w:rPr>
                      <w:rFonts w:hint="default"/>
                      <w:color w:val="auto"/>
                      <w:lang w:val="en-US" w:eastAsia="zh-CN"/>
                    </w:rPr>
                  </w:pPr>
                  <w:r>
                    <w:rPr>
                      <w:rFonts w:hint="eastAsia"/>
                      <w:color w:val="auto"/>
                      <w:lang w:val="en-US" w:eastAsia="zh-CN"/>
                    </w:rPr>
                    <w:t>6</w:t>
                  </w:r>
                  <w:r>
                    <w:rPr>
                      <w:rFonts w:hint="eastAsia"/>
                      <w:color w:val="auto"/>
                    </w:rPr>
                    <w:t>000L</w:t>
                  </w:r>
                </w:p>
              </w:tc>
              <w:tc>
                <w:tcPr>
                  <w:tcW w:w="2241" w:type="dxa"/>
                  <w:tcBorders>
                    <w:tl2br w:val="nil"/>
                    <w:tr2bl w:val="nil"/>
                  </w:tcBorders>
                  <w:noWrap w:val="0"/>
                  <w:vAlign w:val="top"/>
                </w:tcPr>
                <w:p w14:paraId="06AFCB56">
                  <w:pPr>
                    <w:pStyle w:val="44"/>
                    <w:bidi w:val="0"/>
                    <w:rPr>
                      <w:rFonts w:hint="default"/>
                      <w:color w:val="auto"/>
                      <w:lang w:val="en-US" w:eastAsia="zh-CN"/>
                    </w:rPr>
                  </w:pPr>
                  <w:r>
                    <w:rPr>
                      <w:rFonts w:hint="eastAsia"/>
                      <w:color w:val="auto"/>
                    </w:rPr>
                    <w:t>2</w:t>
                  </w:r>
                </w:p>
              </w:tc>
            </w:tr>
            <w:tr w14:paraId="7F6FE64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166" w:type="dxa"/>
                  <w:tcBorders>
                    <w:tl2br w:val="nil"/>
                    <w:tr2bl w:val="nil"/>
                  </w:tcBorders>
                  <w:noWrap w:val="0"/>
                  <w:vAlign w:val="center"/>
                </w:tcPr>
                <w:p w14:paraId="179B0C17">
                  <w:pPr>
                    <w:pStyle w:val="44"/>
                    <w:bidi w:val="0"/>
                    <w:rPr>
                      <w:rFonts w:hint="default" w:ascii="Times New Roman" w:hAnsi="Times New Roman" w:eastAsia="宋体"/>
                      <w:color w:val="auto"/>
                      <w:kern w:val="2"/>
                      <w:sz w:val="21"/>
                      <w:szCs w:val="21"/>
                      <w:lang w:val="en-US" w:eastAsia="zh-CN" w:bidi="ar-SA"/>
                    </w:rPr>
                  </w:pPr>
                  <w:r>
                    <w:rPr>
                      <w:rFonts w:hint="eastAsia"/>
                      <w:color w:val="auto"/>
                      <w:lang w:val="en-US" w:eastAsia="zh-CN"/>
                    </w:rPr>
                    <w:t>4</w:t>
                  </w:r>
                </w:p>
              </w:tc>
              <w:tc>
                <w:tcPr>
                  <w:tcW w:w="2443" w:type="dxa"/>
                  <w:tcBorders>
                    <w:tl2br w:val="nil"/>
                    <w:tr2bl w:val="nil"/>
                  </w:tcBorders>
                  <w:noWrap w:val="0"/>
                  <w:vAlign w:val="top"/>
                </w:tcPr>
                <w:p w14:paraId="0CE38AE6">
                  <w:pPr>
                    <w:pStyle w:val="44"/>
                    <w:bidi w:val="0"/>
                    <w:rPr>
                      <w:rFonts w:hint="default"/>
                      <w:color w:val="auto"/>
                      <w:lang w:val="en-US" w:eastAsia="zh-CN"/>
                    </w:rPr>
                  </w:pPr>
                  <w:r>
                    <w:rPr>
                      <w:rFonts w:hint="eastAsia"/>
                      <w:color w:val="auto"/>
                    </w:rPr>
                    <w:t>无尘投料站</w:t>
                  </w:r>
                </w:p>
              </w:tc>
              <w:tc>
                <w:tcPr>
                  <w:tcW w:w="2109" w:type="dxa"/>
                  <w:tcBorders>
                    <w:tl2br w:val="nil"/>
                    <w:tr2bl w:val="nil"/>
                  </w:tcBorders>
                  <w:noWrap w:val="0"/>
                  <w:vAlign w:val="top"/>
                </w:tcPr>
                <w:p w14:paraId="6013CCC6">
                  <w:pPr>
                    <w:pStyle w:val="44"/>
                    <w:bidi w:val="0"/>
                    <w:rPr>
                      <w:rFonts w:hint="default"/>
                      <w:color w:val="auto"/>
                      <w:lang w:val="en-US" w:eastAsia="zh-CN"/>
                    </w:rPr>
                  </w:pPr>
                  <w:r>
                    <w:rPr>
                      <w:rFonts w:hint="eastAsia"/>
                      <w:color w:val="auto"/>
                    </w:rPr>
                    <w:t>/</w:t>
                  </w:r>
                </w:p>
              </w:tc>
              <w:tc>
                <w:tcPr>
                  <w:tcW w:w="2241" w:type="dxa"/>
                  <w:tcBorders>
                    <w:tl2br w:val="nil"/>
                    <w:tr2bl w:val="nil"/>
                  </w:tcBorders>
                  <w:noWrap w:val="0"/>
                  <w:vAlign w:val="top"/>
                </w:tcPr>
                <w:p w14:paraId="0C8C8786">
                  <w:pPr>
                    <w:pStyle w:val="44"/>
                    <w:bidi w:val="0"/>
                    <w:rPr>
                      <w:rFonts w:hint="default"/>
                      <w:color w:val="auto"/>
                      <w:lang w:val="en-US" w:eastAsia="zh-CN"/>
                    </w:rPr>
                  </w:pPr>
                  <w:r>
                    <w:rPr>
                      <w:rFonts w:hint="eastAsia"/>
                      <w:color w:val="auto"/>
                    </w:rPr>
                    <w:t>4</w:t>
                  </w:r>
                </w:p>
              </w:tc>
            </w:tr>
            <w:tr w14:paraId="45CAA19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166" w:type="dxa"/>
                  <w:tcBorders>
                    <w:tl2br w:val="nil"/>
                    <w:tr2bl w:val="nil"/>
                  </w:tcBorders>
                  <w:noWrap w:val="0"/>
                  <w:vAlign w:val="center"/>
                </w:tcPr>
                <w:p w14:paraId="7BBBF9ED">
                  <w:pPr>
                    <w:pStyle w:val="44"/>
                    <w:bidi w:val="0"/>
                    <w:rPr>
                      <w:rFonts w:hint="default" w:ascii="Times New Roman" w:hAnsi="Times New Roman" w:eastAsia="宋体"/>
                      <w:color w:val="auto"/>
                      <w:kern w:val="2"/>
                      <w:sz w:val="21"/>
                      <w:szCs w:val="21"/>
                      <w:lang w:val="en-US" w:eastAsia="zh-CN" w:bidi="ar-SA"/>
                    </w:rPr>
                  </w:pPr>
                  <w:r>
                    <w:rPr>
                      <w:rFonts w:hint="eastAsia"/>
                      <w:color w:val="auto"/>
                      <w:lang w:val="en-US" w:eastAsia="zh-CN"/>
                    </w:rPr>
                    <w:t>5</w:t>
                  </w:r>
                </w:p>
              </w:tc>
              <w:tc>
                <w:tcPr>
                  <w:tcW w:w="2443" w:type="dxa"/>
                  <w:tcBorders>
                    <w:tl2br w:val="nil"/>
                    <w:tr2bl w:val="nil"/>
                  </w:tcBorders>
                  <w:noWrap w:val="0"/>
                  <w:vAlign w:val="top"/>
                </w:tcPr>
                <w:p w14:paraId="51008408">
                  <w:pPr>
                    <w:pStyle w:val="44"/>
                    <w:bidi w:val="0"/>
                    <w:rPr>
                      <w:rFonts w:hint="default"/>
                      <w:color w:val="auto"/>
                      <w:lang w:val="en-US" w:eastAsia="zh-CN"/>
                    </w:rPr>
                  </w:pPr>
                  <w:r>
                    <w:rPr>
                      <w:rFonts w:hint="eastAsia"/>
                      <w:color w:val="auto"/>
                    </w:rPr>
                    <w:t>凉水塔</w:t>
                  </w:r>
                </w:p>
              </w:tc>
              <w:tc>
                <w:tcPr>
                  <w:tcW w:w="2109" w:type="dxa"/>
                  <w:tcBorders>
                    <w:tl2br w:val="nil"/>
                    <w:tr2bl w:val="nil"/>
                  </w:tcBorders>
                  <w:noWrap w:val="0"/>
                  <w:vAlign w:val="top"/>
                </w:tcPr>
                <w:p w14:paraId="05011666">
                  <w:pPr>
                    <w:pStyle w:val="44"/>
                    <w:bidi w:val="0"/>
                    <w:rPr>
                      <w:rFonts w:hint="default"/>
                      <w:color w:val="auto"/>
                      <w:lang w:val="en-US" w:eastAsia="zh-CN"/>
                    </w:rPr>
                  </w:pPr>
                  <w:r>
                    <w:rPr>
                      <w:rFonts w:hint="eastAsia"/>
                      <w:color w:val="auto"/>
                      <w:lang w:val="en-US" w:eastAsia="zh-CN"/>
                    </w:rPr>
                    <w:t>/</w:t>
                  </w:r>
                </w:p>
              </w:tc>
              <w:tc>
                <w:tcPr>
                  <w:tcW w:w="2241" w:type="dxa"/>
                  <w:tcBorders>
                    <w:tl2br w:val="nil"/>
                    <w:tr2bl w:val="nil"/>
                  </w:tcBorders>
                  <w:noWrap w:val="0"/>
                  <w:vAlign w:val="top"/>
                </w:tcPr>
                <w:p w14:paraId="6FFE372A">
                  <w:pPr>
                    <w:pStyle w:val="44"/>
                    <w:bidi w:val="0"/>
                    <w:rPr>
                      <w:rFonts w:hint="default"/>
                      <w:color w:val="auto"/>
                      <w:lang w:val="en-US" w:eastAsia="zh-CN"/>
                    </w:rPr>
                  </w:pPr>
                  <w:r>
                    <w:rPr>
                      <w:rFonts w:hint="eastAsia"/>
                      <w:color w:val="auto"/>
                    </w:rPr>
                    <w:t>4</w:t>
                  </w:r>
                </w:p>
              </w:tc>
            </w:tr>
            <w:tr w14:paraId="0F4A664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166" w:type="dxa"/>
                  <w:tcBorders>
                    <w:tl2br w:val="nil"/>
                    <w:tr2bl w:val="nil"/>
                  </w:tcBorders>
                  <w:noWrap w:val="0"/>
                  <w:vAlign w:val="center"/>
                </w:tcPr>
                <w:p w14:paraId="0D308928">
                  <w:pPr>
                    <w:pStyle w:val="44"/>
                    <w:bidi w:val="0"/>
                    <w:rPr>
                      <w:rFonts w:hint="eastAsia" w:ascii="Times New Roman" w:hAnsi="Times New Roman" w:eastAsia="宋体"/>
                      <w:color w:val="auto"/>
                      <w:kern w:val="2"/>
                      <w:sz w:val="21"/>
                      <w:szCs w:val="21"/>
                      <w:lang w:val="en-US" w:eastAsia="zh-CN" w:bidi="ar-SA"/>
                    </w:rPr>
                  </w:pPr>
                  <w:r>
                    <w:rPr>
                      <w:rFonts w:hint="eastAsia"/>
                      <w:color w:val="auto"/>
                      <w:lang w:val="en-US" w:eastAsia="zh-CN"/>
                    </w:rPr>
                    <w:t>6</w:t>
                  </w:r>
                </w:p>
              </w:tc>
              <w:tc>
                <w:tcPr>
                  <w:tcW w:w="2443" w:type="dxa"/>
                  <w:tcBorders>
                    <w:tl2br w:val="nil"/>
                    <w:tr2bl w:val="nil"/>
                  </w:tcBorders>
                  <w:noWrap w:val="0"/>
                  <w:vAlign w:val="top"/>
                </w:tcPr>
                <w:p w14:paraId="3B7290EB">
                  <w:pPr>
                    <w:pStyle w:val="44"/>
                    <w:bidi w:val="0"/>
                    <w:rPr>
                      <w:rFonts w:hint="default"/>
                      <w:color w:val="auto"/>
                      <w:lang w:val="en-US" w:eastAsia="zh-CN"/>
                    </w:rPr>
                  </w:pPr>
                  <w:r>
                    <w:rPr>
                      <w:rFonts w:hint="eastAsia"/>
                      <w:color w:val="auto"/>
                    </w:rPr>
                    <w:t>双螺杆挤出机</w:t>
                  </w:r>
                </w:p>
              </w:tc>
              <w:tc>
                <w:tcPr>
                  <w:tcW w:w="2109" w:type="dxa"/>
                  <w:tcBorders>
                    <w:tl2br w:val="nil"/>
                    <w:tr2bl w:val="nil"/>
                  </w:tcBorders>
                  <w:noWrap w:val="0"/>
                  <w:vAlign w:val="top"/>
                </w:tcPr>
                <w:p w14:paraId="6C17086A">
                  <w:pPr>
                    <w:pStyle w:val="44"/>
                    <w:bidi w:val="0"/>
                    <w:rPr>
                      <w:rFonts w:hint="default"/>
                      <w:color w:val="auto"/>
                      <w:lang w:val="en-US" w:eastAsia="zh-CN"/>
                    </w:rPr>
                  </w:pPr>
                  <w:r>
                    <w:rPr>
                      <w:rFonts w:hint="eastAsia"/>
                      <w:color w:val="auto"/>
                    </w:rPr>
                    <w:t>/</w:t>
                  </w:r>
                </w:p>
              </w:tc>
              <w:tc>
                <w:tcPr>
                  <w:tcW w:w="2241" w:type="dxa"/>
                  <w:tcBorders>
                    <w:tl2br w:val="nil"/>
                    <w:tr2bl w:val="nil"/>
                  </w:tcBorders>
                  <w:noWrap w:val="0"/>
                  <w:vAlign w:val="top"/>
                </w:tcPr>
                <w:p w14:paraId="262D9C40">
                  <w:pPr>
                    <w:pStyle w:val="44"/>
                    <w:bidi w:val="0"/>
                    <w:rPr>
                      <w:rFonts w:hint="default"/>
                      <w:color w:val="auto"/>
                      <w:lang w:val="en-US" w:eastAsia="zh-CN"/>
                    </w:rPr>
                  </w:pPr>
                  <w:r>
                    <w:rPr>
                      <w:rFonts w:hint="eastAsia"/>
                      <w:color w:val="auto"/>
                    </w:rPr>
                    <w:t>4</w:t>
                  </w:r>
                </w:p>
              </w:tc>
            </w:tr>
            <w:tr w14:paraId="1830F97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166" w:type="dxa"/>
                  <w:tcBorders>
                    <w:tl2br w:val="nil"/>
                    <w:tr2bl w:val="nil"/>
                  </w:tcBorders>
                  <w:noWrap w:val="0"/>
                  <w:vAlign w:val="center"/>
                </w:tcPr>
                <w:p w14:paraId="04B8D695">
                  <w:pPr>
                    <w:pStyle w:val="44"/>
                    <w:bidi w:val="0"/>
                    <w:rPr>
                      <w:rFonts w:hint="default" w:ascii="Times New Roman" w:hAnsi="Times New Roman" w:eastAsia="宋体"/>
                      <w:color w:val="auto"/>
                      <w:kern w:val="2"/>
                      <w:sz w:val="21"/>
                      <w:szCs w:val="21"/>
                      <w:lang w:val="en-US" w:eastAsia="zh-CN" w:bidi="ar-SA"/>
                    </w:rPr>
                  </w:pPr>
                  <w:r>
                    <w:rPr>
                      <w:rFonts w:hint="eastAsia"/>
                      <w:color w:val="auto"/>
                      <w:lang w:val="en-US" w:eastAsia="zh-CN"/>
                    </w:rPr>
                    <w:t>7</w:t>
                  </w:r>
                </w:p>
              </w:tc>
              <w:tc>
                <w:tcPr>
                  <w:tcW w:w="2443" w:type="dxa"/>
                  <w:tcBorders>
                    <w:tl2br w:val="nil"/>
                    <w:tr2bl w:val="nil"/>
                  </w:tcBorders>
                  <w:noWrap w:val="0"/>
                  <w:vAlign w:val="top"/>
                </w:tcPr>
                <w:p w14:paraId="0B946A82">
                  <w:pPr>
                    <w:pStyle w:val="44"/>
                    <w:bidi w:val="0"/>
                    <w:rPr>
                      <w:rFonts w:hint="default"/>
                      <w:color w:val="auto"/>
                      <w:lang w:eastAsia="zh-CN"/>
                    </w:rPr>
                  </w:pPr>
                  <w:r>
                    <w:rPr>
                      <w:rFonts w:hint="eastAsia"/>
                      <w:color w:val="auto"/>
                    </w:rPr>
                    <w:t>混合搅拌设备</w:t>
                  </w:r>
                </w:p>
              </w:tc>
              <w:tc>
                <w:tcPr>
                  <w:tcW w:w="2109" w:type="dxa"/>
                  <w:tcBorders>
                    <w:tl2br w:val="nil"/>
                    <w:tr2bl w:val="nil"/>
                  </w:tcBorders>
                  <w:noWrap w:val="0"/>
                  <w:vAlign w:val="top"/>
                </w:tcPr>
                <w:p w14:paraId="20380715">
                  <w:pPr>
                    <w:pStyle w:val="44"/>
                    <w:bidi w:val="0"/>
                    <w:rPr>
                      <w:rFonts w:hint="default"/>
                      <w:color w:val="auto"/>
                      <w:lang w:val="en-US" w:eastAsia="zh-CN"/>
                    </w:rPr>
                  </w:pPr>
                  <w:r>
                    <w:rPr>
                      <w:rFonts w:hint="eastAsia"/>
                      <w:color w:val="auto"/>
                    </w:rPr>
                    <w:t>1100L</w:t>
                  </w:r>
                </w:p>
              </w:tc>
              <w:tc>
                <w:tcPr>
                  <w:tcW w:w="2241" w:type="dxa"/>
                  <w:tcBorders>
                    <w:tl2br w:val="nil"/>
                    <w:tr2bl w:val="nil"/>
                  </w:tcBorders>
                  <w:noWrap w:val="0"/>
                  <w:vAlign w:val="top"/>
                </w:tcPr>
                <w:p w14:paraId="01A79CC2">
                  <w:pPr>
                    <w:pStyle w:val="44"/>
                    <w:bidi w:val="0"/>
                    <w:rPr>
                      <w:rFonts w:hint="default"/>
                      <w:color w:val="auto"/>
                      <w:lang w:val="en-US" w:eastAsia="zh-CN"/>
                    </w:rPr>
                  </w:pPr>
                  <w:r>
                    <w:rPr>
                      <w:rFonts w:hint="eastAsia"/>
                      <w:color w:val="auto"/>
                    </w:rPr>
                    <w:t>4</w:t>
                  </w:r>
                </w:p>
              </w:tc>
            </w:tr>
            <w:tr w14:paraId="2849566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166" w:type="dxa"/>
                  <w:tcBorders>
                    <w:tl2br w:val="nil"/>
                    <w:tr2bl w:val="nil"/>
                  </w:tcBorders>
                  <w:noWrap w:val="0"/>
                  <w:vAlign w:val="center"/>
                </w:tcPr>
                <w:p w14:paraId="06ED7609">
                  <w:pPr>
                    <w:pStyle w:val="44"/>
                    <w:bidi w:val="0"/>
                    <w:rPr>
                      <w:rFonts w:hint="default" w:ascii="Times New Roman" w:hAnsi="Times New Roman" w:eastAsia="宋体"/>
                      <w:color w:val="auto"/>
                      <w:kern w:val="2"/>
                      <w:sz w:val="21"/>
                      <w:szCs w:val="21"/>
                      <w:lang w:val="en-US" w:eastAsia="zh-CN" w:bidi="ar-SA"/>
                    </w:rPr>
                  </w:pPr>
                  <w:r>
                    <w:rPr>
                      <w:rFonts w:hint="eastAsia"/>
                      <w:color w:val="auto"/>
                      <w:lang w:val="en-US" w:eastAsia="zh-CN"/>
                    </w:rPr>
                    <w:t>8</w:t>
                  </w:r>
                </w:p>
              </w:tc>
              <w:tc>
                <w:tcPr>
                  <w:tcW w:w="2443" w:type="dxa"/>
                  <w:tcBorders>
                    <w:tl2br w:val="nil"/>
                    <w:tr2bl w:val="nil"/>
                  </w:tcBorders>
                  <w:noWrap w:val="0"/>
                  <w:vAlign w:val="top"/>
                </w:tcPr>
                <w:p w14:paraId="0CDA6914">
                  <w:pPr>
                    <w:pStyle w:val="44"/>
                    <w:bidi w:val="0"/>
                    <w:rPr>
                      <w:rFonts w:hint="default"/>
                      <w:color w:val="auto"/>
                      <w:lang w:eastAsia="zh-CN"/>
                    </w:rPr>
                  </w:pPr>
                  <w:r>
                    <w:rPr>
                      <w:rFonts w:hint="eastAsia"/>
                      <w:color w:val="auto"/>
                    </w:rPr>
                    <w:t>混合搅拌设备</w:t>
                  </w:r>
                </w:p>
              </w:tc>
              <w:tc>
                <w:tcPr>
                  <w:tcW w:w="2109" w:type="dxa"/>
                  <w:tcBorders>
                    <w:tl2br w:val="nil"/>
                    <w:tr2bl w:val="nil"/>
                  </w:tcBorders>
                  <w:noWrap w:val="0"/>
                  <w:vAlign w:val="top"/>
                </w:tcPr>
                <w:p w14:paraId="5362E45D">
                  <w:pPr>
                    <w:pStyle w:val="44"/>
                    <w:bidi w:val="0"/>
                    <w:rPr>
                      <w:rFonts w:hint="default"/>
                      <w:color w:val="auto"/>
                      <w:lang w:val="en-US" w:eastAsia="zh-CN"/>
                    </w:rPr>
                  </w:pPr>
                  <w:r>
                    <w:rPr>
                      <w:rFonts w:hint="eastAsia"/>
                      <w:color w:val="auto"/>
                    </w:rPr>
                    <w:t>230L</w:t>
                  </w:r>
                </w:p>
              </w:tc>
              <w:tc>
                <w:tcPr>
                  <w:tcW w:w="2241" w:type="dxa"/>
                  <w:tcBorders>
                    <w:tl2br w:val="nil"/>
                    <w:tr2bl w:val="nil"/>
                  </w:tcBorders>
                  <w:noWrap w:val="0"/>
                  <w:vAlign w:val="top"/>
                </w:tcPr>
                <w:p w14:paraId="5E48DE15">
                  <w:pPr>
                    <w:pStyle w:val="44"/>
                    <w:bidi w:val="0"/>
                    <w:rPr>
                      <w:rFonts w:hint="default"/>
                      <w:color w:val="auto"/>
                      <w:lang w:val="en-US" w:eastAsia="zh-CN"/>
                    </w:rPr>
                  </w:pPr>
                  <w:r>
                    <w:rPr>
                      <w:rFonts w:hint="eastAsia"/>
                      <w:color w:val="auto"/>
                    </w:rPr>
                    <w:t>4</w:t>
                  </w:r>
                </w:p>
              </w:tc>
            </w:tr>
            <w:tr w14:paraId="18A778A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166" w:type="dxa"/>
                  <w:tcBorders>
                    <w:tl2br w:val="nil"/>
                    <w:tr2bl w:val="nil"/>
                  </w:tcBorders>
                  <w:noWrap w:val="0"/>
                  <w:vAlign w:val="center"/>
                </w:tcPr>
                <w:p w14:paraId="7B3DC793">
                  <w:pPr>
                    <w:pStyle w:val="44"/>
                    <w:bidi w:val="0"/>
                    <w:rPr>
                      <w:rFonts w:hint="default" w:ascii="Times New Roman" w:hAnsi="Times New Roman" w:eastAsia="宋体"/>
                      <w:color w:val="auto"/>
                      <w:kern w:val="2"/>
                      <w:sz w:val="21"/>
                      <w:szCs w:val="21"/>
                      <w:lang w:val="en-US" w:eastAsia="zh-CN" w:bidi="ar-SA"/>
                    </w:rPr>
                  </w:pPr>
                  <w:r>
                    <w:rPr>
                      <w:rFonts w:hint="eastAsia"/>
                      <w:color w:val="auto"/>
                      <w:lang w:val="en-US" w:eastAsia="zh-CN"/>
                    </w:rPr>
                    <w:t>9</w:t>
                  </w:r>
                </w:p>
              </w:tc>
              <w:tc>
                <w:tcPr>
                  <w:tcW w:w="2443" w:type="dxa"/>
                  <w:tcBorders>
                    <w:tl2br w:val="nil"/>
                    <w:tr2bl w:val="nil"/>
                  </w:tcBorders>
                  <w:noWrap w:val="0"/>
                  <w:vAlign w:val="top"/>
                </w:tcPr>
                <w:p w14:paraId="328B4DA0">
                  <w:pPr>
                    <w:pStyle w:val="44"/>
                    <w:bidi w:val="0"/>
                    <w:rPr>
                      <w:rFonts w:hint="default"/>
                      <w:color w:val="auto"/>
                      <w:lang w:eastAsia="zh-CN"/>
                    </w:rPr>
                  </w:pPr>
                  <w:r>
                    <w:rPr>
                      <w:rFonts w:hint="eastAsia"/>
                      <w:color w:val="auto"/>
                    </w:rPr>
                    <w:t>压机</w:t>
                  </w:r>
                </w:p>
              </w:tc>
              <w:tc>
                <w:tcPr>
                  <w:tcW w:w="2109" w:type="dxa"/>
                  <w:tcBorders>
                    <w:tl2br w:val="nil"/>
                    <w:tr2bl w:val="nil"/>
                  </w:tcBorders>
                  <w:noWrap w:val="0"/>
                  <w:vAlign w:val="top"/>
                </w:tcPr>
                <w:p w14:paraId="0D7DC6CD">
                  <w:pPr>
                    <w:pStyle w:val="44"/>
                    <w:bidi w:val="0"/>
                    <w:rPr>
                      <w:rFonts w:hint="default"/>
                      <w:color w:val="auto"/>
                      <w:lang w:val="en-US" w:eastAsia="zh-CN"/>
                    </w:rPr>
                  </w:pPr>
                  <w:r>
                    <w:rPr>
                      <w:rFonts w:hint="eastAsia"/>
                      <w:color w:val="auto"/>
                    </w:rPr>
                    <w:t>1100L</w:t>
                  </w:r>
                </w:p>
              </w:tc>
              <w:tc>
                <w:tcPr>
                  <w:tcW w:w="2241" w:type="dxa"/>
                  <w:tcBorders>
                    <w:tl2br w:val="nil"/>
                    <w:tr2bl w:val="nil"/>
                  </w:tcBorders>
                  <w:noWrap w:val="0"/>
                  <w:vAlign w:val="top"/>
                </w:tcPr>
                <w:p w14:paraId="5E83FEB9">
                  <w:pPr>
                    <w:pStyle w:val="44"/>
                    <w:bidi w:val="0"/>
                    <w:rPr>
                      <w:rFonts w:hint="default"/>
                      <w:color w:val="auto"/>
                      <w:lang w:val="en-US" w:eastAsia="zh-CN"/>
                    </w:rPr>
                  </w:pPr>
                  <w:r>
                    <w:rPr>
                      <w:rFonts w:hint="eastAsia"/>
                      <w:color w:val="auto"/>
                    </w:rPr>
                    <w:t>4</w:t>
                  </w:r>
                </w:p>
              </w:tc>
            </w:tr>
            <w:tr w14:paraId="4AD078A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166" w:type="dxa"/>
                  <w:tcBorders>
                    <w:tl2br w:val="nil"/>
                    <w:tr2bl w:val="nil"/>
                  </w:tcBorders>
                  <w:noWrap w:val="0"/>
                  <w:vAlign w:val="center"/>
                </w:tcPr>
                <w:p w14:paraId="66484CB8">
                  <w:pPr>
                    <w:pStyle w:val="44"/>
                    <w:bidi w:val="0"/>
                    <w:rPr>
                      <w:rFonts w:hint="default" w:ascii="Times New Roman" w:hAnsi="Times New Roman" w:eastAsia="宋体"/>
                      <w:color w:val="auto"/>
                      <w:kern w:val="2"/>
                      <w:sz w:val="21"/>
                      <w:szCs w:val="21"/>
                      <w:lang w:val="en-US" w:eastAsia="zh-CN" w:bidi="ar-SA"/>
                    </w:rPr>
                  </w:pPr>
                  <w:r>
                    <w:rPr>
                      <w:rFonts w:hint="eastAsia"/>
                      <w:color w:val="auto"/>
                      <w:lang w:val="en-US" w:eastAsia="zh-CN"/>
                    </w:rPr>
                    <w:t>10</w:t>
                  </w:r>
                </w:p>
              </w:tc>
              <w:tc>
                <w:tcPr>
                  <w:tcW w:w="2443" w:type="dxa"/>
                  <w:tcBorders>
                    <w:tl2br w:val="nil"/>
                    <w:tr2bl w:val="nil"/>
                  </w:tcBorders>
                  <w:noWrap w:val="0"/>
                  <w:vAlign w:val="top"/>
                </w:tcPr>
                <w:p w14:paraId="37BD2055">
                  <w:pPr>
                    <w:pStyle w:val="44"/>
                    <w:bidi w:val="0"/>
                    <w:rPr>
                      <w:rFonts w:hint="default"/>
                      <w:color w:val="auto"/>
                      <w:lang w:val="en-US" w:eastAsia="zh-CN"/>
                    </w:rPr>
                  </w:pPr>
                  <w:r>
                    <w:rPr>
                      <w:rFonts w:hint="eastAsia"/>
                      <w:color w:val="auto"/>
                    </w:rPr>
                    <w:t>压机</w:t>
                  </w:r>
                </w:p>
              </w:tc>
              <w:tc>
                <w:tcPr>
                  <w:tcW w:w="2109" w:type="dxa"/>
                  <w:tcBorders>
                    <w:tl2br w:val="nil"/>
                    <w:tr2bl w:val="nil"/>
                  </w:tcBorders>
                  <w:noWrap w:val="0"/>
                  <w:vAlign w:val="top"/>
                </w:tcPr>
                <w:p w14:paraId="6E6135B1">
                  <w:pPr>
                    <w:pStyle w:val="44"/>
                    <w:bidi w:val="0"/>
                    <w:rPr>
                      <w:rFonts w:hint="default"/>
                      <w:color w:val="auto"/>
                      <w:lang w:val="en-US" w:eastAsia="zh-CN"/>
                    </w:rPr>
                  </w:pPr>
                  <w:r>
                    <w:rPr>
                      <w:rFonts w:hint="eastAsia"/>
                      <w:color w:val="auto"/>
                    </w:rPr>
                    <w:t>230L</w:t>
                  </w:r>
                </w:p>
              </w:tc>
              <w:tc>
                <w:tcPr>
                  <w:tcW w:w="2241" w:type="dxa"/>
                  <w:tcBorders>
                    <w:tl2br w:val="nil"/>
                    <w:tr2bl w:val="nil"/>
                  </w:tcBorders>
                  <w:noWrap w:val="0"/>
                  <w:vAlign w:val="top"/>
                </w:tcPr>
                <w:p w14:paraId="1AABD814">
                  <w:pPr>
                    <w:pStyle w:val="44"/>
                    <w:bidi w:val="0"/>
                    <w:rPr>
                      <w:rFonts w:hint="default"/>
                      <w:color w:val="auto"/>
                      <w:lang w:val="en-US" w:eastAsia="zh-CN"/>
                    </w:rPr>
                  </w:pPr>
                  <w:r>
                    <w:rPr>
                      <w:rFonts w:hint="eastAsia"/>
                      <w:color w:val="auto"/>
                    </w:rPr>
                    <w:t>4</w:t>
                  </w:r>
                </w:p>
              </w:tc>
            </w:tr>
            <w:tr w14:paraId="35D2C34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166" w:type="dxa"/>
                  <w:tcBorders>
                    <w:tl2br w:val="nil"/>
                    <w:tr2bl w:val="nil"/>
                  </w:tcBorders>
                  <w:noWrap w:val="0"/>
                  <w:vAlign w:val="center"/>
                </w:tcPr>
                <w:p w14:paraId="49B67869">
                  <w:pPr>
                    <w:pStyle w:val="44"/>
                    <w:bidi w:val="0"/>
                    <w:rPr>
                      <w:rFonts w:hint="default" w:ascii="Times New Roman" w:hAnsi="Times New Roman" w:eastAsia="宋体"/>
                      <w:color w:val="auto"/>
                      <w:kern w:val="2"/>
                      <w:sz w:val="21"/>
                      <w:szCs w:val="21"/>
                      <w:lang w:val="en-US" w:eastAsia="zh-CN" w:bidi="ar-SA"/>
                    </w:rPr>
                  </w:pPr>
                  <w:r>
                    <w:rPr>
                      <w:rFonts w:hint="eastAsia"/>
                      <w:color w:val="auto"/>
                      <w:lang w:val="en-US" w:eastAsia="zh-CN"/>
                    </w:rPr>
                    <w:t>11</w:t>
                  </w:r>
                </w:p>
              </w:tc>
              <w:tc>
                <w:tcPr>
                  <w:tcW w:w="2443" w:type="dxa"/>
                  <w:tcBorders>
                    <w:tl2br w:val="nil"/>
                    <w:tr2bl w:val="nil"/>
                  </w:tcBorders>
                  <w:noWrap w:val="0"/>
                  <w:vAlign w:val="top"/>
                </w:tcPr>
                <w:p w14:paraId="5F16FEFD">
                  <w:pPr>
                    <w:pStyle w:val="44"/>
                    <w:bidi w:val="0"/>
                    <w:rPr>
                      <w:rFonts w:hint="eastAsia"/>
                      <w:color w:val="auto"/>
                      <w:lang w:val="en-US" w:eastAsia="zh-CN"/>
                    </w:rPr>
                  </w:pPr>
                  <w:r>
                    <w:rPr>
                      <w:rFonts w:hint="eastAsia"/>
                      <w:color w:val="auto"/>
                    </w:rPr>
                    <w:t>灌装机</w:t>
                  </w:r>
                </w:p>
              </w:tc>
              <w:tc>
                <w:tcPr>
                  <w:tcW w:w="2109" w:type="dxa"/>
                  <w:tcBorders>
                    <w:tl2br w:val="nil"/>
                    <w:tr2bl w:val="nil"/>
                  </w:tcBorders>
                  <w:noWrap w:val="0"/>
                  <w:vAlign w:val="top"/>
                </w:tcPr>
                <w:p w14:paraId="29E47684">
                  <w:pPr>
                    <w:pStyle w:val="44"/>
                    <w:bidi w:val="0"/>
                    <w:rPr>
                      <w:rFonts w:hint="eastAsia"/>
                      <w:color w:val="auto"/>
                      <w:lang w:val="en-US" w:eastAsia="zh-CN"/>
                    </w:rPr>
                  </w:pPr>
                  <w:r>
                    <w:rPr>
                      <w:rFonts w:hint="eastAsia"/>
                      <w:color w:val="auto"/>
                    </w:rPr>
                    <w:t>/</w:t>
                  </w:r>
                </w:p>
              </w:tc>
              <w:tc>
                <w:tcPr>
                  <w:tcW w:w="2241" w:type="dxa"/>
                  <w:tcBorders>
                    <w:tl2br w:val="nil"/>
                    <w:tr2bl w:val="nil"/>
                  </w:tcBorders>
                  <w:noWrap w:val="0"/>
                  <w:vAlign w:val="top"/>
                </w:tcPr>
                <w:p w14:paraId="3B6284CE">
                  <w:pPr>
                    <w:pStyle w:val="44"/>
                    <w:bidi w:val="0"/>
                    <w:rPr>
                      <w:rFonts w:hint="eastAsia"/>
                      <w:color w:val="auto"/>
                      <w:lang w:val="en-US" w:eastAsia="zh-CN"/>
                    </w:rPr>
                  </w:pPr>
                  <w:r>
                    <w:rPr>
                      <w:rFonts w:hint="eastAsia"/>
                      <w:color w:val="auto"/>
                    </w:rPr>
                    <w:t>8</w:t>
                  </w:r>
                </w:p>
              </w:tc>
            </w:tr>
            <w:tr w14:paraId="5F6BD82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166" w:type="dxa"/>
                  <w:tcBorders>
                    <w:tl2br w:val="nil"/>
                    <w:tr2bl w:val="nil"/>
                  </w:tcBorders>
                  <w:noWrap w:val="0"/>
                  <w:vAlign w:val="center"/>
                </w:tcPr>
                <w:p w14:paraId="6D9E7145">
                  <w:pPr>
                    <w:pStyle w:val="44"/>
                    <w:bidi w:val="0"/>
                    <w:rPr>
                      <w:rFonts w:hint="default" w:ascii="Times New Roman" w:hAnsi="Times New Roman" w:eastAsia="宋体"/>
                      <w:color w:val="auto"/>
                      <w:kern w:val="2"/>
                      <w:sz w:val="21"/>
                      <w:szCs w:val="21"/>
                      <w:lang w:val="en-US" w:eastAsia="zh-CN" w:bidi="ar-SA"/>
                    </w:rPr>
                  </w:pPr>
                  <w:r>
                    <w:rPr>
                      <w:rFonts w:hint="eastAsia"/>
                      <w:color w:val="auto"/>
                      <w:lang w:val="en-US" w:eastAsia="zh-CN"/>
                    </w:rPr>
                    <w:t>12</w:t>
                  </w:r>
                </w:p>
              </w:tc>
              <w:tc>
                <w:tcPr>
                  <w:tcW w:w="2443" w:type="dxa"/>
                  <w:tcBorders>
                    <w:tl2br w:val="nil"/>
                    <w:tr2bl w:val="nil"/>
                  </w:tcBorders>
                  <w:noWrap w:val="0"/>
                  <w:vAlign w:val="top"/>
                </w:tcPr>
                <w:p w14:paraId="02910842">
                  <w:pPr>
                    <w:pStyle w:val="44"/>
                    <w:bidi w:val="0"/>
                    <w:rPr>
                      <w:rFonts w:hint="eastAsia"/>
                      <w:color w:val="auto"/>
                      <w:lang w:val="en-US" w:eastAsia="zh-CN"/>
                    </w:rPr>
                  </w:pPr>
                  <w:r>
                    <w:rPr>
                      <w:rFonts w:hint="eastAsia"/>
                      <w:color w:val="auto"/>
                    </w:rPr>
                    <w:t>水泵</w:t>
                  </w:r>
                </w:p>
              </w:tc>
              <w:tc>
                <w:tcPr>
                  <w:tcW w:w="2109" w:type="dxa"/>
                  <w:tcBorders>
                    <w:tl2br w:val="nil"/>
                    <w:tr2bl w:val="nil"/>
                  </w:tcBorders>
                  <w:noWrap w:val="0"/>
                  <w:vAlign w:val="top"/>
                </w:tcPr>
                <w:p w14:paraId="5390C3C1">
                  <w:pPr>
                    <w:pStyle w:val="44"/>
                    <w:bidi w:val="0"/>
                    <w:rPr>
                      <w:rFonts w:hint="eastAsia"/>
                      <w:color w:val="auto"/>
                      <w:lang w:val="en-US" w:eastAsia="zh-CN"/>
                    </w:rPr>
                  </w:pPr>
                  <w:r>
                    <w:rPr>
                      <w:rFonts w:hint="eastAsia"/>
                      <w:color w:val="auto"/>
                    </w:rPr>
                    <w:t>/</w:t>
                  </w:r>
                </w:p>
              </w:tc>
              <w:tc>
                <w:tcPr>
                  <w:tcW w:w="2241" w:type="dxa"/>
                  <w:tcBorders>
                    <w:tl2br w:val="nil"/>
                    <w:tr2bl w:val="nil"/>
                  </w:tcBorders>
                  <w:noWrap w:val="0"/>
                  <w:vAlign w:val="top"/>
                </w:tcPr>
                <w:p w14:paraId="769C60EA">
                  <w:pPr>
                    <w:pStyle w:val="44"/>
                    <w:bidi w:val="0"/>
                    <w:rPr>
                      <w:rFonts w:hint="eastAsia"/>
                      <w:color w:val="auto"/>
                      <w:lang w:val="en-US" w:eastAsia="zh-CN"/>
                    </w:rPr>
                  </w:pPr>
                  <w:r>
                    <w:rPr>
                      <w:rFonts w:hint="eastAsia"/>
                      <w:color w:val="auto"/>
                    </w:rPr>
                    <w:t>2</w:t>
                  </w:r>
                </w:p>
              </w:tc>
            </w:tr>
            <w:tr w14:paraId="4184744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166" w:type="dxa"/>
                  <w:tcBorders>
                    <w:tl2br w:val="nil"/>
                    <w:tr2bl w:val="nil"/>
                  </w:tcBorders>
                  <w:noWrap w:val="0"/>
                  <w:vAlign w:val="center"/>
                </w:tcPr>
                <w:p w14:paraId="73D13E42">
                  <w:pPr>
                    <w:pStyle w:val="44"/>
                    <w:bidi w:val="0"/>
                    <w:rPr>
                      <w:rFonts w:hint="default" w:ascii="Times New Roman" w:hAnsi="Times New Roman" w:eastAsia="宋体"/>
                      <w:color w:val="auto"/>
                      <w:kern w:val="2"/>
                      <w:sz w:val="21"/>
                      <w:szCs w:val="21"/>
                      <w:lang w:val="en-US" w:eastAsia="zh-CN" w:bidi="ar-SA"/>
                    </w:rPr>
                  </w:pPr>
                  <w:r>
                    <w:rPr>
                      <w:rFonts w:hint="eastAsia"/>
                      <w:color w:val="auto"/>
                      <w:lang w:val="en-US" w:eastAsia="zh-CN"/>
                    </w:rPr>
                    <w:t>13</w:t>
                  </w:r>
                </w:p>
              </w:tc>
              <w:tc>
                <w:tcPr>
                  <w:tcW w:w="2443" w:type="dxa"/>
                  <w:tcBorders>
                    <w:tl2br w:val="nil"/>
                    <w:tr2bl w:val="nil"/>
                  </w:tcBorders>
                  <w:noWrap w:val="0"/>
                  <w:vAlign w:val="top"/>
                </w:tcPr>
                <w:p w14:paraId="0FEC422F">
                  <w:pPr>
                    <w:pStyle w:val="44"/>
                    <w:bidi w:val="0"/>
                    <w:rPr>
                      <w:rFonts w:hint="eastAsia"/>
                      <w:color w:val="auto"/>
                      <w:lang w:val="en-US" w:eastAsia="zh-CN"/>
                    </w:rPr>
                  </w:pPr>
                  <w:r>
                    <w:rPr>
                      <w:rFonts w:hint="eastAsia"/>
                      <w:color w:val="auto"/>
                    </w:rPr>
                    <w:t>真空设备</w:t>
                  </w:r>
                </w:p>
              </w:tc>
              <w:tc>
                <w:tcPr>
                  <w:tcW w:w="2109" w:type="dxa"/>
                  <w:tcBorders>
                    <w:tl2br w:val="nil"/>
                    <w:tr2bl w:val="nil"/>
                  </w:tcBorders>
                  <w:noWrap w:val="0"/>
                  <w:vAlign w:val="top"/>
                </w:tcPr>
                <w:p w14:paraId="58F3C575">
                  <w:pPr>
                    <w:pStyle w:val="44"/>
                    <w:bidi w:val="0"/>
                    <w:rPr>
                      <w:rFonts w:hint="eastAsia"/>
                      <w:color w:val="auto"/>
                      <w:lang w:val="en-US" w:eastAsia="zh-CN"/>
                    </w:rPr>
                  </w:pPr>
                  <w:r>
                    <w:rPr>
                      <w:rFonts w:hint="eastAsia"/>
                      <w:color w:val="auto"/>
                    </w:rPr>
                    <w:t>/</w:t>
                  </w:r>
                </w:p>
              </w:tc>
              <w:tc>
                <w:tcPr>
                  <w:tcW w:w="2241" w:type="dxa"/>
                  <w:tcBorders>
                    <w:tl2br w:val="nil"/>
                    <w:tr2bl w:val="nil"/>
                  </w:tcBorders>
                  <w:noWrap w:val="0"/>
                  <w:vAlign w:val="top"/>
                </w:tcPr>
                <w:p w14:paraId="59BA5FC0">
                  <w:pPr>
                    <w:pStyle w:val="44"/>
                    <w:bidi w:val="0"/>
                    <w:rPr>
                      <w:rFonts w:hint="eastAsia"/>
                      <w:color w:val="auto"/>
                      <w:lang w:val="en-US" w:eastAsia="zh-CN"/>
                    </w:rPr>
                  </w:pPr>
                  <w:r>
                    <w:rPr>
                      <w:rFonts w:hint="eastAsia"/>
                      <w:color w:val="auto"/>
                    </w:rPr>
                    <w:t>2</w:t>
                  </w:r>
                </w:p>
              </w:tc>
            </w:tr>
            <w:tr w14:paraId="4A13511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66" w:type="dxa"/>
                  <w:tcBorders>
                    <w:tl2br w:val="nil"/>
                    <w:tr2bl w:val="nil"/>
                  </w:tcBorders>
                  <w:noWrap w:val="0"/>
                  <w:vAlign w:val="center"/>
                </w:tcPr>
                <w:p w14:paraId="2FE8D8DB">
                  <w:pPr>
                    <w:pStyle w:val="44"/>
                    <w:bidi w:val="0"/>
                    <w:rPr>
                      <w:rFonts w:hint="default"/>
                      <w:color w:val="auto"/>
                      <w:lang w:val="en-US" w:eastAsia="zh-CN"/>
                    </w:rPr>
                  </w:pPr>
                  <w:r>
                    <w:rPr>
                      <w:rFonts w:hint="eastAsia"/>
                      <w:color w:val="auto"/>
                      <w:lang w:val="en-US" w:eastAsia="zh-CN"/>
                    </w:rPr>
                    <w:t>14</w:t>
                  </w:r>
                </w:p>
              </w:tc>
              <w:tc>
                <w:tcPr>
                  <w:tcW w:w="2443" w:type="dxa"/>
                  <w:tcBorders>
                    <w:tl2br w:val="nil"/>
                    <w:tr2bl w:val="nil"/>
                  </w:tcBorders>
                  <w:noWrap w:val="0"/>
                  <w:vAlign w:val="top"/>
                </w:tcPr>
                <w:p w14:paraId="1C0D3DAF">
                  <w:pPr>
                    <w:pStyle w:val="44"/>
                    <w:bidi w:val="0"/>
                    <w:rPr>
                      <w:rFonts w:hint="eastAsia"/>
                      <w:color w:val="auto"/>
                      <w:lang w:val="en-US" w:eastAsia="zh-CN"/>
                    </w:rPr>
                  </w:pPr>
                  <w:r>
                    <w:rPr>
                      <w:rFonts w:hint="eastAsia"/>
                      <w:color w:val="auto"/>
                    </w:rPr>
                    <w:t>空压机</w:t>
                  </w:r>
                </w:p>
              </w:tc>
              <w:tc>
                <w:tcPr>
                  <w:tcW w:w="2109" w:type="dxa"/>
                  <w:tcBorders>
                    <w:tl2br w:val="nil"/>
                    <w:tr2bl w:val="nil"/>
                  </w:tcBorders>
                  <w:noWrap w:val="0"/>
                  <w:vAlign w:val="top"/>
                </w:tcPr>
                <w:p w14:paraId="4F3188C4">
                  <w:pPr>
                    <w:pStyle w:val="44"/>
                    <w:bidi w:val="0"/>
                    <w:rPr>
                      <w:rFonts w:hint="eastAsia"/>
                      <w:color w:val="auto"/>
                      <w:lang w:val="en-US" w:eastAsia="zh-CN"/>
                    </w:rPr>
                  </w:pPr>
                  <w:r>
                    <w:rPr>
                      <w:rFonts w:hint="eastAsia"/>
                      <w:color w:val="auto"/>
                    </w:rPr>
                    <w:t>/</w:t>
                  </w:r>
                </w:p>
              </w:tc>
              <w:tc>
                <w:tcPr>
                  <w:tcW w:w="2241" w:type="dxa"/>
                  <w:tcBorders>
                    <w:tl2br w:val="nil"/>
                    <w:tr2bl w:val="nil"/>
                  </w:tcBorders>
                  <w:noWrap w:val="0"/>
                  <w:vAlign w:val="top"/>
                </w:tcPr>
                <w:p w14:paraId="24D783B5">
                  <w:pPr>
                    <w:pStyle w:val="44"/>
                    <w:bidi w:val="0"/>
                    <w:rPr>
                      <w:rFonts w:hint="eastAsia"/>
                      <w:color w:val="auto"/>
                      <w:lang w:val="en-US" w:eastAsia="zh-CN"/>
                    </w:rPr>
                  </w:pPr>
                  <w:r>
                    <w:rPr>
                      <w:rFonts w:hint="eastAsia"/>
                      <w:color w:val="auto"/>
                    </w:rPr>
                    <w:t>1</w:t>
                  </w:r>
                </w:p>
              </w:tc>
            </w:tr>
          </w:tbl>
          <w:p w14:paraId="25759445">
            <w:pPr>
              <w:pStyle w:val="89"/>
              <w:spacing w:line="360" w:lineRule="auto"/>
              <w:ind w:firstLine="422"/>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sz w:val="21"/>
                <w:highlight w:val="none"/>
              </w:rPr>
              <w:t>注：本项目生产设备型号不在国家发展改革委公布的《产业结构调整指导目录（20</w:t>
            </w:r>
            <w:r>
              <w:rPr>
                <w:rFonts w:hint="eastAsia" w:ascii="Times New Roman" w:hAnsi="Times New Roman" w:cs="Times New Roman"/>
                <w:b w:val="0"/>
                <w:bCs w:val="0"/>
                <w:color w:val="auto"/>
                <w:sz w:val="21"/>
                <w:highlight w:val="none"/>
                <w:lang w:val="en-US" w:eastAsia="zh-CN"/>
              </w:rPr>
              <w:t>24</w:t>
            </w:r>
            <w:r>
              <w:rPr>
                <w:rFonts w:hint="default" w:ascii="Times New Roman" w:hAnsi="Times New Roman" w:cs="Times New Roman"/>
                <w:b w:val="0"/>
                <w:bCs w:val="0"/>
                <w:color w:val="auto"/>
                <w:sz w:val="21"/>
                <w:highlight w:val="none"/>
              </w:rPr>
              <w:t>年本）》限制及淘汰类设备范围内。</w:t>
            </w:r>
          </w:p>
          <w:p w14:paraId="6BCD0747">
            <w:pPr>
              <w:pStyle w:val="4"/>
              <w:numPr>
                <w:ilvl w:val="0"/>
                <w:numId w:val="0"/>
              </w:numPr>
              <w:bidi w:val="0"/>
              <w:ind w:leftChars="0" w:firstLine="48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五、工作制度及劳动定员</w:t>
            </w:r>
          </w:p>
          <w:p w14:paraId="6C3CC3C0">
            <w:pPr>
              <w:tabs>
                <w:tab w:val="left" w:pos="360"/>
              </w:tabs>
              <w:adjustRightInd w:val="0"/>
              <w:snapToGrid w:val="0"/>
              <w:ind w:firstLine="480" w:firstLineChars="200"/>
              <w:rPr>
                <w:rFonts w:hint="default" w:ascii="Times New Roman" w:hAnsi="Times New Roman" w:cs="Times New Roman"/>
                <w:color w:val="auto"/>
                <w:highlight w:val="none"/>
              </w:rPr>
            </w:pPr>
            <w:r>
              <w:rPr>
                <w:rFonts w:hint="default" w:ascii="Times New Roman" w:hAnsi="Times New Roman" w:eastAsia="宋体" w:cs="Times New Roman"/>
                <w:color w:val="auto"/>
                <w:sz w:val="24"/>
                <w:highlight w:val="none"/>
                <w:lang w:eastAsia="zh-CN"/>
              </w:rPr>
              <w:t>项目劳动定员</w:t>
            </w:r>
            <w:r>
              <w:rPr>
                <w:rFonts w:hint="eastAsia" w:eastAsia="宋体" w:cs="Times New Roman"/>
                <w:color w:val="auto"/>
                <w:sz w:val="24"/>
                <w:highlight w:val="none"/>
                <w:lang w:val="en-US" w:eastAsia="zh-CN"/>
              </w:rPr>
              <w:t>50人，无食宿</w:t>
            </w:r>
            <w:r>
              <w:rPr>
                <w:rFonts w:hint="default" w:ascii="Times New Roman" w:hAnsi="Times New Roman" w:cs="Times New Roman"/>
                <w:color w:val="auto"/>
                <w:sz w:val="24"/>
                <w:highlight w:val="none"/>
                <w:lang w:eastAsia="zh-CN"/>
              </w:rPr>
              <w:t>。</w:t>
            </w:r>
            <w:r>
              <w:rPr>
                <w:rFonts w:hint="default" w:ascii="Times New Roman" w:hAnsi="Times New Roman" w:eastAsia="宋体" w:cs="Times New Roman"/>
                <w:bCs/>
                <w:color w:val="auto"/>
                <w:sz w:val="24"/>
                <w:highlight w:val="none"/>
              </w:rPr>
              <w:t>年工作时间</w:t>
            </w:r>
            <w:r>
              <w:rPr>
                <w:rFonts w:hint="default" w:ascii="Times New Roman" w:hAnsi="Times New Roman" w:cs="Times New Roman"/>
                <w:bCs/>
                <w:color w:val="auto"/>
                <w:sz w:val="24"/>
                <w:highlight w:val="none"/>
                <w:lang w:val="en-US" w:eastAsia="zh-CN"/>
              </w:rPr>
              <w:t>300</w:t>
            </w:r>
            <w:r>
              <w:rPr>
                <w:rFonts w:hint="default" w:ascii="Times New Roman" w:hAnsi="Times New Roman" w:eastAsia="宋体" w:cs="Times New Roman"/>
                <w:bCs/>
                <w:color w:val="auto"/>
                <w:sz w:val="24"/>
                <w:highlight w:val="none"/>
              </w:rPr>
              <w:t>天，</w:t>
            </w:r>
            <w:r>
              <w:rPr>
                <w:rFonts w:hint="eastAsia" w:eastAsia="宋体" w:cs="Times New Roman"/>
                <w:bCs/>
                <w:color w:val="auto"/>
                <w:sz w:val="24"/>
                <w:highlight w:val="none"/>
                <w:lang w:val="en-US" w:eastAsia="zh-CN"/>
              </w:rPr>
              <w:t>一</w:t>
            </w:r>
            <w:r>
              <w:rPr>
                <w:rFonts w:hint="default" w:ascii="Times New Roman" w:hAnsi="Times New Roman" w:eastAsia="宋体" w:cs="Times New Roman"/>
                <w:bCs/>
                <w:color w:val="auto"/>
                <w:sz w:val="24"/>
                <w:highlight w:val="none"/>
                <w:lang w:eastAsia="zh-CN"/>
              </w:rPr>
              <w:t>班制</w:t>
            </w:r>
            <w:r>
              <w:rPr>
                <w:rFonts w:hint="default" w:ascii="Times New Roman" w:hAnsi="Times New Roman" w:eastAsia="宋体" w:cs="Times New Roman"/>
                <w:bCs/>
                <w:color w:val="auto"/>
                <w:sz w:val="24"/>
                <w:highlight w:val="none"/>
              </w:rPr>
              <w:t>，每班工作8小时</w:t>
            </w:r>
            <w:r>
              <w:rPr>
                <w:rFonts w:hint="eastAsia" w:eastAsia="宋体" w:cs="Times New Roman"/>
                <w:bCs/>
                <w:color w:val="auto"/>
                <w:sz w:val="24"/>
                <w:highlight w:val="none"/>
                <w:lang w:eastAsia="zh-CN"/>
              </w:rPr>
              <w:t>，</w:t>
            </w:r>
            <w:r>
              <w:rPr>
                <w:rFonts w:hint="eastAsia" w:eastAsia="宋体" w:cs="Times New Roman"/>
                <w:bCs/>
                <w:color w:val="auto"/>
                <w:sz w:val="24"/>
                <w:highlight w:val="none"/>
                <w:lang w:val="en-US" w:eastAsia="zh-CN"/>
              </w:rPr>
              <w:t>年工作时长2400h</w:t>
            </w:r>
            <w:r>
              <w:rPr>
                <w:rFonts w:hint="default" w:ascii="Times New Roman" w:hAnsi="Times New Roman" w:cs="Times New Roman"/>
                <w:color w:val="auto"/>
                <w:highlight w:val="none"/>
              </w:rPr>
              <w:t>。</w:t>
            </w:r>
          </w:p>
          <w:p w14:paraId="71FF67B1">
            <w:pPr>
              <w:pStyle w:val="4"/>
              <w:numPr>
                <w:ilvl w:val="0"/>
                <w:numId w:val="0"/>
              </w:numPr>
              <w:bidi w:val="0"/>
              <w:ind w:leftChars="0" w:firstLine="48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六、公用工程</w:t>
            </w:r>
          </w:p>
          <w:p w14:paraId="07B5458E">
            <w:pPr>
              <w:adjustRightInd w:val="0"/>
              <w:snapToGrid w:val="0"/>
              <w:ind w:firstLine="480" w:firstLineChars="200"/>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1、给水</w:t>
            </w:r>
          </w:p>
          <w:p w14:paraId="0B67D2FD">
            <w:pPr>
              <w:pStyle w:val="89"/>
              <w:ind w:firstLine="480"/>
              <w:rPr>
                <w:rFonts w:hint="default" w:ascii="Times New Roman" w:hAnsi="Times New Roman" w:cs="Times New Roman"/>
                <w:color w:val="auto"/>
                <w:szCs w:val="24"/>
                <w:highlight w:val="none"/>
                <w:lang w:bidi="ar"/>
              </w:rPr>
            </w:pPr>
            <w:r>
              <w:rPr>
                <w:rFonts w:hint="default" w:ascii="Times New Roman" w:hAnsi="Times New Roman" w:cs="Times New Roman"/>
                <w:color w:val="auto"/>
                <w:szCs w:val="24"/>
                <w:highlight w:val="none"/>
              </w:rPr>
              <w:t>项目用水由</w:t>
            </w:r>
            <w:r>
              <w:rPr>
                <w:rFonts w:hint="default" w:ascii="Times New Roman" w:hAnsi="Times New Roman" w:cs="Times New Roman"/>
                <w:color w:val="auto"/>
                <w:kern w:val="0"/>
                <w:szCs w:val="21"/>
                <w:highlight w:val="none"/>
              </w:rPr>
              <w:t>泗水</w:t>
            </w:r>
            <w:r>
              <w:rPr>
                <w:rFonts w:hint="eastAsia" w:ascii="Times New Roman" w:hAnsi="Times New Roman" w:cs="Times New Roman"/>
                <w:color w:val="auto"/>
                <w:kern w:val="0"/>
                <w:szCs w:val="21"/>
                <w:highlight w:val="none"/>
                <w:lang w:val="en-US" w:eastAsia="zh-CN"/>
              </w:rPr>
              <w:t>金庄镇</w:t>
            </w:r>
            <w:r>
              <w:rPr>
                <w:rFonts w:hint="default" w:ascii="Times New Roman" w:hAnsi="Times New Roman" w:cs="Times New Roman"/>
                <w:color w:val="auto"/>
                <w:szCs w:val="24"/>
                <w:highlight w:val="none"/>
              </w:rPr>
              <w:t>供水管网供给，水质、水量均能够满足生产和生活需要。</w:t>
            </w:r>
          </w:p>
          <w:p w14:paraId="677DFADA">
            <w:pPr>
              <w:numPr>
                <w:ilvl w:val="0"/>
                <w:numId w:val="0"/>
              </w:numPr>
              <w:adjustRightInd w:val="0"/>
              <w:snapToGrid w:val="0"/>
              <w:ind w:firstLine="480" w:firstLineChars="200"/>
              <w:rPr>
                <w:rFonts w:hint="default" w:ascii="Times New Roman" w:hAnsi="Times New Roman" w:eastAsia="宋体" w:cs="Times New Roman"/>
                <w:color w:val="auto"/>
                <w:szCs w:val="24"/>
                <w:highlight w:val="none"/>
                <w:lang w:eastAsia="zh-CN"/>
              </w:rPr>
            </w:pPr>
            <w:r>
              <w:rPr>
                <w:rFonts w:hint="default" w:ascii="Times New Roman" w:hAnsi="Times New Roman" w:cs="Times New Roman"/>
                <w:color w:val="auto"/>
                <w:szCs w:val="24"/>
                <w:highlight w:val="none"/>
                <w:lang w:eastAsia="zh-CN"/>
              </w:rPr>
              <w:t>（</w:t>
            </w:r>
            <w:r>
              <w:rPr>
                <w:rFonts w:hint="default" w:ascii="Times New Roman" w:hAnsi="Times New Roman" w:cs="Times New Roman"/>
                <w:color w:val="auto"/>
                <w:szCs w:val="24"/>
                <w:highlight w:val="none"/>
                <w:lang w:val="en-US" w:eastAsia="zh-CN"/>
              </w:rPr>
              <w:t>1</w:t>
            </w:r>
            <w:r>
              <w:rPr>
                <w:rFonts w:hint="default" w:ascii="Times New Roman" w:hAnsi="Times New Roman" w:cs="Times New Roman"/>
                <w:color w:val="auto"/>
                <w:szCs w:val="24"/>
                <w:highlight w:val="none"/>
                <w:lang w:eastAsia="zh-CN"/>
              </w:rPr>
              <w:t>）</w:t>
            </w:r>
            <w:r>
              <w:rPr>
                <w:rFonts w:hint="default" w:ascii="Times New Roman" w:hAnsi="Times New Roman" w:cs="Times New Roman"/>
                <w:color w:val="auto"/>
                <w:szCs w:val="24"/>
                <w:highlight w:val="none"/>
                <w:lang w:val="en-US" w:eastAsia="zh-CN"/>
              </w:rPr>
              <w:t>生活</w:t>
            </w:r>
            <w:r>
              <w:rPr>
                <w:rFonts w:hint="default" w:ascii="Times New Roman" w:hAnsi="Times New Roman" w:cs="Times New Roman"/>
                <w:color w:val="auto"/>
                <w:szCs w:val="24"/>
                <w:highlight w:val="none"/>
              </w:rPr>
              <w:t>用水</w:t>
            </w:r>
            <w:r>
              <w:rPr>
                <w:rFonts w:hint="default" w:ascii="Times New Roman" w:hAnsi="Times New Roman" w:cs="Times New Roman"/>
                <w:color w:val="auto"/>
                <w:szCs w:val="24"/>
                <w:highlight w:val="none"/>
                <w:lang w:eastAsia="zh-CN"/>
              </w:rPr>
              <w:t>：</w:t>
            </w:r>
            <w:r>
              <w:rPr>
                <w:rFonts w:hint="default" w:ascii="Times New Roman" w:hAnsi="Times New Roman" w:cs="Times New Roman"/>
                <w:color w:val="auto"/>
                <w:szCs w:val="24"/>
                <w:lang w:val="en-US" w:eastAsia="zh-CN"/>
              </w:rPr>
              <w:t>项目劳动定员</w:t>
            </w:r>
            <w:r>
              <w:rPr>
                <w:rFonts w:hint="eastAsia" w:cs="Times New Roman"/>
                <w:color w:val="auto"/>
                <w:szCs w:val="24"/>
                <w:lang w:val="en-US" w:eastAsia="zh-CN"/>
              </w:rPr>
              <w:t>50</w:t>
            </w:r>
            <w:r>
              <w:rPr>
                <w:rFonts w:hint="default" w:ascii="Times New Roman" w:hAnsi="Times New Roman" w:cs="Times New Roman"/>
                <w:color w:val="auto"/>
                <w:szCs w:val="24"/>
                <w:lang w:val="en-US" w:eastAsia="zh-CN"/>
              </w:rPr>
              <w:t>人，</w:t>
            </w:r>
            <w:r>
              <w:rPr>
                <w:rFonts w:hint="eastAsia" w:cs="Times New Roman"/>
                <w:color w:val="auto"/>
                <w:szCs w:val="24"/>
                <w:lang w:val="en-US" w:eastAsia="zh-CN"/>
              </w:rPr>
              <w:t>工作人员均不在厂区食宿。根据《建筑给水排水设计标准》（GB 50015-2019），生活用水按照</w:t>
            </w:r>
            <w:r>
              <w:rPr>
                <w:rFonts w:hint="eastAsia" w:ascii="Times New Roman" w:hAnsi="Times New Roman" w:cs="Times New Roman"/>
                <w:color w:val="auto"/>
                <w:sz w:val="24"/>
                <w:szCs w:val="24"/>
                <w:lang w:val="en-US" w:eastAsia="zh-CN"/>
              </w:rPr>
              <w:t>5</w:t>
            </w:r>
            <w:r>
              <w:rPr>
                <w:rFonts w:hint="default" w:ascii="Times New Roman" w:hAnsi="Times New Roman" w:cs="Times New Roman"/>
                <w:color w:val="auto"/>
                <w:sz w:val="24"/>
                <w:szCs w:val="24"/>
                <w:lang w:val="en-US" w:eastAsia="zh-CN"/>
              </w:rPr>
              <w:t>0</w:t>
            </w:r>
            <w:r>
              <w:rPr>
                <w:rFonts w:hint="default" w:ascii="Times New Roman" w:hAnsi="Times New Roman" w:cs="Times New Roman"/>
                <w:color w:val="auto"/>
                <w:sz w:val="24"/>
                <w:szCs w:val="24"/>
              </w:rPr>
              <w:t>L/人·d计</w:t>
            </w:r>
            <w:r>
              <w:rPr>
                <w:rFonts w:hint="eastAsia" w:ascii="Times New Roman" w:hAnsi="Times New Roman" w:cs="Times New Roman"/>
                <w:color w:val="auto"/>
                <w:sz w:val="24"/>
                <w:szCs w:val="24"/>
                <w:lang w:eastAsia="zh-CN"/>
              </w:rPr>
              <w:t>，</w:t>
            </w:r>
            <w:r>
              <w:rPr>
                <w:rFonts w:hint="default" w:ascii="Times New Roman" w:hAnsi="Times New Roman" w:cs="Times New Roman"/>
                <w:color w:val="auto"/>
                <w:sz w:val="24"/>
                <w:szCs w:val="24"/>
              </w:rPr>
              <w:t>则本项目生活用水量为</w:t>
            </w:r>
            <w:r>
              <w:rPr>
                <w:rFonts w:hint="eastAsia" w:ascii="Times New Roman" w:hAnsi="Times New Roman" w:cs="Times New Roman"/>
                <w:color w:val="auto"/>
                <w:sz w:val="24"/>
                <w:szCs w:val="24"/>
                <w:lang w:val="en-US" w:eastAsia="zh-CN"/>
              </w:rPr>
              <w:t>2.5</w:t>
            </w:r>
            <w:r>
              <w:rPr>
                <w:rFonts w:hint="default" w:ascii="Times New Roman" w:hAnsi="Times New Roman" w:cs="Times New Roman"/>
                <w:color w:val="auto"/>
                <w:sz w:val="24"/>
                <w:szCs w:val="24"/>
              </w:rPr>
              <w:t>m</w:t>
            </w:r>
            <w:r>
              <w:rPr>
                <w:rFonts w:hint="default" w:ascii="Times New Roman" w:hAnsi="Times New Roman" w:cs="Times New Roman"/>
                <w:color w:val="auto"/>
                <w:sz w:val="24"/>
                <w:szCs w:val="24"/>
                <w:vertAlign w:val="superscript"/>
              </w:rPr>
              <w:t>3</w:t>
            </w:r>
            <w:r>
              <w:rPr>
                <w:rFonts w:hint="default" w:ascii="Times New Roman" w:hAnsi="Times New Roman" w:cs="Times New Roman"/>
                <w:color w:val="auto"/>
                <w:sz w:val="24"/>
                <w:szCs w:val="24"/>
              </w:rPr>
              <w:t>/d</w:t>
            </w:r>
            <w:r>
              <w:rPr>
                <w:rFonts w:hint="default" w:ascii="Times New Roman" w:hAnsi="Times New Roman" w:cs="Times New Roman"/>
                <w:color w:val="auto"/>
                <w:sz w:val="24"/>
                <w:szCs w:val="24"/>
                <w:lang w:eastAsia="zh-CN"/>
              </w:rPr>
              <w:t>、</w:t>
            </w:r>
            <w:r>
              <w:rPr>
                <w:rFonts w:hint="eastAsia" w:ascii="Times New Roman" w:hAnsi="Times New Roman" w:cs="Times New Roman"/>
                <w:color w:val="auto"/>
                <w:sz w:val="24"/>
                <w:szCs w:val="24"/>
                <w:lang w:val="en-US" w:eastAsia="zh-CN"/>
              </w:rPr>
              <w:t>750</w:t>
            </w:r>
            <w:r>
              <w:rPr>
                <w:rFonts w:hint="default" w:ascii="Times New Roman" w:hAnsi="Times New Roman" w:cs="Times New Roman"/>
                <w:color w:val="auto"/>
                <w:sz w:val="24"/>
                <w:szCs w:val="24"/>
              </w:rPr>
              <w:t>m</w:t>
            </w:r>
            <w:r>
              <w:rPr>
                <w:rFonts w:hint="default" w:ascii="Times New Roman" w:hAnsi="Times New Roman" w:cs="Times New Roman"/>
                <w:color w:val="auto"/>
                <w:sz w:val="24"/>
                <w:szCs w:val="24"/>
                <w:vertAlign w:val="superscript"/>
              </w:rPr>
              <w:t>3</w:t>
            </w:r>
            <w:r>
              <w:rPr>
                <w:rFonts w:hint="default" w:ascii="Times New Roman" w:hAnsi="Times New Roman" w:cs="Times New Roman"/>
                <w:color w:val="auto"/>
                <w:sz w:val="24"/>
                <w:szCs w:val="24"/>
              </w:rPr>
              <w:t>/a</w:t>
            </w:r>
            <w:r>
              <w:rPr>
                <w:rFonts w:hint="default" w:ascii="Times New Roman" w:hAnsi="Times New Roman" w:eastAsia="宋体" w:cs="Times New Roman"/>
                <w:color w:val="auto"/>
                <w:sz w:val="24"/>
                <w:szCs w:val="24"/>
                <w:highlight w:val="none"/>
                <w:lang w:val="en-US" w:eastAsia="zh-CN"/>
              </w:rPr>
              <w:t>。</w:t>
            </w:r>
          </w:p>
          <w:p w14:paraId="348795D6">
            <w:pPr>
              <w:adjustRightInd w:val="0"/>
              <w:snapToGrid w:val="0"/>
              <w:ind w:firstLine="480" w:firstLineChars="200"/>
              <w:rPr>
                <w:rFonts w:hint="default" w:ascii="Times New Roman" w:hAnsi="Times New Roman" w:cs="Times New Roman"/>
                <w:color w:val="auto"/>
                <w:szCs w:val="24"/>
                <w:highlight w:val="none"/>
                <w:lang w:val="en-US" w:eastAsia="zh-CN"/>
              </w:rPr>
            </w:pPr>
            <w:r>
              <w:rPr>
                <w:rFonts w:hint="default" w:ascii="Times New Roman" w:hAnsi="Times New Roman" w:cs="Times New Roman"/>
                <w:color w:val="auto"/>
                <w:szCs w:val="24"/>
                <w:highlight w:val="none"/>
                <w:lang w:val="en-US" w:eastAsia="zh-CN"/>
              </w:rPr>
              <w:t>（2）生产用水：</w:t>
            </w:r>
          </w:p>
          <w:p w14:paraId="085B53DD">
            <w:pPr>
              <w:adjustRightInd w:val="0"/>
              <w:snapToGrid w:val="0"/>
              <w:ind w:firstLine="480" w:firstLineChars="200"/>
              <w:rPr>
                <w:rFonts w:hint="eastAsia" w:ascii="Times New Roman" w:hAnsi="Times New Roman" w:eastAsia="宋体" w:cs="Times New Roman"/>
                <w:color w:val="auto"/>
                <w:szCs w:val="24"/>
                <w:highlight w:val="none"/>
                <w:lang w:val="en-US" w:eastAsia="zh-CN"/>
              </w:rPr>
            </w:pPr>
            <w:r>
              <w:rPr>
                <w:rFonts w:hint="default" w:ascii="Times New Roman" w:hAnsi="Times New Roman" w:cs="Times New Roman"/>
                <w:color w:val="auto"/>
                <w:szCs w:val="24"/>
                <w:highlight w:val="none"/>
                <w:lang w:val="en-US" w:eastAsia="zh-CN"/>
              </w:rPr>
              <w:t>①</w:t>
            </w:r>
            <w:r>
              <w:rPr>
                <w:rFonts w:hint="eastAsia" w:cs="Times New Roman"/>
                <w:color w:val="auto"/>
                <w:szCs w:val="24"/>
                <w:highlight w:val="none"/>
                <w:lang w:val="en-US" w:eastAsia="zh-CN"/>
              </w:rPr>
              <w:t>设备冷却用水：项目生产过程中禁止沾水，搅拌设备需配备循环冷却水系统，通过</w:t>
            </w:r>
            <w:r>
              <w:rPr>
                <w:color w:val="auto"/>
                <w:sz w:val="24"/>
              </w:rPr>
              <w:t>夹套间接冷却，不直接接触产品，循环水定期补充。</w:t>
            </w:r>
            <w:r>
              <w:rPr>
                <w:rFonts w:hint="eastAsia"/>
                <w:color w:val="auto"/>
                <w:sz w:val="24"/>
              </w:rPr>
              <w:t>设备</w:t>
            </w:r>
            <w:r>
              <w:rPr>
                <w:color w:val="auto"/>
                <w:sz w:val="24"/>
              </w:rPr>
              <w:t>循环冷却水系统在循环过程中会有少部分水消耗蒸发，循环水量为</w:t>
            </w:r>
            <w:r>
              <w:rPr>
                <w:rFonts w:hint="eastAsia"/>
                <w:color w:val="auto"/>
                <w:sz w:val="24"/>
                <w:lang w:val="en-US" w:eastAsia="zh-CN"/>
              </w:rPr>
              <w:t>8</w:t>
            </w:r>
            <w:r>
              <w:rPr>
                <w:color w:val="auto"/>
                <w:sz w:val="24"/>
              </w:rPr>
              <w:t>0m³/d，损耗水按循环水量的2%计，则循环冷却水系统补充水量为</w:t>
            </w:r>
            <w:r>
              <w:rPr>
                <w:rFonts w:hint="eastAsia"/>
                <w:color w:val="auto"/>
                <w:sz w:val="24"/>
                <w:lang w:val="en-US" w:eastAsia="zh-CN"/>
              </w:rPr>
              <w:t>1.6</w:t>
            </w:r>
            <w:r>
              <w:rPr>
                <w:color w:val="auto"/>
                <w:sz w:val="24"/>
              </w:rPr>
              <w:t>m³/d</w:t>
            </w:r>
            <w:r>
              <w:rPr>
                <w:rFonts w:hint="eastAsia"/>
                <w:color w:val="auto"/>
                <w:sz w:val="24"/>
                <w:lang w:eastAsia="zh-CN"/>
              </w:rPr>
              <w:t>、</w:t>
            </w:r>
            <w:r>
              <w:rPr>
                <w:rFonts w:hint="eastAsia"/>
                <w:color w:val="auto"/>
                <w:sz w:val="24"/>
                <w:lang w:val="en-US" w:eastAsia="zh-CN"/>
              </w:rPr>
              <w:t>480</w:t>
            </w:r>
            <w:r>
              <w:rPr>
                <w:color w:val="auto"/>
                <w:sz w:val="24"/>
              </w:rPr>
              <w:t>m³/a</w:t>
            </w:r>
            <w:r>
              <w:rPr>
                <w:rFonts w:hint="eastAsia"/>
                <w:color w:val="auto"/>
                <w:sz w:val="24"/>
                <w:lang w:eastAsia="zh-CN"/>
              </w:rPr>
              <w:t>。</w:t>
            </w:r>
          </w:p>
          <w:p w14:paraId="6CF4A012">
            <w:pPr>
              <w:adjustRightInd w:val="0"/>
              <w:snapToGrid w:val="0"/>
              <w:ind w:firstLine="480" w:firstLineChars="200"/>
              <w:rPr>
                <w:rFonts w:hint="eastAsia" w:ascii="Times New Roman" w:hAnsi="Times New Roman" w:eastAsia="宋体" w:cs="Times New Roman"/>
                <w:color w:val="auto"/>
                <w:szCs w:val="24"/>
                <w:highlight w:val="none"/>
                <w:lang w:val="en-US" w:eastAsia="zh-CN"/>
              </w:rPr>
            </w:pPr>
            <w:r>
              <w:rPr>
                <w:rFonts w:hint="default" w:ascii="Times New Roman" w:hAnsi="Times New Roman" w:cs="Times New Roman"/>
                <w:color w:val="auto"/>
                <w:szCs w:val="24"/>
                <w:highlight w:val="none"/>
                <w:lang w:val="en-US" w:eastAsia="zh-CN"/>
              </w:rPr>
              <w:t>②</w:t>
            </w:r>
            <w:r>
              <w:rPr>
                <w:rFonts w:hint="eastAsia" w:cs="Times New Roman"/>
                <w:color w:val="FF0000"/>
                <w:szCs w:val="24"/>
                <w:highlight w:val="none"/>
                <w:lang w:val="en-US" w:eastAsia="zh-CN"/>
              </w:rPr>
              <w:t>冷凝冷却水</w:t>
            </w:r>
            <w:r>
              <w:rPr>
                <w:rFonts w:hint="eastAsia" w:cs="Times New Roman"/>
                <w:color w:val="auto"/>
                <w:szCs w:val="24"/>
                <w:highlight w:val="none"/>
                <w:lang w:val="en-US" w:eastAsia="zh-CN"/>
              </w:rPr>
              <w:t>：</w:t>
            </w:r>
            <w:r>
              <w:rPr>
                <w:color w:val="auto"/>
                <w:sz w:val="24"/>
              </w:rPr>
              <w:t>抽真空废气经冷冻水系统/常温水循环系统冷凝后进入废气治理设施。项目循环水量为</w:t>
            </w:r>
            <w:r>
              <w:rPr>
                <w:rFonts w:hint="eastAsia"/>
                <w:color w:val="auto"/>
                <w:sz w:val="24"/>
                <w:lang w:val="en-US" w:eastAsia="zh-CN"/>
              </w:rPr>
              <w:t>150</w:t>
            </w:r>
            <w:r>
              <w:rPr>
                <w:color w:val="auto"/>
                <w:sz w:val="24"/>
              </w:rPr>
              <w:t>m³/d，冷却过程中会有少部分水消耗蒸发，损耗水按循环水量的2%计，则循环冷却水系统补充水量为</w:t>
            </w:r>
            <w:r>
              <w:rPr>
                <w:rFonts w:hint="eastAsia"/>
                <w:color w:val="auto"/>
                <w:sz w:val="24"/>
                <w:lang w:val="en-US" w:eastAsia="zh-CN"/>
              </w:rPr>
              <w:t>3.0</w:t>
            </w:r>
            <w:r>
              <w:rPr>
                <w:color w:val="auto"/>
                <w:sz w:val="24"/>
              </w:rPr>
              <w:t>m³/d</w:t>
            </w:r>
            <w:r>
              <w:rPr>
                <w:rFonts w:hint="eastAsia"/>
                <w:color w:val="auto"/>
                <w:sz w:val="24"/>
                <w:lang w:eastAsia="zh-CN"/>
              </w:rPr>
              <w:t>、</w:t>
            </w:r>
            <w:r>
              <w:rPr>
                <w:rFonts w:hint="eastAsia"/>
                <w:color w:val="auto"/>
                <w:sz w:val="24"/>
                <w:lang w:val="en-US" w:eastAsia="zh-CN"/>
              </w:rPr>
              <w:t>900</w:t>
            </w:r>
            <w:r>
              <w:rPr>
                <w:color w:val="auto"/>
                <w:sz w:val="24"/>
              </w:rPr>
              <w:t>m³/a</w:t>
            </w:r>
            <w:r>
              <w:rPr>
                <w:rFonts w:hint="eastAsia"/>
                <w:color w:val="auto"/>
                <w:sz w:val="24"/>
                <w:lang w:eastAsia="zh-CN"/>
              </w:rPr>
              <w:t>。</w:t>
            </w:r>
          </w:p>
          <w:p w14:paraId="3DBCC16F">
            <w:pPr>
              <w:adjustRightInd w:val="0"/>
              <w:snapToGrid w:val="0"/>
              <w:ind w:firstLine="480" w:firstLineChars="200"/>
              <w:rPr>
                <w:rFonts w:hint="default" w:ascii="Times New Roman" w:hAnsi="Times New Roman" w:cs="Times New Roman"/>
                <w:color w:val="auto"/>
                <w:szCs w:val="24"/>
                <w:highlight w:val="none"/>
              </w:rPr>
            </w:pPr>
            <w:r>
              <w:rPr>
                <w:rFonts w:hint="default" w:ascii="Times New Roman" w:hAnsi="Times New Roman" w:cs="Times New Roman"/>
                <w:color w:val="auto"/>
                <w:szCs w:val="24"/>
              </w:rPr>
              <w:t>综上，项目消耗新鲜水量约为</w:t>
            </w:r>
            <w:r>
              <w:rPr>
                <w:rFonts w:hint="eastAsia" w:ascii="Times New Roman" w:hAnsi="Times New Roman" w:cs="Times New Roman"/>
                <w:color w:val="auto"/>
                <w:szCs w:val="24"/>
                <w:lang w:val="en-US" w:eastAsia="zh-CN"/>
              </w:rPr>
              <w:t>7.1</w:t>
            </w:r>
            <w:r>
              <w:rPr>
                <w:rFonts w:hint="default" w:ascii="Times New Roman" w:hAnsi="Times New Roman" w:eastAsia="宋体" w:cs="Times New Roman"/>
                <w:color w:val="auto"/>
                <w:sz w:val="24"/>
                <w:szCs w:val="24"/>
                <w:highlight w:val="none"/>
                <w:lang w:val="en-US" w:eastAsia="zh-CN"/>
              </w:rPr>
              <w:t>m</w:t>
            </w:r>
            <w:r>
              <w:rPr>
                <w:rFonts w:hint="default"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lang w:val="en-US" w:eastAsia="zh-CN"/>
              </w:rPr>
              <w:t>/d、</w:t>
            </w:r>
            <w:r>
              <w:rPr>
                <w:rFonts w:hint="eastAsia" w:ascii="Times New Roman" w:hAnsi="Times New Roman" w:eastAsia="宋体" w:cs="Times New Roman"/>
                <w:color w:val="auto"/>
                <w:sz w:val="24"/>
                <w:szCs w:val="24"/>
                <w:highlight w:val="none"/>
                <w:lang w:val="en-US" w:eastAsia="zh-CN"/>
              </w:rPr>
              <w:t>2130</w:t>
            </w:r>
            <w:r>
              <w:rPr>
                <w:rFonts w:hint="default" w:ascii="Times New Roman" w:hAnsi="Times New Roman" w:eastAsia="宋体" w:cs="Times New Roman"/>
                <w:color w:val="auto"/>
                <w:sz w:val="24"/>
                <w:szCs w:val="24"/>
              </w:rPr>
              <w:t>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/a</w:t>
            </w:r>
            <w:r>
              <w:rPr>
                <w:rFonts w:hint="default" w:ascii="Times New Roman" w:hAnsi="Times New Roman" w:cs="Times New Roman"/>
                <w:color w:val="auto"/>
                <w:szCs w:val="24"/>
                <w:highlight w:val="none"/>
              </w:rPr>
              <w:t>。</w:t>
            </w:r>
          </w:p>
          <w:p w14:paraId="3F29F37B">
            <w:pPr>
              <w:adjustRightInd w:val="0"/>
              <w:snapToGrid w:val="0"/>
              <w:ind w:firstLine="480" w:firstLineChars="200"/>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2、排水</w:t>
            </w:r>
          </w:p>
          <w:p w14:paraId="1916CC1F">
            <w:pPr>
              <w:adjustRightInd w:val="0"/>
              <w:snapToGrid w:val="0"/>
              <w:ind w:firstLine="482"/>
              <w:rPr>
                <w:rFonts w:hint="default" w:ascii="Times New Roman" w:hAnsi="Times New Roman" w:eastAsia="宋体" w:cs="Times New Roman"/>
                <w:bCs/>
                <w:color w:val="auto"/>
                <w:szCs w:val="24"/>
                <w:highlight w:val="none"/>
                <w:lang w:val="en-US" w:eastAsia="zh-CN"/>
              </w:rPr>
            </w:pPr>
            <w:r>
              <w:rPr>
                <w:rFonts w:hint="default" w:ascii="Times New Roman" w:hAnsi="Times New Roman" w:cs="Times New Roman"/>
                <w:color w:val="auto"/>
                <w:szCs w:val="24"/>
                <w:highlight w:val="none"/>
              </w:rPr>
              <w:t>本项目实行雨、污分流制</w:t>
            </w:r>
            <w:r>
              <w:rPr>
                <w:rFonts w:hint="default" w:ascii="Times New Roman" w:hAnsi="Times New Roman" w:cs="Times New Roman"/>
                <w:bCs/>
                <w:color w:val="auto"/>
                <w:szCs w:val="24"/>
                <w:highlight w:val="none"/>
              </w:rPr>
              <w:t>。</w:t>
            </w:r>
            <w:r>
              <w:rPr>
                <w:rFonts w:hint="default" w:ascii="Times New Roman" w:hAnsi="Times New Roman" w:cs="Times New Roman"/>
                <w:bCs/>
                <w:color w:val="auto"/>
                <w:szCs w:val="24"/>
                <w:highlight w:val="none"/>
                <w:lang w:val="en-US" w:eastAsia="zh-CN"/>
              </w:rPr>
              <w:t>雨水依托</w:t>
            </w:r>
            <w:r>
              <w:rPr>
                <w:rFonts w:hint="eastAsia" w:cs="Times New Roman"/>
                <w:bCs/>
                <w:color w:val="auto"/>
                <w:szCs w:val="24"/>
                <w:highlight w:val="none"/>
                <w:lang w:val="en-US" w:eastAsia="zh-CN"/>
              </w:rPr>
              <w:t>园区</w:t>
            </w:r>
            <w:r>
              <w:rPr>
                <w:rFonts w:hint="default" w:ascii="Times New Roman" w:hAnsi="Times New Roman" w:cs="Times New Roman"/>
                <w:bCs/>
                <w:color w:val="auto"/>
                <w:szCs w:val="24"/>
                <w:highlight w:val="none"/>
                <w:lang w:val="en-US" w:eastAsia="zh-CN"/>
              </w:rPr>
              <w:t>的雨水管网收集、外排。</w:t>
            </w:r>
          </w:p>
          <w:p w14:paraId="26836A33">
            <w:pPr>
              <w:numPr>
                <w:ilvl w:val="0"/>
                <w:numId w:val="0"/>
              </w:numPr>
              <w:ind w:firstLine="480" w:firstLineChars="200"/>
              <w:rPr>
                <w:rFonts w:hint="default" w:ascii="Times New Roman" w:hAnsi="Times New Roman" w:eastAsia="宋体" w:cs="Times New Roman"/>
                <w:color w:val="auto"/>
                <w:szCs w:val="24"/>
                <w:highlight w:val="none"/>
                <w:lang w:val="en-US" w:eastAsia="zh-CN"/>
              </w:rPr>
            </w:pPr>
            <w:r>
              <w:rPr>
                <w:rFonts w:hint="eastAsia" w:cs="Times New Roman"/>
                <w:color w:val="auto"/>
                <w:szCs w:val="24"/>
                <w:highlight w:val="none"/>
                <w:lang w:val="en-US" w:eastAsia="zh-CN"/>
              </w:rPr>
              <w:t>（1）生活污水以用水量的80%计，</w:t>
            </w:r>
            <w:r>
              <w:rPr>
                <w:rFonts w:hint="default" w:ascii="Times New Roman" w:hAnsi="Times New Roman" w:cs="Times New Roman"/>
                <w:color w:val="auto"/>
                <w:szCs w:val="24"/>
                <w:lang w:val="en-US" w:eastAsia="zh-CN"/>
              </w:rPr>
              <w:t>则生活污水产生量为</w:t>
            </w:r>
            <w:r>
              <w:rPr>
                <w:rFonts w:hint="default" w:ascii="Times New Roman" w:hAnsi="Times New Roman" w:cs="Times New Roman"/>
                <w:color w:val="auto"/>
                <w:sz w:val="24"/>
                <w:szCs w:val="24"/>
                <w:lang w:val="en-US" w:eastAsia="zh-CN"/>
              </w:rPr>
              <w:t>2</w:t>
            </w:r>
            <w:r>
              <w:rPr>
                <w:rFonts w:hint="default" w:ascii="Times New Roman" w:hAnsi="Times New Roman" w:cs="Times New Roman"/>
                <w:color w:val="auto"/>
                <w:sz w:val="24"/>
                <w:szCs w:val="24"/>
              </w:rPr>
              <w:t>m</w:t>
            </w:r>
            <w:r>
              <w:rPr>
                <w:rFonts w:hint="default" w:ascii="Times New Roman" w:hAnsi="Times New Roman" w:cs="Times New Roman"/>
                <w:color w:val="auto"/>
                <w:sz w:val="24"/>
                <w:szCs w:val="24"/>
                <w:vertAlign w:val="superscript"/>
              </w:rPr>
              <w:t>3</w:t>
            </w:r>
            <w:r>
              <w:rPr>
                <w:rFonts w:hint="default" w:ascii="Times New Roman" w:hAnsi="Times New Roman" w:cs="Times New Roman"/>
                <w:color w:val="auto"/>
                <w:sz w:val="24"/>
                <w:szCs w:val="24"/>
              </w:rPr>
              <w:t>/d</w:t>
            </w:r>
            <w:r>
              <w:rPr>
                <w:rFonts w:hint="default" w:ascii="Times New Roman" w:hAnsi="Times New Roman" w:cs="Times New Roman"/>
                <w:color w:val="auto"/>
                <w:sz w:val="24"/>
                <w:szCs w:val="24"/>
                <w:lang w:eastAsia="zh-CN"/>
              </w:rPr>
              <w:t>、</w:t>
            </w:r>
            <w:r>
              <w:rPr>
                <w:rFonts w:hint="eastAsia" w:ascii="Times New Roman" w:hAnsi="Times New Roman" w:cs="Times New Roman"/>
                <w:color w:val="auto"/>
                <w:sz w:val="24"/>
                <w:szCs w:val="24"/>
                <w:lang w:val="en-US" w:eastAsia="zh-CN"/>
              </w:rPr>
              <w:t>60</w:t>
            </w:r>
            <w:r>
              <w:rPr>
                <w:rFonts w:hint="default" w:ascii="Times New Roman" w:hAnsi="Times New Roman" w:cs="Times New Roman"/>
                <w:color w:val="auto"/>
                <w:sz w:val="24"/>
                <w:szCs w:val="24"/>
                <w:lang w:val="en-US" w:eastAsia="zh-CN"/>
              </w:rPr>
              <w:t>0</w:t>
            </w:r>
            <w:r>
              <w:rPr>
                <w:rFonts w:hint="default" w:ascii="Times New Roman" w:hAnsi="Times New Roman" w:cs="Times New Roman"/>
                <w:color w:val="auto"/>
                <w:sz w:val="24"/>
                <w:szCs w:val="24"/>
              </w:rPr>
              <w:t>m</w:t>
            </w:r>
            <w:r>
              <w:rPr>
                <w:rFonts w:hint="default" w:ascii="Times New Roman" w:hAnsi="Times New Roman" w:cs="Times New Roman"/>
                <w:color w:val="auto"/>
                <w:sz w:val="24"/>
                <w:szCs w:val="24"/>
                <w:vertAlign w:val="superscript"/>
              </w:rPr>
              <w:t>3</w:t>
            </w:r>
            <w:r>
              <w:rPr>
                <w:rFonts w:hint="default" w:ascii="Times New Roman" w:hAnsi="Times New Roman" w:cs="Times New Roman"/>
                <w:color w:val="auto"/>
                <w:sz w:val="24"/>
                <w:szCs w:val="24"/>
              </w:rPr>
              <w:t>/a</w:t>
            </w:r>
            <w:r>
              <w:rPr>
                <w:rFonts w:hint="default" w:ascii="Times New Roman" w:hAnsi="Times New Roman" w:eastAsia="宋体" w:cs="Times New Roman"/>
                <w:color w:val="auto"/>
                <w:sz w:val="24"/>
                <w:szCs w:val="24"/>
                <w:highlight w:val="none"/>
                <w:lang w:val="en-US" w:eastAsia="zh-CN"/>
              </w:rPr>
              <w:t>，其水质较为简单，主要污染物为COD</w:t>
            </w:r>
            <w:r>
              <w:rPr>
                <w:rFonts w:hint="default" w:ascii="Times New Roman" w:hAnsi="Times New Roman" w:eastAsia="宋体" w:cs="Times New Roman"/>
                <w:color w:val="auto"/>
                <w:sz w:val="24"/>
                <w:szCs w:val="24"/>
                <w:highlight w:val="none"/>
                <w:vertAlign w:val="subscript"/>
                <w:lang w:val="en-US" w:eastAsia="zh-CN"/>
              </w:rPr>
              <w:t>Cr</w:t>
            </w:r>
            <w:r>
              <w:rPr>
                <w:rFonts w:hint="default" w:ascii="Times New Roman" w:hAnsi="Times New Roman" w:eastAsia="宋体" w:cs="Times New Roman"/>
                <w:color w:val="auto"/>
                <w:sz w:val="24"/>
                <w:szCs w:val="24"/>
                <w:highlight w:val="none"/>
                <w:lang w:val="en-US" w:eastAsia="zh-CN"/>
              </w:rPr>
              <w:t>、BOD</w:t>
            </w:r>
            <w:r>
              <w:rPr>
                <w:rFonts w:hint="default" w:ascii="Times New Roman" w:hAnsi="Times New Roman" w:eastAsia="宋体" w:cs="Times New Roman"/>
                <w:color w:val="auto"/>
                <w:sz w:val="24"/>
                <w:szCs w:val="24"/>
                <w:highlight w:val="none"/>
                <w:vertAlign w:val="subscript"/>
                <w:lang w:val="en-US" w:eastAsia="zh-CN"/>
              </w:rPr>
              <w:t>5</w:t>
            </w:r>
            <w:r>
              <w:rPr>
                <w:rFonts w:hint="default" w:ascii="Times New Roman" w:hAnsi="Times New Roman" w:eastAsia="宋体" w:cs="Times New Roman"/>
                <w:color w:val="auto"/>
                <w:sz w:val="24"/>
                <w:szCs w:val="24"/>
                <w:highlight w:val="none"/>
                <w:lang w:val="en-US" w:eastAsia="zh-CN"/>
              </w:rPr>
              <w:t>、SS、氨氮</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化粪池收集后由环卫部门清运</w:t>
            </w:r>
            <w:r>
              <w:rPr>
                <w:rFonts w:hint="default" w:ascii="Times New Roman" w:hAnsi="Times New Roman" w:cs="Times New Roman"/>
                <w:color w:val="auto"/>
                <w:szCs w:val="24"/>
                <w:highlight w:val="none"/>
              </w:rPr>
              <w:t>。</w:t>
            </w:r>
          </w:p>
          <w:p w14:paraId="7A98E321">
            <w:pPr>
              <w:numPr>
                <w:ilvl w:val="0"/>
                <w:numId w:val="0"/>
              </w:numPr>
              <w:ind w:firstLine="480" w:firstLineChars="200"/>
              <w:rPr>
                <w:rFonts w:hint="default" w:ascii="Times New Roman" w:hAnsi="Times New Roman" w:cs="Times New Roman"/>
                <w:color w:val="auto"/>
                <w:szCs w:val="24"/>
                <w:lang w:val="en-US" w:eastAsia="zh-CN"/>
              </w:rPr>
            </w:pPr>
            <w:r>
              <w:rPr>
                <w:rFonts w:hint="eastAsia" w:ascii="Times New Roman" w:hAnsi="Times New Roman" w:cs="Times New Roman"/>
                <w:color w:val="auto"/>
                <w:szCs w:val="24"/>
                <w:lang w:val="en-US" w:eastAsia="zh-CN"/>
              </w:rPr>
              <w:t>（2）项目设备冷却水、冷凝冷却水循环使用，定期补充损耗不外排。</w:t>
            </w:r>
          </w:p>
          <w:p w14:paraId="7ABCEF93">
            <w:pPr>
              <w:numPr>
                <w:ilvl w:val="0"/>
                <w:numId w:val="0"/>
              </w:numPr>
              <w:ind w:firstLine="480" w:firstLineChars="200"/>
              <w:rPr>
                <w:rFonts w:hint="default" w:ascii="Times New Roman" w:hAnsi="Times New Roman" w:cs="Times New Roman"/>
                <w:color w:val="auto"/>
                <w:szCs w:val="24"/>
                <w:highlight w:val="none"/>
                <w:lang w:val="en-US" w:eastAsia="zh-CN"/>
              </w:rPr>
            </w:pPr>
            <w:r>
              <w:rPr>
                <w:rFonts w:hint="default" w:ascii="Times New Roman" w:hAnsi="Times New Roman" w:cs="Times New Roman"/>
                <w:color w:val="auto"/>
                <w:szCs w:val="24"/>
                <w:lang w:val="en-US" w:eastAsia="zh-CN"/>
              </w:rPr>
              <w:t>综上，项目</w:t>
            </w:r>
            <w:r>
              <w:rPr>
                <w:rFonts w:hint="eastAsia" w:ascii="Times New Roman" w:hAnsi="Times New Roman" w:cs="Times New Roman"/>
                <w:color w:val="auto"/>
                <w:szCs w:val="24"/>
                <w:lang w:val="en-US" w:eastAsia="zh-CN"/>
              </w:rPr>
              <w:t>废水产生量</w:t>
            </w:r>
            <w:r>
              <w:rPr>
                <w:rFonts w:hint="default" w:ascii="Times New Roman" w:hAnsi="Times New Roman" w:cs="Times New Roman"/>
                <w:color w:val="auto"/>
                <w:szCs w:val="24"/>
                <w:lang w:val="en-US" w:eastAsia="zh-CN"/>
              </w:rPr>
              <w:t>为</w:t>
            </w:r>
            <w:r>
              <w:rPr>
                <w:rFonts w:hint="eastAsia" w:ascii="Times New Roman" w:hAnsi="Times New Roman" w:cs="Times New Roman"/>
                <w:color w:val="auto"/>
                <w:szCs w:val="24"/>
                <w:lang w:val="en-US" w:eastAsia="zh-CN"/>
              </w:rPr>
              <w:t>2</w:t>
            </w:r>
            <w:r>
              <w:rPr>
                <w:rFonts w:hint="default" w:ascii="Times New Roman" w:hAnsi="Times New Roman" w:cs="Times New Roman"/>
                <w:color w:val="auto"/>
                <w:sz w:val="24"/>
                <w:szCs w:val="24"/>
              </w:rPr>
              <w:t>m</w:t>
            </w:r>
            <w:r>
              <w:rPr>
                <w:rFonts w:hint="default" w:ascii="Times New Roman" w:hAnsi="Times New Roman" w:cs="Times New Roman"/>
                <w:color w:val="auto"/>
                <w:sz w:val="24"/>
                <w:szCs w:val="24"/>
                <w:vertAlign w:val="superscript"/>
              </w:rPr>
              <w:t>3</w:t>
            </w:r>
            <w:r>
              <w:rPr>
                <w:rFonts w:hint="default" w:ascii="Times New Roman" w:hAnsi="Times New Roman" w:cs="Times New Roman"/>
                <w:color w:val="auto"/>
                <w:sz w:val="24"/>
                <w:szCs w:val="24"/>
              </w:rPr>
              <w:t>/d</w:t>
            </w:r>
            <w:r>
              <w:rPr>
                <w:rFonts w:hint="default" w:ascii="Times New Roman" w:hAnsi="Times New Roman" w:cs="Times New Roman"/>
                <w:color w:val="auto"/>
                <w:sz w:val="24"/>
                <w:szCs w:val="24"/>
                <w:lang w:eastAsia="zh-CN"/>
              </w:rPr>
              <w:t>、</w:t>
            </w:r>
            <w:r>
              <w:rPr>
                <w:rFonts w:hint="eastAsia" w:ascii="Times New Roman" w:hAnsi="Times New Roman" w:cs="Times New Roman"/>
                <w:color w:val="auto"/>
                <w:sz w:val="24"/>
                <w:szCs w:val="24"/>
                <w:lang w:val="en-US" w:eastAsia="zh-CN"/>
              </w:rPr>
              <w:t>60</w:t>
            </w:r>
            <w:r>
              <w:rPr>
                <w:rFonts w:hint="default" w:ascii="Times New Roman" w:hAnsi="Times New Roman" w:cs="Times New Roman"/>
                <w:color w:val="auto"/>
                <w:sz w:val="24"/>
                <w:szCs w:val="24"/>
                <w:lang w:val="en-US" w:eastAsia="zh-CN"/>
              </w:rPr>
              <w:t>0</w:t>
            </w:r>
            <w:r>
              <w:rPr>
                <w:rFonts w:hint="default" w:ascii="Times New Roman" w:hAnsi="Times New Roman" w:cs="Times New Roman"/>
                <w:color w:val="auto"/>
                <w:sz w:val="24"/>
                <w:szCs w:val="24"/>
              </w:rPr>
              <w:t>m</w:t>
            </w:r>
            <w:r>
              <w:rPr>
                <w:rFonts w:hint="default" w:ascii="Times New Roman" w:hAnsi="Times New Roman" w:cs="Times New Roman"/>
                <w:color w:val="auto"/>
                <w:sz w:val="24"/>
                <w:szCs w:val="24"/>
                <w:vertAlign w:val="superscript"/>
              </w:rPr>
              <w:t>3</w:t>
            </w:r>
            <w:r>
              <w:rPr>
                <w:rFonts w:hint="default" w:ascii="Times New Roman" w:hAnsi="Times New Roman" w:cs="Times New Roman"/>
                <w:color w:val="auto"/>
                <w:sz w:val="24"/>
                <w:szCs w:val="24"/>
              </w:rPr>
              <w:t>/a</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highlight w:val="none"/>
                <w:lang w:val="en-US" w:eastAsia="zh-CN"/>
              </w:rPr>
              <w:t>化粪池收集后由环卫部门清运</w:t>
            </w:r>
            <w:r>
              <w:rPr>
                <w:rFonts w:hint="eastAsia" w:ascii="Times New Roman" w:hAnsi="Times New Roman" w:eastAsia="宋体" w:cs="Times New Roman"/>
                <w:color w:val="auto"/>
                <w:sz w:val="24"/>
                <w:szCs w:val="24"/>
                <w:highlight w:val="none"/>
                <w:lang w:val="en-US" w:eastAsia="zh-CN"/>
              </w:rPr>
              <w:t>，</w:t>
            </w:r>
            <w:r>
              <w:rPr>
                <w:rFonts w:hint="eastAsia" w:ascii="Times New Roman" w:hAnsi="Times New Roman" w:cs="Times New Roman"/>
                <w:color w:val="auto"/>
                <w:sz w:val="24"/>
                <w:szCs w:val="24"/>
                <w:lang w:val="en-US" w:eastAsia="zh-CN"/>
              </w:rPr>
              <w:t>无废水外排。</w:t>
            </w:r>
            <w:r>
              <w:rPr>
                <w:rFonts w:hint="default" w:ascii="Times New Roman" w:hAnsi="Times New Roman" w:cs="Times New Roman"/>
                <w:color w:val="auto"/>
                <w:szCs w:val="24"/>
                <w:highlight w:val="none"/>
              </w:rPr>
              <w:t>项目水平衡见图</w:t>
            </w:r>
            <w:r>
              <w:rPr>
                <w:rFonts w:hint="default" w:ascii="Times New Roman" w:hAnsi="Times New Roman" w:cs="Times New Roman"/>
                <w:color w:val="auto"/>
                <w:szCs w:val="24"/>
                <w:highlight w:val="none"/>
                <w:lang w:val="en-US" w:eastAsia="zh-CN"/>
              </w:rPr>
              <w:t>2-1。</w:t>
            </w:r>
          </w:p>
          <w:p w14:paraId="65142D4F">
            <w:pPr>
              <w:jc w:val="left"/>
              <w:rPr>
                <w:rFonts w:hint="default" w:ascii="Times New Roman" w:hAnsi="Times New Roman" w:eastAsia="宋体" w:cs="Times New Roman"/>
                <w:color w:val="auto"/>
                <w:szCs w:val="24"/>
                <w:highlight w:val="none"/>
                <w:lang w:eastAsia="zh-CN"/>
              </w:rPr>
            </w:pPr>
            <w:r>
              <w:rPr>
                <w:rFonts w:hint="default" w:ascii="Times New Roman" w:hAnsi="Times New Roman" w:eastAsia="宋体" w:cs="Times New Roman"/>
                <w:color w:val="auto"/>
                <w:szCs w:val="24"/>
                <w:highlight w:val="none"/>
                <w:lang w:eastAsia="zh-CN"/>
              </w:rPr>
              <w:drawing>
                <wp:inline distT="0" distB="0" distL="114300" distR="114300">
                  <wp:extent cx="5000625" cy="1458595"/>
                  <wp:effectExtent l="0" t="0" r="0" b="0"/>
                  <wp:docPr id="9" name="图片 161" descr="水平衡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61" descr="水平衡图"/>
                          <pic:cNvPicPr>
                            <a:picLocks noChangeAspect="1"/>
                          </pic:cNvPicPr>
                        </pic:nvPicPr>
                        <pic:blipFill>
                          <a:blip r:embed="rId10"/>
                          <a:stretch>
                            <a:fillRect/>
                          </a:stretch>
                        </pic:blipFill>
                        <pic:spPr>
                          <a:xfrm>
                            <a:off x="0" y="0"/>
                            <a:ext cx="5000625" cy="1458595"/>
                          </a:xfrm>
                          <a:prstGeom prst="rect">
                            <a:avLst/>
                          </a:prstGeom>
                          <a:noFill/>
                          <a:ln>
                            <a:noFill/>
                          </a:ln>
                        </pic:spPr>
                      </pic:pic>
                    </a:graphicData>
                  </a:graphic>
                </wp:inline>
              </w:drawing>
            </w:r>
          </w:p>
          <w:p w14:paraId="54723120">
            <w:pPr>
              <w:pStyle w:val="5"/>
              <w:numPr>
                <w:ilvl w:val="0"/>
                <w:numId w:val="0"/>
              </w:numPr>
              <w:bidi w:val="0"/>
              <w:ind w:left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图2-</w:t>
            </w:r>
            <w:r>
              <w:rPr>
                <w:rFonts w:hint="eastAsia" w:cs="Times New Roman"/>
                <w:color w:val="auto"/>
                <w:highlight w:val="none"/>
                <w:lang w:val="en-US" w:eastAsia="zh-CN"/>
              </w:rPr>
              <w:t>1</w:t>
            </w:r>
            <w:r>
              <w:rPr>
                <w:rFonts w:hint="default" w:ascii="Times New Roman" w:hAnsi="Times New Roman" w:cs="Times New Roman"/>
                <w:color w:val="auto"/>
                <w:highlight w:val="none"/>
              </w:rPr>
              <w:t>项目水平衡图（单位：m</w:t>
            </w:r>
            <w:r>
              <w:rPr>
                <w:rFonts w:hint="default" w:ascii="Times New Roman" w:hAnsi="Times New Roman" w:cs="Times New Roman"/>
                <w:color w:val="auto"/>
                <w:highlight w:val="none"/>
                <w:vertAlign w:val="superscript"/>
              </w:rPr>
              <w:t>3</w:t>
            </w:r>
            <w:r>
              <w:rPr>
                <w:rFonts w:hint="default" w:ascii="Times New Roman" w:hAnsi="Times New Roman" w:cs="Times New Roman"/>
                <w:color w:val="auto"/>
                <w:highlight w:val="none"/>
              </w:rPr>
              <w:t>/</w:t>
            </w:r>
            <w:r>
              <w:rPr>
                <w:rFonts w:hint="eastAsia" w:cs="Times New Roman"/>
                <w:color w:val="auto"/>
                <w:highlight w:val="none"/>
                <w:lang w:val="en-US" w:eastAsia="zh-CN"/>
              </w:rPr>
              <w:t>a</w:t>
            </w:r>
            <w:r>
              <w:rPr>
                <w:rFonts w:hint="default" w:ascii="Times New Roman" w:hAnsi="Times New Roman" w:cs="Times New Roman"/>
                <w:color w:val="auto"/>
                <w:highlight w:val="none"/>
              </w:rPr>
              <w:t>）</w:t>
            </w:r>
          </w:p>
          <w:p w14:paraId="1F81C00D">
            <w:pPr>
              <w:ind w:firstLine="480" w:firstLineChars="200"/>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3、供电工程</w:t>
            </w:r>
          </w:p>
          <w:p w14:paraId="66B2E0B4">
            <w:pPr>
              <w:ind w:firstLine="480" w:firstLineChars="200"/>
              <w:rPr>
                <w:rFonts w:hint="default" w:ascii="Times New Roman" w:hAnsi="Times New Roman" w:cs="Times New Roman"/>
                <w:color w:val="auto"/>
                <w:szCs w:val="24"/>
                <w:highlight w:val="none"/>
              </w:rPr>
            </w:pPr>
            <w:r>
              <w:rPr>
                <w:rFonts w:hint="default" w:ascii="Times New Roman" w:hAnsi="Times New Roman" w:cs="Times New Roman"/>
                <w:color w:val="auto"/>
                <w:sz w:val="24"/>
                <w:szCs w:val="24"/>
                <w:highlight w:val="none"/>
              </w:rPr>
              <w:t>项目用电由</w:t>
            </w:r>
            <w:r>
              <w:rPr>
                <w:rFonts w:hint="default" w:ascii="Times New Roman" w:hAnsi="Times New Roman" w:cs="Times New Roman"/>
                <w:color w:val="auto"/>
                <w:sz w:val="24"/>
                <w:szCs w:val="24"/>
                <w:highlight w:val="none"/>
                <w:lang w:val="en-US" w:eastAsia="zh-CN"/>
              </w:rPr>
              <w:t>泗水</w:t>
            </w:r>
            <w:r>
              <w:rPr>
                <w:rFonts w:hint="eastAsia" w:cs="Times New Roman"/>
                <w:color w:val="auto"/>
                <w:sz w:val="24"/>
                <w:szCs w:val="24"/>
                <w:highlight w:val="none"/>
                <w:lang w:val="en-US" w:eastAsia="zh-CN"/>
              </w:rPr>
              <w:t>县金庄镇</w:t>
            </w:r>
            <w:r>
              <w:rPr>
                <w:rFonts w:hint="default" w:ascii="Times New Roman" w:hAnsi="Times New Roman" w:cs="Times New Roman"/>
                <w:color w:val="auto"/>
                <w:sz w:val="24"/>
                <w:szCs w:val="24"/>
                <w:highlight w:val="none"/>
              </w:rPr>
              <w:t>供电线路接入，厂区</w:t>
            </w:r>
            <w:r>
              <w:rPr>
                <w:rFonts w:hint="default" w:ascii="Times New Roman" w:hAnsi="Times New Roman" w:cs="Times New Roman"/>
                <w:color w:val="auto"/>
                <w:sz w:val="24"/>
                <w:szCs w:val="24"/>
                <w:highlight w:val="none"/>
                <w:lang w:val="en-US" w:eastAsia="zh-CN"/>
              </w:rPr>
              <w:t>设置配电室</w:t>
            </w:r>
            <w:r>
              <w:rPr>
                <w:rFonts w:hint="default" w:ascii="Times New Roman" w:hAnsi="Times New Roman" w:cs="Times New Roman"/>
                <w:color w:val="auto"/>
                <w:sz w:val="24"/>
                <w:szCs w:val="24"/>
                <w:highlight w:val="none"/>
              </w:rPr>
              <w:t>，</w:t>
            </w:r>
            <w:r>
              <w:rPr>
                <w:rFonts w:hint="default" w:ascii="Times New Roman" w:hAnsi="Times New Roman" w:eastAsia="新宋体" w:cs="Times New Roman"/>
                <w:color w:val="auto"/>
                <w:sz w:val="24"/>
                <w:szCs w:val="24"/>
                <w:highlight w:val="none"/>
              </w:rPr>
              <w:t>供电能满足生产要求</w:t>
            </w:r>
            <w:r>
              <w:rPr>
                <w:rFonts w:hint="default" w:ascii="Times New Roman" w:hAnsi="Times New Roman" w:cs="Times New Roman"/>
                <w:color w:val="auto"/>
                <w:szCs w:val="24"/>
                <w:highlight w:val="none"/>
              </w:rPr>
              <w:t>。</w:t>
            </w:r>
          </w:p>
          <w:p w14:paraId="4B9E79DC">
            <w:pPr>
              <w:pStyle w:val="4"/>
              <w:numPr>
                <w:ilvl w:val="0"/>
                <w:numId w:val="0"/>
              </w:numPr>
              <w:bidi w:val="0"/>
              <w:ind w:leftChars="0" w:firstLine="480" w:firstLineChars="200"/>
              <w:rPr>
                <w:rFonts w:hint="default" w:ascii="Times New Roman" w:hAnsi="Times New Roman" w:cs="Times New Roman"/>
                <w:color w:val="auto"/>
                <w:highlight w:val="none"/>
              </w:rPr>
            </w:pPr>
            <w:r>
              <w:rPr>
                <w:rFonts w:hint="eastAsia" w:cs="Times New Roman"/>
                <w:color w:val="auto"/>
                <w:highlight w:val="none"/>
                <w:lang w:val="en-US" w:eastAsia="zh-CN"/>
              </w:rPr>
              <w:t>七</w:t>
            </w:r>
            <w:r>
              <w:rPr>
                <w:rFonts w:hint="default" w:ascii="Times New Roman" w:hAnsi="Times New Roman" w:cs="Times New Roman"/>
                <w:color w:val="auto"/>
                <w:highlight w:val="none"/>
              </w:rPr>
              <w:t>、 平面布置</w:t>
            </w:r>
          </w:p>
          <w:p w14:paraId="18FBB9F6">
            <w:pPr>
              <w:bidi w:val="0"/>
              <w:ind w:firstLine="480" w:firstLineChars="200"/>
              <w:rPr>
                <w:rFonts w:hint="default"/>
                <w:color w:val="auto"/>
                <w:lang w:val="en-US" w:eastAsia="zh-CN"/>
              </w:rPr>
            </w:pPr>
            <w:r>
              <w:rPr>
                <w:rFonts w:hint="eastAsia"/>
                <w:color w:val="auto"/>
                <w:lang w:val="en-US" w:eastAsia="zh-CN"/>
              </w:rPr>
              <w:t>项目</w:t>
            </w:r>
            <w:r>
              <w:rPr>
                <w:rFonts w:hint="default"/>
                <w:color w:val="auto"/>
                <w:lang w:val="en-US" w:eastAsia="zh-CN"/>
              </w:rPr>
              <w:t>位于</w:t>
            </w:r>
            <w:r>
              <w:rPr>
                <w:rFonts w:hint="eastAsia"/>
                <w:color w:val="auto"/>
                <w:lang w:val="en-US" w:eastAsia="zh-CN"/>
              </w:rPr>
              <w:t>泗水县金庄镇卞庄工业园A7车间。项目设置生产车间1座，由东向西依次布置粉状物料投料区、混合搅拌区、包装区、原料区、成品区，办公区。</w:t>
            </w:r>
          </w:p>
          <w:p w14:paraId="75FB602E">
            <w:pPr>
              <w:bidi w:val="0"/>
              <w:ind w:firstLine="480" w:firstLineChars="200"/>
              <w:rPr>
                <w:rFonts w:hint="default"/>
                <w:color w:val="auto"/>
              </w:rPr>
            </w:pPr>
            <w:r>
              <w:rPr>
                <w:rFonts w:hint="default"/>
                <w:color w:val="auto"/>
              </w:rPr>
              <w:t>项目平面布置按照生产工艺流程布置，功能分区明确，交通顺畅，布置紧凑；人货流动畅通，并充分考虑到工程行业特点、安全间距、卫生防护、货物运输和防火需要，各装置区之间留有足够的安全间距，避免相互影响，其平面布置基本合理，本项目</w:t>
            </w:r>
            <w:r>
              <w:rPr>
                <w:rFonts w:hint="default"/>
                <w:color w:val="auto"/>
                <w:lang w:val="en-US" w:eastAsia="zh-CN"/>
              </w:rPr>
              <w:t>厂区</w:t>
            </w:r>
            <w:r>
              <w:rPr>
                <w:rFonts w:hint="default"/>
                <w:color w:val="auto"/>
              </w:rPr>
              <w:t>平面布置见附图</w:t>
            </w:r>
            <w:r>
              <w:rPr>
                <w:rFonts w:hint="default"/>
                <w:color w:val="auto"/>
                <w:lang w:val="en-US" w:eastAsia="zh-CN"/>
              </w:rPr>
              <w:t>三</w:t>
            </w:r>
            <w:r>
              <w:rPr>
                <w:rFonts w:hint="default"/>
                <w:color w:val="auto"/>
              </w:rPr>
              <w:t>。</w:t>
            </w:r>
          </w:p>
          <w:p w14:paraId="6C136497">
            <w:pPr>
              <w:pStyle w:val="4"/>
              <w:numPr>
                <w:ilvl w:val="0"/>
                <w:numId w:val="0"/>
              </w:numPr>
              <w:bidi w:val="0"/>
              <w:ind w:leftChars="0" w:firstLine="480" w:firstLineChars="200"/>
              <w:rPr>
                <w:rFonts w:hint="default" w:ascii="Times New Roman" w:hAnsi="Times New Roman" w:eastAsia="黑体" w:cs="Times New Roman"/>
                <w:color w:val="auto"/>
                <w:highlight w:val="none"/>
                <w:lang w:val="en-US" w:eastAsia="zh-CN"/>
              </w:rPr>
            </w:pPr>
            <w:r>
              <w:rPr>
                <w:rFonts w:hint="eastAsia" w:cs="Times New Roman"/>
                <w:color w:val="auto"/>
                <w:highlight w:val="none"/>
                <w:lang w:val="en-US" w:eastAsia="zh-CN"/>
              </w:rPr>
              <w:t>八、物料平衡</w:t>
            </w:r>
          </w:p>
          <w:p w14:paraId="7BB9EFC4">
            <w:pPr>
              <w:bidi w:val="0"/>
              <w:ind w:firstLine="480" w:firstLineChars="200"/>
              <w:rPr>
                <w:rFonts w:hint="default" w:eastAsia="宋体"/>
                <w:color w:val="auto"/>
                <w:lang w:val="en-US" w:eastAsia="zh-CN"/>
              </w:rPr>
            </w:pPr>
            <w:r>
              <w:rPr>
                <w:rFonts w:hint="eastAsia"/>
                <w:color w:val="auto"/>
                <w:lang w:val="en-US" w:eastAsia="zh-CN"/>
              </w:rPr>
              <w:t>项目物料平衡见下表。</w:t>
            </w:r>
          </w:p>
          <w:p w14:paraId="4D3AE9CF">
            <w:pPr>
              <w:pStyle w:val="45"/>
              <w:bidi w:val="0"/>
              <w:rPr>
                <w:color w:val="auto"/>
              </w:rPr>
            </w:pPr>
            <w:r>
              <w:rPr>
                <w:rFonts w:hint="eastAsia"/>
                <w:color w:val="auto"/>
                <w:lang w:val="en-US" w:eastAsia="zh-CN"/>
              </w:rPr>
              <w:t xml:space="preserve">表2-6 </w:t>
            </w:r>
            <w:r>
              <w:rPr>
                <w:color w:val="auto"/>
              </w:rPr>
              <w:t>项目物料平衡表（单位：t/a）</w:t>
            </w:r>
          </w:p>
          <w:tbl>
            <w:tblPr>
              <w:tblStyle w:val="33"/>
              <w:tblW w:w="8014"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545"/>
              <w:gridCol w:w="1079"/>
              <w:gridCol w:w="1154"/>
              <w:gridCol w:w="2381"/>
              <w:gridCol w:w="1321"/>
            </w:tblGrid>
            <w:tr w14:paraId="58E590B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34" w:type="dxa"/>
                  <w:vMerge w:val="restart"/>
                  <w:noWrap w:val="0"/>
                  <w:vAlign w:val="center"/>
                </w:tcPr>
                <w:p w14:paraId="730A0CBC">
                  <w:pPr>
                    <w:pStyle w:val="44"/>
                    <w:bidi w:val="0"/>
                    <w:rPr>
                      <w:color w:val="auto"/>
                    </w:rPr>
                  </w:pPr>
                  <w:r>
                    <w:rPr>
                      <w:color w:val="auto"/>
                    </w:rPr>
                    <w:t>序号</w:t>
                  </w:r>
                </w:p>
              </w:tc>
              <w:tc>
                <w:tcPr>
                  <w:tcW w:w="2624" w:type="dxa"/>
                  <w:gridSpan w:val="2"/>
                  <w:noWrap w:val="0"/>
                  <w:vAlign w:val="center"/>
                </w:tcPr>
                <w:p w14:paraId="36797F86">
                  <w:pPr>
                    <w:pStyle w:val="44"/>
                    <w:bidi w:val="0"/>
                    <w:rPr>
                      <w:color w:val="auto"/>
                    </w:rPr>
                  </w:pPr>
                  <w:r>
                    <w:rPr>
                      <w:color w:val="auto"/>
                    </w:rPr>
                    <w:t>投入</w:t>
                  </w:r>
                </w:p>
              </w:tc>
              <w:tc>
                <w:tcPr>
                  <w:tcW w:w="4856" w:type="dxa"/>
                  <w:gridSpan w:val="3"/>
                  <w:noWrap w:val="0"/>
                  <w:vAlign w:val="center"/>
                </w:tcPr>
                <w:p w14:paraId="012639FB">
                  <w:pPr>
                    <w:pStyle w:val="44"/>
                    <w:bidi w:val="0"/>
                    <w:rPr>
                      <w:color w:val="auto"/>
                    </w:rPr>
                  </w:pPr>
                  <w:r>
                    <w:rPr>
                      <w:color w:val="auto"/>
                    </w:rPr>
                    <w:t>产出</w:t>
                  </w:r>
                </w:p>
              </w:tc>
            </w:tr>
            <w:tr w14:paraId="5339C21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4" w:type="dxa"/>
                  <w:vMerge w:val="continue"/>
                  <w:noWrap w:val="0"/>
                  <w:vAlign w:val="center"/>
                </w:tcPr>
                <w:p w14:paraId="6974E314">
                  <w:pPr>
                    <w:pStyle w:val="44"/>
                    <w:bidi w:val="0"/>
                    <w:rPr>
                      <w:color w:val="auto"/>
                    </w:rPr>
                  </w:pPr>
                </w:p>
              </w:tc>
              <w:tc>
                <w:tcPr>
                  <w:tcW w:w="1545" w:type="dxa"/>
                  <w:noWrap w:val="0"/>
                  <w:vAlign w:val="center"/>
                </w:tcPr>
                <w:p w14:paraId="2C23FAD6">
                  <w:pPr>
                    <w:pStyle w:val="44"/>
                    <w:bidi w:val="0"/>
                    <w:rPr>
                      <w:color w:val="auto"/>
                    </w:rPr>
                  </w:pPr>
                  <w:r>
                    <w:rPr>
                      <w:color w:val="auto"/>
                    </w:rPr>
                    <w:t>名称</w:t>
                  </w:r>
                </w:p>
              </w:tc>
              <w:tc>
                <w:tcPr>
                  <w:tcW w:w="1079" w:type="dxa"/>
                  <w:noWrap w:val="0"/>
                  <w:vAlign w:val="center"/>
                </w:tcPr>
                <w:p w14:paraId="7E0A60FD">
                  <w:pPr>
                    <w:pStyle w:val="44"/>
                    <w:bidi w:val="0"/>
                    <w:rPr>
                      <w:color w:val="auto"/>
                    </w:rPr>
                  </w:pPr>
                  <w:r>
                    <w:rPr>
                      <w:color w:val="auto"/>
                    </w:rPr>
                    <w:t>数量</w:t>
                  </w:r>
                </w:p>
              </w:tc>
              <w:tc>
                <w:tcPr>
                  <w:tcW w:w="3535" w:type="dxa"/>
                  <w:gridSpan w:val="2"/>
                  <w:noWrap w:val="0"/>
                  <w:vAlign w:val="center"/>
                </w:tcPr>
                <w:p w14:paraId="1D6739E1">
                  <w:pPr>
                    <w:pStyle w:val="44"/>
                    <w:bidi w:val="0"/>
                    <w:rPr>
                      <w:color w:val="auto"/>
                    </w:rPr>
                  </w:pPr>
                  <w:r>
                    <w:rPr>
                      <w:color w:val="auto"/>
                    </w:rPr>
                    <w:t>名称</w:t>
                  </w:r>
                </w:p>
              </w:tc>
              <w:tc>
                <w:tcPr>
                  <w:tcW w:w="1321" w:type="dxa"/>
                  <w:noWrap w:val="0"/>
                  <w:vAlign w:val="center"/>
                </w:tcPr>
                <w:p w14:paraId="6BFA7A4D">
                  <w:pPr>
                    <w:pStyle w:val="44"/>
                    <w:bidi w:val="0"/>
                    <w:rPr>
                      <w:color w:val="auto"/>
                    </w:rPr>
                  </w:pPr>
                  <w:r>
                    <w:rPr>
                      <w:color w:val="auto"/>
                    </w:rPr>
                    <w:t>数量</w:t>
                  </w:r>
                </w:p>
              </w:tc>
            </w:tr>
            <w:tr w14:paraId="0CEBA5B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534" w:type="dxa"/>
                  <w:noWrap w:val="0"/>
                  <w:vAlign w:val="center"/>
                </w:tcPr>
                <w:p w14:paraId="72D8B5E6">
                  <w:pPr>
                    <w:pStyle w:val="44"/>
                    <w:bidi w:val="0"/>
                    <w:rPr>
                      <w:color w:val="auto"/>
                    </w:rPr>
                  </w:pPr>
                  <w:r>
                    <w:rPr>
                      <w:color w:val="auto"/>
                    </w:rPr>
                    <w:t>1</w:t>
                  </w:r>
                </w:p>
              </w:tc>
              <w:tc>
                <w:tcPr>
                  <w:tcW w:w="1545" w:type="dxa"/>
                  <w:noWrap w:val="0"/>
                  <w:vAlign w:val="center"/>
                </w:tcPr>
                <w:p w14:paraId="7C49ADF9">
                  <w:pPr>
                    <w:pStyle w:val="44"/>
                    <w:bidi w:val="0"/>
                    <w:rPr>
                      <w:color w:val="auto"/>
                    </w:rPr>
                  </w:pPr>
                  <w:r>
                    <w:rPr>
                      <w:rFonts w:hint="eastAsia"/>
                      <w:color w:val="auto"/>
                    </w:rPr>
                    <w:t>硅烷改性聚醚</w:t>
                  </w:r>
                </w:p>
              </w:tc>
              <w:tc>
                <w:tcPr>
                  <w:tcW w:w="1079" w:type="dxa"/>
                  <w:noWrap w:val="0"/>
                  <w:vAlign w:val="center"/>
                </w:tcPr>
                <w:p w14:paraId="77723443">
                  <w:pPr>
                    <w:pStyle w:val="44"/>
                    <w:bidi w:val="0"/>
                    <w:rPr>
                      <w:color w:val="auto"/>
                    </w:rPr>
                  </w:pPr>
                  <w:r>
                    <w:rPr>
                      <w:rFonts w:hint="default"/>
                      <w:color w:val="auto"/>
                      <w:lang w:val="en-US" w:eastAsia="zh-CN"/>
                    </w:rPr>
                    <w:t>8560</w:t>
                  </w:r>
                </w:p>
              </w:tc>
              <w:tc>
                <w:tcPr>
                  <w:tcW w:w="1154" w:type="dxa"/>
                  <w:vMerge w:val="restart"/>
                  <w:noWrap w:val="0"/>
                  <w:vAlign w:val="center"/>
                </w:tcPr>
                <w:p w14:paraId="64C8C2AA">
                  <w:pPr>
                    <w:pStyle w:val="44"/>
                    <w:bidi w:val="0"/>
                    <w:rPr>
                      <w:color w:val="auto"/>
                    </w:rPr>
                  </w:pPr>
                  <w:r>
                    <w:rPr>
                      <w:rFonts w:hint="eastAsia"/>
                      <w:color w:val="auto"/>
                    </w:rPr>
                    <w:t>产品</w:t>
                  </w:r>
                </w:p>
              </w:tc>
              <w:tc>
                <w:tcPr>
                  <w:tcW w:w="2381" w:type="dxa"/>
                  <w:noWrap w:val="0"/>
                  <w:vAlign w:val="center"/>
                </w:tcPr>
                <w:p w14:paraId="6D4A8334">
                  <w:pPr>
                    <w:pStyle w:val="44"/>
                    <w:bidi w:val="0"/>
                    <w:rPr>
                      <w:color w:val="auto"/>
                    </w:rPr>
                  </w:pPr>
                  <w:r>
                    <w:rPr>
                      <w:rFonts w:hint="default"/>
                      <w:color w:val="auto"/>
                      <w:lang w:val="en-US" w:eastAsia="zh-CN"/>
                    </w:rPr>
                    <w:t>电池PACK密封材料</w:t>
                  </w:r>
                </w:p>
              </w:tc>
              <w:tc>
                <w:tcPr>
                  <w:tcW w:w="1321" w:type="dxa"/>
                  <w:noWrap w:val="0"/>
                  <w:vAlign w:val="center"/>
                </w:tcPr>
                <w:p w14:paraId="64F12351">
                  <w:pPr>
                    <w:pStyle w:val="44"/>
                    <w:bidi w:val="0"/>
                    <w:rPr>
                      <w:color w:val="auto"/>
                    </w:rPr>
                  </w:pPr>
                  <w:r>
                    <w:rPr>
                      <w:rFonts w:hint="eastAsia"/>
                      <w:color w:val="auto"/>
                      <w:lang w:val="en-US" w:eastAsia="zh-CN"/>
                    </w:rPr>
                    <w:t>12000</w:t>
                  </w:r>
                </w:p>
              </w:tc>
            </w:tr>
            <w:tr w14:paraId="7D75794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34" w:type="dxa"/>
                  <w:noWrap w:val="0"/>
                  <w:vAlign w:val="center"/>
                </w:tcPr>
                <w:p w14:paraId="716EDAB2">
                  <w:pPr>
                    <w:pStyle w:val="44"/>
                    <w:bidi w:val="0"/>
                    <w:rPr>
                      <w:color w:val="auto"/>
                    </w:rPr>
                  </w:pPr>
                  <w:r>
                    <w:rPr>
                      <w:color w:val="auto"/>
                    </w:rPr>
                    <w:t>2</w:t>
                  </w:r>
                </w:p>
              </w:tc>
              <w:tc>
                <w:tcPr>
                  <w:tcW w:w="1545" w:type="dxa"/>
                  <w:noWrap w:val="0"/>
                  <w:vAlign w:val="center"/>
                </w:tcPr>
                <w:p w14:paraId="5F36BDAC">
                  <w:pPr>
                    <w:pStyle w:val="44"/>
                    <w:bidi w:val="0"/>
                    <w:rPr>
                      <w:color w:val="auto"/>
                    </w:rPr>
                  </w:pPr>
                  <w:r>
                    <w:rPr>
                      <w:rFonts w:hint="eastAsia"/>
                      <w:color w:val="auto"/>
                      <w:lang w:val="en-US" w:eastAsia="zh-CN"/>
                    </w:rPr>
                    <w:t>环保</w:t>
                  </w:r>
                  <w:r>
                    <w:rPr>
                      <w:rFonts w:hint="eastAsia"/>
                      <w:color w:val="auto"/>
                    </w:rPr>
                    <w:t>增塑剂</w:t>
                  </w:r>
                </w:p>
              </w:tc>
              <w:tc>
                <w:tcPr>
                  <w:tcW w:w="1079" w:type="dxa"/>
                  <w:noWrap w:val="0"/>
                  <w:vAlign w:val="center"/>
                </w:tcPr>
                <w:p w14:paraId="2C3FA238">
                  <w:pPr>
                    <w:pStyle w:val="44"/>
                    <w:bidi w:val="0"/>
                    <w:rPr>
                      <w:color w:val="auto"/>
                    </w:rPr>
                  </w:pPr>
                  <w:r>
                    <w:rPr>
                      <w:rFonts w:hint="default"/>
                      <w:color w:val="auto"/>
                      <w:lang w:val="en-US" w:eastAsia="zh-CN"/>
                    </w:rPr>
                    <w:t>4520</w:t>
                  </w:r>
                </w:p>
              </w:tc>
              <w:tc>
                <w:tcPr>
                  <w:tcW w:w="1154" w:type="dxa"/>
                  <w:vMerge w:val="continue"/>
                  <w:noWrap w:val="0"/>
                  <w:vAlign w:val="center"/>
                </w:tcPr>
                <w:p w14:paraId="4014A390">
                  <w:pPr>
                    <w:pStyle w:val="44"/>
                    <w:bidi w:val="0"/>
                    <w:rPr>
                      <w:color w:val="auto"/>
                    </w:rPr>
                  </w:pPr>
                </w:p>
              </w:tc>
              <w:tc>
                <w:tcPr>
                  <w:tcW w:w="2381" w:type="dxa"/>
                  <w:noWrap w:val="0"/>
                  <w:vAlign w:val="center"/>
                </w:tcPr>
                <w:p w14:paraId="71C682B4">
                  <w:pPr>
                    <w:pStyle w:val="44"/>
                    <w:bidi w:val="0"/>
                    <w:rPr>
                      <w:color w:val="auto"/>
                    </w:rPr>
                  </w:pPr>
                  <w:r>
                    <w:rPr>
                      <w:rFonts w:hint="default"/>
                      <w:color w:val="auto"/>
                      <w:lang w:val="en-US" w:eastAsia="zh-CN"/>
                    </w:rPr>
                    <w:t>电子电器密封材料</w:t>
                  </w:r>
                </w:p>
              </w:tc>
              <w:tc>
                <w:tcPr>
                  <w:tcW w:w="1321" w:type="dxa"/>
                  <w:noWrap w:val="0"/>
                  <w:vAlign w:val="center"/>
                </w:tcPr>
                <w:p w14:paraId="02E112D8">
                  <w:pPr>
                    <w:pStyle w:val="44"/>
                    <w:bidi w:val="0"/>
                    <w:rPr>
                      <w:color w:val="auto"/>
                    </w:rPr>
                  </w:pPr>
                  <w:r>
                    <w:rPr>
                      <w:rFonts w:hint="eastAsia"/>
                      <w:color w:val="auto"/>
                      <w:lang w:val="en-US" w:eastAsia="zh-CN"/>
                    </w:rPr>
                    <w:t>8000</w:t>
                  </w:r>
                </w:p>
              </w:tc>
            </w:tr>
            <w:tr w14:paraId="756723B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34" w:type="dxa"/>
                  <w:noWrap w:val="0"/>
                  <w:vAlign w:val="center"/>
                </w:tcPr>
                <w:p w14:paraId="1D8824AB">
                  <w:pPr>
                    <w:pStyle w:val="44"/>
                    <w:bidi w:val="0"/>
                    <w:rPr>
                      <w:color w:val="auto"/>
                    </w:rPr>
                  </w:pPr>
                  <w:r>
                    <w:rPr>
                      <w:color w:val="auto"/>
                    </w:rPr>
                    <w:t>3</w:t>
                  </w:r>
                </w:p>
              </w:tc>
              <w:tc>
                <w:tcPr>
                  <w:tcW w:w="1545" w:type="dxa"/>
                  <w:noWrap w:val="0"/>
                  <w:vAlign w:val="center"/>
                </w:tcPr>
                <w:p w14:paraId="7F1B70D5">
                  <w:pPr>
                    <w:pStyle w:val="44"/>
                    <w:bidi w:val="0"/>
                    <w:rPr>
                      <w:color w:val="auto"/>
                    </w:rPr>
                  </w:pPr>
                  <w:r>
                    <w:rPr>
                      <w:rFonts w:hint="eastAsia"/>
                      <w:color w:val="auto"/>
                    </w:rPr>
                    <w:t>无机粉体</w:t>
                  </w:r>
                </w:p>
              </w:tc>
              <w:tc>
                <w:tcPr>
                  <w:tcW w:w="1079" w:type="dxa"/>
                  <w:noWrap w:val="0"/>
                  <w:vAlign w:val="center"/>
                </w:tcPr>
                <w:p w14:paraId="5FDC87B8">
                  <w:pPr>
                    <w:pStyle w:val="44"/>
                    <w:bidi w:val="0"/>
                    <w:rPr>
                      <w:color w:val="auto"/>
                    </w:rPr>
                  </w:pPr>
                  <w:r>
                    <w:rPr>
                      <w:rFonts w:hint="default"/>
                      <w:color w:val="auto"/>
                      <w:lang w:val="en-US" w:eastAsia="zh-CN"/>
                    </w:rPr>
                    <w:t>6123.5</w:t>
                  </w:r>
                </w:p>
              </w:tc>
              <w:tc>
                <w:tcPr>
                  <w:tcW w:w="1154" w:type="dxa"/>
                  <w:vMerge w:val="restart"/>
                  <w:noWrap w:val="0"/>
                  <w:vAlign w:val="center"/>
                </w:tcPr>
                <w:p w14:paraId="50852D25">
                  <w:pPr>
                    <w:pStyle w:val="44"/>
                    <w:bidi w:val="0"/>
                    <w:rPr>
                      <w:color w:val="auto"/>
                    </w:rPr>
                  </w:pPr>
                  <w:r>
                    <w:rPr>
                      <w:rFonts w:hint="eastAsia"/>
                      <w:color w:val="auto"/>
                    </w:rPr>
                    <w:t>投料粉尘废气</w:t>
                  </w:r>
                </w:p>
              </w:tc>
              <w:tc>
                <w:tcPr>
                  <w:tcW w:w="2381" w:type="dxa"/>
                  <w:shd w:val="clear" w:color="auto" w:fill="auto"/>
                  <w:noWrap w:val="0"/>
                  <w:vAlign w:val="center"/>
                </w:tcPr>
                <w:p w14:paraId="29A34C53">
                  <w:pPr>
                    <w:pStyle w:val="44"/>
                    <w:bidi w:val="0"/>
                    <w:rPr>
                      <w:color w:val="auto"/>
                      <w:lang w:val="en-US" w:eastAsia="zh-CN"/>
                    </w:rPr>
                  </w:pPr>
                  <w:r>
                    <w:rPr>
                      <w:rFonts w:hint="eastAsia"/>
                      <w:color w:val="auto"/>
                    </w:rPr>
                    <w:t>有组织排放</w:t>
                  </w:r>
                </w:p>
              </w:tc>
              <w:tc>
                <w:tcPr>
                  <w:tcW w:w="1321" w:type="dxa"/>
                  <w:noWrap w:val="0"/>
                  <w:vAlign w:val="center"/>
                </w:tcPr>
                <w:p w14:paraId="708136ED">
                  <w:pPr>
                    <w:pStyle w:val="44"/>
                    <w:bidi w:val="0"/>
                    <w:rPr>
                      <w:color w:val="auto"/>
                    </w:rPr>
                  </w:pPr>
                  <w:r>
                    <w:rPr>
                      <w:rFonts w:hint="default"/>
                      <w:color w:val="auto"/>
                      <w:lang w:val="en-US" w:eastAsia="zh-CN"/>
                    </w:rPr>
                    <w:t>9.18</w:t>
                  </w:r>
                </w:p>
              </w:tc>
            </w:tr>
            <w:tr w14:paraId="2B7E850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34" w:type="dxa"/>
                  <w:noWrap w:val="0"/>
                  <w:vAlign w:val="center"/>
                </w:tcPr>
                <w:p w14:paraId="4EAD8C2F">
                  <w:pPr>
                    <w:pStyle w:val="44"/>
                    <w:bidi w:val="0"/>
                    <w:rPr>
                      <w:color w:val="auto"/>
                    </w:rPr>
                  </w:pPr>
                  <w:r>
                    <w:rPr>
                      <w:color w:val="auto"/>
                    </w:rPr>
                    <w:t>4</w:t>
                  </w:r>
                </w:p>
              </w:tc>
              <w:tc>
                <w:tcPr>
                  <w:tcW w:w="1545" w:type="dxa"/>
                  <w:noWrap w:val="0"/>
                  <w:vAlign w:val="center"/>
                </w:tcPr>
                <w:p w14:paraId="643B5E20">
                  <w:pPr>
                    <w:pStyle w:val="44"/>
                    <w:bidi w:val="0"/>
                    <w:rPr>
                      <w:color w:val="auto"/>
                    </w:rPr>
                  </w:pPr>
                  <w:r>
                    <w:rPr>
                      <w:rFonts w:hint="eastAsia"/>
                      <w:color w:val="auto"/>
                    </w:rPr>
                    <w:t>硅烷偶联剂</w:t>
                  </w:r>
                </w:p>
              </w:tc>
              <w:tc>
                <w:tcPr>
                  <w:tcW w:w="1079" w:type="dxa"/>
                  <w:noWrap w:val="0"/>
                  <w:vAlign w:val="center"/>
                </w:tcPr>
                <w:p w14:paraId="49F5C7E5">
                  <w:pPr>
                    <w:pStyle w:val="44"/>
                    <w:bidi w:val="0"/>
                    <w:rPr>
                      <w:color w:val="auto"/>
                    </w:rPr>
                  </w:pPr>
                  <w:r>
                    <w:rPr>
                      <w:rFonts w:hint="default"/>
                      <w:color w:val="auto"/>
                      <w:lang w:val="en-US" w:eastAsia="zh-CN"/>
                    </w:rPr>
                    <w:t>216</w:t>
                  </w:r>
                </w:p>
              </w:tc>
              <w:tc>
                <w:tcPr>
                  <w:tcW w:w="1154" w:type="dxa"/>
                  <w:vMerge w:val="continue"/>
                  <w:noWrap w:val="0"/>
                  <w:vAlign w:val="center"/>
                </w:tcPr>
                <w:p w14:paraId="2EA32824">
                  <w:pPr>
                    <w:pStyle w:val="44"/>
                    <w:bidi w:val="0"/>
                    <w:rPr>
                      <w:color w:val="auto"/>
                    </w:rPr>
                  </w:pPr>
                </w:p>
              </w:tc>
              <w:tc>
                <w:tcPr>
                  <w:tcW w:w="2381" w:type="dxa"/>
                  <w:shd w:val="clear" w:color="auto" w:fill="auto"/>
                  <w:noWrap w:val="0"/>
                  <w:vAlign w:val="center"/>
                </w:tcPr>
                <w:p w14:paraId="5A43142C">
                  <w:pPr>
                    <w:pStyle w:val="44"/>
                    <w:bidi w:val="0"/>
                    <w:rPr>
                      <w:color w:val="auto"/>
                      <w:lang w:val="en-US" w:eastAsia="zh-CN"/>
                    </w:rPr>
                  </w:pPr>
                  <w:r>
                    <w:rPr>
                      <w:rFonts w:hint="eastAsia"/>
                      <w:color w:val="auto"/>
                    </w:rPr>
                    <w:t>无组织排放</w:t>
                  </w:r>
                </w:p>
              </w:tc>
              <w:tc>
                <w:tcPr>
                  <w:tcW w:w="1321" w:type="dxa"/>
                  <w:noWrap w:val="0"/>
                  <w:vAlign w:val="center"/>
                </w:tcPr>
                <w:p w14:paraId="241B1AC9">
                  <w:pPr>
                    <w:pStyle w:val="44"/>
                    <w:bidi w:val="0"/>
                    <w:rPr>
                      <w:color w:val="auto"/>
                    </w:rPr>
                  </w:pPr>
                  <w:r>
                    <w:rPr>
                      <w:rFonts w:hint="default"/>
                      <w:color w:val="auto"/>
                      <w:lang w:val="en-US" w:eastAsia="zh-CN"/>
                    </w:rPr>
                    <w:t>0.408</w:t>
                  </w:r>
                </w:p>
              </w:tc>
            </w:tr>
            <w:tr w14:paraId="3287089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34" w:type="dxa"/>
                  <w:noWrap w:val="0"/>
                  <w:vAlign w:val="center"/>
                </w:tcPr>
                <w:p w14:paraId="19F24784">
                  <w:pPr>
                    <w:pStyle w:val="44"/>
                    <w:bidi w:val="0"/>
                    <w:rPr>
                      <w:color w:val="auto"/>
                    </w:rPr>
                  </w:pPr>
                  <w:r>
                    <w:rPr>
                      <w:color w:val="auto"/>
                    </w:rPr>
                    <w:t>5</w:t>
                  </w:r>
                </w:p>
              </w:tc>
              <w:tc>
                <w:tcPr>
                  <w:tcW w:w="1545" w:type="dxa"/>
                  <w:noWrap w:val="0"/>
                  <w:vAlign w:val="center"/>
                </w:tcPr>
                <w:p w14:paraId="1AEC5B5D">
                  <w:pPr>
                    <w:pStyle w:val="44"/>
                    <w:bidi w:val="0"/>
                    <w:rPr>
                      <w:color w:val="auto"/>
                    </w:rPr>
                  </w:pPr>
                  <w:r>
                    <w:rPr>
                      <w:rFonts w:hint="eastAsia"/>
                      <w:color w:val="auto"/>
                    </w:rPr>
                    <w:t>抗老化剂</w:t>
                  </w:r>
                </w:p>
              </w:tc>
              <w:tc>
                <w:tcPr>
                  <w:tcW w:w="1079" w:type="dxa"/>
                  <w:noWrap w:val="0"/>
                  <w:vAlign w:val="center"/>
                </w:tcPr>
                <w:p w14:paraId="28B962C0">
                  <w:pPr>
                    <w:pStyle w:val="44"/>
                    <w:bidi w:val="0"/>
                    <w:rPr>
                      <w:color w:val="auto"/>
                    </w:rPr>
                  </w:pPr>
                  <w:r>
                    <w:rPr>
                      <w:rFonts w:hint="default"/>
                      <w:color w:val="auto"/>
                      <w:lang w:val="en-US" w:eastAsia="zh-CN"/>
                    </w:rPr>
                    <w:t>40</w:t>
                  </w:r>
                </w:p>
              </w:tc>
              <w:tc>
                <w:tcPr>
                  <w:tcW w:w="1154" w:type="dxa"/>
                  <w:vMerge w:val="restart"/>
                  <w:noWrap w:val="0"/>
                  <w:vAlign w:val="center"/>
                </w:tcPr>
                <w:p w14:paraId="277D15E8">
                  <w:pPr>
                    <w:pStyle w:val="44"/>
                    <w:bidi w:val="0"/>
                    <w:rPr>
                      <w:color w:val="auto"/>
                    </w:rPr>
                  </w:pPr>
                  <w:r>
                    <w:rPr>
                      <w:rFonts w:hint="eastAsia"/>
                      <w:color w:val="auto"/>
                    </w:rPr>
                    <w:t>混合搅拌、研磨、</w:t>
                  </w:r>
                  <w:r>
                    <w:rPr>
                      <w:rFonts w:hint="eastAsia"/>
                      <w:color w:val="auto"/>
                      <w:lang w:val="en-US" w:eastAsia="zh-CN"/>
                    </w:rPr>
                    <w:t>抽真空</w:t>
                  </w:r>
                  <w:r>
                    <w:rPr>
                      <w:rFonts w:hint="eastAsia"/>
                      <w:color w:val="auto"/>
                    </w:rPr>
                    <w:t>等有机废气</w:t>
                  </w:r>
                </w:p>
              </w:tc>
              <w:tc>
                <w:tcPr>
                  <w:tcW w:w="2381" w:type="dxa"/>
                  <w:shd w:val="clear" w:color="auto" w:fill="auto"/>
                  <w:noWrap w:val="0"/>
                  <w:vAlign w:val="center"/>
                </w:tcPr>
                <w:p w14:paraId="0E737DCC">
                  <w:pPr>
                    <w:pStyle w:val="44"/>
                    <w:bidi w:val="0"/>
                    <w:rPr>
                      <w:color w:val="auto"/>
                      <w:lang w:val="en-US" w:eastAsia="zh-CN"/>
                    </w:rPr>
                  </w:pPr>
                  <w:r>
                    <w:rPr>
                      <w:rFonts w:hint="eastAsia"/>
                      <w:color w:val="auto"/>
                    </w:rPr>
                    <w:t>有组织排放</w:t>
                  </w:r>
                </w:p>
              </w:tc>
              <w:tc>
                <w:tcPr>
                  <w:tcW w:w="1321" w:type="dxa"/>
                  <w:noWrap w:val="0"/>
                  <w:vAlign w:val="center"/>
                </w:tcPr>
                <w:p w14:paraId="34143D2F">
                  <w:pPr>
                    <w:pStyle w:val="44"/>
                    <w:bidi w:val="0"/>
                    <w:rPr>
                      <w:color w:val="auto"/>
                    </w:rPr>
                  </w:pPr>
                  <w:r>
                    <w:rPr>
                      <w:rFonts w:hint="default"/>
                      <w:color w:val="auto"/>
                      <w:lang w:val="en-US" w:eastAsia="zh-CN"/>
                    </w:rPr>
                    <w:t>0.774</w:t>
                  </w:r>
                </w:p>
              </w:tc>
            </w:tr>
            <w:tr w14:paraId="21845C9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34" w:type="dxa"/>
                  <w:noWrap w:val="0"/>
                  <w:vAlign w:val="center"/>
                </w:tcPr>
                <w:p w14:paraId="37B82193">
                  <w:pPr>
                    <w:pStyle w:val="44"/>
                    <w:bidi w:val="0"/>
                    <w:rPr>
                      <w:color w:val="auto"/>
                    </w:rPr>
                  </w:pPr>
                  <w:r>
                    <w:rPr>
                      <w:color w:val="auto"/>
                    </w:rPr>
                    <w:t>6</w:t>
                  </w:r>
                </w:p>
              </w:tc>
              <w:tc>
                <w:tcPr>
                  <w:tcW w:w="1545" w:type="dxa"/>
                  <w:noWrap w:val="0"/>
                  <w:vAlign w:val="center"/>
                </w:tcPr>
                <w:p w14:paraId="731BCA2E">
                  <w:pPr>
                    <w:pStyle w:val="44"/>
                    <w:bidi w:val="0"/>
                    <w:rPr>
                      <w:color w:val="auto"/>
                    </w:rPr>
                  </w:pPr>
                  <w:r>
                    <w:rPr>
                      <w:rFonts w:hint="eastAsia"/>
                      <w:color w:val="auto"/>
                    </w:rPr>
                    <w:t>纳米二氧化硅</w:t>
                  </w:r>
                </w:p>
              </w:tc>
              <w:tc>
                <w:tcPr>
                  <w:tcW w:w="1079" w:type="dxa"/>
                  <w:noWrap w:val="0"/>
                  <w:vAlign w:val="center"/>
                </w:tcPr>
                <w:p w14:paraId="72A88024">
                  <w:pPr>
                    <w:pStyle w:val="44"/>
                    <w:bidi w:val="0"/>
                    <w:rPr>
                      <w:color w:val="auto"/>
                    </w:rPr>
                  </w:pPr>
                  <w:r>
                    <w:rPr>
                      <w:rFonts w:hint="default"/>
                      <w:color w:val="auto"/>
                      <w:lang w:val="en-US" w:eastAsia="zh-CN"/>
                    </w:rPr>
                    <w:t>544.53</w:t>
                  </w:r>
                </w:p>
              </w:tc>
              <w:tc>
                <w:tcPr>
                  <w:tcW w:w="1154" w:type="dxa"/>
                  <w:vMerge w:val="continue"/>
                  <w:noWrap w:val="0"/>
                  <w:vAlign w:val="center"/>
                </w:tcPr>
                <w:p w14:paraId="0A007103">
                  <w:pPr>
                    <w:pStyle w:val="44"/>
                    <w:bidi w:val="0"/>
                    <w:rPr>
                      <w:color w:val="auto"/>
                    </w:rPr>
                  </w:pPr>
                </w:p>
              </w:tc>
              <w:tc>
                <w:tcPr>
                  <w:tcW w:w="2381" w:type="dxa"/>
                  <w:shd w:val="clear" w:color="auto" w:fill="auto"/>
                  <w:noWrap w:val="0"/>
                  <w:vAlign w:val="center"/>
                </w:tcPr>
                <w:p w14:paraId="10AD0C6C">
                  <w:pPr>
                    <w:pStyle w:val="44"/>
                    <w:bidi w:val="0"/>
                    <w:rPr>
                      <w:color w:val="auto"/>
                      <w:lang w:val="en-US" w:eastAsia="zh-CN"/>
                    </w:rPr>
                  </w:pPr>
                  <w:r>
                    <w:rPr>
                      <w:rFonts w:hint="eastAsia"/>
                      <w:color w:val="auto"/>
                    </w:rPr>
                    <w:t>无组织排放</w:t>
                  </w:r>
                </w:p>
              </w:tc>
              <w:tc>
                <w:tcPr>
                  <w:tcW w:w="1321" w:type="dxa"/>
                  <w:noWrap w:val="0"/>
                  <w:vAlign w:val="center"/>
                </w:tcPr>
                <w:p w14:paraId="0F2B20CB">
                  <w:pPr>
                    <w:pStyle w:val="44"/>
                    <w:bidi w:val="0"/>
                    <w:rPr>
                      <w:color w:val="auto"/>
                    </w:rPr>
                  </w:pPr>
                  <w:r>
                    <w:rPr>
                      <w:rFonts w:hint="default"/>
                      <w:color w:val="auto"/>
                      <w:lang w:val="en-US" w:eastAsia="zh-CN"/>
                    </w:rPr>
                    <w:t>0.86</w:t>
                  </w:r>
                </w:p>
              </w:tc>
            </w:tr>
            <w:tr w14:paraId="6E939CA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34" w:type="dxa"/>
                  <w:noWrap w:val="0"/>
                  <w:vAlign w:val="center"/>
                </w:tcPr>
                <w:p w14:paraId="582913F9">
                  <w:pPr>
                    <w:pStyle w:val="44"/>
                    <w:bidi w:val="0"/>
                    <w:rPr>
                      <w:color w:val="auto"/>
                    </w:rPr>
                  </w:pPr>
                  <w:r>
                    <w:rPr>
                      <w:color w:val="auto"/>
                    </w:rPr>
                    <w:t>7</w:t>
                  </w:r>
                </w:p>
              </w:tc>
              <w:tc>
                <w:tcPr>
                  <w:tcW w:w="1545" w:type="dxa"/>
                  <w:noWrap w:val="0"/>
                  <w:vAlign w:val="center"/>
                </w:tcPr>
                <w:p w14:paraId="263EEE24">
                  <w:pPr>
                    <w:pStyle w:val="44"/>
                    <w:bidi w:val="0"/>
                    <w:rPr>
                      <w:color w:val="auto"/>
                    </w:rPr>
                  </w:pPr>
                  <w:r>
                    <w:rPr>
                      <w:rFonts w:hint="eastAsia"/>
                      <w:color w:val="auto"/>
                      <w:lang w:val="en-US" w:eastAsia="zh-CN"/>
                    </w:rPr>
                    <w:t>催化剂</w:t>
                  </w:r>
                </w:p>
              </w:tc>
              <w:tc>
                <w:tcPr>
                  <w:tcW w:w="1079" w:type="dxa"/>
                  <w:noWrap w:val="0"/>
                  <w:vAlign w:val="center"/>
                </w:tcPr>
                <w:p w14:paraId="07192F0E">
                  <w:pPr>
                    <w:pStyle w:val="44"/>
                    <w:bidi w:val="0"/>
                    <w:rPr>
                      <w:color w:val="auto"/>
                    </w:rPr>
                  </w:pPr>
                  <w:r>
                    <w:rPr>
                      <w:rFonts w:hint="default"/>
                      <w:color w:val="auto"/>
                      <w:lang w:val="en-US" w:eastAsia="zh-CN"/>
                    </w:rPr>
                    <w:t>30</w:t>
                  </w:r>
                </w:p>
              </w:tc>
              <w:tc>
                <w:tcPr>
                  <w:tcW w:w="1154" w:type="dxa"/>
                  <w:vMerge w:val="continue"/>
                  <w:noWrap w:val="0"/>
                  <w:vAlign w:val="center"/>
                </w:tcPr>
                <w:p w14:paraId="326FD2BD">
                  <w:pPr>
                    <w:pStyle w:val="44"/>
                    <w:bidi w:val="0"/>
                    <w:rPr>
                      <w:color w:val="auto"/>
                    </w:rPr>
                  </w:pPr>
                </w:p>
              </w:tc>
              <w:tc>
                <w:tcPr>
                  <w:tcW w:w="2381" w:type="dxa"/>
                  <w:shd w:val="clear" w:color="auto" w:fill="auto"/>
                  <w:noWrap w:val="0"/>
                  <w:vAlign w:val="center"/>
                </w:tcPr>
                <w:p w14:paraId="0D7F86EE">
                  <w:pPr>
                    <w:pStyle w:val="44"/>
                    <w:bidi w:val="0"/>
                    <w:rPr>
                      <w:color w:val="auto"/>
                      <w:lang w:val="en-US" w:eastAsia="zh-CN"/>
                    </w:rPr>
                  </w:pPr>
                  <w:r>
                    <w:rPr>
                      <w:rFonts w:hint="eastAsia"/>
                      <w:color w:val="auto"/>
                    </w:rPr>
                    <w:t>活性炭吸附</w:t>
                  </w:r>
                </w:p>
              </w:tc>
              <w:tc>
                <w:tcPr>
                  <w:tcW w:w="1321" w:type="dxa"/>
                  <w:noWrap w:val="0"/>
                  <w:vAlign w:val="center"/>
                </w:tcPr>
                <w:p w14:paraId="54506C8E">
                  <w:pPr>
                    <w:pStyle w:val="44"/>
                    <w:bidi w:val="0"/>
                    <w:rPr>
                      <w:color w:val="auto"/>
                    </w:rPr>
                  </w:pPr>
                  <w:r>
                    <w:rPr>
                      <w:rFonts w:hint="default"/>
                      <w:color w:val="auto"/>
                      <w:lang w:val="en-US" w:eastAsia="zh-CN"/>
                    </w:rPr>
                    <w:t>3.096</w:t>
                  </w:r>
                </w:p>
              </w:tc>
            </w:tr>
            <w:tr w14:paraId="356790D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158" w:type="dxa"/>
                  <w:gridSpan w:val="3"/>
                  <w:vMerge w:val="restart"/>
                  <w:noWrap w:val="0"/>
                  <w:vAlign w:val="center"/>
                </w:tcPr>
                <w:p w14:paraId="6D95922A">
                  <w:pPr>
                    <w:pStyle w:val="44"/>
                    <w:bidi w:val="0"/>
                    <w:rPr>
                      <w:rFonts w:hint="eastAsia" w:eastAsia="宋体"/>
                      <w:color w:val="auto"/>
                      <w:lang w:val="en-US" w:eastAsia="zh-CN"/>
                    </w:rPr>
                  </w:pPr>
                  <w:r>
                    <w:rPr>
                      <w:rFonts w:hint="eastAsia"/>
                      <w:color w:val="auto"/>
                      <w:lang w:val="en-US" w:eastAsia="zh-CN"/>
                    </w:rPr>
                    <w:t>/</w:t>
                  </w:r>
                </w:p>
              </w:tc>
              <w:tc>
                <w:tcPr>
                  <w:tcW w:w="1154" w:type="dxa"/>
                  <w:vMerge w:val="restart"/>
                  <w:noWrap w:val="0"/>
                  <w:vAlign w:val="center"/>
                </w:tcPr>
                <w:p w14:paraId="3EC3D68F">
                  <w:pPr>
                    <w:pStyle w:val="44"/>
                    <w:bidi w:val="0"/>
                    <w:rPr>
                      <w:color w:val="auto"/>
                    </w:rPr>
                  </w:pPr>
                  <w:r>
                    <w:rPr>
                      <w:rFonts w:hint="eastAsia"/>
                      <w:color w:val="auto"/>
                    </w:rPr>
                    <w:t>固废</w:t>
                  </w:r>
                </w:p>
              </w:tc>
              <w:tc>
                <w:tcPr>
                  <w:tcW w:w="2381" w:type="dxa"/>
                  <w:shd w:val="clear" w:color="auto" w:fill="auto"/>
                  <w:noWrap w:val="0"/>
                  <w:vAlign w:val="center"/>
                </w:tcPr>
                <w:p w14:paraId="5809FF9B">
                  <w:pPr>
                    <w:pStyle w:val="44"/>
                    <w:bidi w:val="0"/>
                    <w:rPr>
                      <w:rFonts w:hint="eastAsia"/>
                      <w:color w:val="auto"/>
                    </w:rPr>
                  </w:pPr>
                  <w:r>
                    <w:rPr>
                      <w:rFonts w:hint="eastAsia"/>
                      <w:color w:val="auto"/>
                    </w:rPr>
                    <w:t>冷凝废液</w:t>
                  </w:r>
                </w:p>
                <w:p w14:paraId="6482DFB2">
                  <w:pPr>
                    <w:pStyle w:val="44"/>
                    <w:bidi w:val="0"/>
                    <w:rPr>
                      <w:rFonts w:hint="eastAsia"/>
                      <w:color w:val="auto"/>
                      <w:lang w:val="en-US" w:eastAsia="zh-CN"/>
                    </w:rPr>
                  </w:pPr>
                  <w:r>
                    <w:rPr>
                      <w:rFonts w:hint="eastAsia"/>
                      <w:color w:val="auto"/>
                      <w:lang w:eastAsia="zh-CN"/>
                    </w:rPr>
                    <w:t>（含有机溶剂3.87）</w:t>
                  </w:r>
                </w:p>
              </w:tc>
              <w:tc>
                <w:tcPr>
                  <w:tcW w:w="1321" w:type="dxa"/>
                  <w:noWrap w:val="0"/>
                  <w:vAlign w:val="center"/>
                </w:tcPr>
                <w:p w14:paraId="099831AD">
                  <w:pPr>
                    <w:pStyle w:val="44"/>
                    <w:bidi w:val="0"/>
                    <w:rPr>
                      <w:color w:val="auto"/>
                    </w:rPr>
                  </w:pPr>
                  <w:r>
                    <w:rPr>
                      <w:rFonts w:hint="default"/>
                      <w:color w:val="auto"/>
                      <w:lang w:val="en-US" w:eastAsia="zh-CN"/>
                    </w:rPr>
                    <w:t>10</w:t>
                  </w:r>
                </w:p>
              </w:tc>
            </w:tr>
            <w:tr w14:paraId="2AE71E2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158" w:type="dxa"/>
                  <w:gridSpan w:val="3"/>
                  <w:vMerge w:val="continue"/>
                  <w:noWrap w:val="0"/>
                  <w:vAlign w:val="center"/>
                </w:tcPr>
                <w:p w14:paraId="5CFE0DB2">
                  <w:pPr>
                    <w:pStyle w:val="44"/>
                    <w:bidi w:val="0"/>
                    <w:rPr>
                      <w:color w:val="auto"/>
                    </w:rPr>
                  </w:pPr>
                </w:p>
              </w:tc>
              <w:tc>
                <w:tcPr>
                  <w:tcW w:w="1154" w:type="dxa"/>
                  <w:vMerge w:val="continue"/>
                  <w:noWrap w:val="0"/>
                  <w:vAlign w:val="center"/>
                </w:tcPr>
                <w:p w14:paraId="2CF90C51">
                  <w:pPr>
                    <w:pStyle w:val="44"/>
                    <w:bidi w:val="0"/>
                    <w:rPr>
                      <w:color w:val="auto"/>
                    </w:rPr>
                  </w:pPr>
                </w:p>
              </w:tc>
              <w:tc>
                <w:tcPr>
                  <w:tcW w:w="2381" w:type="dxa"/>
                  <w:shd w:val="clear" w:color="auto" w:fill="auto"/>
                  <w:noWrap w:val="0"/>
                  <w:vAlign w:val="center"/>
                </w:tcPr>
                <w:p w14:paraId="6FA7B6B1">
                  <w:pPr>
                    <w:pStyle w:val="44"/>
                    <w:bidi w:val="0"/>
                    <w:rPr>
                      <w:rFonts w:hint="default"/>
                      <w:color w:val="auto"/>
                      <w:lang w:val="en-US" w:eastAsia="zh-CN"/>
                    </w:rPr>
                  </w:pPr>
                  <w:r>
                    <w:rPr>
                      <w:rFonts w:hint="eastAsia"/>
                      <w:color w:val="auto"/>
                      <w:lang w:val="en-US" w:eastAsia="zh-CN"/>
                    </w:rPr>
                    <w:t>除尘器收尘</w:t>
                  </w:r>
                </w:p>
              </w:tc>
              <w:tc>
                <w:tcPr>
                  <w:tcW w:w="1321" w:type="dxa"/>
                  <w:noWrap w:val="0"/>
                  <w:vAlign w:val="center"/>
                </w:tcPr>
                <w:p w14:paraId="74373C6E">
                  <w:pPr>
                    <w:pStyle w:val="44"/>
                    <w:bidi w:val="0"/>
                    <w:rPr>
                      <w:color w:val="auto"/>
                    </w:rPr>
                  </w:pPr>
                  <w:r>
                    <w:rPr>
                      <w:rFonts w:hint="default"/>
                      <w:color w:val="auto"/>
                      <w:lang w:val="en-US" w:eastAsia="zh-CN"/>
                    </w:rPr>
                    <w:t>9.1</w:t>
                  </w:r>
                </w:p>
              </w:tc>
            </w:tr>
            <w:tr w14:paraId="3F1E78C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158" w:type="dxa"/>
                  <w:gridSpan w:val="3"/>
                  <w:vMerge w:val="continue"/>
                  <w:noWrap w:val="0"/>
                  <w:vAlign w:val="center"/>
                </w:tcPr>
                <w:p w14:paraId="3A2264D1">
                  <w:pPr>
                    <w:pStyle w:val="44"/>
                    <w:bidi w:val="0"/>
                    <w:rPr>
                      <w:color w:val="auto"/>
                    </w:rPr>
                  </w:pPr>
                </w:p>
              </w:tc>
              <w:tc>
                <w:tcPr>
                  <w:tcW w:w="1154" w:type="dxa"/>
                  <w:vMerge w:val="continue"/>
                  <w:noWrap w:val="0"/>
                  <w:vAlign w:val="center"/>
                </w:tcPr>
                <w:p w14:paraId="381BD2D3">
                  <w:pPr>
                    <w:pStyle w:val="44"/>
                    <w:bidi w:val="0"/>
                    <w:rPr>
                      <w:color w:val="auto"/>
                    </w:rPr>
                  </w:pPr>
                </w:p>
              </w:tc>
              <w:tc>
                <w:tcPr>
                  <w:tcW w:w="2381" w:type="dxa"/>
                  <w:shd w:val="clear" w:color="auto" w:fill="auto"/>
                  <w:noWrap w:val="0"/>
                  <w:vAlign w:val="center"/>
                </w:tcPr>
                <w:p w14:paraId="6B6F669D">
                  <w:pPr>
                    <w:pStyle w:val="44"/>
                    <w:bidi w:val="0"/>
                    <w:rPr>
                      <w:rFonts w:hint="default"/>
                      <w:color w:val="auto"/>
                      <w:lang w:val="en-US" w:eastAsia="zh-CN"/>
                    </w:rPr>
                  </w:pPr>
                  <w:r>
                    <w:rPr>
                      <w:rFonts w:hint="eastAsia"/>
                      <w:color w:val="auto"/>
                      <w:lang w:val="en-US" w:eastAsia="zh-CN"/>
                    </w:rPr>
                    <w:t>车间清扫收尘</w:t>
                  </w:r>
                </w:p>
              </w:tc>
              <w:tc>
                <w:tcPr>
                  <w:tcW w:w="1321" w:type="dxa"/>
                  <w:noWrap w:val="0"/>
                  <w:vAlign w:val="center"/>
                </w:tcPr>
                <w:p w14:paraId="0159F828">
                  <w:pPr>
                    <w:pStyle w:val="44"/>
                    <w:bidi w:val="0"/>
                    <w:rPr>
                      <w:color w:val="auto"/>
                    </w:rPr>
                  </w:pPr>
                  <w:r>
                    <w:rPr>
                      <w:rFonts w:hint="default"/>
                      <w:color w:val="auto"/>
                      <w:lang w:val="en-US" w:eastAsia="zh-CN"/>
                    </w:rPr>
                    <w:t>0.612</w:t>
                  </w:r>
                </w:p>
              </w:tc>
            </w:tr>
            <w:tr w14:paraId="59696E0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079" w:type="dxa"/>
                  <w:gridSpan w:val="2"/>
                  <w:noWrap w:val="0"/>
                  <w:vAlign w:val="center"/>
                </w:tcPr>
                <w:p w14:paraId="3CC2CB54">
                  <w:pPr>
                    <w:pStyle w:val="44"/>
                    <w:bidi w:val="0"/>
                    <w:rPr>
                      <w:color w:val="auto"/>
                    </w:rPr>
                  </w:pPr>
                  <w:r>
                    <w:rPr>
                      <w:rFonts w:hint="eastAsia"/>
                      <w:color w:val="auto"/>
                    </w:rPr>
                    <w:t>合计</w:t>
                  </w:r>
                </w:p>
              </w:tc>
              <w:tc>
                <w:tcPr>
                  <w:tcW w:w="1079" w:type="dxa"/>
                  <w:noWrap w:val="0"/>
                  <w:vAlign w:val="center"/>
                </w:tcPr>
                <w:p w14:paraId="689A607B">
                  <w:pPr>
                    <w:pStyle w:val="44"/>
                    <w:bidi w:val="0"/>
                    <w:rPr>
                      <w:rFonts w:hint="default"/>
                      <w:color w:val="auto"/>
                      <w:lang w:val="en-US"/>
                    </w:rPr>
                  </w:pPr>
                  <w:r>
                    <w:rPr>
                      <w:rFonts w:hint="eastAsia"/>
                      <w:color w:val="auto"/>
                      <w:lang w:val="en-US" w:eastAsia="zh-CN"/>
                    </w:rPr>
                    <w:t>20034.03</w:t>
                  </w:r>
                </w:p>
              </w:tc>
              <w:tc>
                <w:tcPr>
                  <w:tcW w:w="3535" w:type="dxa"/>
                  <w:gridSpan w:val="2"/>
                  <w:noWrap w:val="0"/>
                  <w:vAlign w:val="center"/>
                </w:tcPr>
                <w:p w14:paraId="4348BF3C">
                  <w:pPr>
                    <w:pStyle w:val="44"/>
                    <w:bidi w:val="0"/>
                    <w:rPr>
                      <w:color w:val="auto"/>
                    </w:rPr>
                  </w:pPr>
                  <w:r>
                    <w:rPr>
                      <w:rFonts w:hint="eastAsia"/>
                      <w:color w:val="auto"/>
                    </w:rPr>
                    <w:t>合计</w:t>
                  </w:r>
                </w:p>
              </w:tc>
              <w:tc>
                <w:tcPr>
                  <w:tcW w:w="1321" w:type="dxa"/>
                  <w:noWrap w:val="0"/>
                  <w:vAlign w:val="center"/>
                </w:tcPr>
                <w:p w14:paraId="65CAD1DE">
                  <w:pPr>
                    <w:pStyle w:val="44"/>
                    <w:bidi w:val="0"/>
                    <w:rPr>
                      <w:color w:val="auto"/>
                    </w:rPr>
                  </w:pPr>
                  <w:r>
                    <w:rPr>
                      <w:rFonts w:hint="eastAsia"/>
                      <w:color w:val="auto"/>
                      <w:lang w:val="en-US" w:eastAsia="zh-CN"/>
                    </w:rPr>
                    <w:t>20034.03</w:t>
                  </w:r>
                </w:p>
              </w:tc>
            </w:tr>
          </w:tbl>
          <w:p w14:paraId="7F92646E">
            <w:pPr>
              <w:pStyle w:val="89"/>
              <w:ind w:firstLine="480"/>
              <w:rPr>
                <w:rFonts w:hint="default" w:ascii="Times New Roman" w:hAnsi="Times New Roman" w:cs="Times New Roman"/>
                <w:color w:val="auto"/>
                <w:highlight w:val="none"/>
              </w:rPr>
            </w:pPr>
          </w:p>
          <w:p w14:paraId="2138EF85">
            <w:pPr>
              <w:pStyle w:val="89"/>
              <w:ind w:left="0" w:leftChars="0" w:firstLine="0" w:firstLineChars="0"/>
              <w:rPr>
                <w:rFonts w:hint="eastAsia" w:ascii="Times New Roman" w:hAnsi="Times New Roman" w:cs="Times New Roman"/>
                <w:color w:val="auto"/>
                <w:highlight w:val="none"/>
                <w:lang w:eastAsia="zh-CN"/>
              </w:rPr>
            </w:pPr>
          </w:p>
          <w:p w14:paraId="04D521A6">
            <w:pPr>
              <w:pStyle w:val="89"/>
              <w:ind w:left="0" w:leftChars="0" w:firstLine="0" w:firstLineChars="0"/>
              <w:rPr>
                <w:rFonts w:hint="eastAsia" w:ascii="Times New Roman" w:hAnsi="Times New Roman" w:cs="Times New Roman"/>
                <w:color w:val="auto"/>
                <w:highlight w:val="none"/>
                <w:lang w:eastAsia="zh-CN"/>
              </w:rPr>
            </w:pPr>
          </w:p>
          <w:p w14:paraId="66B84129">
            <w:pPr>
              <w:pStyle w:val="89"/>
              <w:ind w:left="0" w:leftChars="0" w:firstLine="0" w:firstLineChars="0"/>
              <w:rPr>
                <w:rFonts w:hint="eastAsia" w:ascii="Times New Roman" w:hAnsi="Times New Roman" w:cs="Times New Roman"/>
                <w:color w:val="auto"/>
                <w:highlight w:val="none"/>
                <w:lang w:eastAsia="zh-CN"/>
              </w:rPr>
            </w:pPr>
          </w:p>
          <w:p w14:paraId="58D6B638">
            <w:pPr>
              <w:pStyle w:val="89"/>
              <w:ind w:left="0" w:leftChars="0" w:firstLine="0" w:firstLineChars="0"/>
              <w:rPr>
                <w:rFonts w:hint="eastAsia" w:ascii="Times New Roman" w:hAnsi="Times New Roman" w:cs="Times New Roman"/>
                <w:color w:val="auto"/>
                <w:highlight w:val="none"/>
                <w:lang w:eastAsia="zh-CN"/>
              </w:rPr>
            </w:pPr>
          </w:p>
          <w:p w14:paraId="7F22BB34">
            <w:pPr>
              <w:pStyle w:val="89"/>
              <w:ind w:left="0" w:leftChars="0" w:firstLine="0" w:firstLineChars="0"/>
              <w:rPr>
                <w:rFonts w:hint="eastAsia" w:ascii="Times New Roman" w:hAnsi="Times New Roman" w:cs="Times New Roman"/>
                <w:color w:val="auto"/>
                <w:highlight w:val="none"/>
                <w:lang w:eastAsia="zh-CN"/>
              </w:rPr>
            </w:pPr>
          </w:p>
          <w:p w14:paraId="0FFFF29A">
            <w:pPr>
              <w:pStyle w:val="89"/>
              <w:ind w:left="0" w:leftChars="0" w:firstLine="0" w:firstLineChars="0"/>
              <w:rPr>
                <w:rFonts w:hint="eastAsia" w:ascii="Times New Roman" w:hAnsi="Times New Roman" w:cs="Times New Roman"/>
                <w:color w:val="auto"/>
                <w:highlight w:val="none"/>
                <w:lang w:eastAsia="zh-CN"/>
              </w:rPr>
            </w:pPr>
          </w:p>
          <w:p w14:paraId="54374520">
            <w:pPr>
              <w:pStyle w:val="89"/>
              <w:ind w:left="0" w:leftChars="0" w:firstLine="0" w:firstLineChars="0"/>
              <w:rPr>
                <w:rFonts w:hint="eastAsia" w:ascii="Times New Roman" w:hAnsi="Times New Roman" w:cs="Times New Roman"/>
                <w:color w:val="auto"/>
                <w:highlight w:val="none"/>
                <w:lang w:eastAsia="zh-CN"/>
              </w:rPr>
            </w:pPr>
          </w:p>
          <w:p w14:paraId="5E614580">
            <w:pPr>
              <w:pStyle w:val="89"/>
              <w:ind w:left="0" w:leftChars="0" w:firstLine="0" w:firstLineChars="0"/>
              <w:rPr>
                <w:rFonts w:hint="eastAsia" w:ascii="Times New Roman" w:hAnsi="Times New Roman" w:cs="Times New Roman"/>
                <w:color w:val="auto"/>
                <w:highlight w:val="none"/>
                <w:lang w:eastAsia="zh-CN"/>
              </w:rPr>
            </w:pPr>
          </w:p>
          <w:p w14:paraId="61E88273">
            <w:pPr>
              <w:pStyle w:val="89"/>
              <w:ind w:left="0" w:leftChars="0" w:firstLine="0" w:firstLineChars="0"/>
              <w:rPr>
                <w:rFonts w:hint="eastAsia" w:ascii="Times New Roman" w:hAnsi="Times New Roman" w:cs="Times New Roman"/>
                <w:color w:val="auto"/>
                <w:highlight w:val="none"/>
                <w:lang w:eastAsia="zh-CN"/>
              </w:rPr>
            </w:pPr>
          </w:p>
          <w:p w14:paraId="5E005E86">
            <w:pPr>
              <w:pStyle w:val="89"/>
              <w:ind w:left="0" w:leftChars="0" w:firstLine="0" w:firstLineChars="0"/>
              <w:rPr>
                <w:rFonts w:hint="eastAsia" w:ascii="Times New Roman" w:hAnsi="Times New Roman" w:cs="Times New Roman"/>
                <w:color w:val="auto"/>
                <w:highlight w:val="none"/>
                <w:lang w:eastAsia="zh-CN"/>
              </w:rPr>
            </w:pPr>
          </w:p>
          <w:p w14:paraId="3CF38F89">
            <w:pPr>
              <w:pStyle w:val="89"/>
              <w:ind w:left="0" w:leftChars="0" w:firstLine="0" w:firstLineChars="0"/>
              <w:rPr>
                <w:rFonts w:hint="eastAsia" w:ascii="Times New Roman" w:hAnsi="Times New Roman" w:cs="Times New Roman"/>
                <w:color w:val="auto"/>
                <w:highlight w:val="none"/>
                <w:lang w:eastAsia="zh-CN"/>
              </w:rPr>
            </w:pPr>
          </w:p>
          <w:p w14:paraId="15E31462">
            <w:pPr>
              <w:pStyle w:val="89"/>
              <w:ind w:left="0" w:leftChars="0" w:firstLine="0" w:firstLineChars="0"/>
              <w:rPr>
                <w:rFonts w:hint="eastAsia" w:ascii="Times New Roman" w:hAnsi="Times New Roman" w:cs="Times New Roman"/>
                <w:color w:val="auto"/>
                <w:highlight w:val="none"/>
                <w:lang w:eastAsia="zh-CN"/>
              </w:rPr>
            </w:pPr>
          </w:p>
          <w:p w14:paraId="4178AFBA">
            <w:pPr>
              <w:pStyle w:val="89"/>
              <w:ind w:left="0" w:leftChars="0" w:firstLine="0" w:firstLineChars="0"/>
              <w:rPr>
                <w:rFonts w:hint="eastAsia" w:ascii="Times New Roman" w:hAnsi="Times New Roman" w:cs="Times New Roman"/>
                <w:color w:val="auto"/>
                <w:highlight w:val="none"/>
                <w:lang w:eastAsia="zh-CN"/>
              </w:rPr>
            </w:pPr>
          </w:p>
          <w:p w14:paraId="2AD21B65">
            <w:pPr>
              <w:pStyle w:val="89"/>
              <w:ind w:left="0" w:leftChars="0" w:firstLine="0" w:firstLineChars="0"/>
              <w:rPr>
                <w:rFonts w:hint="eastAsia" w:ascii="Times New Roman" w:hAnsi="Times New Roman" w:eastAsia="宋体" w:cs="Times New Roman"/>
                <w:color w:val="auto"/>
                <w:highlight w:val="none"/>
                <w:lang w:eastAsia="zh-CN"/>
              </w:rPr>
            </w:pPr>
          </w:p>
        </w:tc>
      </w:tr>
      <w:tr w14:paraId="53673E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09" w:hRule="atLeast"/>
          <w:jc w:val="center"/>
        </w:trPr>
        <w:tc>
          <w:tcPr>
            <w:tcW w:w="478" w:type="pct"/>
            <w:noWrap w:val="0"/>
            <w:vAlign w:val="center"/>
          </w:tcPr>
          <w:p w14:paraId="492F7A46">
            <w:pPr>
              <w:pStyle w:val="28"/>
              <w:adjustRightInd w:val="0"/>
              <w:snapToGrid w:val="0"/>
              <w:spacing w:before="0" w:beforeAutospacing="0" w:after="0" w:afterAutospacing="0"/>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Cs w:val="24"/>
                <w:highlight w:val="none"/>
                <w:lang w:val="en-US" w:eastAsia="zh-CN"/>
              </w:rPr>
              <w:t>工艺流程和产排污环节</w:t>
            </w:r>
          </w:p>
        </w:tc>
        <w:tc>
          <w:tcPr>
            <w:tcW w:w="4521" w:type="pct"/>
            <w:noWrap w:val="0"/>
            <w:vAlign w:val="top"/>
          </w:tcPr>
          <w:p w14:paraId="60A8FA97">
            <w:pPr>
              <w:pStyle w:val="4"/>
              <w:numPr>
                <w:ilvl w:val="0"/>
                <w:numId w:val="0"/>
              </w:numPr>
              <w:bidi w:val="0"/>
              <w:ind w:leftChars="0" w:firstLine="48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一、施工期</w:t>
            </w:r>
          </w:p>
          <w:p w14:paraId="5160B37D">
            <w:pPr>
              <w:pStyle w:val="4"/>
              <w:numPr>
                <w:ilvl w:val="0"/>
                <w:numId w:val="0"/>
              </w:numPr>
              <w:bidi w:val="0"/>
              <w:ind w:leftChars="0" w:firstLine="480" w:firstLineChars="200"/>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lang w:eastAsia="zh-CN"/>
              </w:rPr>
              <w:t>本项目</w:t>
            </w:r>
            <w:r>
              <w:rPr>
                <w:rFonts w:hint="eastAsia" w:eastAsia="宋体" w:cs="Times New Roman"/>
                <w:color w:val="auto"/>
                <w:sz w:val="24"/>
                <w:highlight w:val="none"/>
                <w:lang w:val="en-US" w:eastAsia="zh-CN"/>
              </w:rPr>
              <w:t>租赁</w:t>
            </w:r>
            <w:r>
              <w:rPr>
                <w:rFonts w:hint="default" w:ascii="Times New Roman" w:hAnsi="Times New Roman" w:eastAsia="宋体" w:cs="Times New Roman"/>
                <w:color w:val="auto"/>
                <w:sz w:val="24"/>
                <w:highlight w:val="none"/>
                <w:lang w:eastAsia="zh-CN"/>
              </w:rPr>
              <w:t>现有厂房进行建设，不涉及土建工程</w:t>
            </w:r>
            <w:r>
              <w:rPr>
                <w:rFonts w:hint="eastAsia" w:eastAsia="宋体" w:cs="Times New Roman"/>
                <w:color w:val="auto"/>
                <w:sz w:val="24"/>
                <w:highlight w:val="none"/>
                <w:lang w:eastAsia="zh-CN"/>
              </w:rPr>
              <w:t>。</w:t>
            </w:r>
            <w:r>
              <w:rPr>
                <w:rFonts w:hint="default" w:ascii="Times New Roman" w:hAnsi="Times New Roman" w:eastAsia="宋体" w:cs="Times New Roman"/>
                <w:color w:val="auto"/>
                <w:sz w:val="24"/>
                <w:highlight w:val="none"/>
                <w:lang w:eastAsia="zh-CN"/>
              </w:rPr>
              <w:t>项目主要进行设备安装及调试，因此，本次环评不再对施工期进行分析。</w:t>
            </w:r>
          </w:p>
          <w:p w14:paraId="7238E577">
            <w:pPr>
              <w:pStyle w:val="4"/>
              <w:numPr>
                <w:ilvl w:val="0"/>
                <w:numId w:val="0"/>
              </w:numPr>
              <w:bidi w:val="0"/>
              <w:ind w:leftChars="0" w:firstLine="48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二、运营期</w:t>
            </w:r>
          </w:p>
          <w:p w14:paraId="00A8C9EC">
            <w:pPr>
              <w:bidi w:val="0"/>
              <w:ind w:firstLine="480" w:firstLineChars="200"/>
              <w:rPr>
                <w:rStyle w:val="51"/>
                <w:rFonts w:hint="eastAsia" w:cs="Times New Roman"/>
                <w:color w:val="auto"/>
                <w:highlight w:val="none"/>
                <w:lang w:val="en-US" w:eastAsia="zh-CN"/>
              </w:rPr>
            </w:pPr>
            <w:r>
              <w:rPr>
                <w:rFonts w:hint="eastAsia"/>
                <w:color w:val="auto"/>
                <w:lang w:val="en-US" w:eastAsia="zh-CN"/>
              </w:rPr>
              <w:t>项目生产工艺主要为简单物理混合分装，不涉及化学反应，营运期工艺流程及产污环节如下：</w:t>
            </w:r>
          </w:p>
          <w:p w14:paraId="311D2629">
            <w:pPr>
              <w:numPr>
                <w:ilvl w:val="0"/>
                <w:numId w:val="0"/>
              </w:numPr>
              <w:rPr>
                <w:rStyle w:val="51"/>
                <w:rFonts w:hint="default" w:ascii="Times New Roman" w:hAnsi="Times New Roman" w:cs="Times New Roman"/>
                <w:color w:val="auto"/>
                <w:highlight w:val="none"/>
                <w:lang w:val="en-US" w:eastAsia="zh-CN"/>
              </w:rPr>
            </w:pPr>
            <w:r>
              <w:rPr>
                <w:rStyle w:val="51"/>
                <w:rFonts w:hint="eastAsia" w:cs="Times New Roman"/>
                <w:color w:val="auto"/>
                <w:highlight w:val="none"/>
                <w:lang w:val="en-US" w:eastAsia="zh-CN"/>
              </w:rPr>
              <w:t>1、电池PACK密封材料</w:t>
            </w:r>
          </w:p>
          <w:p w14:paraId="4F295EE6">
            <w:pPr>
              <w:jc w:val="center"/>
              <w:rPr>
                <w:rFonts w:hint="default" w:ascii="Times New Roman" w:hAnsi="Times New Roman" w:eastAsia="宋体" w:cs="Times New Roman"/>
                <w:b/>
                <w:bCs/>
                <w:color w:val="auto"/>
                <w:highlight w:val="none"/>
                <w:lang w:eastAsia="zh-CN"/>
              </w:rPr>
            </w:pPr>
            <w:r>
              <w:rPr>
                <w:rFonts w:hint="default" w:ascii="Times New Roman" w:hAnsi="Times New Roman" w:eastAsia="宋体" w:cs="Times New Roman"/>
                <w:b/>
                <w:bCs/>
                <w:color w:val="auto"/>
                <w:highlight w:val="none"/>
                <w:lang w:eastAsia="zh-CN"/>
              </w:rPr>
              <w:drawing>
                <wp:inline distT="0" distB="0" distL="114300" distR="114300">
                  <wp:extent cx="3071495" cy="4267200"/>
                  <wp:effectExtent l="0" t="0" r="0" b="0"/>
                  <wp:docPr id="3" name="图片 3" descr="工艺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工艺流程图"/>
                          <pic:cNvPicPr>
                            <a:picLocks noChangeAspect="1"/>
                          </pic:cNvPicPr>
                        </pic:nvPicPr>
                        <pic:blipFill>
                          <a:blip r:embed="rId11"/>
                          <a:stretch>
                            <a:fillRect/>
                          </a:stretch>
                        </pic:blipFill>
                        <pic:spPr>
                          <a:xfrm>
                            <a:off x="0" y="0"/>
                            <a:ext cx="3071495" cy="4267200"/>
                          </a:xfrm>
                          <a:prstGeom prst="rect">
                            <a:avLst/>
                          </a:prstGeom>
                        </pic:spPr>
                      </pic:pic>
                    </a:graphicData>
                  </a:graphic>
                </wp:inline>
              </w:drawing>
            </w:r>
          </w:p>
          <w:p w14:paraId="7DA428E2">
            <w:pPr>
              <w:pStyle w:val="31"/>
              <w:ind w:firstLine="0" w:firstLineChars="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注：噪声N伴随整个生产过程。</w:t>
            </w:r>
          </w:p>
          <w:p w14:paraId="66F78A1A">
            <w:pPr>
              <w:pStyle w:val="4"/>
              <w:numPr>
                <w:ilvl w:val="0"/>
                <w:numId w:val="0"/>
              </w:numPr>
              <w:bidi w:val="0"/>
              <w:ind w:leftChars="0"/>
              <w:jc w:val="center"/>
              <w:rPr>
                <w:rFonts w:hint="default" w:ascii="Times New Roman" w:hAnsi="Times New Roman" w:cs="Times New Roman"/>
                <w:b/>
                <w:bCs w:val="0"/>
                <w:color w:val="auto"/>
                <w:szCs w:val="32"/>
                <w:highlight w:val="none"/>
                <w:lang w:val="en-US" w:eastAsia="zh-CN"/>
              </w:rPr>
            </w:pPr>
            <w:r>
              <w:rPr>
                <w:rFonts w:hint="default" w:ascii="Times New Roman" w:hAnsi="Times New Roman" w:cs="Times New Roman"/>
                <w:color w:val="auto"/>
                <w:highlight w:val="none"/>
                <w:lang w:val="en-US" w:eastAsia="zh-CN"/>
              </w:rPr>
              <w:t>图2-</w:t>
            </w:r>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lang w:val="en-US" w:eastAsia="zh-CN"/>
              </w:rPr>
              <w:t xml:space="preserve"> 电池PACK密封材料生产工艺流程及产污节点示意图</w:t>
            </w:r>
          </w:p>
          <w:p w14:paraId="5091CBE0">
            <w:pPr>
              <w:numPr>
                <w:ilvl w:val="0"/>
                <w:numId w:val="4"/>
              </w:numPr>
              <w:bidi w:val="0"/>
              <w:ind w:firstLine="480" w:firstLineChars="200"/>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计量、投料：将外购的硅烷改性聚醚、增塑剂、无机粉体按照比例，采用人工投料的方式加入基料混合设备。该工序产生的污染物为原料拆包过程产生的废包装材料以及粉状物料投料过程产生的粉尘。</w:t>
            </w:r>
          </w:p>
          <w:p w14:paraId="264A2622">
            <w:pPr>
              <w:numPr>
                <w:ilvl w:val="0"/>
                <w:numId w:val="4"/>
              </w:numPr>
              <w:bidi w:val="0"/>
              <w:ind w:left="0" w:leftChars="0" w:firstLine="480" w:firstLineChars="200"/>
              <w:rPr>
                <w:rFonts w:hint="eastAsia" w:cs="Times New Roman"/>
                <w:color w:val="auto"/>
                <w:highlight w:val="none"/>
                <w:lang w:val="en-US" w:eastAsia="zh-CN"/>
              </w:rPr>
            </w:pPr>
            <w:r>
              <w:rPr>
                <w:rFonts w:hint="eastAsia" w:cs="Times New Roman"/>
                <w:color w:val="auto"/>
                <w:highlight w:val="none"/>
                <w:lang w:val="en-US" w:eastAsia="zh-CN"/>
              </w:rPr>
              <w:t>混合搅拌：各物料在基料搅拌设备中混合、搅拌，过程全密闭。搅拌过程会产生热，采用自来水间接冷却，将搅拌设备内温度控制在最高110℃，保温并抽真空1~2h。抽真空的目的为去除物料孔隙中的空气以及少量水汽，压力为-0.08Mpa~-0.1Mpa。该过程主要污染物为有机废气、冷凝废液。</w:t>
            </w:r>
          </w:p>
          <w:p w14:paraId="4DF6A369">
            <w:pPr>
              <w:numPr>
                <w:ilvl w:val="0"/>
                <w:numId w:val="4"/>
              </w:numPr>
              <w:bidi w:val="0"/>
              <w:ind w:left="0" w:leftChars="0" w:firstLine="480" w:firstLineChars="200"/>
              <w:rPr>
                <w:rFonts w:hint="eastAsia" w:cs="Times New Roman"/>
                <w:color w:val="auto"/>
                <w:highlight w:val="none"/>
                <w:lang w:val="en-US" w:eastAsia="zh-CN"/>
              </w:rPr>
            </w:pPr>
            <w:r>
              <w:rPr>
                <w:rFonts w:hint="eastAsia" w:cs="Times New Roman"/>
                <w:color w:val="auto"/>
                <w:highlight w:val="none"/>
                <w:lang w:val="en-US" w:eastAsia="zh-CN"/>
              </w:rPr>
              <w:t>研磨：充分搅拌混合均匀后的物料，经过双螺杆挤出机进行研磨以降低物料的粒径，</w:t>
            </w:r>
            <w:r>
              <w:rPr>
                <w:color w:val="auto"/>
              </w:rPr>
              <w:t>并将其内部的气泡赶走，同时抽真空脱水，继续去除物料中的水份</w:t>
            </w:r>
            <w:r>
              <w:rPr>
                <w:rFonts w:hint="eastAsia" w:cs="Times New Roman"/>
                <w:color w:val="auto"/>
                <w:highlight w:val="none"/>
                <w:lang w:val="en-US" w:eastAsia="zh-CN"/>
              </w:rPr>
              <w:t>。该过程主要污染物为有机废气、冷凝废液。</w:t>
            </w:r>
          </w:p>
          <w:p w14:paraId="2BEED86B">
            <w:pPr>
              <w:numPr>
                <w:ilvl w:val="0"/>
                <w:numId w:val="4"/>
              </w:numPr>
              <w:bidi w:val="0"/>
              <w:ind w:firstLine="480" w:firstLineChars="200"/>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计量投料、混合搅拌：研磨后的物料进入混合搅拌设备，按照比例，将硅烷改性聚醚、硅烷偶联剂、抗老化剂、纳米二氧化硅和催化剂</w:t>
            </w:r>
            <w:r>
              <w:rPr>
                <w:rFonts w:hint="eastAsia" w:cs="Times New Roman"/>
                <w:color w:val="auto"/>
                <w:highlight w:val="none"/>
                <w:lang w:val="en-US" w:eastAsia="zh-CN"/>
              </w:rPr>
              <w:t>经计量后管道加入到混合搅拌设备中</w:t>
            </w:r>
            <w:r>
              <w:rPr>
                <w:rFonts w:hint="eastAsia" w:cs="Times New Roman"/>
                <w:color w:val="auto"/>
                <w:highlight w:val="none"/>
                <w:lang w:val="en-US" w:eastAsia="zh-CN"/>
              </w:rPr>
              <w:t>，混合搅拌0.5~1h。该工序产生的污染物为原料拆包过程产生的废包装材料、粉状物料投料过程产生的粉尘。</w:t>
            </w:r>
          </w:p>
          <w:p w14:paraId="7232F396">
            <w:pPr>
              <w:numPr>
                <w:ilvl w:val="0"/>
                <w:numId w:val="4"/>
              </w:numPr>
              <w:bidi w:val="0"/>
              <w:ind w:left="0" w:leftChars="0" w:firstLine="480" w:firstLineChars="200"/>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灌装：混合均匀后的物料通过压机/灌装机分装到不同规格的包装桶/袋中。该过程主要污染物为设备出料口挥发的有机废气。</w:t>
            </w:r>
          </w:p>
          <w:p w14:paraId="75522825">
            <w:pPr>
              <w:numPr>
                <w:ilvl w:val="0"/>
                <w:numId w:val="4"/>
              </w:numPr>
              <w:bidi w:val="0"/>
              <w:ind w:left="0" w:leftChars="0" w:firstLine="480" w:firstLineChars="200"/>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经包装后的产品进行入库待售。</w:t>
            </w:r>
          </w:p>
          <w:p w14:paraId="3A11E19D">
            <w:pPr>
              <w:numPr>
                <w:ilvl w:val="0"/>
                <w:numId w:val="0"/>
              </w:numPr>
              <w:rPr>
                <w:rStyle w:val="51"/>
                <w:rFonts w:hint="default" w:ascii="Times New Roman" w:hAnsi="Times New Roman" w:cs="Times New Roman"/>
                <w:color w:val="auto"/>
                <w:highlight w:val="none"/>
                <w:lang w:val="en-US" w:eastAsia="zh-CN"/>
              </w:rPr>
            </w:pPr>
            <w:r>
              <w:rPr>
                <w:rStyle w:val="51"/>
                <w:rFonts w:hint="eastAsia" w:cs="Times New Roman"/>
                <w:color w:val="auto"/>
                <w:highlight w:val="none"/>
                <w:lang w:val="en-US" w:eastAsia="zh-CN"/>
              </w:rPr>
              <w:t>2、电子电器密封材料</w:t>
            </w:r>
          </w:p>
          <w:p w14:paraId="51FE0677">
            <w:pPr>
              <w:numPr>
                <w:ilvl w:val="0"/>
                <w:numId w:val="0"/>
              </w:numPr>
              <w:bidi w:val="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drawing>
                <wp:inline distT="0" distB="0" distL="114300" distR="114300">
                  <wp:extent cx="3030855" cy="3425825"/>
                  <wp:effectExtent l="0" t="0" r="0" b="0"/>
                  <wp:docPr id="10" name="图片 10" descr="工艺流程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工艺流程图(1)"/>
                          <pic:cNvPicPr>
                            <a:picLocks noChangeAspect="1"/>
                          </pic:cNvPicPr>
                        </pic:nvPicPr>
                        <pic:blipFill>
                          <a:blip r:embed="rId12"/>
                          <a:stretch>
                            <a:fillRect/>
                          </a:stretch>
                        </pic:blipFill>
                        <pic:spPr>
                          <a:xfrm>
                            <a:off x="0" y="0"/>
                            <a:ext cx="3030855" cy="3425825"/>
                          </a:xfrm>
                          <a:prstGeom prst="rect">
                            <a:avLst/>
                          </a:prstGeom>
                        </pic:spPr>
                      </pic:pic>
                    </a:graphicData>
                  </a:graphic>
                </wp:inline>
              </w:drawing>
            </w:r>
          </w:p>
          <w:p w14:paraId="53DF4656">
            <w:pPr>
              <w:pStyle w:val="31"/>
              <w:ind w:firstLine="0" w:firstLineChars="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注：噪声N伴随整个生产过程。</w:t>
            </w:r>
          </w:p>
          <w:p w14:paraId="08E4B3A4">
            <w:pPr>
              <w:pStyle w:val="5"/>
              <w:numPr>
                <w:ilvl w:val="0"/>
                <w:numId w:val="0"/>
              </w:numPr>
              <w:bidi w:val="0"/>
              <w:ind w:leftChars="0"/>
              <w:jc w:val="center"/>
              <w:rPr>
                <w:rFonts w:hint="default" w:ascii="Times New Roman" w:hAnsi="Times New Roman" w:cs="Times New Roman"/>
                <w:color w:val="auto"/>
                <w:highlight w:val="none"/>
                <w:lang w:val="en-US" w:eastAsia="zh-CN"/>
              </w:rPr>
            </w:pPr>
            <w:r>
              <w:rPr>
                <w:rFonts w:hint="default"/>
                <w:color w:val="auto"/>
                <w:lang w:val="en-US" w:eastAsia="zh-CN"/>
              </w:rPr>
              <w:t>图2-</w:t>
            </w:r>
            <w:r>
              <w:rPr>
                <w:rFonts w:hint="eastAsia"/>
                <w:color w:val="auto"/>
                <w:lang w:val="en-US" w:eastAsia="zh-CN"/>
              </w:rPr>
              <w:t>3</w:t>
            </w:r>
            <w:r>
              <w:rPr>
                <w:rFonts w:hint="default"/>
                <w:color w:val="auto"/>
                <w:lang w:val="en-US" w:eastAsia="zh-CN"/>
              </w:rPr>
              <w:t xml:space="preserve"> </w:t>
            </w:r>
            <w:r>
              <w:rPr>
                <w:rFonts w:hint="eastAsia"/>
                <w:color w:val="auto"/>
                <w:lang w:val="en-US" w:eastAsia="zh-CN"/>
              </w:rPr>
              <w:t>电子电器</w:t>
            </w:r>
            <w:r>
              <w:rPr>
                <w:rFonts w:hint="default"/>
                <w:color w:val="auto"/>
                <w:lang w:val="en-US" w:eastAsia="zh-CN"/>
              </w:rPr>
              <w:t>密封材料生产工艺流程及产污节点示意图</w:t>
            </w:r>
          </w:p>
          <w:p w14:paraId="68DA597E">
            <w:pPr>
              <w:numPr>
                <w:ilvl w:val="0"/>
                <w:numId w:val="0"/>
              </w:numPr>
              <w:bidi w:val="0"/>
              <w:ind w:firstLine="480" w:firstLineChars="200"/>
              <w:rPr>
                <w:rFonts w:hint="default" w:cs="Times New Roman"/>
                <w:color w:val="auto"/>
                <w:highlight w:val="none"/>
                <w:lang w:val="en-US" w:eastAsia="zh-CN"/>
              </w:rPr>
            </w:pPr>
            <w:r>
              <w:rPr>
                <w:rFonts w:hint="default" w:cs="Times New Roman"/>
                <w:color w:val="auto"/>
                <w:highlight w:val="none"/>
                <w:lang w:val="en-US" w:eastAsia="zh-CN"/>
              </w:rPr>
              <w:t>1、计量、投料：将外购的硅烷改性聚醚、增塑剂按照比例，采用人工投料的方式加入</w:t>
            </w:r>
            <w:r>
              <w:rPr>
                <w:rFonts w:hint="eastAsia" w:cs="Times New Roman"/>
                <w:color w:val="auto"/>
                <w:highlight w:val="none"/>
                <w:lang w:val="en-US" w:eastAsia="zh-CN"/>
              </w:rPr>
              <w:t>分散搅拌</w:t>
            </w:r>
            <w:r>
              <w:rPr>
                <w:rFonts w:hint="default" w:cs="Times New Roman"/>
                <w:color w:val="auto"/>
                <w:highlight w:val="none"/>
                <w:lang w:val="en-US" w:eastAsia="zh-CN"/>
              </w:rPr>
              <w:t>设备。该工序产生的污染物为原料拆包过程产生的废包装材料。</w:t>
            </w:r>
          </w:p>
          <w:p w14:paraId="3F9B8EC3">
            <w:pPr>
              <w:numPr>
                <w:ilvl w:val="0"/>
                <w:numId w:val="0"/>
              </w:numPr>
              <w:bidi w:val="0"/>
              <w:ind w:firstLine="480" w:firstLineChars="200"/>
              <w:rPr>
                <w:rFonts w:hint="default" w:cs="Times New Roman"/>
                <w:color w:val="auto"/>
                <w:highlight w:val="none"/>
                <w:lang w:val="en-US" w:eastAsia="zh-CN"/>
              </w:rPr>
            </w:pPr>
            <w:r>
              <w:rPr>
                <w:rFonts w:hint="default" w:cs="Times New Roman"/>
                <w:color w:val="auto"/>
                <w:highlight w:val="none"/>
                <w:lang w:val="en-US" w:eastAsia="zh-CN"/>
              </w:rPr>
              <w:t>2、</w:t>
            </w:r>
            <w:r>
              <w:rPr>
                <w:rFonts w:hint="eastAsia" w:cs="Times New Roman"/>
                <w:color w:val="auto"/>
                <w:highlight w:val="none"/>
                <w:lang w:val="en-US" w:eastAsia="zh-CN"/>
              </w:rPr>
              <w:t>混合搅拌</w:t>
            </w:r>
            <w:r>
              <w:rPr>
                <w:rFonts w:hint="default" w:cs="Times New Roman"/>
                <w:color w:val="auto"/>
                <w:highlight w:val="none"/>
                <w:lang w:val="en-US" w:eastAsia="zh-CN"/>
              </w:rPr>
              <w:t>：各物料在基料搅拌设备中混合、搅拌。</w:t>
            </w:r>
            <w:r>
              <w:rPr>
                <w:rFonts w:hint="eastAsia" w:cs="Times New Roman"/>
                <w:color w:val="auto"/>
                <w:highlight w:val="none"/>
                <w:lang w:val="en-US" w:eastAsia="zh-CN"/>
              </w:rPr>
              <w:t>搅拌过程会产生热，采用自来水间接冷却，将搅拌设备内温度控制在最高</w:t>
            </w:r>
            <w:r>
              <w:rPr>
                <w:rFonts w:hint="default" w:cs="Times New Roman"/>
                <w:color w:val="auto"/>
                <w:highlight w:val="none"/>
                <w:lang w:val="en-US" w:eastAsia="zh-CN"/>
              </w:rPr>
              <w:t>110℃，保温并抽真空1~2h。</w:t>
            </w:r>
            <w:r>
              <w:rPr>
                <w:rFonts w:hint="eastAsia" w:cs="Times New Roman"/>
                <w:color w:val="auto"/>
                <w:highlight w:val="none"/>
                <w:lang w:val="en-US" w:eastAsia="zh-CN"/>
              </w:rPr>
              <w:t>抽真空的目的为去除物料孔隙中的空气以及少量水汽，压力为-0.08Mpa~-0.1Mpa。该过程主要污染物为有机废气、冷凝废液</w:t>
            </w:r>
            <w:r>
              <w:rPr>
                <w:rFonts w:hint="default" w:cs="Times New Roman"/>
                <w:color w:val="auto"/>
                <w:highlight w:val="none"/>
                <w:lang w:val="en-US" w:eastAsia="zh-CN"/>
              </w:rPr>
              <w:t>。</w:t>
            </w:r>
          </w:p>
          <w:p w14:paraId="36BF10C6">
            <w:pPr>
              <w:numPr>
                <w:ilvl w:val="0"/>
                <w:numId w:val="0"/>
              </w:numPr>
              <w:bidi w:val="0"/>
              <w:ind w:firstLine="480" w:firstLineChars="200"/>
              <w:rPr>
                <w:rFonts w:hint="default" w:cs="Times New Roman"/>
                <w:color w:val="auto"/>
                <w:highlight w:val="none"/>
                <w:lang w:val="en-US" w:eastAsia="zh-CN"/>
              </w:rPr>
            </w:pPr>
            <w:r>
              <w:rPr>
                <w:rFonts w:hint="default" w:cs="Times New Roman"/>
                <w:color w:val="auto"/>
                <w:highlight w:val="none"/>
                <w:lang w:val="en-US" w:eastAsia="zh-CN"/>
              </w:rPr>
              <w:t>3、</w:t>
            </w:r>
            <w:r>
              <w:rPr>
                <w:rFonts w:hint="eastAsia" w:cs="Times New Roman"/>
                <w:color w:val="auto"/>
                <w:highlight w:val="none"/>
                <w:lang w:val="en-US" w:eastAsia="zh-CN"/>
              </w:rPr>
              <w:t>计量</w:t>
            </w:r>
            <w:r>
              <w:rPr>
                <w:rFonts w:hint="default" w:cs="Times New Roman"/>
                <w:color w:val="auto"/>
                <w:highlight w:val="none"/>
                <w:lang w:val="en-US" w:eastAsia="zh-CN"/>
              </w:rPr>
              <w:t>投料、</w:t>
            </w:r>
            <w:r>
              <w:rPr>
                <w:rFonts w:hint="eastAsia" w:cs="Times New Roman"/>
                <w:color w:val="auto"/>
                <w:highlight w:val="none"/>
                <w:lang w:val="en-US" w:eastAsia="zh-CN"/>
              </w:rPr>
              <w:t>混合</w:t>
            </w:r>
            <w:r>
              <w:rPr>
                <w:rFonts w:hint="default" w:cs="Times New Roman"/>
                <w:color w:val="auto"/>
                <w:highlight w:val="none"/>
                <w:lang w:val="en-US" w:eastAsia="zh-CN"/>
              </w:rPr>
              <w:t>搅拌：按照比例，将硅烷偶联剂、抗老化剂、纳米二氧化硅和催化剂</w:t>
            </w:r>
            <w:r>
              <w:rPr>
                <w:rFonts w:hint="eastAsia" w:cs="Times New Roman"/>
                <w:color w:val="auto"/>
                <w:highlight w:val="none"/>
                <w:lang w:val="en-US" w:eastAsia="zh-CN"/>
              </w:rPr>
              <w:t>经计量后管道加入到混合搅拌设备中</w:t>
            </w:r>
            <w:r>
              <w:rPr>
                <w:rFonts w:hint="default" w:cs="Times New Roman"/>
                <w:color w:val="auto"/>
                <w:highlight w:val="none"/>
                <w:lang w:val="en-US" w:eastAsia="zh-CN"/>
              </w:rPr>
              <w:t>，混合搅拌</w:t>
            </w:r>
            <w:r>
              <w:rPr>
                <w:rFonts w:hint="eastAsia" w:cs="Times New Roman"/>
                <w:color w:val="auto"/>
                <w:highlight w:val="none"/>
                <w:lang w:val="en-US" w:eastAsia="zh-CN"/>
              </w:rPr>
              <w:t>1</w:t>
            </w:r>
            <w:r>
              <w:rPr>
                <w:rFonts w:hint="default" w:cs="Times New Roman"/>
                <w:color w:val="auto"/>
                <w:highlight w:val="none"/>
                <w:lang w:val="en-US" w:eastAsia="zh-CN"/>
              </w:rPr>
              <w:t>~</w:t>
            </w:r>
            <w:r>
              <w:rPr>
                <w:rFonts w:hint="eastAsia" w:cs="Times New Roman"/>
                <w:color w:val="auto"/>
                <w:highlight w:val="none"/>
                <w:lang w:val="en-US" w:eastAsia="zh-CN"/>
              </w:rPr>
              <w:t>3</w:t>
            </w:r>
            <w:r>
              <w:rPr>
                <w:rFonts w:hint="default" w:cs="Times New Roman"/>
                <w:color w:val="auto"/>
                <w:highlight w:val="none"/>
                <w:lang w:val="en-US" w:eastAsia="zh-CN"/>
              </w:rPr>
              <w:t>h。</w:t>
            </w:r>
            <w:r>
              <w:rPr>
                <w:rFonts w:hint="eastAsia" w:cs="Times New Roman"/>
                <w:color w:val="auto"/>
                <w:highlight w:val="none"/>
                <w:lang w:val="en-US" w:eastAsia="zh-CN"/>
              </w:rPr>
              <w:t>该工序产生的污染物为原料拆包过程产生的废包装材料、粉状物料投料过程产生的粉尘</w:t>
            </w:r>
            <w:r>
              <w:rPr>
                <w:rFonts w:hint="default" w:cs="Times New Roman"/>
                <w:color w:val="auto"/>
                <w:highlight w:val="none"/>
                <w:lang w:val="en-US" w:eastAsia="zh-CN"/>
              </w:rPr>
              <w:t>。</w:t>
            </w:r>
          </w:p>
          <w:p w14:paraId="59E6DBD4">
            <w:pPr>
              <w:numPr>
                <w:ilvl w:val="0"/>
                <w:numId w:val="0"/>
              </w:numPr>
              <w:bidi w:val="0"/>
              <w:ind w:firstLine="480" w:firstLineChars="200"/>
              <w:rPr>
                <w:rFonts w:hint="default" w:cs="Times New Roman"/>
                <w:color w:val="auto"/>
                <w:highlight w:val="none"/>
                <w:lang w:val="en-US" w:eastAsia="zh-CN"/>
              </w:rPr>
            </w:pPr>
            <w:r>
              <w:rPr>
                <w:rFonts w:hint="default" w:cs="Times New Roman"/>
                <w:color w:val="auto"/>
                <w:highlight w:val="none"/>
                <w:lang w:val="en-US" w:eastAsia="zh-CN"/>
              </w:rPr>
              <w:t>4、灌装：混合均匀后的物料通过压机/灌装机分装到不同规格的包装桶/袋中。</w:t>
            </w:r>
            <w:r>
              <w:rPr>
                <w:rFonts w:hint="eastAsia" w:cs="Times New Roman"/>
                <w:color w:val="auto"/>
                <w:highlight w:val="none"/>
                <w:lang w:val="en-US" w:eastAsia="zh-CN"/>
              </w:rPr>
              <w:t>该过程主要污染物为设备出料口挥发的有机废气</w:t>
            </w:r>
            <w:r>
              <w:rPr>
                <w:rFonts w:hint="default" w:cs="Times New Roman"/>
                <w:color w:val="auto"/>
                <w:highlight w:val="none"/>
                <w:lang w:val="en-US" w:eastAsia="zh-CN"/>
              </w:rPr>
              <w:t>。</w:t>
            </w:r>
          </w:p>
          <w:p w14:paraId="2100B337">
            <w:pPr>
              <w:numPr>
                <w:ilvl w:val="0"/>
                <w:numId w:val="0"/>
              </w:numPr>
              <w:bidi w:val="0"/>
              <w:ind w:firstLine="480" w:firstLineChars="200"/>
              <w:rPr>
                <w:rFonts w:hint="default" w:cs="Times New Roman"/>
                <w:color w:val="auto"/>
                <w:highlight w:val="none"/>
                <w:lang w:val="en-US" w:eastAsia="zh-CN"/>
              </w:rPr>
            </w:pPr>
            <w:r>
              <w:rPr>
                <w:rFonts w:hint="default" w:cs="Times New Roman"/>
                <w:color w:val="auto"/>
                <w:highlight w:val="none"/>
                <w:lang w:val="en-US" w:eastAsia="zh-CN"/>
              </w:rPr>
              <w:t>5、经包装后的产品进行入库待售。</w:t>
            </w:r>
          </w:p>
          <w:p w14:paraId="5B499205">
            <w:pPr>
              <w:pStyle w:val="4"/>
              <w:numPr>
                <w:ilvl w:val="0"/>
                <w:numId w:val="0"/>
              </w:numPr>
              <w:bidi w:val="0"/>
              <w:rPr>
                <w:rFonts w:hint="eastAsia" w:ascii="Times New Roman" w:hAnsi="Times New Roman" w:eastAsia="黑体" w:cs="Times New Roman"/>
                <w:color w:val="auto"/>
                <w:highlight w:val="none"/>
                <w:lang w:eastAsia="zh-CN"/>
              </w:rPr>
            </w:pPr>
            <w:r>
              <w:rPr>
                <w:rFonts w:hint="default" w:ascii="Times New Roman" w:hAnsi="Times New Roman" w:cs="Times New Roman"/>
                <w:color w:val="auto"/>
                <w:highlight w:val="none"/>
              </w:rPr>
              <w:t>运营期产污环节汇总</w:t>
            </w:r>
            <w:r>
              <w:rPr>
                <w:rFonts w:hint="eastAsia" w:cs="Times New Roman"/>
                <w:color w:val="auto"/>
                <w:highlight w:val="none"/>
                <w:lang w:eastAsia="zh-CN"/>
              </w:rPr>
              <w:t>：</w:t>
            </w:r>
          </w:p>
          <w:p w14:paraId="2EB4D30C">
            <w:pPr>
              <w:pStyle w:val="47"/>
              <w:bidi w:val="0"/>
              <w:rPr>
                <w:rFonts w:hint="default" w:ascii="Times New Roman" w:hAnsi="Times New Roman" w:cs="Times New Roman"/>
                <w:color w:val="auto"/>
                <w:highlight w:val="none"/>
              </w:rPr>
            </w:pPr>
            <w:bookmarkStart w:id="2" w:name="_Toc392150623"/>
            <w:r>
              <w:rPr>
                <w:rFonts w:hint="default" w:ascii="Times New Roman" w:hAnsi="Times New Roman" w:cs="Times New Roman"/>
                <w:color w:val="auto"/>
                <w:highlight w:val="none"/>
              </w:rPr>
              <w:t>表2-</w:t>
            </w:r>
            <w:r>
              <w:rPr>
                <w:rFonts w:hint="eastAsia" w:cs="Times New Roman"/>
                <w:color w:val="auto"/>
                <w:highlight w:val="none"/>
                <w:lang w:val="en-US" w:eastAsia="zh-CN"/>
              </w:rPr>
              <w:t>6</w:t>
            </w:r>
            <w:r>
              <w:rPr>
                <w:rFonts w:hint="default" w:ascii="Times New Roman" w:hAnsi="Times New Roman" w:cs="Times New Roman"/>
                <w:color w:val="auto"/>
                <w:highlight w:val="none"/>
              </w:rPr>
              <w:t xml:space="preserve"> 项目产污环节汇总表</w:t>
            </w:r>
          </w:p>
          <w:bookmarkEnd w:id="2"/>
          <w:tbl>
            <w:tblPr>
              <w:tblStyle w:val="33"/>
              <w:tblW w:w="4991"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542"/>
              <w:gridCol w:w="635"/>
              <w:gridCol w:w="423"/>
              <w:gridCol w:w="935"/>
              <w:gridCol w:w="1700"/>
              <w:gridCol w:w="1489"/>
              <w:gridCol w:w="2240"/>
            </w:tblGrid>
            <w:tr w14:paraId="69EB16E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340" w:type="pct"/>
                  <w:tcBorders>
                    <w:tl2br w:val="nil"/>
                    <w:tr2bl w:val="nil"/>
                  </w:tcBorders>
                  <w:noWrap w:val="0"/>
                  <w:vAlign w:val="center"/>
                </w:tcPr>
                <w:p w14:paraId="6084FDF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类别</w:t>
                  </w:r>
                </w:p>
              </w:tc>
              <w:tc>
                <w:tcPr>
                  <w:tcW w:w="1251" w:type="pct"/>
                  <w:gridSpan w:val="3"/>
                  <w:tcBorders>
                    <w:tl2br w:val="nil"/>
                    <w:tr2bl w:val="nil"/>
                  </w:tcBorders>
                  <w:noWrap w:val="0"/>
                  <w:vAlign w:val="center"/>
                </w:tcPr>
                <w:p w14:paraId="5434424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sz w:val="21"/>
                      <w:szCs w:val="21"/>
                      <w:highlight w:val="none"/>
                      <w:lang w:val="zh-CN"/>
                    </w:rPr>
                  </w:pPr>
                  <w:r>
                    <w:rPr>
                      <w:rFonts w:hint="default" w:ascii="Times New Roman" w:hAnsi="Times New Roman" w:cs="Times New Roman"/>
                      <w:b/>
                      <w:bCs/>
                      <w:color w:val="auto"/>
                      <w:sz w:val="21"/>
                      <w:szCs w:val="21"/>
                      <w:highlight w:val="none"/>
                      <w:lang w:val="zh-CN"/>
                    </w:rPr>
                    <w:t>产生环节</w:t>
                  </w:r>
                </w:p>
              </w:tc>
              <w:tc>
                <w:tcPr>
                  <w:tcW w:w="1067" w:type="pct"/>
                  <w:tcBorders>
                    <w:tl2br w:val="nil"/>
                    <w:tr2bl w:val="nil"/>
                  </w:tcBorders>
                  <w:noWrap w:val="0"/>
                  <w:vAlign w:val="center"/>
                </w:tcPr>
                <w:p w14:paraId="56DF32A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名称</w:t>
                  </w:r>
                </w:p>
              </w:tc>
              <w:tc>
                <w:tcPr>
                  <w:tcW w:w="934" w:type="pct"/>
                  <w:tcBorders>
                    <w:tl2br w:val="nil"/>
                    <w:tr2bl w:val="nil"/>
                  </w:tcBorders>
                  <w:noWrap w:val="0"/>
                  <w:vAlign w:val="center"/>
                </w:tcPr>
                <w:p w14:paraId="7C58876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lang w:val="zh-CN"/>
                    </w:rPr>
                    <w:t>性质/特性</w:t>
                  </w:r>
                </w:p>
              </w:tc>
              <w:tc>
                <w:tcPr>
                  <w:tcW w:w="1406" w:type="pct"/>
                  <w:tcBorders>
                    <w:tl2br w:val="nil"/>
                    <w:tr2bl w:val="nil"/>
                  </w:tcBorders>
                  <w:noWrap w:val="0"/>
                  <w:vAlign w:val="center"/>
                </w:tcPr>
                <w:p w14:paraId="6D8410C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lang w:val="zh-CN"/>
                    </w:rPr>
                    <w:t>污染物</w:t>
                  </w:r>
                </w:p>
              </w:tc>
            </w:tr>
            <w:tr w14:paraId="199C943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44" w:hRule="atLeast"/>
                <w:jc w:val="center"/>
              </w:trPr>
              <w:tc>
                <w:tcPr>
                  <w:tcW w:w="340" w:type="pct"/>
                  <w:vMerge w:val="restart"/>
                  <w:tcBorders>
                    <w:tl2br w:val="nil"/>
                    <w:tr2bl w:val="nil"/>
                  </w:tcBorders>
                  <w:noWrap w:val="0"/>
                  <w:vAlign w:val="center"/>
                </w:tcPr>
                <w:p w14:paraId="416CDC87">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废气</w:t>
                  </w:r>
                </w:p>
              </w:tc>
              <w:tc>
                <w:tcPr>
                  <w:tcW w:w="398" w:type="pct"/>
                  <w:vMerge w:val="restart"/>
                  <w:tcBorders>
                    <w:tl2br w:val="nil"/>
                    <w:tr2bl w:val="nil"/>
                  </w:tcBorders>
                  <w:noWrap w:val="0"/>
                  <w:vAlign w:val="center"/>
                </w:tcPr>
                <w:p w14:paraId="55DA2358">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电池PACK密封材料</w:t>
                  </w:r>
                  <w:r>
                    <w:rPr>
                      <w:rFonts w:hint="eastAsia" w:cs="Times New Roman"/>
                      <w:color w:val="auto"/>
                      <w:sz w:val="21"/>
                      <w:szCs w:val="21"/>
                      <w:highlight w:val="none"/>
                      <w:lang w:val="en-US" w:eastAsia="zh-CN"/>
                    </w:rPr>
                    <w:t>生产</w:t>
                  </w:r>
                </w:p>
              </w:tc>
              <w:tc>
                <w:tcPr>
                  <w:tcW w:w="852" w:type="pct"/>
                  <w:gridSpan w:val="2"/>
                  <w:tcBorders>
                    <w:tl2br w:val="nil"/>
                    <w:tr2bl w:val="nil"/>
                  </w:tcBorders>
                  <w:noWrap w:val="0"/>
                  <w:vAlign w:val="center"/>
                </w:tcPr>
                <w:p w14:paraId="4B2791C4">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计量投料</w:t>
                  </w:r>
                </w:p>
              </w:tc>
              <w:tc>
                <w:tcPr>
                  <w:tcW w:w="1067" w:type="pct"/>
                  <w:tcBorders>
                    <w:tl2br w:val="nil"/>
                    <w:tr2bl w:val="nil"/>
                  </w:tcBorders>
                  <w:noWrap w:val="0"/>
                  <w:vAlign w:val="center"/>
                </w:tcPr>
                <w:p w14:paraId="6744677B">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计量投料废气</w:t>
                  </w:r>
                </w:p>
              </w:tc>
              <w:tc>
                <w:tcPr>
                  <w:tcW w:w="934" w:type="pct"/>
                  <w:tcBorders>
                    <w:tl2br w:val="nil"/>
                    <w:tr2bl w:val="nil"/>
                  </w:tcBorders>
                  <w:noWrap w:val="0"/>
                  <w:vAlign w:val="center"/>
                </w:tcPr>
                <w:p w14:paraId="4FC7E20A">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rPr>
                    <w:t>间歇</w:t>
                  </w:r>
                </w:p>
              </w:tc>
              <w:tc>
                <w:tcPr>
                  <w:tcW w:w="1406" w:type="pct"/>
                  <w:tcBorders>
                    <w:tl2br w:val="nil"/>
                    <w:tr2bl w:val="nil"/>
                  </w:tcBorders>
                  <w:noWrap w:val="0"/>
                  <w:vAlign w:val="center"/>
                </w:tcPr>
                <w:p w14:paraId="25D38003">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颗粒物</w:t>
                  </w:r>
                </w:p>
              </w:tc>
            </w:tr>
            <w:tr w14:paraId="5848F43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340" w:type="pct"/>
                  <w:vMerge w:val="continue"/>
                  <w:tcBorders>
                    <w:tl2br w:val="nil"/>
                    <w:tr2bl w:val="nil"/>
                  </w:tcBorders>
                  <w:noWrap w:val="0"/>
                  <w:vAlign w:val="center"/>
                </w:tcPr>
                <w:p w14:paraId="21FC81BF">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cs="Times New Roman"/>
                      <w:color w:val="auto"/>
                      <w:sz w:val="21"/>
                      <w:szCs w:val="21"/>
                      <w:highlight w:val="none"/>
                    </w:rPr>
                  </w:pPr>
                </w:p>
              </w:tc>
              <w:tc>
                <w:tcPr>
                  <w:tcW w:w="398" w:type="pct"/>
                  <w:vMerge w:val="continue"/>
                  <w:tcBorders>
                    <w:tl2br w:val="nil"/>
                    <w:tr2bl w:val="nil"/>
                  </w:tcBorders>
                  <w:noWrap w:val="0"/>
                  <w:vAlign w:val="center"/>
                </w:tcPr>
                <w:p w14:paraId="532AFF63">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cs="Times New Roman"/>
                      <w:color w:val="auto"/>
                      <w:sz w:val="21"/>
                      <w:szCs w:val="21"/>
                      <w:highlight w:val="none"/>
                      <w:lang w:val="en-US" w:eastAsia="zh-CN"/>
                    </w:rPr>
                  </w:pPr>
                </w:p>
              </w:tc>
              <w:tc>
                <w:tcPr>
                  <w:tcW w:w="852" w:type="pct"/>
                  <w:gridSpan w:val="2"/>
                  <w:tcBorders>
                    <w:tl2br w:val="nil"/>
                    <w:tr2bl w:val="nil"/>
                  </w:tcBorders>
                  <w:noWrap w:val="0"/>
                  <w:vAlign w:val="center"/>
                </w:tcPr>
                <w:p w14:paraId="03F00E30">
                  <w:pPr>
                    <w:keepNext w:val="0"/>
                    <w:keepLines w:val="0"/>
                    <w:pageBreakBefore w:val="0"/>
                    <w:widowControl/>
                    <w:kinsoku/>
                    <w:wordWrap/>
                    <w:overflowPunct/>
                    <w:topLinePunct w:val="0"/>
                    <w:bidi w:val="0"/>
                    <w:adjustRightInd w:val="0"/>
                    <w:snapToGrid w:val="0"/>
                    <w:spacing w:line="240" w:lineRule="auto"/>
                    <w:jc w:val="center"/>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混合搅拌</w:t>
                  </w:r>
                </w:p>
                <w:p w14:paraId="080B1AAC">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（抽真空）</w:t>
                  </w:r>
                </w:p>
              </w:tc>
              <w:tc>
                <w:tcPr>
                  <w:tcW w:w="1067" w:type="pct"/>
                  <w:tcBorders>
                    <w:tl2br w:val="nil"/>
                    <w:tr2bl w:val="nil"/>
                  </w:tcBorders>
                  <w:noWrap w:val="0"/>
                  <w:vAlign w:val="center"/>
                </w:tcPr>
                <w:p w14:paraId="2E40CBFA">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有机废气</w:t>
                  </w:r>
                </w:p>
              </w:tc>
              <w:tc>
                <w:tcPr>
                  <w:tcW w:w="934" w:type="pct"/>
                  <w:tcBorders>
                    <w:tl2br w:val="nil"/>
                    <w:tr2bl w:val="nil"/>
                  </w:tcBorders>
                  <w:noWrap w:val="0"/>
                  <w:vAlign w:val="center"/>
                </w:tcPr>
                <w:p w14:paraId="5F77B006">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rPr>
                    <w:t>间歇</w:t>
                  </w:r>
                </w:p>
              </w:tc>
              <w:tc>
                <w:tcPr>
                  <w:tcW w:w="1406" w:type="pct"/>
                  <w:tcBorders>
                    <w:tl2br w:val="nil"/>
                    <w:tr2bl w:val="nil"/>
                  </w:tcBorders>
                  <w:noWrap w:val="0"/>
                  <w:vAlign w:val="center"/>
                </w:tcPr>
                <w:p w14:paraId="6488CF93">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VOCs</w:t>
                  </w:r>
                </w:p>
              </w:tc>
            </w:tr>
            <w:tr w14:paraId="5E1933D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75" w:hRule="atLeast"/>
                <w:jc w:val="center"/>
              </w:trPr>
              <w:tc>
                <w:tcPr>
                  <w:tcW w:w="340" w:type="pct"/>
                  <w:vMerge w:val="continue"/>
                  <w:tcBorders>
                    <w:tl2br w:val="nil"/>
                    <w:tr2bl w:val="nil"/>
                  </w:tcBorders>
                  <w:noWrap w:val="0"/>
                  <w:vAlign w:val="center"/>
                </w:tcPr>
                <w:p w14:paraId="4963A326">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cs="Times New Roman"/>
                      <w:color w:val="auto"/>
                      <w:sz w:val="21"/>
                      <w:szCs w:val="21"/>
                      <w:highlight w:val="none"/>
                    </w:rPr>
                  </w:pPr>
                </w:p>
              </w:tc>
              <w:tc>
                <w:tcPr>
                  <w:tcW w:w="398" w:type="pct"/>
                  <w:vMerge w:val="continue"/>
                  <w:tcBorders>
                    <w:tl2br w:val="nil"/>
                    <w:tr2bl w:val="nil"/>
                  </w:tcBorders>
                  <w:noWrap w:val="0"/>
                  <w:vAlign w:val="center"/>
                </w:tcPr>
                <w:p w14:paraId="1FA92516">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cs="Times New Roman"/>
                      <w:color w:val="auto"/>
                      <w:sz w:val="21"/>
                      <w:szCs w:val="21"/>
                      <w:highlight w:val="none"/>
                      <w:lang w:val="en-US" w:eastAsia="zh-CN"/>
                    </w:rPr>
                  </w:pPr>
                </w:p>
              </w:tc>
              <w:tc>
                <w:tcPr>
                  <w:tcW w:w="852" w:type="pct"/>
                  <w:gridSpan w:val="2"/>
                  <w:tcBorders>
                    <w:tl2br w:val="nil"/>
                    <w:tr2bl w:val="nil"/>
                  </w:tcBorders>
                  <w:noWrap w:val="0"/>
                  <w:vAlign w:val="center"/>
                </w:tcPr>
                <w:p w14:paraId="0B96AC97">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研磨</w:t>
                  </w:r>
                </w:p>
              </w:tc>
              <w:tc>
                <w:tcPr>
                  <w:tcW w:w="1067" w:type="pct"/>
                  <w:tcBorders>
                    <w:tl2br w:val="nil"/>
                    <w:tr2bl w:val="nil"/>
                  </w:tcBorders>
                  <w:noWrap w:val="0"/>
                  <w:vAlign w:val="center"/>
                </w:tcPr>
                <w:p w14:paraId="70632B7E">
                  <w:pPr>
                    <w:keepNext w:val="0"/>
                    <w:keepLines w:val="0"/>
                    <w:pageBreakBefore w:val="0"/>
                    <w:widowControl/>
                    <w:kinsoku/>
                    <w:wordWrap/>
                    <w:overflowPunct/>
                    <w:topLinePunct w:val="0"/>
                    <w:bidi w:val="0"/>
                    <w:adjustRightInd w:val="0"/>
                    <w:snapToGrid w:val="0"/>
                    <w:spacing w:line="240" w:lineRule="auto"/>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有机废气</w:t>
                  </w:r>
                </w:p>
              </w:tc>
              <w:tc>
                <w:tcPr>
                  <w:tcW w:w="934" w:type="pct"/>
                  <w:tcBorders>
                    <w:tl2br w:val="nil"/>
                    <w:tr2bl w:val="nil"/>
                  </w:tcBorders>
                  <w:noWrap w:val="0"/>
                  <w:vAlign w:val="center"/>
                </w:tcPr>
                <w:p w14:paraId="17BA1207">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间歇</w:t>
                  </w:r>
                </w:p>
              </w:tc>
              <w:tc>
                <w:tcPr>
                  <w:tcW w:w="1406" w:type="pct"/>
                  <w:tcBorders>
                    <w:tl2br w:val="nil"/>
                    <w:tr2bl w:val="nil"/>
                  </w:tcBorders>
                  <w:noWrap w:val="0"/>
                  <w:vAlign w:val="center"/>
                </w:tcPr>
                <w:p w14:paraId="0096CA11">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VOCs</w:t>
                  </w:r>
                </w:p>
              </w:tc>
            </w:tr>
            <w:tr w14:paraId="16EFFB7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8" w:hRule="atLeast"/>
                <w:jc w:val="center"/>
              </w:trPr>
              <w:tc>
                <w:tcPr>
                  <w:tcW w:w="340" w:type="pct"/>
                  <w:vMerge w:val="continue"/>
                  <w:tcBorders>
                    <w:tl2br w:val="nil"/>
                    <w:tr2bl w:val="nil"/>
                  </w:tcBorders>
                  <w:noWrap w:val="0"/>
                  <w:vAlign w:val="center"/>
                </w:tcPr>
                <w:p w14:paraId="6BE72916">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cs="Times New Roman"/>
                      <w:color w:val="auto"/>
                      <w:sz w:val="21"/>
                      <w:szCs w:val="21"/>
                      <w:highlight w:val="none"/>
                    </w:rPr>
                  </w:pPr>
                </w:p>
              </w:tc>
              <w:tc>
                <w:tcPr>
                  <w:tcW w:w="398" w:type="pct"/>
                  <w:vMerge w:val="continue"/>
                  <w:tcBorders>
                    <w:tl2br w:val="nil"/>
                    <w:tr2bl w:val="nil"/>
                  </w:tcBorders>
                  <w:noWrap w:val="0"/>
                  <w:vAlign w:val="center"/>
                </w:tcPr>
                <w:p w14:paraId="4511305E">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cs="Times New Roman"/>
                      <w:color w:val="auto"/>
                      <w:sz w:val="21"/>
                      <w:szCs w:val="21"/>
                      <w:highlight w:val="none"/>
                      <w:lang w:val="en-US" w:eastAsia="zh-CN"/>
                    </w:rPr>
                  </w:pPr>
                </w:p>
              </w:tc>
              <w:tc>
                <w:tcPr>
                  <w:tcW w:w="852" w:type="pct"/>
                  <w:gridSpan w:val="2"/>
                  <w:tcBorders>
                    <w:tl2br w:val="nil"/>
                    <w:tr2bl w:val="nil"/>
                  </w:tcBorders>
                  <w:noWrap w:val="0"/>
                  <w:vAlign w:val="center"/>
                </w:tcPr>
                <w:p w14:paraId="32AE0BE8">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灌装</w:t>
                  </w:r>
                </w:p>
              </w:tc>
              <w:tc>
                <w:tcPr>
                  <w:tcW w:w="1067" w:type="pct"/>
                  <w:tcBorders>
                    <w:tl2br w:val="nil"/>
                    <w:tr2bl w:val="nil"/>
                  </w:tcBorders>
                  <w:noWrap w:val="0"/>
                  <w:vAlign w:val="center"/>
                </w:tcPr>
                <w:p w14:paraId="3BBA93F7">
                  <w:pPr>
                    <w:keepNext w:val="0"/>
                    <w:keepLines w:val="0"/>
                    <w:pageBreakBefore w:val="0"/>
                    <w:widowControl/>
                    <w:kinsoku/>
                    <w:wordWrap/>
                    <w:overflowPunct/>
                    <w:topLinePunct w:val="0"/>
                    <w:bidi w:val="0"/>
                    <w:adjustRightInd w:val="0"/>
                    <w:snapToGrid w:val="0"/>
                    <w:spacing w:line="240" w:lineRule="auto"/>
                    <w:jc w:val="center"/>
                    <w:textAlignment w:val="auto"/>
                    <w:rPr>
                      <w:rFonts w:hint="eastAsia"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有机废气</w:t>
                  </w:r>
                </w:p>
              </w:tc>
              <w:tc>
                <w:tcPr>
                  <w:tcW w:w="934" w:type="pct"/>
                  <w:tcBorders>
                    <w:tl2br w:val="nil"/>
                    <w:tr2bl w:val="nil"/>
                  </w:tcBorders>
                  <w:noWrap w:val="0"/>
                  <w:vAlign w:val="center"/>
                </w:tcPr>
                <w:p w14:paraId="53C07558">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间歇</w:t>
                  </w:r>
                </w:p>
              </w:tc>
              <w:tc>
                <w:tcPr>
                  <w:tcW w:w="1406" w:type="pct"/>
                  <w:tcBorders>
                    <w:tl2br w:val="nil"/>
                    <w:tr2bl w:val="nil"/>
                  </w:tcBorders>
                  <w:noWrap w:val="0"/>
                  <w:vAlign w:val="center"/>
                </w:tcPr>
                <w:p w14:paraId="3433CA58">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VOCs</w:t>
                  </w:r>
                </w:p>
              </w:tc>
            </w:tr>
            <w:tr w14:paraId="18B0E07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340" w:type="pct"/>
                  <w:vMerge w:val="continue"/>
                  <w:tcBorders>
                    <w:tl2br w:val="nil"/>
                    <w:tr2bl w:val="nil"/>
                  </w:tcBorders>
                  <w:noWrap w:val="0"/>
                  <w:vAlign w:val="center"/>
                </w:tcPr>
                <w:p w14:paraId="7637EA60">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cs="Times New Roman"/>
                      <w:color w:val="auto"/>
                      <w:sz w:val="21"/>
                      <w:szCs w:val="21"/>
                      <w:highlight w:val="none"/>
                    </w:rPr>
                  </w:pPr>
                </w:p>
              </w:tc>
              <w:tc>
                <w:tcPr>
                  <w:tcW w:w="398" w:type="pct"/>
                  <w:vMerge w:val="restart"/>
                  <w:tcBorders>
                    <w:tl2br w:val="nil"/>
                    <w:tr2bl w:val="nil"/>
                  </w:tcBorders>
                  <w:noWrap w:val="0"/>
                  <w:vAlign w:val="center"/>
                </w:tcPr>
                <w:p w14:paraId="7DBC0037">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电子电器</w:t>
                  </w:r>
                  <w:r>
                    <w:rPr>
                      <w:rFonts w:hint="default" w:ascii="Times New Roman" w:hAnsi="Times New Roman" w:eastAsia="宋体" w:cs="Times New Roman"/>
                      <w:color w:val="auto"/>
                      <w:sz w:val="21"/>
                      <w:szCs w:val="21"/>
                      <w:highlight w:val="none"/>
                      <w:lang w:val="en-US" w:eastAsia="zh-CN"/>
                    </w:rPr>
                    <w:t>密封材料</w:t>
                  </w:r>
                  <w:r>
                    <w:rPr>
                      <w:rFonts w:hint="eastAsia" w:cs="Times New Roman"/>
                      <w:color w:val="auto"/>
                      <w:sz w:val="21"/>
                      <w:szCs w:val="21"/>
                      <w:highlight w:val="none"/>
                      <w:lang w:val="en-US" w:eastAsia="zh-CN"/>
                    </w:rPr>
                    <w:t>生产</w:t>
                  </w:r>
                </w:p>
              </w:tc>
              <w:tc>
                <w:tcPr>
                  <w:tcW w:w="852" w:type="pct"/>
                  <w:gridSpan w:val="2"/>
                  <w:tcBorders>
                    <w:tl2br w:val="nil"/>
                    <w:tr2bl w:val="nil"/>
                  </w:tcBorders>
                  <w:noWrap w:val="0"/>
                  <w:vAlign w:val="center"/>
                </w:tcPr>
                <w:p w14:paraId="314AFA06">
                  <w:pPr>
                    <w:keepNext w:val="0"/>
                    <w:keepLines w:val="0"/>
                    <w:pageBreakBefore w:val="0"/>
                    <w:widowControl/>
                    <w:kinsoku/>
                    <w:wordWrap/>
                    <w:overflowPunct/>
                    <w:topLinePunct w:val="0"/>
                    <w:bidi w:val="0"/>
                    <w:adjustRightInd w:val="0"/>
                    <w:snapToGrid w:val="0"/>
                    <w:spacing w:line="240" w:lineRule="auto"/>
                    <w:jc w:val="center"/>
                    <w:textAlignment w:val="auto"/>
                    <w:rPr>
                      <w:rFonts w:hint="eastAsia"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混合搅拌</w:t>
                  </w:r>
                </w:p>
                <w:p w14:paraId="4A36E898">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（抽真空）</w:t>
                  </w:r>
                </w:p>
              </w:tc>
              <w:tc>
                <w:tcPr>
                  <w:tcW w:w="1067" w:type="pct"/>
                  <w:tcBorders>
                    <w:tl2br w:val="nil"/>
                    <w:tr2bl w:val="nil"/>
                  </w:tcBorders>
                  <w:noWrap w:val="0"/>
                  <w:vAlign w:val="center"/>
                </w:tcPr>
                <w:p w14:paraId="7B3FEFAE">
                  <w:pPr>
                    <w:keepNext w:val="0"/>
                    <w:keepLines w:val="0"/>
                    <w:pageBreakBefore w:val="0"/>
                    <w:widowControl/>
                    <w:kinsoku/>
                    <w:wordWrap/>
                    <w:overflowPunct/>
                    <w:topLinePunct w:val="0"/>
                    <w:bidi w:val="0"/>
                    <w:adjustRightInd w:val="0"/>
                    <w:snapToGrid w:val="0"/>
                    <w:spacing w:line="240" w:lineRule="auto"/>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有机废气</w:t>
                  </w:r>
                </w:p>
              </w:tc>
              <w:tc>
                <w:tcPr>
                  <w:tcW w:w="934" w:type="pct"/>
                  <w:tcBorders>
                    <w:tl2br w:val="nil"/>
                    <w:tr2bl w:val="nil"/>
                  </w:tcBorders>
                  <w:noWrap w:val="0"/>
                  <w:vAlign w:val="center"/>
                </w:tcPr>
                <w:p w14:paraId="12EC79EA">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间歇</w:t>
                  </w:r>
                </w:p>
              </w:tc>
              <w:tc>
                <w:tcPr>
                  <w:tcW w:w="1406" w:type="pct"/>
                  <w:tcBorders>
                    <w:tl2br w:val="nil"/>
                    <w:tr2bl w:val="nil"/>
                  </w:tcBorders>
                  <w:noWrap w:val="0"/>
                  <w:vAlign w:val="center"/>
                </w:tcPr>
                <w:p w14:paraId="310960CE">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VOCs</w:t>
                  </w:r>
                </w:p>
              </w:tc>
            </w:tr>
            <w:tr w14:paraId="1BF3DD7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31" w:hRule="atLeast"/>
                <w:jc w:val="center"/>
              </w:trPr>
              <w:tc>
                <w:tcPr>
                  <w:tcW w:w="340" w:type="pct"/>
                  <w:vMerge w:val="continue"/>
                  <w:tcBorders>
                    <w:tl2br w:val="nil"/>
                    <w:tr2bl w:val="nil"/>
                  </w:tcBorders>
                  <w:noWrap w:val="0"/>
                  <w:vAlign w:val="center"/>
                </w:tcPr>
                <w:p w14:paraId="5569E1E7">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cs="Times New Roman"/>
                      <w:color w:val="auto"/>
                      <w:sz w:val="21"/>
                      <w:szCs w:val="21"/>
                      <w:highlight w:val="none"/>
                    </w:rPr>
                  </w:pPr>
                </w:p>
              </w:tc>
              <w:tc>
                <w:tcPr>
                  <w:tcW w:w="398" w:type="pct"/>
                  <w:vMerge w:val="continue"/>
                  <w:tcBorders>
                    <w:tl2br w:val="nil"/>
                    <w:tr2bl w:val="nil"/>
                  </w:tcBorders>
                  <w:noWrap w:val="0"/>
                  <w:vAlign w:val="center"/>
                </w:tcPr>
                <w:p w14:paraId="21E49F39">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cs="Times New Roman"/>
                      <w:color w:val="auto"/>
                      <w:sz w:val="21"/>
                      <w:szCs w:val="21"/>
                      <w:highlight w:val="none"/>
                      <w:lang w:val="en-US" w:eastAsia="zh-CN"/>
                    </w:rPr>
                  </w:pPr>
                </w:p>
              </w:tc>
              <w:tc>
                <w:tcPr>
                  <w:tcW w:w="852" w:type="pct"/>
                  <w:gridSpan w:val="2"/>
                  <w:tcBorders>
                    <w:tl2br w:val="nil"/>
                    <w:tr2bl w:val="nil"/>
                  </w:tcBorders>
                  <w:noWrap w:val="0"/>
                  <w:vAlign w:val="center"/>
                </w:tcPr>
                <w:p w14:paraId="508C4AEC">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计量投料</w:t>
                  </w:r>
                </w:p>
              </w:tc>
              <w:tc>
                <w:tcPr>
                  <w:tcW w:w="1067" w:type="pct"/>
                  <w:tcBorders>
                    <w:tl2br w:val="nil"/>
                    <w:tr2bl w:val="nil"/>
                  </w:tcBorders>
                  <w:noWrap w:val="0"/>
                  <w:vAlign w:val="center"/>
                </w:tcPr>
                <w:p w14:paraId="7AD3702F">
                  <w:pPr>
                    <w:keepNext w:val="0"/>
                    <w:keepLines w:val="0"/>
                    <w:pageBreakBefore w:val="0"/>
                    <w:widowControl/>
                    <w:kinsoku/>
                    <w:wordWrap/>
                    <w:overflowPunct/>
                    <w:topLinePunct w:val="0"/>
                    <w:bidi w:val="0"/>
                    <w:adjustRightInd w:val="0"/>
                    <w:snapToGrid w:val="0"/>
                    <w:spacing w:line="240" w:lineRule="auto"/>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计量投料</w:t>
                  </w:r>
                  <w:r>
                    <w:rPr>
                      <w:rFonts w:hint="eastAsia" w:ascii="Times New Roman" w:hAnsi="Times New Roman" w:cs="Times New Roman"/>
                      <w:color w:val="auto"/>
                      <w:sz w:val="21"/>
                      <w:szCs w:val="21"/>
                      <w:highlight w:val="none"/>
                      <w:lang w:val="en-US" w:eastAsia="zh-CN"/>
                    </w:rPr>
                    <w:t>废气</w:t>
                  </w:r>
                </w:p>
              </w:tc>
              <w:tc>
                <w:tcPr>
                  <w:tcW w:w="934" w:type="pct"/>
                  <w:tcBorders>
                    <w:tl2br w:val="nil"/>
                    <w:tr2bl w:val="nil"/>
                  </w:tcBorders>
                  <w:noWrap w:val="0"/>
                  <w:vAlign w:val="center"/>
                </w:tcPr>
                <w:p w14:paraId="12BF29B0">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间歇</w:t>
                  </w:r>
                </w:p>
              </w:tc>
              <w:tc>
                <w:tcPr>
                  <w:tcW w:w="1406" w:type="pct"/>
                  <w:tcBorders>
                    <w:tl2br w:val="nil"/>
                    <w:tr2bl w:val="nil"/>
                  </w:tcBorders>
                  <w:noWrap w:val="0"/>
                  <w:vAlign w:val="center"/>
                </w:tcPr>
                <w:p w14:paraId="20CB130E">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颗粒物</w:t>
                  </w:r>
                </w:p>
              </w:tc>
            </w:tr>
            <w:tr w14:paraId="68F802E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340" w:type="pct"/>
                  <w:vMerge w:val="continue"/>
                  <w:tcBorders>
                    <w:tl2br w:val="nil"/>
                    <w:tr2bl w:val="nil"/>
                  </w:tcBorders>
                  <w:noWrap w:val="0"/>
                  <w:vAlign w:val="center"/>
                </w:tcPr>
                <w:p w14:paraId="03728738">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cs="Times New Roman"/>
                      <w:color w:val="auto"/>
                      <w:sz w:val="21"/>
                      <w:szCs w:val="21"/>
                      <w:highlight w:val="none"/>
                    </w:rPr>
                  </w:pPr>
                </w:p>
              </w:tc>
              <w:tc>
                <w:tcPr>
                  <w:tcW w:w="398" w:type="pct"/>
                  <w:vMerge w:val="continue"/>
                  <w:tcBorders>
                    <w:tl2br w:val="nil"/>
                    <w:tr2bl w:val="nil"/>
                  </w:tcBorders>
                  <w:noWrap w:val="0"/>
                  <w:vAlign w:val="center"/>
                </w:tcPr>
                <w:p w14:paraId="51C91CBD">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cs="Times New Roman"/>
                      <w:color w:val="auto"/>
                      <w:sz w:val="21"/>
                      <w:szCs w:val="21"/>
                      <w:highlight w:val="none"/>
                      <w:lang w:val="en-US" w:eastAsia="zh-CN"/>
                    </w:rPr>
                  </w:pPr>
                </w:p>
              </w:tc>
              <w:tc>
                <w:tcPr>
                  <w:tcW w:w="852" w:type="pct"/>
                  <w:gridSpan w:val="2"/>
                  <w:tcBorders>
                    <w:tl2br w:val="nil"/>
                    <w:tr2bl w:val="nil"/>
                  </w:tcBorders>
                  <w:noWrap w:val="0"/>
                  <w:vAlign w:val="center"/>
                </w:tcPr>
                <w:p w14:paraId="0A6E27F2">
                  <w:pPr>
                    <w:keepNext w:val="0"/>
                    <w:keepLines w:val="0"/>
                    <w:pageBreakBefore w:val="0"/>
                    <w:widowControl/>
                    <w:kinsoku/>
                    <w:wordWrap/>
                    <w:overflowPunct/>
                    <w:topLinePunct w:val="0"/>
                    <w:bidi w:val="0"/>
                    <w:adjustRightInd w:val="0"/>
                    <w:snapToGrid w:val="0"/>
                    <w:spacing w:line="240" w:lineRule="auto"/>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灌装</w:t>
                  </w:r>
                </w:p>
              </w:tc>
              <w:tc>
                <w:tcPr>
                  <w:tcW w:w="1067" w:type="pct"/>
                  <w:tcBorders>
                    <w:tl2br w:val="nil"/>
                    <w:tr2bl w:val="nil"/>
                  </w:tcBorders>
                  <w:noWrap w:val="0"/>
                  <w:vAlign w:val="center"/>
                </w:tcPr>
                <w:p w14:paraId="26FDA748">
                  <w:pPr>
                    <w:keepNext w:val="0"/>
                    <w:keepLines w:val="0"/>
                    <w:pageBreakBefore w:val="0"/>
                    <w:widowControl/>
                    <w:kinsoku/>
                    <w:wordWrap/>
                    <w:overflowPunct/>
                    <w:topLinePunct w:val="0"/>
                    <w:bidi w:val="0"/>
                    <w:adjustRightInd w:val="0"/>
                    <w:snapToGrid w:val="0"/>
                    <w:spacing w:line="240" w:lineRule="auto"/>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灌装</w:t>
                  </w:r>
                  <w:r>
                    <w:rPr>
                      <w:rFonts w:hint="eastAsia" w:ascii="Times New Roman" w:hAnsi="Times New Roman" w:cs="Times New Roman"/>
                      <w:color w:val="auto"/>
                      <w:sz w:val="21"/>
                      <w:szCs w:val="21"/>
                      <w:highlight w:val="none"/>
                      <w:lang w:val="en-US" w:eastAsia="zh-CN"/>
                    </w:rPr>
                    <w:t>废气</w:t>
                  </w:r>
                </w:p>
              </w:tc>
              <w:tc>
                <w:tcPr>
                  <w:tcW w:w="934" w:type="pct"/>
                  <w:tcBorders>
                    <w:tl2br w:val="nil"/>
                    <w:tr2bl w:val="nil"/>
                  </w:tcBorders>
                  <w:noWrap w:val="0"/>
                  <w:vAlign w:val="center"/>
                </w:tcPr>
                <w:p w14:paraId="63C5D2E0">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间歇</w:t>
                  </w:r>
                </w:p>
              </w:tc>
              <w:tc>
                <w:tcPr>
                  <w:tcW w:w="1406" w:type="pct"/>
                  <w:tcBorders>
                    <w:tl2br w:val="nil"/>
                    <w:tr2bl w:val="nil"/>
                  </w:tcBorders>
                  <w:noWrap w:val="0"/>
                  <w:vAlign w:val="center"/>
                </w:tcPr>
                <w:p w14:paraId="3FFA87AE">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VOCs</w:t>
                  </w:r>
                </w:p>
              </w:tc>
            </w:tr>
            <w:tr w14:paraId="5D45634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340" w:type="pct"/>
                  <w:vMerge w:val="restart"/>
                  <w:tcBorders>
                    <w:tl2br w:val="nil"/>
                    <w:tr2bl w:val="nil"/>
                  </w:tcBorders>
                  <w:noWrap w:val="0"/>
                  <w:vAlign w:val="center"/>
                </w:tcPr>
                <w:p w14:paraId="261794EA">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废水</w:t>
                  </w:r>
                </w:p>
              </w:tc>
              <w:tc>
                <w:tcPr>
                  <w:tcW w:w="1251" w:type="pct"/>
                  <w:gridSpan w:val="3"/>
                  <w:tcBorders>
                    <w:tl2br w:val="nil"/>
                    <w:tr2bl w:val="nil"/>
                  </w:tcBorders>
                  <w:noWrap w:val="0"/>
                  <w:vAlign w:val="center"/>
                </w:tcPr>
                <w:p w14:paraId="66AA3E7D">
                  <w:pPr>
                    <w:pStyle w:val="44"/>
                    <w:bidi w:val="0"/>
                    <w:rPr>
                      <w:rFonts w:hint="default"/>
                      <w:color w:val="auto"/>
                      <w:lang w:val="en-US" w:eastAsia="zh-CN"/>
                    </w:rPr>
                  </w:pPr>
                  <w:r>
                    <w:rPr>
                      <w:rFonts w:hint="eastAsia"/>
                      <w:color w:val="auto"/>
                      <w:lang w:val="en-US" w:eastAsia="zh-CN"/>
                    </w:rPr>
                    <w:t>职工生活</w:t>
                  </w:r>
                </w:p>
              </w:tc>
              <w:tc>
                <w:tcPr>
                  <w:tcW w:w="1067" w:type="pct"/>
                  <w:tcBorders>
                    <w:tl2br w:val="nil"/>
                    <w:tr2bl w:val="nil"/>
                  </w:tcBorders>
                  <w:noWrap w:val="0"/>
                  <w:vAlign w:val="center"/>
                </w:tcPr>
                <w:p w14:paraId="1A853879">
                  <w:pPr>
                    <w:pStyle w:val="44"/>
                    <w:bidi w:val="0"/>
                    <w:rPr>
                      <w:rFonts w:hint="eastAsia"/>
                      <w:color w:val="auto"/>
                      <w:lang w:val="en-US" w:eastAsia="zh-CN"/>
                    </w:rPr>
                  </w:pPr>
                  <w:r>
                    <w:rPr>
                      <w:rFonts w:hint="eastAsia"/>
                      <w:color w:val="auto"/>
                      <w:lang w:val="en-US" w:eastAsia="zh-CN"/>
                    </w:rPr>
                    <w:t>生活污水</w:t>
                  </w:r>
                </w:p>
              </w:tc>
              <w:tc>
                <w:tcPr>
                  <w:tcW w:w="934" w:type="pct"/>
                  <w:tcBorders>
                    <w:tl2br w:val="nil"/>
                    <w:tr2bl w:val="nil"/>
                  </w:tcBorders>
                  <w:noWrap w:val="0"/>
                  <w:vAlign w:val="center"/>
                </w:tcPr>
                <w:p w14:paraId="1471111D">
                  <w:pPr>
                    <w:pStyle w:val="44"/>
                    <w:bidi w:val="0"/>
                    <w:rPr>
                      <w:rFonts w:hint="default"/>
                      <w:color w:val="auto"/>
                    </w:rPr>
                  </w:pPr>
                  <w:r>
                    <w:rPr>
                      <w:rFonts w:hint="default"/>
                      <w:color w:val="auto"/>
                    </w:rPr>
                    <w:t>间歇</w:t>
                  </w:r>
                </w:p>
              </w:tc>
              <w:tc>
                <w:tcPr>
                  <w:tcW w:w="1406" w:type="pct"/>
                  <w:tcBorders>
                    <w:tl2br w:val="nil"/>
                    <w:tr2bl w:val="nil"/>
                  </w:tcBorders>
                  <w:noWrap w:val="0"/>
                  <w:vAlign w:val="center"/>
                </w:tcPr>
                <w:p w14:paraId="160C5157">
                  <w:pPr>
                    <w:pStyle w:val="44"/>
                    <w:bidi w:val="0"/>
                    <w:rPr>
                      <w:rFonts w:hint="default"/>
                      <w:color w:val="auto"/>
                      <w:lang w:val="en-US" w:eastAsia="zh-CN"/>
                    </w:rPr>
                  </w:pPr>
                  <w:r>
                    <w:rPr>
                      <w:rFonts w:hint="default"/>
                      <w:color w:val="auto"/>
                      <w:lang w:val="en-US" w:eastAsia="zh-CN"/>
                    </w:rPr>
                    <w:t>COD、BOD</w:t>
                  </w:r>
                  <w:r>
                    <w:rPr>
                      <w:rFonts w:hint="default"/>
                      <w:color w:val="auto"/>
                      <w:vertAlign w:val="subscript"/>
                      <w:lang w:val="en-US" w:eastAsia="zh-CN"/>
                    </w:rPr>
                    <w:t>5</w:t>
                  </w:r>
                  <w:r>
                    <w:rPr>
                      <w:rFonts w:hint="default"/>
                      <w:color w:val="auto"/>
                      <w:lang w:val="en-US" w:eastAsia="zh-CN"/>
                    </w:rPr>
                    <w:t>、SS、NH</w:t>
                  </w:r>
                  <w:r>
                    <w:rPr>
                      <w:rFonts w:hint="default"/>
                      <w:color w:val="auto"/>
                      <w:vertAlign w:val="subscript"/>
                      <w:lang w:val="en-US" w:eastAsia="zh-CN"/>
                    </w:rPr>
                    <w:t>3</w:t>
                  </w:r>
                  <w:r>
                    <w:rPr>
                      <w:rFonts w:hint="default"/>
                      <w:color w:val="auto"/>
                      <w:lang w:val="en-US" w:eastAsia="zh-CN"/>
                    </w:rPr>
                    <w:t>-N</w:t>
                  </w:r>
                </w:p>
              </w:tc>
            </w:tr>
            <w:tr w14:paraId="5F0A589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340" w:type="pct"/>
                  <w:vMerge w:val="continue"/>
                  <w:tcBorders>
                    <w:tl2br w:val="nil"/>
                    <w:tr2bl w:val="nil"/>
                  </w:tcBorders>
                  <w:noWrap w:val="0"/>
                  <w:vAlign w:val="center"/>
                </w:tcPr>
                <w:p w14:paraId="4CA66B51">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cs="Times New Roman"/>
                      <w:color w:val="auto"/>
                      <w:sz w:val="21"/>
                      <w:szCs w:val="21"/>
                      <w:highlight w:val="none"/>
                    </w:rPr>
                  </w:pPr>
                </w:p>
              </w:tc>
              <w:tc>
                <w:tcPr>
                  <w:tcW w:w="1251" w:type="pct"/>
                  <w:gridSpan w:val="3"/>
                  <w:tcBorders>
                    <w:tl2br w:val="nil"/>
                    <w:tr2bl w:val="nil"/>
                  </w:tcBorders>
                  <w:noWrap w:val="0"/>
                  <w:vAlign w:val="center"/>
                </w:tcPr>
                <w:p w14:paraId="1B6F2BC6">
                  <w:pPr>
                    <w:pStyle w:val="44"/>
                    <w:bidi w:val="0"/>
                    <w:rPr>
                      <w:rFonts w:hint="default"/>
                      <w:color w:val="auto"/>
                      <w:lang w:val="en-US" w:eastAsia="zh-CN"/>
                    </w:rPr>
                  </w:pPr>
                  <w:r>
                    <w:rPr>
                      <w:rFonts w:hint="eastAsia"/>
                      <w:color w:val="auto"/>
                      <w:lang w:val="en-US" w:eastAsia="zh-CN"/>
                    </w:rPr>
                    <w:t>设备冷却</w:t>
                  </w:r>
                </w:p>
              </w:tc>
              <w:tc>
                <w:tcPr>
                  <w:tcW w:w="1067" w:type="pct"/>
                  <w:tcBorders>
                    <w:tl2br w:val="nil"/>
                    <w:tr2bl w:val="nil"/>
                  </w:tcBorders>
                  <w:noWrap w:val="0"/>
                  <w:vAlign w:val="center"/>
                </w:tcPr>
                <w:p w14:paraId="7109BA33">
                  <w:pPr>
                    <w:pStyle w:val="44"/>
                    <w:bidi w:val="0"/>
                    <w:rPr>
                      <w:rFonts w:hint="default"/>
                      <w:color w:val="auto"/>
                      <w:lang w:val="en-US" w:eastAsia="zh-CN"/>
                    </w:rPr>
                  </w:pPr>
                  <w:r>
                    <w:rPr>
                      <w:rFonts w:hint="eastAsia"/>
                      <w:color w:val="auto"/>
                      <w:lang w:val="en-US" w:eastAsia="zh-CN"/>
                    </w:rPr>
                    <w:t>设备冷却水</w:t>
                  </w:r>
                </w:p>
              </w:tc>
              <w:tc>
                <w:tcPr>
                  <w:tcW w:w="934" w:type="pct"/>
                  <w:tcBorders>
                    <w:tl2br w:val="nil"/>
                    <w:tr2bl w:val="nil"/>
                  </w:tcBorders>
                  <w:noWrap w:val="0"/>
                  <w:vAlign w:val="center"/>
                </w:tcPr>
                <w:p w14:paraId="6DC31963">
                  <w:pPr>
                    <w:pStyle w:val="44"/>
                    <w:bidi w:val="0"/>
                    <w:rPr>
                      <w:rFonts w:hint="default"/>
                      <w:color w:val="auto"/>
                    </w:rPr>
                  </w:pPr>
                  <w:r>
                    <w:rPr>
                      <w:rFonts w:hint="default"/>
                      <w:color w:val="auto"/>
                    </w:rPr>
                    <w:t>间歇</w:t>
                  </w:r>
                </w:p>
              </w:tc>
              <w:tc>
                <w:tcPr>
                  <w:tcW w:w="1406" w:type="pct"/>
                  <w:tcBorders>
                    <w:tl2br w:val="nil"/>
                    <w:tr2bl w:val="nil"/>
                  </w:tcBorders>
                  <w:noWrap w:val="0"/>
                  <w:vAlign w:val="center"/>
                </w:tcPr>
                <w:p w14:paraId="72F35791">
                  <w:pPr>
                    <w:pStyle w:val="44"/>
                    <w:bidi w:val="0"/>
                    <w:rPr>
                      <w:rFonts w:hint="default"/>
                      <w:color w:val="auto"/>
                      <w:lang w:val="en-US" w:eastAsia="zh-CN"/>
                    </w:rPr>
                  </w:pPr>
                  <w:r>
                    <w:rPr>
                      <w:rFonts w:hint="default"/>
                      <w:color w:val="auto"/>
                      <w:lang w:val="en-US" w:eastAsia="zh-CN"/>
                    </w:rPr>
                    <w:t>SS</w:t>
                  </w:r>
                </w:p>
              </w:tc>
            </w:tr>
            <w:tr w14:paraId="3FFC5C3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340" w:type="pct"/>
                  <w:vMerge w:val="continue"/>
                  <w:tcBorders>
                    <w:tl2br w:val="nil"/>
                    <w:tr2bl w:val="nil"/>
                  </w:tcBorders>
                  <w:noWrap w:val="0"/>
                  <w:vAlign w:val="center"/>
                </w:tcPr>
                <w:p w14:paraId="7EE2B8F6">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cs="Times New Roman"/>
                      <w:color w:val="auto"/>
                      <w:sz w:val="21"/>
                      <w:szCs w:val="21"/>
                      <w:highlight w:val="none"/>
                    </w:rPr>
                  </w:pPr>
                </w:p>
              </w:tc>
              <w:tc>
                <w:tcPr>
                  <w:tcW w:w="1251" w:type="pct"/>
                  <w:gridSpan w:val="3"/>
                  <w:tcBorders>
                    <w:tl2br w:val="nil"/>
                    <w:tr2bl w:val="nil"/>
                  </w:tcBorders>
                  <w:noWrap w:val="0"/>
                  <w:vAlign w:val="center"/>
                </w:tcPr>
                <w:p w14:paraId="3B7B5F7F">
                  <w:pPr>
                    <w:pStyle w:val="44"/>
                    <w:bidi w:val="0"/>
                    <w:rPr>
                      <w:rFonts w:hint="default"/>
                      <w:color w:val="auto"/>
                      <w:lang w:val="en-US" w:eastAsia="zh-CN"/>
                    </w:rPr>
                  </w:pPr>
                  <w:r>
                    <w:rPr>
                      <w:rFonts w:hint="eastAsia"/>
                      <w:color w:val="auto"/>
                      <w:lang w:val="en-US" w:eastAsia="zh-CN"/>
                    </w:rPr>
                    <w:t>抽真空系统</w:t>
                  </w:r>
                </w:p>
              </w:tc>
              <w:tc>
                <w:tcPr>
                  <w:tcW w:w="1067" w:type="pct"/>
                  <w:tcBorders>
                    <w:tl2br w:val="nil"/>
                    <w:tr2bl w:val="nil"/>
                  </w:tcBorders>
                  <w:noWrap w:val="0"/>
                  <w:vAlign w:val="center"/>
                </w:tcPr>
                <w:p w14:paraId="2ED65ABC">
                  <w:pPr>
                    <w:pStyle w:val="44"/>
                    <w:bidi w:val="0"/>
                    <w:rPr>
                      <w:rFonts w:hint="default"/>
                      <w:color w:val="auto"/>
                      <w:lang w:val="en-US" w:eastAsia="zh-CN"/>
                    </w:rPr>
                  </w:pPr>
                  <w:r>
                    <w:rPr>
                      <w:rFonts w:hint="eastAsia"/>
                      <w:color w:val="auto"/>
                      <w:lang w:val="en-US" w:eastAsia="zh-CN"/>
                    </w:rPr>
                    <w:t>冷凝冷却水</w:t>
                  </w:r>
                </w:p>
              </w:tc>
              <w:tc>
                <w:tcPr>
                  <w:tcW w:w="934" w:type="pct"/>
                  <w:tcBorders>
                    <w:tl2br w:val="nil"/>
                    <w:tr2bl w:val="nil"/>
                  </w:tcBorders>
                  <w:shd w:val="clear"/>
                  <w:noWrap w:val="0"/>
                  <w:vAlign w:val="center"/>
                </w:tcPr>
                <w:p w14:paraId="5D2337CE">
                  <w:pPr>
                    <w:pStyle w:val="44"/>
                    <w:bidi w:val="0"/>
                    <w:rPr>
                      <w:rFonts w:hint="default" w:ascii="Times New Roman" w:hAnsi="Times New Roman" w:eastAsia="宋体" w:cs="Times New Roman"/>
                      <w:color w:val="auto"/>
                      <w:kern w:val="2"/>
                      <w:sz w:val="21"/>
                      <w:szCs w:val="21"/>
                      <w:lang w:val="en-US" w:eastAsia="zh-CN" w:bidi="ar-SA"/>
                    </w:rPr>
                  </w:pPr>
                  <w:r>
                    <w:rPr>
                      <w:rFonts w:hint="default"/>
                      <w:color w:val="auto"/>
                    </w:rPr>
                    <w:t>间歇</w:t>
                  </w:r>
                </w:p>
              </w:tc>
              <w:tc>
                <w:tcPr>
                  <w:tcW w:w="1406" w:type="pct"/>
                  <w:tcBorders>
                    <w:tl2br w:val="nil"/>
                    <w:tr2bl w:val="nil"/>
                  </w:tcBorders>
                  <w:shd w:val="clear"/>
                  <w:noWrap w:val="0"/>
                  <w:vAlign w:val="center"/>
                </w:tcPr>
                <w:p w14:paraId="3C74D527">
                  <w:pPr>
                    <w:pStyle w:val="44"/>
                    <w:bidi w:val="0"/>
                    <w:rPr>
                      <w:rFonts w:hint="default" w:ascii="Times New Roman" w:hAnsi="Times New Roman" w:eastAsia="宋体" w:cs="Times New Roman"/>
                      <w:color w:val="auto"/>
                      <w:kern w:val="2"/>
                      <w:sz w:val="21"/>
                      <w:szCs w:val="21"/>
                      <w:lang w:val="en-US" w:eastAsia="zh-CN" w:bidi="ar-SA"/>
                    </w:rPr>
                  </w:pPr>
                  <w:r>
                    <w:rPr>
                      <w:rFonts w:hint="default"/>
                      <w:color w:val="auto"/>
                      <w:lang w:val="en-US" w:eastAsia="zh-CN"/>
                    </w:rPr>
                    <w:t>SS</w:t>
                  </w:r>
                </w:p>
              </w:tc>
            </w:tr>
            <w:tr w14:paraId="51578FD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04" w:hRule="atLeast"/>
                <w:jc w:val="center"/>
              </w:trPr>
              <w:tc>
                <w:tcPr>
                  <w:tcW w:w="340" w:type="pct"/>
                  <w:vMerge w:val="restart"/>
                  <w:tcBorders>
                    <w:tl2br w:val="nil"/>
                    <w:tr2bl w:val="nil"/>
                  </w:tcBorders>
                  <w:noWrap w:val="0"/>
                  <w:vAlign w:val="center"/>
                </w:tcPr>
                <w:p w14:paraId="06013737">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yellow"/>
                      <w:lang w:val="en-US" w:eastAsia="zh-CN"/>
                    </w:rPr>
                  </w:pPr>
                  <w:r>
                    <w:rPr>
                      <w:rFonts w:hint="default" w:ascii="Times New Roman" w:hAnsi="Times New Roman" w:cs="Times New Roman"/>
                      <w:color w:val="auto"/>
                      <w:sz w:val="21"/>
                      <w:szCs w:val="21"/>
                      <w:highlight w:val="none"/>
                      <w:lang w:val="en-US" w:eastAsia="zh-CN"/>
                    </w:rPr>
                    <w:t>固废</w:t>
                  </w:r>
                </w:p>
              </w:tc>
              <w:tc>
                <w:tcPr>
                  <w:tcW w:w="1251" w:type="pct"/>
                  <w:gridSpan w:val="3"/>
                  <w:tcBorders>
                    <w:tl2br w:val="nil"/>
                    <w:tr2bl w:val="nil"/>
                  </w:tcBorders>
                  <w:noWrap w:val="0"/>
                  <w:vAlign w:val="center"/>
                </w:tcPr>
                <w:p w14:paraId="324E1E44">
                  <w:pPr>
                    <w:pStyle w:val="44"/>
                    <w:bidi w:val="0"/>
                    <w:rPr>
                      <w:rFonts w:hint="default"/>
                      <w:color w:val="auto"/>
                      <w:lang w:val="en-US" w:eastAsia="zh-CN"/>
                    </w:rPr>
                  </w:pPr>
                  <w:r>
                    <w:rPr>
                      <w:rFonts w:hint="eastAsia"/>
                      <w:color w:val="auto"/>
                      <w:lang w:val="en-US" w:eastAsia="zh-CN"/>
                    </w:rPr>
                    <w:t>原料拆包</w:t>
                  </w:r>
                </w:p>
              </w:tc>
              <w:tc>
                <w:tcPr>
                  <w:tcW w:w="1067" w:type="pct"/>
                  <w:tcBorders>
                    <w:tl2br w:val="nil"/>
                    <w:tr2bl w:val="nil"/>
                  </w:tcBorders>
                  <w:shd w:val="clear" w:color="auto" w:fill="auto"/>
                  <w:noWrap w:val="0"/>
                  <w:vAlign w:val="center"/>
                </w:tcPr>
                <w:p w14:paraId="12F2403A">
                  <w:pPr>
                    <w:pStyle w:val="44"/>
                    <w:bidi w:val="0"/>
                    <w:rPr>
                      <w:rFonts w:hint="default"/>
                      <w:color w:val="auto"/>
                      <w:lang w:val="en-US" w:eastAsia="zh-CN"/>
                    </w:rPr>
                  </w:pPr>
                  <w:r>
                    <w:rPr>
                      <w:rFonts w:hint="default" w:ascii="Times New Roman" w:hAnsi="Times New Roman" w:cs="Times New Roman"/>
                      <w:color w:val="auto"/>
                      <w:szCs w:val="24"/>
                      <w:lang w:val="en-US" w:eastAsia="zh-CN"/>
                    </w:rPr>
                    <w:t>普通</w:t>
                  </w:r>
                  <w:r>
                    <w:rPr>
                      <w:rFonts w:hint="default" w:ascii="Times New Roman" w:hAnsi="Times New Roman" w:cs="Times New Roman"/>
                      <w:color w:val="auto"/>
                      <w:szCs w:val="24"/>
                    </w:rPr>
                    <w:t>废</w:t>
                  </w:r>
                  <w:r>
                    <w:rPr>
                      <w:rFonts w:hint="default" w:ascii="Times New Roman" w:hAnsi="Times New Roman" w:cs="Times New Roman"/>
                      <w:color w:val="auto"/>
                      <w:szCs w:val="24"/>
                      <w:lang w:val="en-US" w:eastAsia="zh-CN"/>
                    </w:rPr>
                    <w:t>包装</w:t>
                  </w:r>
                </w:p>
              </w:tc>
              <w:tc>
                <w:tcPr>
                  <w:tcW w:w="934" w:type="pct"/>
                  <w:tcBorders>
                    <w:tl2br w:val="nil"/>
                    <w:tr2bl w:val="nil"/>
                  </w:tcBorders>
                  <w:noWrap w:val="0"/>
                  <w:vAlign w:val="center"/>
                </w:tcPr>
                <w:p w14:paraId="336EAF17">
                  <w:pPr>
                    <w:pStyle w:val="44"/>
                    <w:bidi w:val="0"/>
                    <w:rPr>
                      <w:rFonts w:hint="default"/>
                      <w:color w:val="auto"/>
                    </w:rPr>
                  </w:pPr>
                  <w:r>
                    <w:rPr>
                      <w:rFonts w:hint="default"/>
                      <w:color w:val="auto"/>
                    </w:rPr>
                    <w:t>一般固废</w:t>
                  </w:r>
                </w:p>
              </w:tc>
              <w:tc>
                <w:tcPr>
                  <w:tcW w:w="1406" w:type="pct"/>
                  <w:tcBorders>
                    <w:tl2br w:val="nil"/>
                    <w:tr2bl w:val="nil"/>
                  </w:tcBorders>
                  <w:noWrap w:val="0"/>
                  <w:vAlign w:val="center"/>
                </w:tcPr>
                <w:p w14:paraId="4746E802">
                  <w:pPr>
                    <w:pStyle w:val="44"/>
                    <w:bidi w:val="0"/>
                    <w:rPr>
                      <w:rFonts w:hint="eastAsia"/>
                      <w:color w:val="auto"/>
                      <w:lang w:val="en-US" w:eastAsia="zh-CN"/>
                    </w:rPr>
                  </w:pPr>
                  <w:r>
                    <w:rPr>
                      <w:rFonts w:hint="eastAsia"/>
                      <w:color w:val="auto"/>
                      <w:lang w:val="en-US" w:eastAsia="zh-CN"/>
                    </w:rPr>
                    <w:t>普通废包装</w:t>
                  </w:r>
                </w:p>
              </w:tc>
            </w:tr>
            <w:tr w14:paraId="31EFC1E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04" w:hRule="atLeast"/>
                <w:jc w:val="center"/>
              </w:trPr>
              <w:tc>
                <w:tcPr>
                  <w:tcW w:w="340" w:type="pct"/>
                  <w:vMerge w:val="continue"/>
                  <w:tcBorders>
                    <w:tl2br w:val="nil"/>
                    <w:tr2bl w:val="nil"/>
                  </w:tcBorders>
                  <w:noWrap w:val="0"/>
                  <w:vAlign w:val="center"/>
                </w:tcPr>
                <w:p w14:paraId="35F362D7">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yellow"/>
                      <w:lang w:val="en-US" w:eastAsia="zh-CN"/>
                    </w:rPr>
                  </w:pPr>
                </w:p>
              </w:tc>
              <w:tc>
                <w:tcPr>
                  <w:tcW w:w="1251" w:type="pct"/>
                  <w:gridSpan w:val="3"/>
                  <w:tcBorders>
                    <w:tl2br w:val="nil"/>
                    <w:tr2bl w:val="nil"/>
                  </w:tcBorders>
                  <w:noWrap w:val="0"/>
                  <w:vAlign w:val="center"/>
                </w:tcPr>
                <w:p w14:paraId="06903B00">
                  <w:pPr>
                    <w:pStyle w:val="44"/>
                    <w:bidi w:val="0"/>
                    <w:rPr>
                      <w:rFonts w:hint="default"/>
                      <w:color w:val="auto"/>
                      <w:lang w:val="en-US" w:eastAsia="zh-CN"/>
                    </w:rPr>
                  </w:pPr>
                  <w:r>
                    <w:rPr>
                      <w:rFonts w:hint="default"/>
                      <w:color w:val="auto"/>
                      <w:lang w:val="en-US" w:eastAsia="zh-CN"/>
                    </w:rPr>
                    <w:t>废气治理</w:t>
                  </w:r>
                </w:p>
              </w:tc>
              <w:tc>
                <w:tcPr>
                  <w:tcW w:w="1067" w:type="pct"/>
                  <w:tcBorders>
                    <w:tl2br w:val="nil"/>
                    <w:tr2bl w:val="nil"/>
                  </w:tcBorders>
                  <w:shd w:val="clear" w:color="auto" w:fill="auto"/>
                  <w:noWrap w:val="0"/>
                  <w:vAlign w:val="center"/>
                </w:tcPr>
                <w:p w14:paraId="7449EE80">
                  <w:pPr>
                    <w:pStyle w:val="44"/>
                    <w:bidi w:val="0"/>
                    <w:rPr>
                      <w:rFonts w:hint="default"/>
                      <w:color w:val="auto"/>
                      <w:lang w:val="en-US" w:eastAsia="zh-CN"/>
                    </w:rPr>
                  </w:pPr>
                  <w:r>
                    <w:rPr>
                      <w:rFonts w:hint="default"/>
                      <w:color w:val="auto"/>
                      <w:lang w:val="en-US" w:eastAsia="zh-CN"/>
                    </w:rPr>
                    <w:t>除尘器收尘</w:t>
                  </w:r>
                </w:p>
              </w:tc>
              <w:tc>
                <w:tcPr>
                  <w:tcW w:w="934" w:type="pct"/>
                  <w:tcBorders>
                    <w:tl2br w:val="nil"/>
                    <w:tr2bl w:val="nil"/>
                  </w:tcBorders>
                  <w:noWrap w:val="0"/>
                  <w:vAlign w:val="center"/>
                </w:tcPr>
                <w:p w14:paraId="49A8656F">
                  <w:pPr>
                    <w:pStyle w:val="44"/>
                    <w:bidi w:val="0"/>
                    <w:rPr>
                      <w:rFonts w:hint="default"/>
                      <w:color w:val="auto"/>
                      <w:lang w:val="en-US" w:eastAsia="zh-CN"/>
                    </w:rPr>
                  </w:pPr>
                  <w:r>
                    <w:rPr>
                      <w:rFonts w:hint="default"/>
                      <w:color w:val="auto"/>
                    </w:rPr>
                    <w:t>一般固废</w:t>
                  </w:r>
                </w:p>
              </w:tc>
              <w:tc>
                <w:tcPr>
                  <w:tcW w:w="1406" w:type="pct"/>
                  <w:tcBorders>
                    <w:tl2br w:val="nil"/>
                    <w:tr2bl w:val="nil"/>
                  </w:tcBorders>
                  <w:noWrap w:val="0"/>
                  <w:vAlign w:val="center"/>
                </w:tcPr>
                <w:p w14:paraId="39D4C90A">
                  <w:pPr>
                    <w:pStyle w:val="44"/>
                    <w:bidi w:val="0"/>
                    <w:rPr>
                      <w:rFonts w:hint="default"/>
                      <w:color w:val="auto"/>
                      <w:lang w:val="en-US" w:eastAsia="zh-CN"/>
                    </w:rPr>
                  </w:pPr>
                  <w:r>
                    <w:rPr>
                      <w:rFonts w:hint="default"/>
                      <w:color w:val="auto"/>
                      <w:lang w:val="en-US" w:eastAsia="zh-CN"/>
                    </w:rPr>
                    <w:t>除尘器收尘</w:t>
                  </w:r>
                </w:p>
              </w:tc>
            </w:tr>
            <w:tr w14:paraId="6133B68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04" w:hRule="atLeast"/>
                <w:jc w:val="center"/>
              </w:trPr>
              <w:tc>
                <w:tcPr>
                  <w:tcW w:w="340" w:type="pct"/>
                  <w:vMerge w:val="continue"/>
                  <w:tcBorders>
                    <w:tl2br w:val="nil"/>
                    <w:tr2bl w:val="nil"/>
                  </w:tcBorders>
                  <w:noWrap w:val="0"/>
                  <w:vAlign w:val="center"/>
                </w:tcPr>
                <w:p w14:paraId="2FBF3EBE">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yellow"/>
                      <w:lang w:val="en-US" w:eastAsia="zh-CN"/>
                    </w:rPr>
                  </w:pPr>
                </w:p>
              </w:tc>
              <w:tc>
                <w:tcPr>
                  <w:tcW w:w="1251" w:type="pct"/>
                  <w:gridSpan w:val="3"/>
                  <w:tcBorders>
                    <w:tl2br w:val="nil"/>
                    <w:tr2bl w:val="nil"/>
                  </w:tcBorders>
                  <w:noWrap w:val="0"/>
                  <w:vAlign w:val="center"/>
                </w:tcPr>
                <w:p w14:paraId="4F44EECD">
                  <w:pPr>
                    <w:pStyle w:val="44"/>
                    <w:bidi w:val="0"/>
                    <w:rPr>
                      <w:rFonts w:hint="default"/>
                      <w:color w:val="auto"/>
                      <w:lang w:val="en-US" w:eastAsia="zh-CN"/>
                    </w:rPr>
                  </w:pPr>
                  <w:r>
                    <w:rPr>
                      <w:rFonts w:hint="default"/>
                      <w:color w:val="auto"/>
                      <w:lang w:val="en-US" w:eastAsia="zh-CN"/>
                    </w:rPr>
                    <w:t>投料计量</w:t>
                  </w:r>
                </w:p>
              </w:tc>
              <w:tc>
                <w:tcPr>
                  <w:tcW w:w="1067" w:type="pct"/>
                  <w:tcBorders>
                    <w:tl2br w:val="nil"/>
                    <w:tr2bl w:val="nil"/>
                  </w:tcBorders>
                  <w:shd w:val="clear" w:color="auto" w:fill="auto"/>
                  <w:noWrap w:val="0"/>
                  <w:vAlign w:val="center"/>
                </w:tcPr>
                <w:p w14:paraId="44A4C80E">
                  <w:pPr>
                    <w:pStyle w:val="44"/>
                    <w:bidi w:val="0"/>
                    <w:rPr>
                      <w:rFonts w:hint="default"/>
                      <w:color w:val="auto"/>
                      <w:lang w:val="en-US" w:eastAsia="zh-CN"/>
                    </w:rPr>
                  </w:pPr>
                  <w:r>
                    <w:rPr>
                      <w:rFonts w:hint="default" w:ascii="Times New Roman" w:hAnsi="Times New Roman" w:cs="Times New Roman"/>
                      <w:color w:val="auto"/>
                      <w:szCs w:val="24"/>
                      <w:lang w:val="en-US" w:eastAsia="zh-CN"/>
                    </w:rPr>
                    <w:t>车间沉降粉尘</w:t>
                  </w:r>
                </w:p>
              </w:tc>
              <w:tc>
                <w:tcPr>
                  <w:tcW w:w="934" w:type="pct"/>
                  <w:tcBorders>
                    <w:tl2br w:val="nil"/>
                    <w:tr2bl w:val="nil"/>
                  </w:tcBorders>
                  <w:noWrap w:val="0"/>
                  <w:vAlign w:val="center"/>
                </w:tcPr>
                <w:p w14:paraId="2A1D67D5">
                  <w:pPr>
                    <w:pStyle w:val="44"/>
                    <w:bidi w:val="0"/>
                    <w:rPr>
                      <w:rFonts w:hint="default"/>
                      <w:color w:val="auto"/>
                    </w:rPr>
                  </w:pPr>
                  <w:r>
                    <w:rPr>
                      <w:rFonts w:hint="default"/>
                      <w:color w:val="auto"/>
                    </w:rPr>
                    <w:t>一般固废</w:t>
                  </w:r>
                </w:p>
              </w:tc>
              <w:tc>
                <w:tcPr>
                  <w:tcW w:w="1406" w:type="pct"/>
                  <w:tcBorders>
                    <w:tl2br w:val="nil"/>
                    <w:tr2bl w:val="nil"/>
                  </w:tcBorders>
                  <w:noWrap w:val="0"/>
                  <w:vAlign w:val="center"/>
                </w:tcPr>
                <w:p w14:paraId="795CE673">
                  <w:pPr>
                    <w:pStyle w:val="44"/>
                    <w:bidi w:val="0"/>
                    <w:rPr>
                      <w:rFonts w:hint="default"/>
                      <w:color w:val="auto"/>
                      <w:lang w:val="en-US" w:eastAsia="zh-CN"/>
                    </w:rPr>
                  </w:pPr>
                  <w:r>
                    <w:rPr>
                      <w:rFonts w:hint="default" w:ascii="Times New Roman" w:hAnsi="Times New Roman" w:cs="Times New Roman"/>
                      <w:color w:val="auto"/>
                      <w:szCs w:val="24"/>
                      <w:lang w:val="en-US" w:eastAsia="zh-CN"/>
                    </w:rPr>
                    <w:t>车间沉降粉尘</w:t>
                  </w:r>
                </w:p>
              </w:tc>
            </w:tr>
            <w:tr w14:paraId="26101B9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62" w:hRule="atLeast"/>
                <w:jc w:val="center"/>
              </w:trPr>
              <w:tc>
                <w:tcPr>
                  <w:tcW w:w="340" w:type="pct"/>
                  <w:vMerge w:val="continue"/>
                  <w:tcBorders>
                    <w:tl2br w:val="nil"/>
                    <w:tr2bl w:val="nil"/>
                  </w:tcBorders>
                  <w:noWrap w:val="0"/>
                  <w:vAlign w:val="center"/>
                </w:tcPr>
                <w:p w14:paraId="4EAF9EBC">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cs="Times New Roman"/>
                      <w:color w:val="auto"/>
                      <w:sz w:val="21"/>
                      <w:szCs w:val="21"/>
                      <w:highlight w:val="none"/>
                      <w:lang w:val="en-US" w:eastAsia="zh-CN"/>
                    </w:rPr>
                  </w:pPr>
                </w:p>
              </w:tc>
              <w:tc>
                <w:tcPr>
                  <w:tcW w:w="1251" w:type="pct"/>
                  <w:gridSpan w:val="3"/>
                  <w:tcBorders>
                    <w:tl2br w:val="nil"/>
                    <w:tr2bl w:val="nil"/>
                  </w:tcBorders>
                  <w:noWrap w:val="0"/>
                  <w:vAlign w:val="center"/>
                </w:tcPr>
                <w:p w14:paraId="67C0E582">
                  <w:pPr>
                    <w:pStyle w:val="44"/>
                    <w:bidi w:val="0"/>
                    <w:rPr>
                      <w:rFonts w:hint="default"/>
                      <w:color w:val="auto"/>
                      <w:lang w:val="en-US" w:eastAsia="zh-CN"/>
                    </w:rPr>
                  </w:pPr>
                  <w:r>
                    <w:rPr>
                      <w:rFonts w:hint="default"/>
                      <w:color w:val="auto"/>
                      <w:lang w:val="en-US" w:eastAsia="zh-CN"/>
                    </w:rPr>
                    <w:t>废气治理</w:t>
                  </w:r>
                </w:p>
              </w:tc>
              <w:tc>
                <w:tcPr>
                  <w:tcW w:w="1067" w:type="pct"/>
                  <w:tcBorders>
                    <w:tl2br w:val="nil"/>
                    <w:tr2bl w:val="nil"/>
                  </w:tcBorders>
                  <w:shd w:val="clear" w:color="auto" w:fill="auto"/>
                  <w:noWrap w:val="0"/>
                  <w:vAlign w:val="center"/>
                </w:tcPr>
                <w:p w14:paraId="7AFED6CA">
                  <w:pPr>
                    <w:pStyle w:val="44"/>
                    <w:bidi w:val="0"/>
                    <w:rPr>
                      <w:rFonts w:hint="default"/>
                      <w:color w:val="auto"/>
                      <w:lang w:val="en-US" w:eastAsia="zh-CN"/>
                    </w:rPr>
                  </w:pPr>
                  <w:r>
                    <w:rPr>
                      <w:rFonts w:hint="default"/>
                      <w:color w:val="auto"/>
                      <w:lang w:val="en-US" w:eastAsia="zh-CN"/>
                    </w:rPr>
                    <w:t>废布袋</w:t>
                  </w:r>
                </w:p>
              </w:tc>
              <w:tc>
                <w:tcPr>
                  <w:tcW w:w="934" w:type="pct"/>
                  <w:tcBorders>
                    <w:tl2br w:val="nil"/>
                    <w:tr2bl w:val="nil"/>
                  </w:tcBorders>
                  <w:noWrap w:val="0"/>
                  <w:vAlign w:val="center"/>
                </w:tcPr>
                <w:p w14:paraId="001E55B5">
                  <w:pPr>
                    <w:pStyle w:val="44"/>
                    <w:bidi w:val="0"/>
                    <w:rPr>
                      <w:rFonts w:hint="default"/>
                      <w:color w:val="auto"/>
                    </w:rPr>
                  </w:pPr>
                  <w:r>
                    <w:rPr>
                      <w:rFonts w:hint="default"/>
                      <w:color w:val="auto"/>
                    </w:rPr>
                    <w:t>一般固废</w:t>
                  </w:r>
                </w:p>
              </w:tc>
              <w:tc>
                <w:tcPr>
                  <w:tcW w:w="1406" w:type="pct"/>
                  <w:tcBorders>
                    <w:tl2br w:val="nil"/>
                    <w:tr2bl w:val="nil"/>
                  </w:tcBorders>
                  <w:noWrap w:val="0"/>
                  <w:vAlign w:val="center"/>
                </w:tcPr>
                <w:p w14:paraId="44568EBE">
                  <w:pPr>
                    <w:pStyle w:val="44"/>
                    <w:bidi w:val="0"/>
                    <w:rPr>
                      <w:rFonts w:hint="default"/>
                      <w:color w:val="auto"/>
                      <w:lang w:val="en-US" w:eastAsia="zh-CN"/>
                    </w:rPr>
                  </w:pPr>
                  <w:r>
                    <w:rPr>
                      <w:rFonts w:hint="default"/>
                      <w:color w:val="auto"/>
                      <w:lang w:val="en-US" w:eastAsia="zh-CN"/>
                    </w:rPr>
                    <w:t>废布袋</w:t>
                  </w:r>
                </w:p>
              </w:tc>
            </w:tr>
            <w:tr w14:paraId="5794F8A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340" w:type="pct"/>
                  <w:vMerge w:val="continue"/>
                  <w:tcBorders>
                    <w:tl2br w:val="nil"/>
                    <w:tr2bl w:val="nil"/>
                  </w:tcBorders>
                  <w:noWrap w:val="0"/>
                  <w:vAlign w:val="center"/>
                </w:tcPr>
                <w:p w14:paraId="4523B03A">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cs="Times New Roman"/>
                      <w:color w:val="auto"/>
                      <w:sz w:val="21"/>
                      <w:szCs w:val="21"/>
                      <w:highlight w:val="none"/>
                      <w:lang w:val="en-US" w:eastAsia="zh-CN"/>
                    </w:rPr>
                  </w:pPr>
                </w:p>
              </w:tc>
              <w:tc>
                <w:tcPr>
                  <w:tcW w:w="1251" w:type="pct"/>
                  <w:gridSpan w:val="3"/>
                  <w:tcBorders>
                    <w:tl2br w:val="nil"/>
                    <w:tr2bl w:val="nil"/>
                  </w:tcBorders>
                  <w:noWrap w:val="0"/>
                  <w:vAlign w:val="center"/>
                </w:tcPr>
                <w:p w14:paraId="1E13B83F">
                  <w:pPr>
                    <w:pStyle w:val="44"/>
                    <w:bidi w:val="0"/>
                    <w:rPr>
                      <w:rFonts w:hint="default"/>
                      <w:color w:val="auto"/>
                      <w:lang w:val="en-US" w:eastAsia="zh-CN"/>
                    </w:rPr>
                  </w:pPr>
                  <w:r>
                    <w:rPr>
                      <w:rFonts w:hint="default"/>
                      <w:color w:val="auto"/>
                      <w:lang w:val="en-US" w:eastAsia="zh-CN"/>
                    </w:rPr>
                    <w:t>职工生活</w:t>
                  </w:r>
                </w:p>
              </w:tc>
              <w:tc>
                <w:tcPr>
                  <w:tcW w:w="1067" w:type="pct"/>
                  <w:tcBorders>
                    <w:tl2br w:val="nil"/>
                    <w:tr2bl w:val="nil"/>
                  </w:tcBorders>
                  <w:shd w:val="clear" w:color="auto" w:fill="auto"/>
                  <w:noWrap w:val="0"/>
                  <w:vAlign w:val="center"/>
                </w:tcPr>
                <w:p w14:paraId="41C73E7B">
                  <w:pPr>
                    <w:pStyle w:val="44"/>
                    <w:bidi w:val="0"/>
                    <w:rPr>
                      <w:rFonts w:hint="default"/>
                      <w:color w:val="auto"/>
                      <w:lang w:val="en-US" w:eastAsia="zh-CN"/>
                    </w:rPr>
                  </w:pPr>
                  <w:r>
                    <w:rPr>
                      <w:rFonts w:hint="default"/>
                      <w:color w:val="auto"/>
                      <w:lang w:val="en-US" w:eastAsia="zh-CN"/>
                    </w:rPr>
                    <w:t>生活垃圾</w:t>
                  </w:r>
                </w:p>
              </w:tc>
              <w:tc>
                <w:tcPr>
                  <w:tcW w:w="934" w:type="pct"/>
                  <w:tcBorders>
                    <w:tl2br w:val="nil"/>
                    <w:tr2bl w:val="nil"/>
                  </w:tcBorders>
                  <w:noWrap w:val="0"/>
                  <w:vAlign w:val="center"/>
                </w:tcPr>
                <w:p w14:paraId="6BC8937B">
                  <w:pPr>
                    <w:pStyle w:val="44"/>
                    <w:bidi w:val="0"/>
                    <w:rPr>
                      <w:rFonts w:hint="eastAsia"/>
                      <w:color w:val="auto"/>
                      <w:lang w:val="en-US" w:eastAsia="zh-CN"/>
                    </w:rPr>
                  </w:pPr>
                  <w:r>
                    <w:rPr>
                      <w:rFonts w:hint="default"/>
                      <w:color w:val="auto"/>
                    </w:rPr>
                    <w:t>一般固废</w:t>
                  </w:r>
                </w:p>
              </w:tc>
              <w:tc>
                <w:tcPr>
                  <w:tcW w:w="1406" w:type="pct"/>
                  <w:tcBorders>
                    <w:tl2br w:val="nil"/>
                    <w:tr2bl w:val="nil"/>
                  </w:tcBorders>
                  <w:noWrap w:val="0"/>
                  <w:vAlign w:val="center"/>
                </w:tcPr>
                <w:p w14:paraId="060DB3B2">
                  <w:pPr>
                    <w:pStyle w:val="44"/>
                    <w:bidi w:val="0"/>
                    <w:rPr>
                      <w:rFonts w:hint="eastAsia"/>
                      <w:color w:val="auto"/>
                      <w:lang w:val="en-US" w:eastAsia="zh-CN"/>
                    </w:rPr>
                  </w:pPr>
                  <w:r>
                    <w:rPr>
                      <w:rFonts w:hint="default"/>
                      <w:color w:val="auto"/>
                      <w:lang w:val="en-US" w:eastAsia="zh-CN"/>
                    </w:rPr>
                    <w:t>生活垃圾</w:t>
                  </w:r>
                </w:p>
              </w:tc>
            </w:tr>
            <w:tr w14:paraId="72AE392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340" w:type="pct"/>
                  <w:vMerge w:val="continue"/>
                  <w:tcBorders>
                    <w:tl2br w:val="nil"/>
                    <w:tr2bl w:val="nil"/>
                  </w:tcBorders>
                  <w:noWrap w:val="0"/>
                  <w:vAlign w:val="center"/>
                </w:tcPr>
                <w:p w14:paraId="41A7C4B6">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cs="Times New Roman"/>
                      <w:color w:val="auto"/>
                      <w:sz w:val="21"/>
                      <w:szCs w:val="21"/>
                      <w:highlight w:val="none"/>
                      <w:lang w:val="en-US" w:eastAsia="zh-CN"/>
                    </w:rPr>
                  </w:pPr>
                </w:p>
              </w:tc>
              <w:tc>
                <w:tcPr>
                  <w:tcW w:w="1251" w:type="pct"/>
                  <w:gridSpan w:val="3"/>
                  <w:tcBorders>
                    <w:tl2br w:val="nil"/>
                    <w:tr2bl w:val="nil"/>
                  </w:tcBorders>
                  <w:noWrap w:val="0"/>
                  <w:vAlign w:val="center"/>
                </w:tcPr>
                <w:p w14:paraId="0402B6C9">
                  <w:pPr>
                    <w:pStyle w:val="44"/>
                    <w:bidi w:val="0"/>
                    <w:rPr>
                      <w:rFonts w:hint="default"/>
                      <w:color w:val="auto"/>
                      <w:lang w:val="en-US" w:eastAsia="zh-CN"/>
                    </w:rPr>
                  </w:pPr>
                  <w:r>
                    <w:rPr>
                      <w:rFonts w:hint="default"/>
                      <w:color w:val="auto"/>
                      <w:lang w:val="en-US" w:eastAsia="zh-CN"/>
                    </w:rPr>
                    <w:t>液体化工原料使用</w:t>
                  </w:r>
                </w:p>
              </w:tc>
              <w:tc>
                <w:tcPr>
                  <w:tcW w:w="1067" w:type="pct"/>
                  <w:tcBorders>
                    <w:tl2br w:val="nil"/>
                    <w:tr2bl w:val="nil"/>
                  </w:tcBorders>
                  <w:shd w:val="clear" w:color="auto" w:fill="auto"/>
                  <w:noWrap w:val="0"/>
                  <w:vAlign w:val="center"/>
                </w:tcPr>
                <w:p w14:paraId="004F9B87">
                  <w:pPr>
                    <w:pStyle w:val="44"/>
                    <w:bidi w:val="0"/>
                    <w:rPr>
                      <w:rFonts w:hint="default"/>
                      <w:color w:val="auto"/>
                      <w:lang w:val="en-US" w:eastAsia="zh-CN"/>
                    </w:rPr>
                  </w:pPr>
                  <w:r>
                    <w:rPr>
                      <w:rFonts w:hint="default"/>
                      <w:color w:val="auto"/>
                      <w:lang w:val="en-US" w:eastAsia="zh-CN"/>
                    </w:rPr>
                    <w:t>废包装桶</w:t>
                  </w:r>
                </w:p>
              </w:tc>
              <w:tc>
                <w:tcPr>
                  <w:tcW w:w="934" w:type="pct"/>
                  <w:tcBorders>
                    <w:tl2br w:val="nil"/>
                    <w:tr2bl w:val="nil"/>
                  </w:tcBorders>
                  <w:noWrap w:val="0"/>
                  <w:vAlign w:val="center"/>
                </w:tcPr>
                <w:p w14:paraId="27423C12">
                  <w:pPr>
                    <w:pStyle w:val="44"/>
                    <w:bidi w:val="0"/>
                    <w:rPr>
                      <w:rFonts w:hint="eastAsia"/>
                      <w:color w:val="auto"/>
                      <w:lang w:val="en-US" w:eastAsia="zh-CN"/>
                    </w:rPr>
                  </w:pPr>
                  <w:r>
                    <w:rPr>
                      <w:rFonts w:hint="eastAsia"/>
                      <w:color w:val="auto"/>
                      <w:lang w:val="en-US" w:eastAsia="zh-CN"/>
                    </w:rPr>
                    <w:t>危险废物</w:t>
                  </w:r>
                </w:p>
              </w:tc>
              <w:tc>
                <w:tcPr>
                  <w:tcW w:w="1406" w:type="pct"/>
                  <w:tcBorders>
                    <w:tl2br w:val="nil"/>
                    <w:tr2bl w:val="nil"/>
                  </w:tcBorders>
                  <w:noWrap w:val="0"/>
                  <w:vAlign w:val="center"/>
                </w:tcPr>
                <w:p w14:paraId="2DC835B3">
                  <w:pPr>
                    <w:pStyle w:val="44"/>
                    <w:bidi w:val="0"/>
                    <w:rPr>
                      <w:rFonts w:hint="default"/>
                      <w:color w:val="auto"/>
                      <w:lang w:val="en-US" w:eastAsia="zh-CN"/>
                    </w:rPr>
                  </w:pPr>
                  <w:r>
                    <w:rPr>
                      <w:rFonts w:hint="eastAsia"/>
                      <w:color w:val="auto"/>
                      <w:lang w:val="en-US" w:eastAsia="zh-CN"/>
                    </w:rPr>
                    <w:t>有机物</w:t>
                  </w:r>
                </w:p>
              </w:tc>
            </w:tr>
            <w:tr w14:paraId="27A88D6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340" w:type="pct"/>
                  <w:vMerge w:val="continue"/>
                  <w:tcBorders>
                    <w:tl2br w:val="nil"/>
                    <w:tr2bl w:val="nil"/>
                  </w:tcBorders>
                  <w:noWrap w:val="0"/>
                  <w:vAlign w:val="center"/>
                </w:tcPr>
                <w:p w14:paraId="05B8A369">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cs="Times New Roman"/>
                      <w:color w:val="auto"/>
                      <w:sz w:val="21"/>
                      <w:szCs w:val="21"/>
                      <w:highlight w:val="none"/>
                      <w:lang w:val="en-US" w:eastAsia="zh-CN"/>
                    </w:rPr>
                  </w:pPr>
                </w:p>
              </w:tc>
              <w:tc>
                <w:tcPr>
                  <w:tcW w:w="1251" w:type="pct"/>
                  <w:gridSpan w:val="3"/>
                  <w:tcBorders>
                    <w:tl2br w:val="nil"/>
                    <w:tr2bl w:val="nil"/>
                  </w:tcBorders>
                  <w:noWrap w:val="0"/>
                  <w:vAlign w:val="center"/>
                </w:tcPr>
                <w:p w14:paraId="7E2784C2">
                  <w:pPr>
                    <w:pStyle w:val="44"/>
                    <w:bidi w:val="0"/>
                    <w:rPr>
                      <w:rFonts w:hint="eastAsia"/>
                      <w:color w:val="auto"/>
                      <w:lang w:val="en-US" w:eastAsia="zh-CN"/>
                    </w:rPr>
                  </w:pPr>
                  <w:r>
                    <w:rPr>
                      <w:rFonts w:hint="default"/>
                      <w:color w:val="auto"/>
                      <w:lang w:val="en-US" w:eastAsia="zh-CN"/>
                    </w:rPr>
                    <w:t>抽真空过程</w:t>
                  </w:r>
                </w:p>
              </w:tc>
              <w:tc>
                <w:tcPr>
                  <w:tcW w:w="1067" w:type="pct"/>
                  <w:tcBorders>
                    <w:tl2br w:val="nil"/>
                    <w:tr2bl w:val="nil"/>
                  </w:tcBorders>
                  <w:shd w:val="clear" w:color="auto" w:fill="auto"/>
                  <w:noWrap w:val="0"/>
                  <w:vAlign w:val="center"/>
                </w:tcPr>
                <w:p w14:paraId="439D96D9">
                  <w:pPr>
                    <w:pStyle w:val="44"/>
                    <w:bidi w:val="0"/>
                    <w:rPr>
                      <w:rFonts w:hint="eastAsia"/>
                      <w:color w:val="auto"/>
                      <w:lang w:val="en-US" w:eastAsia="zh-CN"/>
                    </w:rPr>
                  </w:pPr>
                  <w:r>
                    <w:rPr>
                      <w:rFonts w:hint="default"/>
                      <w:color w:val="auto"/>
                      <w:lang w:val="en-US" w:eastAsia="zh-CN"/>
                    </w:rPr>
                    <w:t>冷凝废液</w:t>
                  </w:r>
                </w:p>
              </w:tc>
              <w:tc>
                <w:tcPr>
                  <w:tcW w:w="934" w:type="pct"/>
                  <w:tcBorders>
                    <w:tl2br w:val="nil"/>
                    <w:tr2bl w:val="nil"/>
                  </w:tcBorders>
                  <w:noWrap w:val="0"/>
                  <w:vAlign w:val="center"/>
                </w:tcPr>
                <w:p w14:paraId="7AC0FE5F">
                  <w:pPr>
                    <w:pStyle w:val="44"/>
                    <w:bidi w:val="0"/>
                    <w:rPr>
                      <w:rFonts w:hint="eastAsia"/>
                      <w:color w:val="auto"/>
                      <w:lang w:val="en-US" w:eastAsia="zh-CN"/>
                    </w:rPr>
                  </w:pPr>
                  <w:r>
                    <w:rPr>
                      <w:rFonts w:hint="eastAsia"/>
                      <w:color w:val="auto"/>
                      <w:lang w:val="en-US" w:eastAsia="zh-CN"/>
                    </w:rPr>
                    <w:t>危险废物</w:t>
                  </w:r>
                </w:p>
              </w:tc>
              <w:tc>
                <w:tcPr>
                  <w:tcW w:w="1406" w:type="pct"/>
                  <w:tcBorders>
                    <w:tl2br w:val="nil"/>
                    <w:tr2bl w:val="nil"/>
                  </w:tcBorders>
                  <w:noWrap w:val="0"/>
                  <w:vAlign w:val="center"/>
                </w:tcPr>
                <w:p w14:paraId="330F8A78">
                  <w:pPr>
                    <w:pStyle w:val="44"/>
                    <w:bidi w:val="0"/>
                    <w:rPr>
                      <w:rFonts w:hint="default"/>
                      <w:color w:val="auto"/>
                      <w:lang w:val="en-US" w:eastAsia="zh-CN"/>
                    </w:rPr>
                  </w:pPr>
                  <w:r>
                    <w:rPr>
                      <w:rFonts w:hint="eastAsia"/>
                      <w:color w:val="auto"/>
                      <w:lang w:val="en-US" w:eastAsia="zh-CN"/>
                    </w:rPr>
                    <w:t>有机废液</w:t>
                  </w:r>
                </w:p>
              </w:tc>
            </w:tr>
            <w:tr w14:paraId="0BF3ECF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340" w:type="pct"/>
                  <w:vMerge w:val="continue"/>
                  <w:tcBorders>
                    <w:tl2br w:val="nil"/>
                    <w:tr2bl w:val="nil"/>
                  </w:tcBorders>
                  <w:noWrap w:val="0"/>
                  <w:vAlign w:val="center"/>
                </w:tcPr>
                <w:p w14:paraId="0DF458AA">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cs="Times New Roman"/>
                      <w:color w:val="auto"/>
                      <w:sz w:val="21"/>
                      <w:szCs w:val="21"/>
                      <w:highlight w:val="none"/>
                      <w:lang w:val="en-US" w:eastAsia="zh-CN"/>
                    </w:rPr>
                  </w:pPr>
                </w:p>
              </w:tc>
              <w:tc>
                <w:tcPr>
                  <w:tcW w:w="1251" w:type="pct"/>
                  <w:gridSpan w:val="3"/>
                  <w:tcBorders>
                    <w:tl2br w:val="nil"/>
                    <w:tr2bl w:val="nil"/>
                  </w:tcBorders>
                  <w:noWrap w:val="0"/>
                  <w:vAlign w:val="center"/>
                </w:tcPr>
                <w:p w14:paraId="2F4F3DD2">
                  <w:pPr>
                    <w:pStyle w:val="44"/>
                    <w:bidi w:val="0"/>
                    <w:rPr>
                      <w:rFonts w:hint="eastAsia"/>
                      <w:color w:val="auto"/>
                      <w:lang w:val="en-US" w:eastAsia="zh-CN"/>
                    </w:rPr>
                  </w:pPr>
                  <w:r>
                    <w:rPr>
                      <w:rFonts w:hint="default"/>
                      <w:color w:val="auto"/>
                      <w:lang w:val="en-US" w:eastAsia="zh-CN"/>
                    </w:rPr>
                    <w:t>有机废气治理</w:t>
                  </w:r>
                </w:p>
              </w:tc>
              <w:tc>
                <w:tcPr>
                  <w:tcW w:w="1067" w:type="pct"/>
                  <w:tcBorders>
                    <w:tl2br w:val="nil"/>
                    <w:tr2bl w:val="nil"/>
                  </w:tcBorders>
                  <w:shd w:val="clear" w:color="auto" w:fill="auto"/>
                  <w:noWrap w:val="0"/>
                  <w:vAlign w:val="center"/>
                </w:tcPr>
                <w:p w14:paraId="2E21C7E2">
                  <w:pPr>
                    <w:pStyle w:val="44"/>
                    <w:bidi w:val="0"/>
                    <w:rPr>
                      <w:rFonts w:hint="eastAsia"/>
                      <w:color w:val="auto"/>
                      <w:lang w:val="en-US" w:eastAsia="zh-CN"/>
                    </w:rPr>
                  </w:pPr>
                  <w:r>
                    <w:rPr>
                      <w:rFonts w:hint="default"/>
                      <w:color w:val="auto"/>
                      <w:lang w:val="en-US" w:eastAsia="zh-CN"/>
                    </w:rPr>
                    <w:t>废活性炭</w:t>
                  </w:r>
                </w:p>
              </w:tc>
              <w:tc>
                <w:tcPr>
                  <w:tcW w:w="934" w:type="pct"/>
                  <w:tcBorders>
                    <w:tl2br w:val="nil"/>
                    <w:tr2bl w:val="nil"/>
                  </w:tcBorders>
                  <w:noWrap w:val="0"/>
                  <w:vAlign w:val="center"/>
                </w:tcPr>
                <w:p w14:paraId="7B5B7B0B">
                  <w:pPr>
                    <w:pStyle w:val="44"/>
                    <w:bidi w:val="0"/>
                    <w:rPr>
                      <w:rFonts w:hint="eastAsia"/>
                      <w:color w:val="auto"/>
                      <w:lang w:val="en-US" w:eastAsia="zh-CN"/>
                    </w:rPr>
                  </w:pPr>
                  <w:r>
                    <w:rPr>
                      <w:rFonts w:hint="eastAsia"/>
                      <w:color w:val="auto"/>
                      <w:lang w:val="en-US" w:eastAsia="zh-CN"/>
                    </w:rPr>
                    <w:t>危险废物</w:t>
                  </w:r>
                </w:p>
              </w:tc>
              <w:tc>
                <w:tcPr>
                  <w:tcW w:w="1406" w:type="pct"/>
                  <w:tcBorders>
                    <w:tl2br w:val="nil"/>
                    <w:tr2bl w:val="nil"/>
                  </w:tcBorders>
                  <w:shd w:val="clear" w:color="auto" w:fill="auto"/>
                  <w:noWrap w:val="0"/>
                  <w:vAlign w:val="center"/>
                </w:tcPr>
                <w:p w14:paraId="7F4F9FE5">
                  <w:pPr>
                    <w:pStyle w:val="44"/>
                    <w:bidi w:val="0"/>
                    <w:rPr>
                      <w:rFonts w:hint="eastAsia" w:ascii="Times New Roman" w:hAnsi="Times New Roman" w:eastAsia="宋体"/>
                      <w:color w:val="auto"/>
                      <w:kern w:val="2"/>
                      <w:sz w:val="21"/>
                      <w:szCs w:val="21"/>
                      <w:lang w:val="en-US" w:eastAsia="zh-CN" w:bidi="ar-SA"/>
                    </w:rPr>
                  </w:pPr>
                  <w:r>
                    <w:rPr>
                      <w:rFonts w:hint="default"/>
                      <w:color w:val="auto"/>
                      <w:lang w:val="en-US" w:eastAsia="zh-CN"/>
                    </w:rPr>
                    <w:t>废活性炭</w:t>
                  </w:r>
                </w:p>
              </w:tc>
            </w:tr>
            <w:tr w14:paraId="057DB24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340" w:type="pct"/>
                  <w:vMerge w:val="continue"/>
                  <w:tcBorders>
                    <w:tl2br w:val="nil"/>
                    <w:tr2bl w:val="nil"/>
                  </w:tcBorders>
                  <w:noWrap w:val="0"/>
                  <w:vAlign w:val="center"/>
                </w:tcPr>
                <w:p w14:paraId="211CCB15">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cs="Times New Roman"/>
                      <w:color w:val="auto"/>
                      <w:sz w:val="21"/>
                      <w:szCs w:val="21"/>
                      <w:highlight w:val="none"/>
                      <w:lang w:val="en-US" w:eastAsia="zh-CN"/>
                    </w:rPr>
                  </w:pPr>
                </w:p>
              </w:tc>
              <w:tc>
                <w:tcPr>
                  <w:tcW w:w="1251" w:type="pct"/>
                  <w:gridSpan w:val="3"/>
                  <w:tcBorders>
                    <w:tl2br w:val="nil"/>
                    <w:tr2bl w:val="nil"/>
                  </w:tcBorders>
                  <w:noWrap w:val="0"/>
                  <w:vAlign w:val="center"/>
                </w:tcPr>
                <w:p w14:paraId="61CA38FA">
                  <w:pPr>
                    <w:pStyle w:val="44"/>
                    <w:bidi w:val="0"/>
                    <w:rPr>
                      <w:rFonts w:hint="eastAsia"/>
                      <w:color w:val="auto"/>
                      <w:lang w:val="en-US" w:eastAsia="zh-CN"/>
                    </w:rPr>
                  </w:pPr>
                  <w:r>
                    <w:rPr>
                      <w:rFonts w:hint="default"/>
                      <w:color w:val="auto"/>
                      <w:lang w:val="en-US" w:eastAsia="zh-CN"/>
                    </w:rPr>
                    <w:t>有机废气治理</w:t>
                  </w:r>
                </w:p>
              </w:tc>
              <w:tc>
                <w:tcPr>
                  <w:tcW w:w="1067" w:type="pct"/>
                  <w:tcBorders>
                    <w:tl2br w:val="nil"/>
                    <w:tr2bl w:val="nil"/>
                  </w:tcBorders>
                  <w:shd w:val="clear" w:color="auto" w:fill="auto"/>
                  <w:noWrap w:val="0"/>
                  <w:vAlign w:val="center"/>
                </w:tcPr>
                <w:p w14:paraId="0D258EE3">
                  <w:pPr>
                    <w:pStyle w:val="44"/>
                    <w:bidi w:val="0"/>
                    <w:rPr>
                      <w:rFonts w:hint="eastAsia"/>
                      <w:color w:val="auto"/>
                      <w:lang w:val="en-US" w:eastAsia="zh-CN"/>
                    </w:rPr>
                  </w:pPr>
                  <w:r>
                    <w:rPr>
                      <w:rFonts w:hint="default"/>
                      <w:color w:val="auto"/>
                      <w:lang w:val="en-US" w:eastAsia="zh-CN"/>
                    </w:rPr>
                    <w:t>废过滤棉</w:t>
                  </w:r>
                </w:p>
              </w:tc>
              <w:tc>
                <w:tcPr>
                  <w:tcW w:w="934" w:type="pct"/>
                  <w:tcBorders>
                    <w:tl2br w:val="nil"/>
                    <w:tr2bl w:val="nil"/>
                  </w:tcBorders>
                  <w:noWrap w:val="0"/>
                  <w:vAlign w:val="center"/>
                </w:tcPr>
                <w:p w14:paraId="75AA28D3">
                  <w:pPr>
                    <w:pStyle w:val="44"/>
                    <w:bidi w:val="0"/>
                    <w:rPr>
                      <w:rFonts w:hint="eastAsia"/>
                      <w:color w:val="auto"/>
                      <w:lang w:val="en-US" w:eastAsia="zh-CN"/>
                    </w:rPr>
                  </w:pPr>
                  <w:r>
                    <w:rPr>
                      <w:rFonts w:hint="eastAsia"/>
                      <w:color w:val="auto"/>
                      <w:lang w:val="en-US" w:eastAsia="zh-CN"/>
                    </w:rPr>
                    <w:t>危险废物</w:t>
                  </w:r>
                </w:p>
              </w:tc>
              <w:tc>
                <w:tcPr>
                  <w:tcW w:w="1406" w:type="pct"/>
                  <w:tcBorders>
                    <w:tl2br w:val="nil"/>
                    <w:tr2bl w:val="nil"/>
                  </w:tcBorders>
                  <w:shd w:val="clear" w:color="auto" w:fill="auto"/>
                  <w:noWrap w:val="0"/>
                  <w:vAlign w:val="center"/>
                </w:tcPr>
                <w:p w14:paraId="357AF819">
                  <w:pPr>
                    <w:pStyle w:val="44"/>
                    <w:bidi w:val="0"/>
                    <w:rPr>
                      <w:rFonts w:hint="eastAsia" w:ascii="Times New Roman" w:hAnsi="Times New Roman" w:eastAsia="宋体"/>
                      <w:color w:val="auto"/>
                      <w:kern w:val="2"/>
                      <w:sz w:val="21"/>
                      <w:szCs w:val="21"/>
                      <w:lang w:val="en-US" w:eastAsia="zh-CN" w:bidi="ar-SA"/>
                    </w:rPr>
                  </w:pPr>
                  <w:r>
                    <w:rPr>
                      <w:rFonts w:hint="default"/>
                      <w:color w:val="auto"/>
                      <w:lang w:val="en-US" w:eastAsia="zh-CN"/>
                    </w:rPr>
                    <w:t>废过滤棉</w:t>
                  </w:r>
                </w:p>
              </w:tc>
            </w:tr>
            <w:tr w14:paraId="148D9E2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340" w:type="pct"/>
                  <w:vMerge w:val="continue"/>
                  <w:tcBorders>
                    <w:tl2br w:val="nil"/>
                    <w:tr2bl w:val="nil"/>
                  </w:tcBorders>
                  <w:noWrap w:val="0"/>
                  <w:vAlign w:val="center"/>
                </w:tcPr>
                <w:p w14:paraId="75EECDD8">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cs="Times New Roman"/>
                      <w:color w:val="auto"/>
                      <w:sz w:val="21"/>
                      <w:szCs w:val="21"/>
                      <w:highlight w:val="none"/>
                      <w:lang w:val="en-US" w:eastAsia="zh-CN"/>
                    </w:rPr>
                  </w:pPr>
                </w:p>
              </w:tc>
              <w:tc>
                <w:tcPr>
                  <w:tcW w:w="1251" w:type="pct"/>
                  <w:gridSpan w:val="3"/>
                  <w:tcBorders>
                    <w:tl2br w:val="nil"/>
                    <w:tr2bl w:val="nil"/>
                  </w:tcBorders>
                  <w:noWrap w:val="0"/>
                  <w:vAlign w:val="center"/>
                </w:tcPr>
                <w:p w14:paraId="7FBF6F55">
                  <w:pPr>
                    <w:pStyle w:val="44"/>
                    <w:bidi w:val="0"/>
                    <w:rPr>
                      <w:rFonts w:hint="eastAsia"/>
                      <w:color w:val="auto"/>
                      <w:lang w:val="en-US" w:eastAsia="zh-CN"/>
                    </w:rPr>
                  </w:pPr>
                  <w:r>
                    <w:rPr>
                      <w:rFonts w:hint="default"/>
                      <w:color w:val="auto"/>
                      <w:lang w:val="en-US" w:eastAsia="zh-CN"/>
                    </w:rPr>
                    <w:t>设备维护</w:t>
                  </w:r>
                </w:p>
              </w:tc>
              <w:tc>
                <w:tcPr>
                  <w:tcW w:w="1067" w:type="pct"/>
                  <w:tcBorders>
                    <w:tl2br w:val="nil"/>
                    <w:tr2bl w:val="nil"/>
                  </w:tcBorders>
                  <w:shd w:val="clear" w:color="auto" w:fill="auto"/>
                  <w:noWrap w:val="0"/>
                  <w:vAlign w:val="center"/>
                </w:tcPr>
                <w:p w14:paraId="7E09879D">
                  <w:pPr>
                    <w:pStyle w:val="44"/>
                    <w:bidi w:val="0"/>
                    <w:rPr>
                      <w:rFonts w:hint="eastAsia"/>
                      <w:color w:val="auto"/>
                      <w:lang w:val="en-US" w:eastAsia="zh-CN"/>
                    </w:rPr>
                  </w:pPr>
                  <w:r>
                    <w:rPr>
                      <w:rFonts w:hint="default"/>
                      <w:color w:val="auto"/>
                      <w:lang w:val="en-US" w:eastAsia="zh-CN"/>
                    </w:rPr>
                    <w:t>废机油</w:t>
                  </w:r>
                </w:p>
              </w:tc>
              <w:tc>
                <w:tcPr>
                  <w:tcW w:w="934" w:type="pct"/>
                  <w:tcBorders>
                    <w:tl2br w:val="nil"/>
                    <w:tr2bl w:val="nil"/>
                  </w:tcBorders>
                  <w:noWrap w:val="0"/>
                  <w:vAlign w:val="center"/>
                </w:tcPr>
                <w:p w14:paraId="20F067E1">
                  <w:pPr>
                    <w:pStyle w:val="44"/>
                    <w:bidi w:val="0"/>
                    <w:rPr>
                      <w:rFonts w:hint="eastAsia"/>
                      <w:color w:val="auto"/>
                      <w:lang w:val="en-US" w:eastAsia="zh-CN"/>
                    </w:rPr>
                  </w:pPr>
                  <w:r>
                    <w:rPr>
                      <w:rFonts w:hint="eastAsia"/>
                      <w:color w:val="auto"/>
                      <w:lang w:val="en-US" w:eastAsia="zh-CN"/>
                    </w:rPr>
                    <w:t>危险废物</w:t>
                  </w:r>
                </w:p>
              </w:tc>
              <w:tc>
                <w:tcPr>
                  <w:tcW w:w="1406" w:type="pct"/>
                  <w:tcBorders>
                    <w:tl2br w:val="nil"/>
                    <w:tr2bl w:val="nil"/>
                  </w:tcBorders>
                  <w:shd w:val="clear" w:color="auto" w:fill="auto"/>
                  <w:noWrap w:val="0"/>
                  <w:vAlign w:val="center"/>
                </w:tcPr>
                <w:p w14:paraId="7AFF60A3">
                  <w:pPr>
                    <w:pStyle w:val="44"/>
                    <w:bidi w:val="0"/>
                    <w:rPr>
                      <w:rFonts w:hint="eastAsia" w:ascii="Times New Roman" w:hAnsi="Times New Roman" w:eastAsia="宋体"/>
                      <w:color w:val="auto"/>
                      <w:kern w:val="2"/>
                      <w:sz w:val="21"/>
                      <w:szCs w:val="21"/>
                      <w:lang w:val="en-US" w:eastAsia="zh-CN" w:bidi="ar-SA"/>
                    </w:rPr>
                  </w:pPr>
                  <w:r>
                    <w:rPr>
                      <w:rFonts w:hint="default"/>
                      <w:color w:val="auto"/>
                      <w:lang w:val="en-US" w:eastAsia="zh-CN"/>
                    </w:rPr>
                    <w:t>废机油</w:t>
                  </w:r>
                </w:p>
              </w:tc>
            </w:tr>
            <w:tr w14:paraId="41BA75E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340" w:type="pct"/>
                  <w:vMerge w:val="continue"/>
                  <w:tcBorders>
                    <w:tl2br w:val="nil"/>
                    <w:tr2bl w:val="nil"/>
                  </w:tcBorders>
                  <w:noWrap w:val="0"/>
                  <w:vAlign w:val="center"/>
                </w:tcPr>
                <w:p w14:paraId="4D63E164">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cs="Times New Roman"/>
                      <w:color w:val="auto"/>
                      <w:sz w:val="21"/>
                      <w:szCs w:val="21"/>
                      <w:highlight w:val="none"/>
                      <w:lang w:val="en-US" w:eastAsia="zh-CN"/>
                    </w:rPr>
                  </w:pPr>
                </w:p>
              </w:tc>
              <w:tc>
                <w:tcPr>
                  <w:tcW w:w="1251" w:type="pct"/>
                  <w:gridSpan w:val="3"/>
                  <w:tcBorders>
                    <w:tl2br w:val="nil"/>
                    <w:tr2bl w:val="nil"/>
                  </w:tcBorders>
                  <w:noWrap w:val="0"/>
                  <w:vAlign w:val="center"/>
                </w:tcPr>
                <w:p w14:paraId="18E41F84">
                  <w:pPr>
                    <w:pStyle w:val="44"/>
                    <w:bidi w:val="0"/>
                    <w:rPr>
                      <w:rFonts w:hint="eastAsia"/>
                      <w:color w:val="auto"/>
                      <w:lang w:val="en-US" w:eastAsia="zh-CN"/>
                    </w:rPr>
                  </w:pPr>
                  <w:r>
                    <w:rPr>
                      <w:rFonts w:hint="default"/>
                      <w:color w:val="auto"/>
                      <w:lang w:val="en-US" w:eastAsia="zh-CN"/>
                    </w:rPr>
                    <w:t>设备维护</w:t>
                  </w:r>
                </w:p>
              </w:tc>
              <w:tc>
                <w:tcPr>
                  <w:tcW w:w="1067" w:type="pct"/>
                  <w:tcBorders>
                    <w:tl2br w:val="nil"/>
                    <w:tr2bl w:val="nil"/>
                  </w:tcBorders>
                  <w:shd w:val="clear" w:color="auto" w:fill="auto"/>
                  <w:noWrap w:val="0"/>
                  <w:vAlign w:val="center"/>
                </w:tcPr>
                <w:p w14:paraId="62757A16">
                  <w:pPr>
                    <w:pStyle w:val="44"/>
                    <w:bidi w:val="0"/>
                    <w:rPr>
                      <w:rFonts w:hint="eastAsia"/>
                      <w:color w:val="auto"/>
                      <w:lang w:val="en-US" w:eastAsia="zh-CN"/>
                    </w:rPr>
                  </w:pPr>
                  <w:r>
                    <w:rPr>
                      <w:rFonts w:hint="default"/>
                      <w:color w:val="auto"/>
                      <w:lang w:val="en-US" w:eastAsia="zh-CN"/>
                    </w:rPr>
                    <w:t>废机油桶</w:t>
                  </w:r>
                </w:p>
              </w:tc>
              <w:tc>
                <w:tcPr>
                  <w:tcW w:w="934" w:type="pct"/>
                  <w:tcBorders>
                    <w:tl2br w:val="nil"/>
                    <w:tr2bl w:val="nil"/>
                  </w:tcBorders>
                  <w:noWrap w:val="0"/>
                  <w:vAlign w:val="center"/>
                </w:tcPr>
                <w:p w14:paraId="0206DD74">
                  <w:pPr>
                    <w:pStyle w:val="44"/>
                    <w:bidi w:val="0"/>
                    <w:rPr>
                      <w:rFonts w:hint="eastAsia"/>
                      <w:color w:val="auto"/>
                      <w:lang w:val="en-US" w:eastAsia="zh-CN"/>
                    </w:rPr>
                  </w:pPr>
                  <w:r>
                    <w:rPr>
                      <w:rFonts w:hint="eastAsia"/>
                      <w:color w:val="auto"/>
                      <w:lang w:val="en-US" w:eastAsia="zh-CN"/>
                    </w:rPr>
                    <w:t>危险废物</w:t>
                  </w:r>
                </w:p>
              </w:tc>
              <w:tc>
                <w:tcPr>
                  <w:tcW w:w="1406" w:type="pct"/>
                  <w:tcBorders>
                    <w:tl2br w:val="nil"/>
                    <w:tr2bl w:val="nil"/>
                  </w:tcBorders>
                  <w:shd w:val="clear" w:color="auto" w:fill="auto"/>
                  <w:noWrap w:val="0"/>
                  <w:vAlign w:val="center"/>
                </w:tcPr>
                <w:p w14:paraId="67E60B39">
                  <w:pPr>
                    <w:pStyle w:val="44"/>
                    <w:bidi w:val="0"/>
                    <w:rPr>
                      <w:rFonts w:hint="eastAsia" w:ascii="Times New Roman" w:hAnsi="Times New Roman" w:eastAsia="宋体"/>
                      <w:color w:val="auto"/>
                      <w:kern w:val="2"/>
                      <w:sz w:val="21"/>
                      <w:szCs w:val="21"/>
                      <w:lang w:val="en-US" w:eastAsia="zh-CN" w:bidi="ar-SA"/>
                    </w:rPr>
                  </w:pPr>
                  <w:r>
                    <w:rPr>
                      <w:rFonts w:hint="default"/>
                      <w:color w:val="auto"/>
                      <w:lang w:val="en-US" w:eastAsia="zh-CN"/>
                    </w:rPr>
                    <w:t>废机油桶</w:t>
                  </w:r>
                </w:p>
              </w:tc>
            </w:tr>
            <w:tr w14:paraId="4D6B63C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340" w:type="pct"/>
                  <w:tcBorders>
                    <w:tl2br w:val="nil"/>
                    <w:tr2bl w:val="nil"/>
                  </w:tcBorders>
                  <w:noWrap w:val="0"/>
                  <w:vAlign w:val="center"/>
                </w:tcPr>
                <w:p w14:paraId="22DCDD68">
                  <w:pPr>
                    <w:keepNext w:val="0"/>
                    <w:keepLines w:val="0"/>
                    <w:pageBreakBefore w:val="0"/>
                    <w:widowControl/>
                    <w:kinsoku/>
                    <w:wordWrap/>
                    <w:overflowPunct/>
                    <w:topLinePunct w:val="0"/>
                    <w:bidi w:val="0"/>
                    <w:adjustRightInd w:val="0"/>
                    <w:snapToGrid w:val="0"/>
                    <w:spacing w:line="24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噪声</w:t>
                  </w:r>
                </w:p>
              </w:tc>
              <w:tc>
                <w:tcPr>
                  <w:tcW w:w="664" w:type="pct"/>
                  <w:gridSpan w:val="2"/>
                  <w:tcBorders>
                    <w:tl2br w:val="nil"/>
                    <w:tr2bl w:val="nil"/>
                  </w:tcBorders>
                  <w:noWrap w:val="0"/>
                  <w:vAlign w:val="center"/>
                </w:tcPr>
                <w:p w14:paraId="17D6645E">
                  <w:pPr>
                    <w:pStyle w:val="44"/>
                    <w:bidi w:val="0"/>
                    <w:rPr>
                      <w:rFonts w:hint="default"/>
                      <w:color w:val="auto"/>
                      <w:lang w:val="en-US" w:eastAsia="zh-CN"/>
                    </w:rPr>
                  </w:pPr>
                  <w:r>
                    <w:rPr>
                      <w:rFonts w:hint="default"/>
                      <w:color w:val="auto"/>
                      <w:lang w:val="en-US" w:eastAsia="zh-CN"/>
                    </w:rPr>
                    <w:t>设备运行</w:t>
                  </w:r>
                </w:p>
              </w:tc>
              <w:tc>
                <w:tcPr>
                  <w:tcW w:w="3995" w:type="pct"/>
                  <w:gridSpan w:val="4"/>
                  <w:tcBorders>
                    <w:tl2br w:val="nil"/>
                    <w:tr2bl w:val="nil"/>
                  </w:tcBorders>
                  <w:noWrap w:val="0"/>
                  <w:vAlign w:val="center"/>
                </w:tcPr>
                <w:p w14:paraId="4E922690">
                  <w:pPr>
                    <w:pStyle w:val="44"/>
                    <w:bidi w:val="0"/>
                    <w:rPr>
                      <w:rFonts w:hint="default"/>
                      <w:color w:val="auto"/>
                    </w:rPr>
                  </w:pPr>
                  <w:r>
                    <w:rPr>
                      <w:rFonts w:hint="default"/>
                      <w:color w:val="auto"/>
                    </w:rPr>
                    <w:t>主要噪声源为</w:t>
                  </w:r>
                  <w:r>
                    <w:rPr>
                      <w:rFonts w:hint="eastAsia"/>
                      <w:color w:val="auto"/>
                      <w:lang w:val="en-US" w:eastAsia="zh-CN"/>
                    </w:rPr>
                    <w:t>搅拌机、双螺杆挤出机、灌装机、</w:t>
                  </w:r>
                  <w:r>
                    <w:rPr>
                      <w:rFonts w:hint="default"/>
                      <w:color w:val="auto"/>
                      <w:lang w:val="en-US" w:eastAsia="zh-CN"/>
                    </w:rPr>
                    <w:t>风机</w:t>
                  </w:r>
                  <w:r>
                    <w:rPr>
                      <w:rFonts w:hint="default"/>
                      <w:color w:val="auto"/>
                    </w:rPr>
                    <w:t>等生产设备</w:t>
                  </w:r>
                </w:p>
              </w:tc>
            </w:tr>
          </w:tbl>
          <w:p w14:paraId="050855A4">
            <w:pPr>
              <w:adjustRightInd w:val="0"/>
              <w:snapToGrid w:val="0"/>
              <w:rPr>
                <w:rFonts w:hint="default" w:ascii="Times New Roman" w:hAnsi="Times New Roman" w:eastAsia="宋体" w:cs="Times New Roman"/>
                <w:bCs/>
                <w:color w:val="auto"/>
                <w:highlight w:val="none"/>
                <w:lang w:eastAsia="zh-CN"/>
              </w:rPr>
            </w:pPr>
          </w:p>
        </w:tc>
      </w:tr>
      <w:tr w14:paraId="141000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63" w:hRule="atLeast"/>
          <w:jc w:val="center"/>
        </w:trPr>
        <w:tc>
          <w:tcPr>
            <w:tcW w:w="478" w:type="pct"/>
            <w:noWrap w:val="0"/>
            <w:vAlign w:val="center"/>
          </w:tcPr>
          <w:p w14:paraId="32950DED">
            <w:pPr>
              <w:pStyle w:val="28"/>
              <w:adjustRightInd w:val="0"/>
              <w:snapToGrid w:val="0"/>
              <w:spacing w:before="0" w:beforeAutospacing="0" w:after="0" w:afterAutospacing="0"/>
              <w:jc w:val="center"/>
              <w:rPr>
                <w:rFonts w:hint="default" w:ascii="Times New Roman" w:hAnsi="Times New Roman" w:cs="Times New Roman"/>
                <w:color w:val="auto"/>
                <w:szCs w:val="24"/>
                <w:highlight w:val="none"/>
                <w:lang w:val="en-US" w:eastAsia="zh-CN"/>
              </w:rPr>
            </w:pPr>
            <w:r>
              <w:rPr>
                <w:rFonts w:hint="default" w:ascii="Times New Roman" w:hAnsi="Times New Roman" w:cs="Times New Roman"/>
                <w:bCs/>
                <w:color w:val="auto"/>
                <w:kern w:val="2"/>
                <w:szCs w:val="24"/>
                <w:highlight w:val="none"/>
                <w:lang w:val="en-US" w:eastAsia="zh-CN"/>
              </w:rPr>
              <w:t>与项目有关的原有环境污染问题</w:t>
            </w:r>
          </w:p>
        </w:tc>
        <w:tc>
          <w:tcPr>
            <w:tcW w:w="4521" w:type="pct"/>
            <w:noWrap w:val="0"/>
            <w:vAlign w:val="top"/>
          </w:tcPr>
          <w:p w14:paraId="4D0B52DD">
            <w:pPr>
              <w:bidi w:val="0"/>
              <w:ind w:firstLine="480" w:firstLineChars="200"/>
              <w:jc w:val="both"/>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sz w:val="24"/>
                <w:szCs w:val="24"/>
                <w:lang w:val="en-US" w:eastAsia="zh-CN"/>
              </w:rPr>
              <w:t>本项目新建项目，租赁现有厂房建设，经现场勘查，未发现与项目有关的原有污染情况及主要环境问题。</w:t>
            </w:r>
          </w:p>
          <w:p w14:paraId="64EB22AB">
            <w:pPr>
              <w:adjustRightInd w:val="0"/>
              <w:snapToGrid w:val="0"/>
              <w:rPr>
                <w:rFonts w:hint="eastAsia" w:cs="Times New Roman"/>
                <w:bCs/>
                <w:color w:val="auto"/>
                <w:highlight w:val="none"/>
                <w:lang w:eastAsia="zh-CN"/>
              </w:rPr>
            </w:pPr>
          </w:p>
          <w:p w14:paraId="31019FC5">
            <w:pPr>
              <w:adjustRightInd w:val="0"/>
              <w:snapToGrid w:val="0"/>
              <w:rPr>
                <w:rFonts w:hint="eastAsia" w:cs="Times New Roman"/>
                <w:bCs/>
                <w:color w:val="auto"/>
                <w:highlight w:val="none"/>
                <w:lang w:eastAsia="zh-CN"/>
              </w:rPr>
            </w:pPr>
          </w:p>
          <w:p w14:paraId="3D9B23BC">
            <w:pPr>
              <w:adjustRightInd w:val="0"/>
              <w:snapToGrid w:val="0"/>
              <w:rPr>
                <w:rFonts w:hint="eastAsia" w:cs="Times New Roman"/>
                <w:bCs/>
                <w:color w:val="auto"/>
                <w:highlight w:val="none"/>
                <w:lang w:eastAsia="zh-CN"/>
              </w:rPr>
            </w:pPr>
          </w:p>
          <w:p w14:paraId="3F249C2A">
            <w:pPr>
              <w:adjustRightInd w:val="0"/>
              <w:snapToGrid w:val="0"/>
              <w:rPr>
                <w:rFonts w:hint="eastAsia" w:cs="Times New Roman"/>
                <w:bCs/>
                <w:color w:val="auto"/>
                <w:highlight w:val="none"/>
                <w:lang w:eastAsia="zh-CN"/>
              </w:rPr>
            </w:pPr>
          </w:p>
          <w:p w14:paraId="12A4F874">
            <w:pPr>
              <w:adjustRightInd w:val="0"/>
              <w:snapToGrid w:val="0"/>
              <w:rPr>
                <w:rFonts w:hint="eastAsia" w:cs="Times New Roman"/>
                <w:bCs/>
                <w:color w:val="auto"/>
                <w:highlight w:val="none"/>
                <w:lang w:eastAsia="zh-CN"/>
              </w:rPr>
            </w:pPr>
          </w:p>
          <w:p w14:paraId="373C38B7">
            <w:pPr>
              <w:adjustRightInd w:val="0"/>
              <w:snapToGrid w:val="0"/>
              <w:rPr>
                <w:rFonts w:hint="eastAsia" w:cs="Times New Roman"/>
                <w:bCs/>
                <w:color w:val="auto"/>
                <w:highlight w:val="none"/>
                <w:lang w:eastAsia="zh-CN"/>
              </w:rPr>
            </w:pPr>
          </w:p>
          <w:p w14:paraId="7792CE16">
            <w:pPr>
              <w:adjustRightInd w:val="0"/>
              <w:snapToGrid w:val="0"/>
              <w:rPr>
                <w:rFonts w:hint="eastAsia" w:cs="Times New Roman"/>
                <w:bCs/>
                <w:color w:val="auto"/>
                <w:highlight w:val="none"/>
                <w:lang w:eastAsia="zh-CN"/>
              </w:rPr>
            </w:pPr>
          </w:p>
          <w:p w14:paraId="2E6C4488">
            <w:pPr>
              <w:adjustRightInd w:val="0"/>
              <w:snapToGrid w:val="0"/>
              <w:rPr>
                <w:rFonts w:hint="eastAsia" w:cs="Times New Roman"/>
                <w:bCs/>
                <w:color w:val="auto"/>
                <w:highlight w:val="none"/>
                <w:lang w:eastAsia="zh-CN"/>
              </w:rPr>
            </w:pPr>
          </w:p>
          <w:p w14:paraId="2520B88F">
            <w:pPr>
              <w:adjustRightInd w:val="0"/>
              <w:snapToGrid w:val="0"/>
              <w:rPr>
                <w:rFonts w:hint="eastAsia" w:cs="Times New Roman"/>
                <w:bCs/>
                <w:color w:val="auto"/>
                <w:highlight w:val="none"/>
                <w:lang w:eastAsia="zh-CN"/>
              </w:rPr>
            </w:pPr>
          </w:p>
          <w:p w14:paraId="57736CB9">
            <w:pPr>
              <w:adjustRightInd w:val="0"/>
              <w:snapToGrid w:val="0"/>
              <w:rPr>
                <w:rFonts w:hint="eastAsia" w:cs="Times New Roman"/>
                <w:bCs/>
                <w:color w:val="auto"/>
                <w:highlight w:val="none"/>
                <w:lang w:eastAsia="zh-CN"/>
              </w:rPr>
            </w:pPr>
          </w:p>
          <w:p w14:paraId="54AB0676">
            <w:pPr>
              <w:adjustRightInd w:val="0"/>
              <w:snapToGrid w:val="0"/>
              <w:rPr>
                <w:rFonts w:hint="eastAsia" w:cs="Times New Roman"/>
                <w:bCs/>
                <w:color w:val="auto"/>
                <w:highlight w:val="none"/>
                <w:lang w:eastAsia="zh-CN"/>
              </w:rPr>
            </w:pPr>
          </w:p>
          <w:p w14:paraId="25395EF3">
            <w:pPr>
              <w:adjustRightInd w:val="0"/>
              <w:snapToGrid w:val="0"/>
              <w:rPr>
                <w:rFonts w:hint="eastAsia" w:cs="Times New Roman"/>
                <w:bCs/>
                <w:color w:val="auto"/>
                <w:highlight w:val="none"/>
                <w:lang w:eastAsia="zh-CN"/>
              </w:rPr>
            </w:pPr>
          </w:p>
          <w:p w14:paraId="34ECE686">
            <w:pPr>
              <w:adjustRightInd w:val="0"/>
              <w:snapToGrid w:val="0"/>
              <w:rPr>
                <w:rFonts w:hint="eastAsia" w:cs="Times New Roman"/>
                <w:bCs/>
                <w:color w:val="auto"/>
                <w:highlight w:val="none"/>
                <w:lang w:eastAsia="zh-CN"/>
              </w:rPr>
            </w:pPr>
          </w:p>
          <w:p w14:paraId="466CFE2B">
            <w:pPr>
              <w:adjustRightInd w:val="0"/>
              <w:snapToGrid w:val="0"/>
              <w:rPr>
                <w:rFonts w:hint="eastAsia" w:cs="Times New Roman"/>
                <w:bCs/>
                <w:color w:val="auto"/>
                <w:highlight w:val="none"/>
                <w:lang w:eastAsia="zh-CN"/>
              </w:rPr>
            </w:pPr>
          </w:p>
          <w:p w14:paraId="50BE67B5">
            <w:pPr>
              <w:adjustRightInd w:val="0"/>
              <w:snapToGrid w:val="0"/>
              <w:rPr>
                <w:rFonts w:hint="eastAsia" w:cs="Times New Roman"/>
                <w:bCs/>
                <w:color w:val="auto"/>
                <w:highlight w:val="none"/>
                <w:lang w:eastAsia="zh-CN"/>
              </w:rPr>
            </w:pPr>
          </w:p>
          <w:p w14:paraId="53AA34B0">
            <w:pPr>
              <w:adjustRightInd w:val="0"/>
              <w:snapToGrid w:val="0"/>
              <w:rPr>
                <w:rFonts w:hint="eastAsia" w:cs="Times New Roman"/>
                <w:bCs/>
                <w:color w:val="auto"/>
                <w:highlight w:val="none"/>
                <w:lang w:eastAsia="zh-CN"/>
              </w:rPr>
            </w:pPr>
          </w:p>
          <w:p w14:paraId="07EF0D52">
            <w:pPr>
              <w:adjustRightInd w:val="0"/>
              <w:snapToGrid w:val="0"/>
              <w:rPr>
                <w:rFonts w:hint="eastAsia" w:cs="Times New Roman"/>
                <w:bCs/>
                <w:color w:val="auto"/>
                <w:highlight w:val="none"/>
                <w:lang w:eastAsia="zh-CN"/>
              </w:rPr>
            </w:pPr>
          </w:p>
          <w:p w14:paraId="6288D406">
            <w:pPr>
              <w:adjustRightInd w:val="0"/>
              <w:snapToGrid w:val="0"/>
              <w:rPr>
                <w:rFonts w:hint="eastAsia" w:cs="Times New Roman"/>
                <w:bCs/>
                <w:color w:val="auto"/>
                <w:highlight w:val="none"/>
                <w:lang w:eastAsia="zh-CN"/>
              </w:rPr>
            </w:pPr>
          </w:p>
          <w:p w14:paraId="7D00F15A">
            <w:pPr>
              <w:adjustRightInd w:val="0"/>
              <w:snapToGrid w:val="0"/>
              <w:rPr>
                <w:rFonts w:hint="eastAsia" w:cs="Times New Roman"/>
                <w:bCs/>
                <w:color w:val="auto"/>
                <w:highlight w:val="none"/>
                <w:lang w:eastAsia="zh-CN"/>
              </w:rPr>
            </w:pPr>
          </w:p>
          <w:p w14:paraId="1BBC0F60">
            <w:pPr>
              <w:adjustRightInd w:val="0"/>
              <w:snapToGrid w:val="0"/>
              <w:rPr>
                <w:rFonts w:hint="eastAsia" w:cs="Times New Roman"/>
                <w:bCs/>
                <w:color w:val="auto"/>
                <w:highlight w:val="none"/>
                <w:lang w:eastAsia="zh-CN"/>
              </w:rPr>
            </w:pPr>
          </w:p>
          <w:p w14:paraId="5CA80913">
            <w:pPr>
              <w:adjustRightInd w:val="0"/>
              <w:snapToGrid w:val="0"/>
              <w:rPr>
                <w:rFonts w:hint="eastAsia" w:cs="Times New Roman"/>
                <w:bCs/>
                <w:color w:val="auto"/>
                <w:highlight w:val="none"/>
                <w:lang w:eastAsia="zh-CN"/>
              </w:rPr>
            </w:pPr>
          </w:p>
          <w:p w14:paraId="3D392FB2">
            <w:pPr>
              <w:adjustRightInd w:val="0"/>
              <w:snapToGrid w:val="0"/>
              <w:rPr>
                <w:rFonts w:hint="default" w:ascii="Times New Roman" w:hAnsi="Times New Roman" w:eastAsia="宋体" w:cs="Times New Roman"/>
                <w:bCs/>
                <w:color w:val="auto"/>
                <w:highlight w:val="none"/>
                <w:lang w:eastAsia="zh-CN"/>
              </w:rPr>
            </w:pPr>
          </w:p>
        </w:tc>
      </w:tr>
    </w:tbl>
    <w:p w14:paraId="3A31E3C1">
      <w:pPr>
        <w:pStyle w:val="3"/>
        <w:bidi w:val="0"/>
        <w:ind w:left="0" w:leftChars="0" w:firstLine="0" w:firstLineChars="0"/>
        <w:rPr>
          <w:rFonts w:hint="eastAsia"/>
          <w:color w:val="auto"/>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p w14:paraId="0D76EA02">
      <w:pPr>
        <w:pStyle w:val="3"/>
        <w:bidi w:val="0"/>
        <w:ind w:left="0" w:leftChars="0" w:firstLine="0" w:firstLineChars="0"/>
        <w:rPr>
          <w:rFonts w:hint="eastAsia"/>
          <w:color w:val="auto"/>
        </w:rPr>
      </w:pPr>
      <w:r>
        <w:rPr>
          <w:rFonts w:hint="eastAsia"/>
          <w:color w:val="auto"/>
        </w:rPr>
        <w:t>三、区域环境质量现状、环境保护目标及评价标准</w:t>
      </w:r>
    </w:p>
    <w:tbl>
      <w:tblPr>
        <w:tblStyle w:val="3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66"/>
        <w:gridCol w:w="8195"/>
      </w:tblGrid>
      <w:tr w14:paraId="392A57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6" w:type="dxa"/>
            <w:noWrap w:val="0"/>
            <w:vAlign w:val="center"/>
          </w:tcPr>
          <w:p w14:paraId="487C468F">
            <w:pPr>
              <w:adjustRightInd w:val="0"/>
              <w:snapToGrid w:val="0"/>
              <w:jc w:val="center"/>
              <w:rPr>
                <w:rFonts w:hint="default" w:ascii="Times New Roman" w:hAnsi="Times New Roman" w:cs="Times New Roman"/>
                <w:color w:val="auto"/>
                <w:kern w:val="0"/>
              </w:rPr>
            </w:pPr>
            <w:r>
              <w:rPr>
                <w:rFonts w:hint="default" w:ascii="Times New Roman" w:hAnsi="Times New Roman" w:cs="Times New Roman"/>
                <w:color w:val="auto"/>
                <w:kern w:val="0"/>
              </w:rPr>
              <w:t>区域</w:t>
            </w:r>
          </w:p>
          <w:p w14:paraId="4C5234A6">
            <w:pPr>
              <w:adjustRightInd w:val="0"/>
              <w:snapToGrid w:val="0"/>
              <w:jc w:val="center"/>
              <w:rPr>
                <w:rFonts w:hint="default" w:ascii="Times New Roman" w:hAnsi="Times New Roman" w:cs="Times New Roman"/>
                <w:color w:val="auto"/>
                <w:kern w:val="0"/>
              </w:rPr>
            </w:pPr>
            <w:r>
              <w:rPr>
                <w:rFonts w:hint="default" w:ascii="Times New Roman" w:hAnsi="Times New Roman" w:cs="Times New Roman"/>
                <w:color w:val="auto"/>
                <w:kern w:val="0"/>
              </w:rPr>
              <w:t>环境</w:t>
            </w:r>
          </w:p>
          <w:p w14:paraId="26E988F4">
            <w:pPr>
              <w:adjustRightInd w:val="0"/>
              <w:snapToGrid w:val="0"/>
              <w:jc w:val="center"/>
              <w:rPr>
                <w:rFonts w:hint="default" w:ascii="Times New Roman" w:hAnsi="Times New Roman" w:cs="Times New Roman"/>
                <w:color w:val="auto"/>
                <w:kern w:val="0"/>
              </w:rPr>
            </w:pPr>
            <w:r>
              <w:rPr>
                <w:rFonts w:hint="default" w:ascii="Times New Roman" w:hAnsi="Times New Roman" w:cs="Times New Roman"/>
                <w:color w:val="auto"/>
                <w:kern w:val="0"/>
              </w:rPr>
              <w:t>质量</w:t>
            </w:r>
          </w:p>
          <w:p w14:paraId="34779053">
            <w:pPr>
              <w:adjustRightInd w:val="0"/>
              <w:snapToGrid w:val="0"/>
              <w:jc w:val="center"/>
              <w:rPr>
                <w:rFonts w:hint="default" w:ascii="Times New Roman" w:hAnsi="Times New Roman" w:cs="Times New Roman"/>
                <w:color w:val="auto"/>
                <w:kern w:val="0"/>
              </w:rPr>
            </w:pPr>
            <w:r>
              <w:rPr>
                <w:rFonts w:hint="default" w:ascii="Times New Roman" w:hAnsi="Times New Roman" w:cs="Times New Roman"/>
                <w:color w:val="auto"/>
                <w:kern w:val="0"/>
              </w:rPr>
              <w:t>现状</w:t>
            </w:r>
          </w:p>
        </w:tc>
        <w:tc>
          <w:tcPr>
            <w:tcW w:w="8195" w:type="dxa"/>
            <w:noWrap w:val="0"/>
            <w:vAlign w:val="center"/>
          </w:tcPr>
          <w:p w14:paraId="301325DE">
            <w:pPr>
              <w:pStyle w:val="4"/>
              <w:numPr>
                <w:ilvl w:val="0"/>
                <w:numId w:val="0"/>
              </w:numPr>
              <w:bidi w:val="0"/>
              <w:ind w:leftChars="0" w:firstLine="480" w:firstLineChars="200"/>
              <w:rPr>
                <w:rFonts w:hint="default" w:ascii="Times New Roman" w:hAnsi="Times New Roman" w:cs="Times New Roman"/>
                <w:color w:val="auto"/>
              </w:rPr>
            </w:pPr>
            <w:r>
              <w:rPr>
                <w:rFonts w:hint="default" w:ascii="Times New Roman" w:hAnsi="Times New Roman" w:cs="Times New Roman"/>
                <w:color w:val="auto"/>
              </w:rPr>
              <w:t>一、环境空气</w:t>
            </w:r>
          </w:p>
          <w:p w14:paraId="7F48A34C">
            <w:pPr>
              <w:snapToGrid w:val="0"/>
              <w:ind w:firstLine="480" w:firstLineChars="200"/>
              <w:rPr>
                <w:rFonts w:hint="default" w:ascii="Times New Roman" w:hAnsi="Times New Roman" w:cs="Times New Roman"/>
                <w:color w:val="auto"/>
              </w:rPr>
            </w:pPr>
            <w:r>
              <w:rPr>
                <w:rFonts w:hint="default" w:ascii="Times New Roman" w:hAnsi="Times New Roman" w:cs="Times New Roman"/>
                <w:color w:val="auto"/>
              </w:rPr>
              <w:t>参照《环境空气质量功能区划分原则与技术方法》（HJ14-1996），项目所在地环境空气质量功能区属二类区，执行《环境空气质量标准》（GB3095-2012）二级标准。</w:t>
            </w:r>
          </w:p>
          <w:p w14:paraId="12221275">
            <w:pPr>
              <w:pStyle w:val="4"/>
              <w:numPr>
                <w:ilvl w:val="0"/>
                <w:numId w:val="0"/>
              </w:numPr>
              <w:bidi w:val="0"/>
              <w:ind w:leftChars="0" w:firstLine="480" w:firstLineChars="200"/>
              <w:rPr>
                <w:rFonts w:hint="default" w:ascii="Times New Roman" w:hAnsi="Times New Roman" w:cs="Times New Roman"/>
                <w:color w:val="auto"/>
              </w:rPr>
            </w:pPr>
            <w:r>
              <w:rPr>
                <w:rFonts w:hint="default" w:ascii="Times New Roman" w:hAnsi="Times New Roman" w:cs="Times New Roman"/>
                <w:color w:val="auto"/>
              </w:rPr>
              <w:t>1、区域环境空气质量达标情况</w:t>
            </w:r>
          </w:p>
          <w:p w14:paraId="2C2E8795">
            <w:pPr>
              <w:adjustRightInd w:val="0"/>
              <w:snapToGrid w:val="0"/>
              <w:ind w:firstLine="480" w:firstLineChars="200"/>
              <w:rPr>
                <w:rFonts w:hint="default" w:ascii="Times New Roman" w:hAnsi="Times New Roman" w:cs="Times New Roman"/>
                <w:color w:val="auto"/>
              </w:rPr>
            </w:pPr>
            <w:r>
              <w:rPr>
                <w:rFonts w:hint="default" w:ascii="Times New Roman" w:hAnsi="Times New Roman" w:cs="Times New Roman"/>
                <w:color w:val="auto"/>
              </w:rPr>
              <w:t>根据山东省生态环境厅网站发布的发布《2023年全省城市环境空气质量》（网址：http://fb.sdem.org.cn:8801/AirDeploy.Web/AirQuality/History.aspx），2023年度济宁市空气质量状况见下表。</w:t>
            </w:r>
          </w:p>
          <w:p w14:paraId="173191FB">
            <w:pPr>
              <w:adjustRightInd w:val="0"/>
              <w:snapToGrid w:val="0"/>
              <w:spacing w:line="240" w:lineRule="auto"/>
              <w:ind w:firstLine="480" w:firstLineChars="200"/>
              <w:jc w:val="center"/>
              <w:rPr>
                <w:rFonts w:hint="default" w:ascii="Times New Roman" w:hAnsi="Times New Roman" w:cs="Times New Roman"/>
                <w:b/>
                <w:bCs/>
                <w:color w:val="auto"/>
                <w:vertAlign w:val="superscript"/>
              </w:rPr>
            </w:pPr>
            <w:r>
              <w:rPr>
                <w:rStyle w:val="70"/>
                <w:rFonts w:hint="default" w:ascii="Times New Roman" w:hAnsi="Times New Roman" w:cs="Times New Roman"/>
                <w:color w:val="auto"/>
              </w:rPr>
              <w:t>表3-</w:t>
            </w:r>
            <w:r>
              <w:rPr>
                <w:rStyle w:val="70"/>
                <w:rFonts w:hint="default" w:ascii="Times New Roman" w:hAnsi="Times New Roman" w:eastAsia="黑体" w:cs="Times New Roman"/>
                <w:color w:val="auto"/>
                <w:lang w:val="en-US" w:eastAsia="zh-CN"/>
              </w:rPr>
              <w:t>1</w:t>
            </w:r>
            <w:r>
              <w:rPr>
                <w:rStyle w:val="70"/>
                <w:rFonts w:hint="default" w:ascii="Times New Roman" w:hAnsi="Times New Roman" w:cs="Times New Roman"/>
                <w:color w:val="auto"/>
              </w:rPr>
              <w:t xml:space="preserve">  202</w:t>
            </w:r>
            <w:r>
              <w:rPr>
                <w:rStyle w:val="70"/>
                <w:rFonts w:hint="default" w:ascii="Times New Roman" w:hAnsi="Times New Roman" w:eastAsia="黑体" w:cs="Times New Roman"/>
                <w:color w:val="auto"/>
                <w:lang w:val="en-US" w:eastAsia="zh-CN"/>
              </w:rPr>
              <w:t>3</w:t>
            </w:r>
            <w:r>
              <w:rPr>
                <w:rStyle w:val="70"/>
                <w:rFonts w:hint="default" w:ascii="Times New Roman" w:hAnsi="Times New Roman" w:cs="Times New Roman"/>
                <w:color w:val="auto"/>
              </w:rPr>
              <w:t>年1月~12月份</w:t>
            </w:r>
            <w:r>
              <w:rPr>
                <w:rStyle w:val="70"/>
                <w:rFonts w:hint="default" w:ascii="Times New Roman" w:hAnsi="Times New Roman" w:eastAsia="黑体" w:cs="Times New Roman"/>
                <w:color w:val="auto"/>
                <w:lang w:val="en-US" w:eastAsia="zh-CN"/>
              </w:rPr>
              <w:t>济宁市</w:t>
            </w:r>
            <w:r>
              <w:rPr>
                <w:rStyle w:val="70"/>
                <w:rFonts w:hint="default" w:ascii="Times New Roman" w:hAnsi="Times New Roman" w:cs="Times New Roman"/>
                <w:color w:val="auto"/>
              </w:rPr>
              <w:t>环境空气质量现状</w:t>
            </w:r>
            <w:r>
              <w:rPr>
                <w:rFonts w:hint="default" w:ascii="Times New Roman" w:hAnsi="Times New Roman" w:cs="Times New Roman"/>
                <w:b/>
                <w:bCs/>
                <w:color w:val="auto"/>
              </w:rPr>
              <w:t xml:space="preserve">  </w:t>
            </w:r>
          </w:p>
          <w:tbl>
            <w:tblPr>
              <w:tblStyle w:val="139"/>
              <w:tblW w:w="4998"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768"/>
              <w:gridCol w:w="2027"/>
              <w:gridCol w:w="1601"/>
              <w:gridCol w:w="1398"/>
              <w:gridCol w:w="1121"/>
              <w:gridCol w:w="1061"/>
            </w:tblGrid>
            <w:tr w14:paraId="7AD3817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481" w:type="pct"/>
                  <w:tcBorders>
                    <w:tl2br w:val="nil"/>
                    <w:tr2bl w:val="nil"/>
                  </w:tcBorders>
                  <w:noWrap w:val="0"/>
                  <w:vAlign w:val="center"/>
                </w:tcPr>
                <w:p w14:paraId="13D87C2E">
                  <w:pPr>
                    <w:keepNext w:val="0"/>
                    <w:keepLines w:val="0"/>
                    <w:pageBreakBefore w:val="0"/>
                    <w:widowControl w:val="0"/>
                    <w:kinsoku w:val="0"/>
                    <w:wordWrap/>
                    <w:overflowPunct/>
                    <w:topLinePunct w:val="0"/>
                    <w:autoSpaceDE w:val="0"/>
                    <w:autoSpaceDN w:val="0"/>
                    <w:bidi w:val="0"/>
                    <w:adjustRightInd w:val="0"/>
                    <w:snapToGrid w:val="0"/>
                    <w:spacing w:line="360" w:lineRule="exact"/>
                    <w:ind w:left="0" w:right="0"/>
                    <w:jc w:val="center"/>
                    <w:textAlignment w:val="baseline"/>
                    <w:rPr>
                      <w:rFonts w:hint="default" w:ascii="Times New Roman" w:hAnsi="Times New Roman" w:eastAsia="宋体" w:cs="Times New Roman"/>
                      <w:b/>
                      <w:bCs/>
                      <w:snapToGrid w:val="0"/>
                      <w:color w:val="auto"/>
                      <w:kern w:val="0"/>
                      <w:sz w:val="21"/>
                      <w:szCs w:val="21"/>
                      <w:lang w:val="en-US" w:eastAsia="en-US" w:bidi="ar-SA"/>
                    </w:rPr>
                  </w:pPr>
                  <w:r>
                    <w:rPr>
                      <w:rFonts w:hint="default" w:ascii="Times New Roman" w:hAnsi="Times New Roman" w:eastAsia="宋体" w:cs="Times New Roman"/>
                      <w:b/>
                      <w:bCs/>
                      <w:snapToGrid w:val="0"/>
                      <w:color w:val="auto"/>
                      <w:spacing w:val="6"/>
                      <w:kern w:val="0"/>
                      <w:sz w:val="21"/>
                      <w:szCs w:val="21"/>
                      <w:lang w:val="en-US" w:eastAsia="en-US" w:bidi="ar-SA"/>
                    </w:rPr>
                    <w:t>污染物</w:t>
                  </w:r>
                </w:p>
              </w:tc>
              <w:tc>
                <w:tcPr>
                  <w:tcW w:w="1270" w:type="pct"/>
                  <w:tcBorders>
                    <w:tl2br w:val="nil"/>
                    <w:tr2bl w:val="nil"/>
                  </w:tcBorders>
                  <w:noWrap w:val="0"/>
                  <w:vAlign w:val="center"/>
                </w:tcPr>
                <w:p w14:paraId="69752689">
                  <w:pPr>
                    <w:keepNext w:val="0"/>
                    <w:keepLines w:val="0"/>
                    <w:pageBreakBefore w:val="0"/>
                    <w:widowControl w:val="0"/>
                    <w:kinsoku w:val="0"/>
                    <w:wordWrap/>
                    <w:overflowPunct/>
                    <w:topLinePunct w:val="0"/>
                    <w:autoSpaceDE w:val="0"/>
                    <w:autoSpaceDN w:val="0"/>
                    <w:bidi w:val="0"/>
                    <w:adjustRightInd w:val="0"/>
                    <w:snapToGrid w:val="0"/>
                    <w:spacing w:line="360" w:lineRule="exact"/>
                    <w:ind w:left="0" w:right="0"/>
                    <w:jc w:val="center"/>
                    <w:textAlignment w:val="baseline"/>
                    <w:rPr>
                      <w:rFonts w:hint="default" w:ascii="Times New Roman" w:hAnsi="Times New Roman" w:eastAsia="宋体" w:cs="Times New Roman"/>
                      <w:b/>
                      <w:bCs/>
                      <w:snapToGrid w:val="0"/>
                      <w:color w:val="auto"/>
                      <w:kern w:val="0"/>
                      <w:sz w:val="21"/>
                      <w:szCs w:val="21"/>
                      <w:lang w:val="en-US" w:eastAsia="en-US" w:bidi="ar-SA"/>
                    </w:rPr>
                  </w:pPr>
                  <w:r>
                    <w:rPr>
                      <w:rFonts w:hint="default" w:ascii="Times New Roman" w:hAnsi="Times New Roman" w:eastAsia="宋体" w:cs="Times New Roman"/>
                      <w:b/>
                      <w:bCs/>
                      <w:snapToGrid w:val="0"/>
                      <w:color w:val="auto"/>
                      <w:spacing w:val="7"/>
                      <w:kern w:val="0"/>
                      <w:sz w:val="21"/>
                      <w:szCs w:val="21"/>
                      <w:lang w:val="en-US" w:eastAsia="en-US" w:bidi="ar-SA"/>
                    </w:rPr>
                    <w:t>年评价指标</w:t>
                  </w:r>
                </w:p>
              </w:tc>
              <w:tc>
                <w:tcPr>
                  <w:tcW w:w="1003" w:type="pct"/>
                  <w:tcBorders>
                    <w:tl2br w:val="nil"/>
                    <w:tr2bl w:val="nil"/>
                  </w:tcBorders>
                  <w:noWrap w:val="0"/>
                  <w:vAlign w:val="center"/>
                </w:tcPr>
                <w:p w14:paraId="5177DC06">
                  <w:pPr>
                    <w:keepNext w:val="0"/>
                    <w:keepLines w:val="0"/>
                    <w:pageBreakBefore w:val="0"/>
                    <w:widowControl w:val="0"/>
                    <w:kinsoku w:val="0"/>
                    <w:wordWrap/>
                    <w:overflowPunct/>
                    <w:topLinePunct w:val="0"/>
                    <w:autoSpaceDE w:val="0"/>
                    <w:autoSpaceDN w:val="0"/>
                    <w:bidi w:val="0"/>
                    <w:adjustRightInd w:val="0"/>
                    <w:snapToGrid w:val="0"/>
                    <w:spacing w:line="360" w:lineRule="exact"/>
                    <w:ind w:left="0" w:right="0"/>
                    <w:jc w:val="center"/>
                    <w:textAlignment w:val="baseline"/>
                    <w:rPr>
                      <w:rFonts w:hint="default" w:ascii="Times New Roman" w:hAnsi="Times New Roman" w:eastAsia="宋体" w:cs="Times New Roman"/>
                      <w:b/>
                      <w:bCs/>
                      <w:snapToGrid w:val="0"/>
                      <w:color w:val="auto"/>
                      <w:kern w:val="0"/>
                      <w:sz w:val="21"/>
                      <w:szCs w:val="21"/>
                      <w:lang w:val="en-US" w:eastAsia="en-US" w:bidi="ar-SA"/>
                    </w:rPr>
                  </w:pPr>
                  <w:r>
                    <w:rPr>
                      <w:rFonts w:hint="default" w:ascii="Times New Roman" w:hAnsi="Times New Roman" w:eastAsia="宋体" w:cs="Times New Roman"/>
                      <w:b/>
                      <w:bCs/>
                      <w:snapToGrid w:val="0"/>
                      <w:color w:val="auto"/>
                      <w:spacing w:val="9"/>
                      <w:kern w:val="0"/>
                      <w:sz w:val="21"/>
                      <w:szCs w:val="21"/>
                      <w:lang w:val="en-US" w:eastAsia="en-US" w:bidi="ar-SA"/>
                    </w:rPr>
                    <w:t>现状浓度μg/m</w:t>
                  </w:r>
                  <w:r>
                    <w:rPr>
                      <w:rFonts w:hint="default" w:ascii="Times New Roman" w:hAnsi="Times New Roman" w:eastAsia="宋体" w:cs="Times New Roman"/>
                      <w:b/>
                      <w:bCs/>
                      <w:snapToGrid w:val="0"/>
                      <w:color w:val="auto"/>
                      <w:spacing w:val="9"/>
                      <w:kern w:val="0"/>
                      <w:position w:val="6"/>
                      <w:sz w:val="21"/>
                      <w:szCs w:val="21"/>
                      <w:vertAlign w:val="superscript"/>
                      <w:lang w:val="en-US" w:eastAsia="en-US" w:bidi="ar-SA"/>
                    </w:rPr>
                    <w:t>3</w:t>
                  </w:r>
                </w:p>
              </w:tc>
              <w:tc>
                <w:tcPr>
                  <w:tcW w:w="876" w:type="pct"/>
                  <w:tcBorders>
                    <w:tl2br w:val="nil"/>
                    <w:tr2bl w:val="nil"/>
                  </w:tcBorders>
                  <w:noWrap w:val="0"/>
                  <w:vAlign w:val="center"/>
                </w:tcPr>
                <w:p w14:paraId="078F8513">
                  <w:pPr>
                    <w:keepNext w:val="0"/>
                    <w:keepLines w:val="0"/>
                    <w:pageBreakBefore w:val="0"/>
                    <w:widowControl w:val="0"/>
                    <w:kinsoku w:val="0"/>
                    <w:wordWrap/>
                    <w:overflowPunct/>
                    <w:topLinePunct w:val="0"/>
                    <w:autoSpaceDE w:val="0"/>
                    <w:autoSpaceDN w:val="0"/>
                    <w:bidi w:val="0"/>
                    <w:adjustRightInd w:val="0"/>
                    <w:snapToGrid w:val="0"/>
                    <w:spacing w:line="360" w:lineRule="exact"/>
                    <w:ind w:left="0" w:right="0"/>
                    <w:jc w:val="center"/>
                    <w:textAlignment w:val="baseline"/>
                    <w:rPr>
                      <w:rFonts w:hint="default" w:ascii="Times New Roman" w:hAnsi="Times New Roman" w:eastAsia="宋体" w:cs="Times New Roman"/>
                      <w:b/>
                      <w:bCs/>
                      <w:snapToGrid w:val="0"/>
                      <w:color w:val="auto"/>
                      <w:kern w:val="0"/>
                      <w:sz w:val="21"/>
                      <w:szCs w:val="21"/>
                      <w:lang w:val="en-US" w:eastAsia="en-US" w:bidi="ar-SA"/>
                    </w:rPr>
                  </w:pPr>
                  <w:r>
                    <w:rPr>
                      <w:rFonts w:hint="default" w:ascii="Times New Roman" w:hAnsi="Times New Roman" w:eastAsia="宋体" w:cs="Times New Roman"/>
                      <w:b/>
                      <w:bCs/>
                      <w:snapToGrid w:val="0"/>
                      <w:color w:val="auto"/>
                      <w:spacing w:val="7"/>
                      <w:kern w:val="0"/>
                      <w:sz w:val="21"/>
                      <w:szCs w:val="21"/>
                      <w:lang w:val="en-US" w:eastAsia="en-US" w:bidi="ar-SA"/>
                    </w:rPr>
                    <w:t>标准值μg/m</w:t>
                  </w:r>
                  <w:r>
                    <w:rPr>
                      <w:rFonts w:hint="default" w:ascii="Times New Roman" w:hAnsi="Times New Roman" w:eastAsia="宋体" w:cs="Times New Roman"/>
                      <w:b/>
                      <w:bCs/>
                      <w:snapToGrid w:val="0"/>
                      <w:color w:val="auto"/>
                      <w:spacing w:val="7"/>
                      <w:kern w:val="0"/>
                      <w:position w:val="6"/>
                      <w:sz w:val="21"/>
                      <w:szCs w:val="21"/>
                      <w:vertAlign w:val="superscript"/>
                      <w:lang w:val="en-US" w:eastAsia="en-US" w:bidi="ar-SA"/>
                    </w:rPr>
                    <w:t>3</w:t>
                  </w:r>
                </w:p>
              </w:tc>
              <w:tc>
                <w:tcPr>
                  <w:tcW w:w="702" w:type="pct"/>
                  <w:tcBorders>
                    <w:tl2br w:val="nil"/>
                    <w:tr2bl w:val="nil"/>
                  </w:tcBorders>
                  <w:noWrap w:val="0"/>
                  <w:vAlign w:val="center"/>
                </w:tcPr>
                <w:p w14:paraId="394CB87E">
                  <w:pPr>
                    <w:keepNext w:val="0"/>
                    <w:keepLines w:val="0"/>
                    <w:pageBreakBefore w:val="0"/>
                    <w:widowControl w:val="0"/>
                    <w:kinsoku w:val="0"/>
                    <w:wordWrap/>
                    <w:overflowPunct/>
                    <w:topLinePunct w:val="0"/>
                    <w:autoSpaceDE w:val="0"/>
                    <w:autoSpaceDN w:val="0"/>
                    <w:bidi w:val="0"/>
                    <w:adjustRightInd w:val="0"/>
                    <w:snapToGrid w:val="0"/>
                    <w:spacing w:line="360" w:lineRule="exact"/>
                    <w:ind w:left="0" w:right="0"/>
                    <w:jc w:val="center"/>
                    <w:textAlignment w:val="baseline"/>
                    <w:rPr>
                      <w:rFonts w:hint="default" w:ascii="Times New Roman" w:hAnsi="Times New Roman" w:eastAsia="宋体" w:cs="Times New Roman"/>
                      <w:b/>
                      <w:bCs/>
                      <w:snapToGrid w:val="0"/>
                      <w:color w:val="auto"/>
                      <w:kern w:val="0"/>
                      <w:sz w:val="21"/>
                      <w:szCs w:val="21"/>
                      <w:lang w:val="en-US" w:eastAsia="zh-CN" w:bidi="ar-SA"/>
                    </w:rPr>
                  </w:pPr>
                  <w:r>
                    <w:rPr>
                      <w:rFonts w:hint="default" w:ascii="Times New Roman" w:hAnsi="Times New Roman" w:eastAsia="宋体" w:cs="Times New Roman"/>
                      <w:b/>
                      <w:bCs/>
                      <w:snapToGrid w:val="0"/>
                      <w:color w:val="auto"/>
                      <w:spacing w:val="-10"/>
                      <w:kern w:val="0"/>
                      <w:sz w:val="21"/>
                      <w:szCs w:val="21"/>
                      <w:lang w:val="en-US" w:eastAsia="en-US" w:bidi="ar-SA"/>
                    </w:rPr>
                    <w:t>占标率%</w:t>
                  </w:r>
                </w:p>
              </w:tc>
              <w:tc>
                <w:tcPr>
                  <w:tcW w:w="665" w:type="pct"/>
                  <w:tcBorders>
                    <w:tl2br w:val="nil"/>
                    <w:tr2bl w:val="nil"/>
                  </w:tcBorders>
                  <w:noWrap w:val="0"/>
                  <w:vAlign w:val="center"/>
                </w:tcPr>
                <w:p w14:paraId="5A1CF7B3">
                  <w:pPr>
                    <w:keepNext w:val="0"/>
                    <w:keepLines w:val="0"/>
                    <w:pageBreakBefore w:val="0"/>
                    <w:widowControl w:val="0"/>
                    <w:kinsoku w:val="0"/>
                    <w:wordWrap/>
                    <w:overflowPunct/>
                    <w:topLinePunct w:val="0"/>
                    <w:autoSpaceDE w:val="0"/>
                    <w:autoSpaceDN w:val="0"/>
                    <w:bidi w:val="0"/>
                    <w:adjustRightInd w:val="0"/>
                    <w:snapToGrid w:val="0"/>
                    <w:spacing w:line="360" w:lineRule="exact"/>
                    <w:ind w:left="0" w:right="0"/>
                    <w:jc w:val="center"/>
                    <w:textAlignment w:val="baseline"/>
                    <w:rPr>
                      <w:rFonts w:hint="default" w:ascii="Times New Roman" w:hAnsi="Times New Roman" w:eastAsia="宋体" w:cs="Times New Roman"/>
                      <w:b/>
                      <w:bCs/>
                      <w:snapToGrid w:val="0"/>
                      <w:color w:val="auto"/>
                      <w:kern w:val="0"/>
                      <w:sz w:val="21"/>
                      <w:szCs w:val="21"/>
                      <w:lang w:val="en-US" w:eastAsia="en-US" w:bidi="ar-SA"/>
                    </w:rPr>
                  </w:pPr>
                  <w:r>
                    <w:rPr>
                      <w:rFonts w:hint="default" w:ascii="Times New Roman" w:hAnsi="Times New Roman" w:eastAsia="宋体" w:cs="Times New Roman"/>
                      <w:b/>
                      <w:bCs/>
                      <w:snapToGrid w:val="0"/>
                      <w:color w:val="auto"/>
                      <w:spacing w:val="7"/>
                      <w:kern w:val="0"/>
                      <w:sz w:val="21"/>
                      <w:szCs w:val="21"/>
                      <w:lang w:val="en-US" w:eastAsia="en-US" w:bidi="ar-SA"/>
                    </w:rPr>
                    <w:t>达标情况</w:t>
                  </w:r>
                </w:p>
              </w:tc>
            </w:tr>
            <w:tr w14:paraId="2FD85FE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481" w:type="pct"/>
                  <w:tcBorders>
                    <w:tl2br w:val="nil"/>
                    <w:tr2bl w:val="nil"/>
                  </w:tcBorders>
                  <w:noWrap w:val="0"/>
                  <w:vAlign w:val="center"/>
                </w:tcPr>
                <w:p w14:paraId="4463873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auto"/>
                      <w:kern w:val="0"/>
                      <w:sz w:val="21"/>
                      <w:szCs w:val="21"/>
                      <w:lang w:eastAsia="en-US"/>
                    </w:rPr>
                  </w:pPr>
                  <w:r>
                    <w:rPr>
                      <w:rFonts w:hint="default" w:ascii="Times New Roman" w:hAnsi="Times New Roman" w:eastAsia="宋体" w:cs="Times New Roman"/>
                      <w:snapToGrid w:val="0"/>
                      <w:color w:val="auto"/>
                      <w:kern w:val="0"/>
                      <w:sz w:val="21"/>
                      <w:szCs w:val="21"/>
                      <w:lang w:eastAsia="en-US"/>
                    </w:rPr>
                    <w:t>SO</w:t>
                  </w:r>
                  <w:r>
                    <w:rPr>
                      <w:rFonts w:hint="default" w:ascii="Times New Roman" w:hAnsi="Times New Roman" w:eastAsia="宋体" w:cs="Times New Roman"/>
                      <w:snapToGrid w:val="0"/>
                      <w:color w:val="auto"/>
                      <w:spacing w:val="3"/>
                      <w:kern w:val="0"/>
                      <w:position w:val="-1"/>
                      <w:sz w:val="21"/>
                      <w:szCs w:val="21"/>
                      <w:vertAlign w:val="subscript"/>
                      <w:lang w:eastAsia="en-US"/>
                    </w:rPr>
                    <w:t>2</w:t>
                  </w:r>
                </w:p>
              </w:tc>
              <w:tc>
                <w:tcPr>
                  <w:tcW w:w="1270" w:type="pct"/>
                  <w:tcBorders>
                    <w:tl2br w:val="nil"/>
                    <w:tr2bl w:val="nil"/>
                  </w:tcBorders>
                  <w:noWrap w:val="0"/>
                  <w:vAlign w:val="center"/>
                </w:tcPr>
                <w:p w14:paraId="428ADFBA">
                  <w:pPr>
                    <w:keepNext w:val="0"/>
                    <w:keepLines w:val="0"/>
                    <w:pageBreakBefore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auto"/>
                      <w:kern w:val="0"/>
                      <w:sz w:val="21"/>
                      <w:szCs w:val="21"/>
                      <w:lang w:val="en-US" w:eastAsia="en-US" w:bidi="ar-SA"/>
                    </w:rPr>
                  </w:pPr>
                  <w:r>
                    <w:rPr>
                      <w:rFonts w:hint="default" w:ascii="Times New Roman" w:hAnsi="Times New Roman" w:eastAsia="宋体" w:cs="Times New Roman"/>
                      <w:snapToGrid w:val="0"/>
                      <w:color w:val="auto"/>
                      <w:spacing w:val="8"/>
                      <w:kern w:val="0"/>
                      <w:sz w:val="21"/>
                      <w:szCs w:val="21"/>
                      <w:lang w:val="en-US" w:eastAsia="en-US" w:bidi="ar-SA"/>
                    </w:rPr>
                    <w:t>年平均质量浓度</w:t>
                  </w:r>
                </w:p>
              </w:tc>
              <w:tc>
                <w:tcPr>
                  <w:tcW w:w="1003" w:type="pct"/>
                  <w:tcBorders>
                    <w:tl2br w:val="nil"/>
                    <w:tr2bl w:val="nil"/>
                  </w:tcBorders>
                  <w:noWrap w:val="0"/>
                  <w:vAlign w:val="center"/>
                </w:tcPr>
                <w:p w14:paraId="6DE662BA">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auto"/>
                      <w:kern w:val="0"/>
                      <w:sz w:val="21"/>
                      <w:szCs w:val="21"/>
                      <w:lang w:eastAsia="en-US"/>
                    </w:rPr>
                  </w:pPr>
                  <w:r>
                    <w:rPr>
                      <w:rFonts w:hint="default" w:ascii="Times New Roman" w:hAnsi="Times New Roman" w:eastAsia="宋体" w:cs="Times New Roman"/>
                      <w:snapToGrid w:val="0"/>
                      <w:color w:val="auto"/>
                      <w:spacing w:val="-10"/>
                      <w:kern w:val="0"/>
                      <w:sz w:val="21"/>
                      <w:szCs w:val="21"/>
                      <w:lang w:eastAsia="en-US"/>
                    </w:rPr>
                    <w:t>11</w:t>
                  </w:r>
                </w:p>
              </w:tc>
              <w:tc>
                <w:tcPr>
                  <w:tcW w:w="876" w:type="pct"/>
                  <w:tcBorders>
                    <w:tl2br w:val="nil"/>
                    <w:tr2bl w:val="nil"/>
                  </w:tcBorders>
                  <w:noWrap w:val="0"/>
                  <w:vAlign w:val="center"/>
                </w:tcPr>
                <w:p w14:paraId="38F0E5D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auto"/>
                      <w:kern w:val="0"/>
                      <w:sz w:val="21"/>
                      <w:szCs w:val="21"/>
                      <w:lang w:eastAsia="en-US"/>
                    </w:rPr>
                  </w:pPr>
                  <w:r>
                    <w:rPr>
                      <w:rFonts w:hint="default" w:ascii="Times New Roman" w:hAnsi="Times New Roman" w:eastAsia="宋体" w:cs="Times New Roman"/>
                      <w:snapToGrid w:val="0"/>
                      <w:color w:val="auto"/>
                      <w:kern w:val="0"/>
                      <w:sz w:val="21"/>
                      <w:szCs w:val="21"/>
                      <w:lang w:eastAsia="en-US"/>
                    </w:rPr>
                    <w:t>60</w:t>
                  </w:r>
                </w:p>
              </w:tc>
              <w:tc>
                <w:tcPr>
                  <w:tcW w:w="702" w:type="pct"/>
                  <w:tcBorders>
                    <w:tl2br w:val="nil"/>
                    <w:tr2bl w:val="nil"/>
                  </w:tcBorders>
                  <w:noWrap w:val="0"/>
                  <w:vAlign w:val="center"/>
                </w:tcPr>
                <w:p w14:paraId="485F22A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auto"/>
                      <w:kern w:val="0"/>
                      <w:sz w:val="21"/>
                      <w:szCs w:val="21"/>
                      <w:lang w:eastAsia="en-US"/>
                    </w:rPr>
                  </w:pPr>
                  <w:r>
                    <w:rPr>
                      <w:rFonts w:hint="default" w:ascii="Times New Roman" w:hAnsi="Times New Roman" w:eastAsia="宋体" w:cs="Times New Roman"/>
                      <w:snapToGrid w:val="0"/>
                      <w:color w:val="auto"/>
                      <w:spacing w:val="-3"/>
                      <w:kern w:val="0"/>
                      <w:sz w:val="21"/>
                      <w:szCs w:val="21"/>
                      <w:lang w:eastAsia="en-US"/>
                    </w:rPr>
                    <w:t>18.3</w:t>
                  </w:r>
                </w:p>
              </w:tc>
              <w:tc>
                <w:tcPr>
                  <w:tcW w:w="665" w:type="pct"/>
                  <w:tcBorders>
                    <w:tl2br w:val="nil"/>
                    <w:tr2bl w:val="nil"/>
                  </w:tcBorders>
                  <w:noWrap w:val="0"/>
                  <w:vAlign w:val="center"/>
                </w:tcPr>
                <w:p w14:paraId="3020030F">
                  <w:pPr>
                    <w:keepNext w:val="0"/>
                    <w:keepLines w:val="0"/>
                    <w:pageBreakBefore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auto"/>
                      <w:kern w:val="0"/>
                      <w:sz w:val="21"/>
                      <w:szCs w:val="21"/>
                      <w:lang w:val="en-US" w:eastAsia="en-US" w:bidi="ar-SA"/>
                    </w:rPr>
                  </w:pPr>
                  <w:r>
                    <w:rPr>
                      <w:rFonts w:hint="default" w:ascii="Times New Roman" w:hAnsi="Times New Roman" w:eastAsia="宋体" w:cs="Times New Roman"/>
                      <w:snapToGrid w:val="0"/>
                      <w:color w:val="auto"/>
                      <w:spacing w:val="5"/>
                      <w:kern w:val="0"/>
                      <w:sz w:val="21"/>
                      <w:szCs w:val="21"/>
                      <w:lang w:val="en-US" w:eastAsia="en-US" w:bidi="ar-SA"/>
                    </w:rPr>
                    <w:t>达标</w:t>
                  </w:r>
                </w:p>
              </w:tc>
            </w:tr>
            <w:tr w14:paraId="0AE6545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481" w:type="pct"/>
                  <w:tcBorders>
                    <w:tl2br w:val="nil"/>
                    <w:tr2bl w:val="nil"/>
                  </w:tcBorders>
                  <w:noWrap w:val="0"/>
                  <w:vAlign w:val="center"/>
                </w:tcPr>
                <w:p w14:paraId="72C89EA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auto"/>
                      <w:kern w:val="0"/>
                      <w:sz w:val="21"/>
                      <w:szCs w:val="21"/>
                      <w:lang w:eastAsia="en-US"/>
                    </w:rPr>
                  </w:pPr>
                  <w:r>
                    <w:rPr>
                      <w:rFonts w:hint="default" w:ascii="Times New Roman" w:hAnsi="Times New Roman" w:eastAsia="宋体" w:cs="Times New Roman"/>
                      <w:snapToGrid w:val="0"/>
                      <w:color w:val="auto"/>
                      <w:spacing w:val="6"/>
                      <w:kern w:val="0"/>
                      <w:sz w:val="21"/>
                      <w:szCs w:val="21"/>
                      <w:lang w:eastAsia="en-US"/>
                    </w:rPr>
                    <w:t>NO</w:t>
                  </w:r>
                  <w:r>
                    <w:rPr>
                      <w:rFonts w:hint="default" w:ascii="Times New Roman" w:hAnsi="Times New Roman" w:eastAsia="宋体" w:cs="Times New Roman"/>
                      <w:snapToGrid w:val="0"/>
                      <w:color w:val="auto"/>
                      <w:spacing w:val="6"/>
                      <w:kern w:val="0"/>
                      <w:position w:val="-1"/>
                      <w:sz w:val="21"/>
                      <w:szCs w:val="21"/>
                      <w:vertAlign w:val="subscript"/>
                      <w:lang w:eastAsia="en-US"/>
                    </w:rPr>
                    <w:t>2</w:t>
                  </w:r>
                </w:p>
              </w:tc>
              <w:tc>
                <w:tcPr>
                  <w:tcW w:w="1270" w:type="pct"/>
                  <w:tcBorders>
                    <w:tl2br w:val="nil"/>
                    <w:tr2bl w:val="nil"/>
                  </w:tcBorders>
                  <w:noWrap w:val="0"/>
                  <w:vAlign w:val="center"/>
                </w:tcPr>
                <w:p w14:paraId="3EB6B5D9">
                  <w:pPr>
                    <w:keepNext w:val="0"/>
                    <w:keepLines w:val="0"/>
                    <w:pageBreakBefore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auto"/>
                      <w:spacing w:val="8"/>
                      <w:kern w:val="0"/>
                      <w:sz w:val="21"/>
                      <w:szCs w:val="21"/>
                      <w:lang w:val="en-US" w:eastAsia="en-US" w:bidi="ar-SA"/>
                    </w:rPr>
                  </w:pPr>
                  <w:r>
                    <w:rPr>
                      <w:rFonts w:hint="default" w:ascii="Times New Roman" w:hAnsi="Times New Roman" w:eastAsia="宋体" w:cs="Times New Roman"/>
                      <w:snapToGrid w:val="0"/>
                      <w:color w:val="auto"/>
                      <w:spacing w:val="8"/>
                      <w:kern w:val="0"/>
                      <w:sz w:val="21"/>
                      <w:szCs w:val="21"/>
                      <w:lang w:val="en-US" w:eastAsia="en-US" w:bidi="ar-SA"/>
                    </w:rPr>
                    <w:t>年平均质量浓度</w:t>
                  </w:r>
                </w:p>
              </w:tc>
              <w:tc>
                <w:tcPr>
                  <w:tcW w:w="1003" w:type="pct"/>
                  <w:tcBorders>
                    <w:tl2br w:val="nil"/>
                    <w:tr2bl w:val="nil"/>
                  </w:tcBorders>
                  <w:noWrap w:val="0"/>
                  <w:vAlign w:val="center"/>
                </w:tcPr>
                <w:p w14:paraId="34FCA8E1">
                  <w:pPr>
                    <w:keepNext w:val="0"/>
                    <w:keepLines w:val="0"/>
                    <w:pageBreakBefore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auto"/>
                      <w:spacing w:val="8"/>
                      <w:kern w:val="0"/>
                      <w:sz w:val="21"/>
                      <w:szCs w:val="21"/>
                      <w:lang w:val="en-US" w:eastAsia="zh-CN" w:bidi="ar-SA"/>
                    </w:rPr>
                  </w:pPr>
                  <w:r>
                    <w:rPr>
                      <w:rFonts w:hint="default" w:ascii="Times New Roman" w:hAnsi="Times New Roman" w:eastAsia="宋体" w:cs="Times New Roman"/>
                      <w:snapToGrid w:val="0"/>
                      <w:color w:val="auto"/>
                      <w:spacing w:val="8"/>
                      <w:kern w:val="0"/>
                      <w:sz w:val="21"/>
                      <w:szCs w:val="21"/>
                      <w:lang w:val="en-US" w:eastAsia="zh-CN" w:bidi="ar-SA"/>
                    </w:rPr>
                    <w:t>26</w:t>
                  </w:r>
                </w:p>
              </w:tc>
              <w:tc>
                <w:tcPr>
                  <w:tcW w:w="876" w:type="pct"/>
                  <w:tcBorders>
                    <w:tl2br w:val="nil"/>
                    <w:tr2bl w:val="nil"/>
                  </w:tcBorders>
                  <w:noWrap w:val="0"/>
                  <w:vAlign w:val="center"/>
                </w:tcPr>
                <w:p w14:paraId="3250CB86">
                  <w:pPr>
                    <w:keepNext w:val="0"/>
                    <w:keepLines w:val="0"/>
                    <w:pageBreakBefore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auto"/>
                      <w:spacing w:val="8"/>
                      <w:kern w:val="0"/>
                      <w:sz w:val="21"/>
                      <w:szCs w:val="21"/>
                      <w:lang w:val="en-US" w:eastAsia="en-US" w:bidi="ar-SA"/>
                    </w:rPr>
                  </w:pPr>
                  <w:r>
                    <w:rPr>
                      <w:rFonts w:hint="default" w:ascii="Times New Roman" w:hAnsi="Times New Roman" w:eastAsia="宋体" w:cs="Times New Roman"/>
                      <w:snapToGrid w:val="0"/>
                      <w:color w:val="auto"/>
                      <w:spacing w:val="8"/>
                      <w:kern w:val="0"/>
                      <w:sz w:val="21"/>
                      <w:szCs w:val="21"/>
                      <w:lang w:val="en-US" w:eastAsia="en-US" w:bidi="ar-SA"/>
                    </w:rPr>
                    <w:t>40</w:t>
                  </w:r>
                </w:p>
              </w:tc>
              <w:tc>
                <w:tcPr>
                  <w:tcW w:w="702" w:type="pct"/>
                  <w:tcBorders>
                    <w:tl2br w:val="nil"/>
                    <w:tr2bl w:val="nil"/>
                  </w:tcBorders>
                  <w:noWrap w:val="0"/>
                  <w:vAlign w:val="center"/>
                </w:tcPr>
                <w:p w14:paraId="105A6E48">
                  <w:pPr>
                    <w:keepNext w:val="0"/>
                    <w:keepLines w:val="0"/>
                    <w:pageBreakBefore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auto"/>
                      <w:spacing w:val="8"/>
                      <w:kern w:val="0"/>
                      <w:sz w:val="21"/>
                      <w:szCs w:val="21"/>
                      <w:lang w:val="en-US" w:eastAsia="zh-CN" w:bidi="ar-SA"/>
                    </w:rPr>
                  </w:pPr>
                  <w:r>
                    <w:rPr>
                      <w:rFonts w:hint="default" w:ascii="Times New Roman" w:hAnsi="Times New Roman" w:eastAsia="宋体" w:cs="Times New Roman"/>
                      <w:snapToGrid w:val="0"/>
                      <w:color w:val="auto"/>
                      <w:spacing w:val="8"/>
                      <w:kern w:val="0"/>
                      <w:sz w:val="21"/>
                      <w:szCs w:val="21"/>
                      <w:lang w:val="en-US" w:eastAsia="zh-CN" w:bidi="ar-SA"/>
                    </w:rPr>
                    <w:t>65</w:t>
                  </w:r>
                </w:p>
              </w:tc>
              <w:tc>
                <w:tcPr>
                  <w:tcW w:w="665" w:type="pct"/>
                  <w:tcBorders>
                    <w:tl2br w:val="nil"/>
                    <w:tr2bl w:val="nil"/>
                  </w:tcBorders>
                  <w:noWrap w:val="0"/>
                  <w:vAlign w:val="center"/>
                </w:tcPr>
                <w:p w14:paraId="37CFE44A">
                  <w:pPr>
                    <w:keepNext w:val="0"/>
                    <w:keepLines w:val="0"/>
                    <w:pageBreakBefore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auto"/>
                      <w:spacing w:val="8"/>
                      <w:kern w:val="0"/>
                      <w:sz w:val="21"/>
                      <w:szCs w:val="21"/>
                      <w:lang w:val="en-US" w:eastAsia="en-US" w:bidi="ar-SA"/>
                    </w:rPr>
                  </w:pPr>
                  <w:r>
                    <w:rPr>
                      <w:rFonts w:hint="default" w:ascii="Times New Roman" w:hAnsi="Times New Roman" w:eastAsia="宋体" w:cs="Times New Roman"/>
                      <w:snapToGrid w:val="0"/>
                      <w:color w:val="auto"/>
                      <w:spacing w:val="8"/>
                      <w:kern w:val="0"/>
                      <w:sz w:val="21"/>
                      <w:szCs w:val="21"/>
                      <w:lang w:val="en-US" w:eastAsia="en-US" w:bidi="ar-SA"/>
                    </w:rPr>
                    <w:t>达标</w:t>
                  </w:r>
                </w:p>
              </w:tc>
            </w:tr>
            <w:tr w14:paraId="17BB98D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481" w:type="pct"/>
                  <w:tcBorders>
                    <w:tl2br w:val="nil"/>
                    <w:tr2bl w:val="nil"/>
                  </w:tcBorders>
                  <w:noWrap w:val="0"/>
                  <w:vAlign w:val="center"/>
                </w:tcPr>
                <w:p w14:paraId="3D3D5326">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auto"/>
                      <w:kern w:val="0"/>
                      <w:sz w:val="21"/>
                      <w:szCs w:val="21"/>
                      <w:lang w:eastAsia="en-US"/>
                    </w:rPr>
                  </w:pPr>
                  <w:r>
                    <w:rPr>
                      <w:rFonts w:hint="default" w:ascii="Times New Roman" w:hAnsi="Times New Roman" w:eastAsia="宋体" w:cs="Times New Roman"/>
                      <w:snapToGrid w:val="0"/>
                      <w:color w:val="auto"/>
                      <w:kern w:val="0"/>
                      <w:sz w:val="21"/>
                      <w:szCs w:val="21"/>
                      <w:lang w:eastAsia="en-US"/>
                    </w:rPr>
                    <w:t>PM</w:t>
                  </w:r>
                  <w:r>
                    <w:rPr>
                      <w:rFonts w:hint="default" w:ascii="Times New Roman" w:hAnsi="Times New Roman" w:eastAsia="宋体" w:cs="Times New Roman"/>
                      <w:snapToGrid w:val="0"/>
                      <w:color w:val="auto"/>
                      <w:spacing w:val="8"/>
                      <w:kern w:val="0"/>
                      <w:position w:val="-1"/>
                      <w:sz w:val="21"/>
                      <w:szCs w:val="21"/>
                      <w:vertAlign w:val="subscript"/>
                      <w:lang w:eastAsia="en-US"/>
                    </w:rPr>
                    <w:t>10</w:t>
                  </w:r>
                </w:p>
              </w:tc>
              <w:tc>
                <w:tcPr>
                  <w:tcW w:w="1270" w:type="pct"/>
                  <w:tcBorders>
                    <w:tl2br w:val="nil"/>
                    <w:tr2bl w:val="nil"/>
                  </w:tcBorders>
                  <w:noWrap w:val="0"/>
                  <w:vAlign w:val="center"/>
                </w:tcPr>
                <w:p w14:paraId="19CE7046">
                  <w:pPr>
                    <w:keepNext w:val="0"/>
                    <w:keepLines w:val="0"/>
                    <w:pageBreakBefore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auto"/>
                      <w:spacing w:val="8"/>
                      <w:kern w:val="0"/>
                      <w:sz w:val="21"/>
                      <w:szCs w:val="21"/>
                      <w:lang w:val="en-US" w:eastAsia="en-US" w:bidi="ar-SA"/>
                    </w:rPr>
                  </w:pPr>
                  <w:r>
                    <w:rPr>
                      <w:rFonts w:hint="default" w:ascii="Times New Roman" w:hAnsi="Times New Roman" w:eastAsia="宋体" w:cs="Times New Roman"/>
                      <w:snapToGrid w:val="0"/>
                      <w:color w:val="auto"/>
                      <w:spacing w:val="8"/>
                      <w:kern w:val="0"/>
                      <w:sz w:val="21"/>
                      <w:szCs w:val="21"/>
                      <w:lang w:val="en-US" w:eastAsia="en-US" w:bidi="ar-SA"/>
                    </w:rPr>
                    <w:t>年平均质量浓度</w:t>
                  </w:r>
                </w:p>
              </w:tc>
              <w:tc>
                <w:tcPr>
                  <w:tcW w:w="1003" w:type="pct"/>
                  <w:tcBorders>
                    <w:tl2br w:val="nil"/>
                    <w:tr2bl w:val="nil"/>
                  </w:tcBorders>
                  <w:noWrap w:val="0"/>
                  <w:vAlign w:val="center"/>
                </w:tcPr>
                <w:p w14:paraId="5B2A8A1F">
                  <w:pPr>
                    <w:keepNext w:val="0"/>
                    <w:keepLines w:val="0"/>
                    <w:pageBreakBefore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auto"/>
                      <w:spacing w:val="8"/>
                      <w:kern w:val="0"/>
                      <w:sz w:val="21"/>
                      <w:szCs w:val="21"/>
                      <w:lang w:val="en-US" w:eastAsia="en-US" w:bidi="ar-SA"/>
                    </w:rPr>
                  </w:pPr>
                  <w:r>
                    <w:rPr>
                      <w:rFonts w:hint="default" w:ascii="Times New Roman" w:hAnsi="Times New Roman" w:eastAsia="宋体" w:cs="Times New Roman"/>
                      <w:snapToGrid w:val="0"/>
                      <w:color w:val="auto"/>
                      <w:spacing w:val="8"/>
                      <w:kern w:val="0"/>
                      <w:sz w:val="21"/>
                      <w:szCs w:val="21"/>
                      <w:lang w:val="en-US" w:eastAsia="en-US" w:bidi="ar-SA"/>
                    </w:rPr>
                    <w:t>74</w:t>
                  </w:r>
                </w:p>
              </w:tc>
              <w:tc>
                <w:tcPr>
                  <w:tcW w:w="876" w:type="pct"/>
                  <w:tcBorders>
                    <w:tl2br w:val="nil"/>
                    <w:tr2bl w:val="nil"/>
                  </w:tcBorders>
                  <w:noWrap w:val="0"/>
                  <w:vAlign w:val="center"/>
                </w:tcPr>
                <w:p w14:paraId="2E23A542">
                  <w:pPr>
                    <w:keepNext w:val="0"/>
                    <w:keepLines w:val="0"/>
                    <w:pageBreakBefore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auto"/>
                      <w:spacing w:val="8"/>
                      <w:kern w:val="0"/>
                      <w:sz w:val="21"/>
                      <w:szCs w:val="21"/>
                      <w:lang w:val="en-US" w:eastAsia="en-US" w:bidi="ar-SA"/>
                    </w:rPr>
                  </w:pPr>
                  <w:r>
                    <w:rPr>
                      <w:rFonts w:hint="default" w:ascii="Times New Roman" w:hAnsi="Times New Roman" w:eastAsia="宋体" w:cs="Times New Roman"/>
                      <w:snapToGrid w:val="0"/>
                      <w:color w:val="auto"/>
                      <w:spacing w:val="8"/>
                      <w:kern w:val="0"/>
                      <w:sz w:val="21"/>
                      <w:szCs w:val="21"/>
                      <w:lang w:val="en-US" w:eastAsia="en-US" w:bidi="ar-SA"/>
                    </w:rPr>
                    <w:t>70</w:t>
                  </w:r>
                </w:p>
              </w:tc>
              <w:tc>
                <w:tcPr>
                  <w:tcW w:w="702" w:type="pct"/>
                  <w:tcBorders>
                    <w:tl2br w:val="nil"/>
                    <w:tr2bl w:val="nil"/>
                  </w:tcBorders>
                  <w:noWrap w:val="0"/>
                  <w:vAlign w:val="center"/>
                </w:tcPr>
                <w:p w14:paraId="69D80C02">
                  <w:pPr>
                    <w:keepNext w:val="0"/>
                    <w:keepLines w:val="0"/>
                    <w:pageBreakBefore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auto"/>
                      <w:spacing w:val="8"/>
                      <w:kern w:val="0"/>
                      <w:sz w:val="21"/>
                      <w:szCs w:val="21"/>
                      <w:lang w:val="en-US" w:eastAsia="en-US" w:bidi="ar-SA"/>
                    </w:rPr>
                  </w:pPr>
                  <w:r>
                    <w:rPr>
                      <w:rFonts w:hint="default" w:ascii="Times New Roman" w:hAnsi="Times New Roman" w:eastAsia="宋体" w:cs="Times New Roman"/>
                      <w:snapToGrid w:val="0"/>
                      <w:color w:val="auto"/>
                      <w:spacing w:val="8"/>
                      <w:kern w:val="0"/>
                      <w:sz w:val="21"/>
                      <w:szCs w:val="21"/>
                      <w:lang w:val="en-US" w:eastAsia="en-US" w:bidi="ar-SA"/>
                    </w:rPr>
                    <w:t>106</w:t>
                  </w:r>
                </w:p>
              </w:tc>
              <w:tc>
                <w:tcPr>
                  <w:tcW w:w="665" w:type="pct"/>
                  <w:tcBorders>
                    <w:tl2br w:val="nil"/>
                    <w:tr2bl w:val="nil"/>
                  </w:tcBorders>
                  <w:noWrap w:val="0"/>
                  <w:vAlign w:val="center"/>
                </w:tcPr>
                <w:p w14:paraId="26151D81">
                  <w:pPr>
                    <w:keepNext w:val="0"/>
                    <w:keepLines w:val="0"/>
                    <w:pageBreakBefore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auto"/>
                      <w:spacing w:val="8"/>
                      <w:kern w:val="0"/>
                      <w:sz w:val="21"/>
                      <w:szCs w:val="21"/>
                      <w:lang w:val="en-US" w:eastAsia="en-US" w:bidi="ar-SA"/>
                    </w:rPr>
                  </w:pPr>
                  <w:r>
                    <w:rPr>
                      <w:rFonts w:hint="default" w:ascii="Times New Roman" w:hAnsi="Times New Roman" w:eastAsia="宋体" w:cs="Times New Roman"/>
                      <w:snapToGrid w:val="0"/>
                      <w:color w:val="auto"/>
                      <w:spacing w:val="8"/>
                      <w:kern w:val="0"/>
                      <w:sz w:val="21"/>
                      <w:szCs w:val="21"/>
                      <w:lang w:val="en-US" w:eastAsia="en-US" w:bidi="ar-SA"/>
                    </w:rPr>
                    <w:t>不达标</w:t>
                  </w:r>
                </w:p>
              </w:tc>
            </w:tr>
            <w:tr w14:paraId="7CB562E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481" w:type="pct"/>
                  <w:tcBorders>
                    <w:tl2br w:val="nil"/>
                    <w:tr2bl w:val="nil"/>
                  </w:tcBorders>
                  <w:noWrap w:val="0"/>
                  <w:vAlign w:val="center"/>
                </w:tcPr>
                <w:p w14:paraId="0C71F4A5">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auto"/>
                      <w:kern w:val="0"/>
                      <w:sz w:val="21"/>
                      <w:szCs w:val="21"/>
                      <w:lang w:eastAsia="en-US"/>
                    </w:rPr>
                  </w:pPr>
                  <w:r>
                    <w:rPr>
                      <w:rFonts w:hint="default" w:ascii="Times New Roman" w:hAnsi="Times New Roman" w:eastAsia="宋体" w:cs="Times New Roman"/>
                      <w:snapToGrid w:val="0"/>
                      <w:color w:val="auto"/>
                      <w:kern w:val="0"/>
                      <w:sz w:val="21"/>
                      <w:szCs w:val="21"/>
                      <w:lang w:eastAsia="en-US"/>
                    </w:rPr>
                    <w:t>PM</w:t>
                  </w:r>
                  <w:r>
                    <w:rPr>
                      <w:rFonts w:hint="default" w:ascii="Times New Roman" w:hAnsi="Times New Roman" w:eastAsia="宋体" w:cs="Times New Roman"/>
                      <w:snapToGrid w:val="0"/>
                      <w:color w:val="auto"/>
                      <w:spacing w:val="6"/>
                      <w:kern w:val="0"/>
                      <w:position w:val="-1"/>
                      <w:sz w:val="21"/>
                      <w:szCs w:val="21"/>
                      <w:vertAlign w:val="subscript"/>
                      <w:lang w:eastAsia="en-US"/>
                    </w:rPr>
                    <w:t>2.5</w:t>
                  </w:r>
                </w:p>
              </w:tc>
              <w:tc>
                <w:tcPr>
                  <w:tcW w:w="1270" w:type="pct"/>
                  <w:tcBorders>
                    <w:tl2br w:val="nil"/>
                    <w:tr2bl w:val="nil"/>
                  </w:tcBorders>
                  <w:noWrap w:val="0"/>
                  <w:vAlign w:val="center"/>
                </w:tcPr>
                <w:p w14:paraId="7BC54BDE">
                  <w:pPr>
                    <w:keepNext w:val="0"/>
                    <w:keepLines w:val="0"/>
                    <w:pageBreakBefore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auto"/>
                      <w:spacing w:val="8"/>
                      <w:kern w:val="0"/>
                      <w:sz w:val="21"/>
                      <w:szCs w:val="21"/>
                      <w:lang w:val="en-US" w:eastAsia="en-US" w:bidi="ar-SA"/>
                    </w:rPr>
                  </w:pPr>
                  <w:r>
                    <w:rPr>
                      <w:rFonts w:hint="default" w:ascii="Times New Roman" w:hAnsi="Times New Roman" w:eastAsia="宋体" w:cs="Times New Roman"/>
                      <w:snapToGrid w:val="0"/>
                      <w:color w:val="auto"/>
                      <w:spacing w:val="8"/>
                      <w:kern w:val="0"/>
                      <w:sz w:val="21"/>
                      <w:szCs w:val="21"/>
                      <w:lang w:val="en-US" w:eastAsia="en-US" w:bidi="ar-SA"/>
                    </w:rPr>
                    <w:t>年平均质量浓度</w:t>
                  </w:r>
                </w:p>
              </w:tc>
              <w:tc>
                <w:tcPr>
                  <w:tcW w:w="1003" w:type="pct"/>
                  <w:tcBorders>
                    <w:tl2br w:val="nil"/>
                    <w:tr2bl w:val="nil"/>
                  </w:tcBorders>
                  <w:noWrap w:val="0"/>
                  <w:vAlign w:val="center"/>
                </w:tcPr>
                <w:p w14:paraId="520DDF76">
                  <w:pPr>
                    <w:keepNext w:val="0"/>
                    <w:keepLines w:val="0"/>
                    <w:pageBreakBefore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auto"/>
                      <w:spacing w:val="8"/>
                      <w:kern w:val="0"/>
                      <w:sz w:val="21"/>
                      <w:szCs w:val="21"/>
                      <w:lang w:val="en-US" w:eastAsia="en-US" w:bidi="ar-SA"/>
                    </w:rPr>
                  </w:pPr>
                  <w:r>
                    <w:rPr>
                      <w:rFonts w:hint="default" w:ascii="Times New Roman" w:hAnsi="Times New Roman" w:eastAsia="宋体" w:cs="Times New Roman"/>
                      <w:snapToGrid w:val="0"/>
                      <w:color w:val="auto"/>
                      <w:spacing w:val="8"/>
                      <w:kern w:val="0"/>
                      <w:sz w:val="21"/>
                      <w:szCs w:val="21"/>
                      <w:lang w:val="en-US" w:eastAsia="en-US" w:bidi="ar-SA"/>
                    </w:rPr>
                    <w:t>41</w:t>
                  </w:r>
                </w:p>
              </w:tc>
              <w:tc>
                <w:tcPr>
                  <w:tcW w:w="876" w:type="pct"/>
                  <w:tcBorders>
                    <w:tl2br w:val="nil"/>
                    <w:tr2bl w:val="nil"/>
                  </w:tcBorders>
                  <w:noWrap w:val="0"/>
                  <w:vAlign w:val="center"/>
                </w:tcPr>
                <w:p w14:paraId="46A4EAFC">
                  <w:pPr>
                    <w:keepNext w:val="0"/>
                    <w:keepLines w:val="0"/>
                    <w:pageBreakBefore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auto"/>
                      <w:spacing w:val="8"/>
                      <w:kern w:val="0"/>
                      <w:sz w:val="21"/>
                      <w:szCs w:val="21"/>
                      <w:lang w:val="en-US" w:eastAsia="en-US" w:bidi="ar-SA"/>
                    </w:rPr>
                  </w:pPr>
                  <w:r>
                    <w:rPr>
                      <w:rFonts w:hint="default" w:ascii="Times New Roman" w:hAnsi="Times New Roman" w:eastAsia="宋体" w:cs="Times New Roman"/>
                      <w:snapToGrid w:val="0"/>
                      <w:color w:val="auto"/>
                      <w:spacing w:val="8"/>
                      <w:kern w:val="0"/>
                      <w:sz w:val="21"/>
                      <w:szCs w:val="21"/>
                      <w:lang w:val="en-US" w:eastAsia="en-US" w:bidi="ar-SA"/>
                    </w:rPr>
                    <w:t>35</w:t>
                  </w:r>
                </w:p>
              </w:tc>
              <w:tc>
                <w:tcPr>
                  <w:tcW w:w="702" w:type="pct"/>
                  <w:tcBorders>
                    <w:tl2br w:val="nil"/>
                    <w:tr2bl w:val="nil"/>
                  </w:tcBorders>
                  <w:noWrap w:val="0"/>
                  <w:vAlign w:val="center"/>
                </w:tcPr>
                <w:p w14:paraId="4ADAC204">
                  <w:pPr>
                    <w:keepNext w:val="0"/>
                    <w:keepLines w:val="0"/>
                    <w:pageBreakBefore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auto"/>
                      <w:spacing w:val="8"/>
                      <w:kern w:val="0"/>
                      <w:sz w:val="21"/>
                      <w:szCs w:val="21"/>
                      <w:lang w:val="en-US" w:eastAsia="en-US" w:bidi="ar-SA"/>
                    </w:rPr>
                  </w:pPr>
                  <w:r>
                    <w:rPr>
                      <w:rFonts w:hint="default" w:ascii="Times New Roman" w:hAnsi="Times New Roman" w:eastAsia="宋体" w:cs="Times New Roman"/>
                      <w:snapToGrid w:val="0"/>
                      <w:color w:val="auto"/>
                      <w:spacing w:val="8"/>
                      <w:kern w:val="0"/>
                      <w:sz w:val="21"/>
                      <w:szCs w:val="21"/>
                      <w:lang w:val="en-US" w:eastAsia="en-US" w:bidi="ar-SA"/>
                    </w:rPr>
                    <w:t>117</w:t>
                  </w:r>
                </w:p>
              </w:tc>
              <w:tc>
                <w:tcPr>
                  <w:tcW w:w="665" w:type="pct"/>
                  <w:tcBorders>
                    <w:tl2br w:val="nil"/>
                    <w:tr2bl w:val="nil"/>
                  </w:tcBorders>
                  <w:noWrap w:val="0"/>
                  <w:vAlign w:val="center"/>
                </w:tcPr>
                <w:p w14:paraId="1958A4A6">
                  <w:pPr>
                    <w:keepNext w:val="0"/>
                    <w:keepLines w:val="0"/>
                    <w:pageBreakBefore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auto"/>
                      <w:spacing w:val="8"/>
                      <w:kern w:val="0"/>
                      <w:sz w:val="21"/>
                      <w:szCs w:val="21"/>
                      <w:lang w:val="en-US" w:eastAsia="en-US" w:bidi="ar-SA"/>
                    </w:rPr>
                  </w:pPr>
                  <w:r>
                    <w:rPr>
                      <w:rFonts w:hint="default" w:ascii="Times New Roman" w:hAnsi="Times New Roman" w:eastAsia="宋体" w:cs="Times New Roman"/>
                      <w:snapToGrid w:val="0"/>
                      <w:color w:val="auto"/>
                      <w:spacing w:val="8"/>
                      <w:kern w:val="0"/>
                      <w:sz w:val="21"/>
                      <w:szCs w:val="21"/>
                      <w:lang w:val="en-US" w:eastAsia="en-US" w:bidi="ar-SA"/>
                    </w:rPr>
                    <w:t>不达标</w:t>
                  </w:r>
                </w:p>
              </w:tc>
            </w:tr>
            <w:tr w14:paraId="20CBB09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481" w:type="pct"/>
                  <w:tcBorders>
                    <w:tl2br w:val="nil"/>
                    <w:tr2bl w:val="nil"/>
                  </w:tcBorders>
                  <w:noWrap w:val="0"/>
                  <w:vAlign w:val="center"/>
                </w:tcPr>
                <w:p w14:paraId="74547A8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auto"/>
                      <w:kern w:val="0"/>
                      <w:sz w:val="21"/>
                      <w:szCs w:val="21"/>
                      <w:lang w:eastAsia="en-US"/>
                    </w:rPr>
                  </w:pPr>
                  <w:r>
                    <w:rPr>
                      <w:rFonts w:hint="default" w:ascii="Times New Roman" w:hAnsi="Times New Roman" w:eastAsia="宋体" w:cs="Times New Roman"/>
                      <w:snapToGrid w:val="0"/>
                      <w:color w:val="auto"/>
                      <w:spacing w:val="2"/>
                      <w:kern w:val="0"/>
                      <w:sz w:val="21"/>
                      <w:szCs w:val="21"/>
                      <w:lang w:eastAsia="en-US"/>
                    </w:rPr>
                    <w:t>CO</w:t>
                  </w:r>
                </w:p>
              </w:tc>
              <w:tc>
                <w:tcPr>
                  <w:tcW w:w="1270" w:type="pct"/>
                  <w:tcBorders>
                    <w:tl2br w:val="nil"/>
                    <w:tr2bl w:val="nil"/>
                  </w:tcBorders>
                  <w:noWrap w:val="0"/>
                  <w:vAlign w:val="center"/>
                </w:tcPr>
                <w:p w14:paraId="6C08296A">
                  <w:pPr>
                    <w:keepNext w:val="0"/>
                    <w:keepLines w:val="0"/>
                    <w:pageBreakBefore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auto"/>
                      <w:spacing w:val="8"/>
                      <w:kern w:val="0"/>
                      <w:sz w:val="21"/>
                      <w:szCs w:val="21"/>
                      <w:lang w:val="en-US" w:eastAsia="en-US" w:bidi="ar-SA"/>
                    </w:rPr>
                  </w:pPr>
                  <w:r>
                    <w:rPr>
                      <w:rFonts w:hint="default" w:ascii="Times New Roman" w:hAnsi="Times New Roman" w:eastAsia="宋体" w:cs="Times New Roman"/>
                      <w:snapToGrid w:val="0"/>
                      <w:color w:val="auto"/>
                      <w:spacing w:val="8"/>
                      <w:kern w:val="0"/>
                      <w:sz w:val="21"/>
                      <w:szCs w:val="21"/>
                      <w:lang w:val="en-US" w:eastAsia="en-US" w:bidi="ar-SA"/>
                    </w:rPr>
                    <w:t>日均值第95百分位浓度值</w:t>
                  </w:r>
                </w:p>
              </w:tc>
              <w:tc>
                <w:tcPr>
                  <w:tcW w:w="1003" w:type="pct"/>
                  <w:tcBorders>
                    <w:tl2br w:val="nil"/>
                    <w:tr2bl w:val="nil"/>
                  </w:tcBorders>
                  <w:noWrap w:val="0"/>
                  <w:vAlign w:val="center"/>
                </w:tcPr>
                <w:p w14:paraId="2116CA3A">
                  <w:pPr>
                    <w:keepNext w:val="0"/>
                    <w:keepLines w:val="0"/>
                    <w:pageBreakBefore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auto"/>
                      <w:spacing w:val="8"/>
                      <w:kern w:val="0"/>
                      <w:sz w:val="21"/>
                      <w:szCs w:val="21"/>
                      <w:lang w:val="en-US" w:eastAsia="en-US" w:bidi="ar-SA"/>
                    </w:rPr>
                  </w:pPr>
                  <w:r>
                    <w:rPr>
                      <w:rFonts w:hint="default" w:ascii="Times New Roman" w:hAnsi="Times New Roman" w:eastAsia="宋体" w:cs="Times New Roman"/>
                      <w:snapToGrid w:val="0"/>
                      <w:color w:val="auto"/>
                      <w:spacing w:val="8"/>
                      <w:kern w:val="0"/>
                      <w:sz w:val="21"/>
                      <w:szCs w:val="21"/>
                      <w:lang w:val="en-US" w:eastAsia="en-US" w:bidi="ar-SA"/>
                    </w:rPr>
                    <w:t>1100</w:t>
                  </w:r>
                </w:p>
              </w:tc>
              <w:tc>
                <w:tcPr>
                  <w:tcW w:w="876" w:type="pct"/>
                  <w:tcBorders>
                    <w:tl2br w:val="nil"/>
                    <w:tr2bl w:val="nil"/>
                  </w:tcBorders>
                  <w:noWrap w:val="0"/>
                  <w:vAlign w:val="center"/>
                </w:tcPr>
                <w:p w14:paraId="24BD6DB4">
                  <w:pPr>
                    <w:keepNext w:val="0"/>
                    <w:keepLines w:val="0"/>
                    <w:pageBreakBefore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auto"/>
                      <w:spacing w:val="8"/>
                      <w:kern w:val="0"/>
                      <w:sz w:val="21"/>
                      <w:szCs w:val="21"/>
                      <w:lang w:val="en-US" w:eastAsia="en-US" w:bidi="ar-SA"/>
                    </w:rPr>
                  </w:pPr>
                  <w:r>
                    <w:rPr>
                      <w:rFonts w:hint="default" w:ascii="Times New Roman" w:hAnsi="Times New Roman" w:eastAsia="宋体" w:cs="Times New Roman"/>
                      <w:snapToGrid w:val="0"/>
                      <w:color w:val="auto"/>
                      <w:spacing w:val="8"/>
                      <w:kern w:val="0"/>
                      <w:sz w:val="21"/>
                      <w:szCs w:val="21"/>
                      <w:lang w:val="en-US" w:eastAsia="en-US" w:bidi="ar-SA"/>
                    </w:rPr>
                    <w:t>4000</w:t>
                  </w:r>
                </w:p>
              </w:tc>
              <w:tc>
                <w:tcPr>
                  <w:tcW w:w="702" w:type="pct"/>
                  <w:tcBorders>
                    <w:tl2br w:val="nil"/>
                    <w:tr2bl w:val="nil"/>
                  </w:tcBorders>
                  <w:noWrap w:val="0"/>
                  <w:vAlign w:val="center"/>
                </w:tcPr>
                <w:p w14:paraId="0D2D551F">
                  <w:pPr>
                    <w:keepNext w:val="0"/>
                    <w:keepLines w:val="0"/>
                    <w:pageBreakBefore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auto"/>
                      <w:spacing w:val="8"/>
                      <w:kern w:val="0"/>
                      <w:sz w:val="21"/>
                      <w:szCs w:val="21"/>
                      <w:lang w:val="en-US" w:eastAsia="en-US" w:bidi="ar-SA"/>
                    </w:rPr>
                  </w:pPr>
                  <w:r>
                    <w:rPr>
                      <w:rFonts w:hint="default" w:ascii="Times New Roman" w:hAnsi="Times New Roman" w:eastAsia="宋体" w:cs="Times New Roman"/>
                      <w:snapToGrid w:val="0"/>
                      <w:color w:val="auto"/>
                      <w:spacing w:val="8"/>
                      <w:kern w:val="0"/>
                      <w:sz w:val="21"/>
                      <w:szCs w:val="21"/>
                      <w:lang w:val="en-US" w:eastAsia="en-US" w:bidi="ar-SA"/>
                    </w:rPr>
                    <w:t>27.5</w:t>
                  </w:r>
                </w:p>
              </w:tc>
              <w:tc>
                <w:tcPr>
                  <w:tcW w:w="665" w:type="pct"/>
                  <w:tcBorders>
                    <w:tl2br w:val="nil"/>
                    <w:tr2bl w:val="nil"/>
                  </w:tcBorders>
                  <w:noWrap w:val="0"/>
                  <w:vAlign w:val="center"/>
                </w:tcPr>
                <w:p w14:paraId="65BD2DBF">
                  <w:pPr>
                    <w:keepNext w:val="0"/>
                    <w:keepLines w:val="0"/>
                    <w:pageBreakBefore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auto"/>
                      <w:spacing w:val="8"/>
                      <w:kern w:val="0"/>
                      <w:sz w:val="21"/>
                      <w:szCs w:val="21"/>
                      <w:lang w:val="en-US" w:eastAsia="en-US" w:bidi="ar-SA"/>
                    </w:rPr>
                  </w:pPr>
                  <w:r>
                    <w:rPr>
                      <w:rFonts w:hint="default" w:ascii="Times New Roman" w:hAnsi="Times New Roman" w:eastAsia="宋体" w:cs="Times New Roman"/>
                      <w:snapToGrid w:val="0"/>
                      <w:color w:val="auto"/>
                      <w:spacing w:val="8"/>
                      <w:kern w:val="0"/>
                      <w:sz w:val="21"/>
                      <w:szCs w:val="21"/>
                      <w:lang w:val="en-US" w:eastAsia="en-US" w:bidi="ar-SA"/>
                    </w:rPr>
                    <w:t>达标</w:t>
                  </w:r>
                </w:p>
              </w:tc>
            </w:tr>
            <w:tr w14:paraId="3A7598A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481" w:type="pct"/>
                  <w:tcBorders>
                    <w:tl2br w:val="nil"/>
                    <w:tr2bl w:val="nil"/>
                  </w:tcBorders>
                  <w:noWrap w:val="0"/>
                  <w:vAlign w:val="center"/>
                </w:tcPr>
                <w:p w14:paraId="0049FFB0">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auto"/>
                      <w:kern w:val="0"/>
                      <w:sz w:val="21"/>
                      <w:szCs w:val="21"/>
                      <w:lang w:eastAsia="en-US"/>
                    </w:rPr>
                  </w:pPr>
                  <w:r>
                    <w:rPr>
                      <w:rFonts w:hint="default" w:ascii="Times New Roman" w:hAnsi="Times New Roman" w:eastAsia="宋体" w:cs="Times New Roman"/>
                      <w:snapToGrid w:val="0"/>
                      <w:color w:val="auto"/>
                      <w:kern w:val="0"/>
                      <w:sz w:val="21"/>
                      <w:szCs w:val="21"/>
                      <w:lang w:eastAsia="en-US"/>
                    </w:rPr>
                    <w:t>O</w:t>
                  </w:r>
                  <w:r>
                    <w:rPr>
                      <w:rFonts w:hint="default" w:ascii="Times New Roman" w:hAnsi="Times New Roman" w:eastAsia="宋体" w:cs="Times New Roman"/>
                      <w:snapToGrid w:val="0"/>
                      <w:color w:val="auto"/>
                      <w:kern w:val="0"/>
                      <w:position w:val="-1"/>
                      <w:sz w:val="21"/>
                      <w:szCs w:val="21"/>
                      <w:vertAlign w:val="subscript"/>
                      <w:lang w:eastAsia="en-US"/>
                    </w:rPr>
                    <w:t>3</w:t>
                  </w:r>
                </w:p>
              </w:tc>
              <w:tc>
                <w:tcPr>
                  <w:tcW w:w="1270" w:type="pct"/>
                  <w:tcBorders>
                    <w:tl2br w:val="nil"/>
                    <w:tr2bl w:val="nil"/>
                  </w:tcBorders>
                  <w:noWrap w:val="0"/>
                  <w:vAlign w:val="center"/>
                </w:tcPr>
                <w:p w14:paraId="004B27E9">
                  <w:pPr>
                    <w:keepNext w:val="0"/>
                    <w:keepLines w:val="0"/>
                    <w:pageBreakBefore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auto"/>
                      <w:spacing w:val="8"/>
                      <w:kern w:val="0"/>
                      <w:sz w:val="21"/>
                      <w:szCs w:val="21"/>
                      <w:lang w:val="en-US" w:eastAsia="en-US" w:bidi="ar-SA"/>
                    </w:rPr>
                  </w:pPr>
                  <w:r>
                    <w:rPr>
                      <w:rFonts w:hint="default" w:ascii="Times New Roman" w:hAnsi="Times New Roman" w:eastAsia="宋体" w:cs="Times New Roman"/>
                      <w:snapToGrid w:val="0"/>
                      <w:color w:val="auto"/>
                      <w:spacing w:val="8"/>
                      <w:kern w:val="0"/>
                      <w:sz w:val="21"/>
                      <w:szCs w:val="21"/>
                      <w:lang w:val="en-US" w:eastAsia="en-US" w:bidi="ar-SA"/>
                    </w:rPr>
                    <w:t>日最大8小时均值的第90百分位浓度值</w:t>
                  </w:r>
                </w:p>
              </w:tc>
              <w:tc>
                <w:tcPr>
                  <w:tcW w:w="1003" w:type="pct"/>
                  <w:tcBorders>
                    <w:tl2br w:val="nil"/>
                    <w:tr2bl w:val="nil"/>
                  </w:tcBorders>
                  <w:noWrap w:val="0"/>
                  <w:vAlign w:val="center"/>
                </w:tcPr>
                <w:p w14:paraId="7C2009BA">
                  <w:pPr>
                    <w:keepNext w:val="0"/>
                    <w:keepLines w:val="0"/>
                    <w:pageBreakBefore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auto"/>
                      <w:spacing w:val="8"/>
                      <w:kern w:val="0"/>
                      <w:sz w:val="21"/>
                      <w:szCs w:val="21"/>
                      <w:lang w:val="en-US" w:eastAsia="en-US" w:bidi="ar-SA"/>
                    </w:rPr>
                  </w:pPr>
                  <w:r>
                    <w:rPr>
                      <w:rFonts w:hint="default" w:ascii="Times New Roman" w:hAnsi="Times New Roman" w:eastAsia="宋体" w:cs="Times New Roman"/>
                      <w:snapToGrid w:val="0"/>
                      <w:color w:val="auto"/>
                      <w:spacing w:val="8"/>
                      <w:kern w:val="0"/>
                      <w:sz w:val="21"/>
                      <w:szCs w:val="21"/>
                      <w:lang w:val="en-US" w:eastAsia="en-US" w:bidi="ar-SA"/>
                    </w:rPr>
                    <w:t>177</w:t>
                  </w:r>
                </w:p>
              </w:tc>
              <w:tc>
                <w:tcPr>
                  <w:tcW w:w="876" w:type="pct"/>
                  <w:tcBorders>
                    <w:tl2br w:val="nil"/>
                    <w:tr2bl w:val="nil"/>
                  </w:tcBorders>
                  <w:noWrap w:val="0"/>
                  <w:vAlign w:val="center"/>
                </w:tcPr>
                <w:p w14:paraId="0DB444BF">
                  <w:pPr>
                    <w:keepNext w:val="0"/>
                    <w:keepLines w:val="0"/>
                    <w:pageBreakBefore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auto"/>
                      <w:spacing w:val="8"/>
                      <w:kern w:val="0"/>
                      <w:sz w:val="21"/>
                      <w:szCs w:val="21"/>
                      <w:lang w:val="en-US" w:eastAsia="en-US" w:bidi="ar-SA"/>
                    </w:rPr>
                  </w:pPr>
                  <w:r>
                    <w:rPr>
                      <w:rFonts w:hint="default" w:ascii="Times New Roman" w:hAnsi="Times New Roman" w:eastAsia="宋体" w:cs="Times New Roman"/>
                      <w:snapToGrid w:val="0"/>
                      <w:color w:val="auto"/>
                      <w:spacing w:val="8"/>
                      <w:kern w:val="0"/>
                      <w:sz w:val="21"/>
                      <w:szCs w:val="21"/>
                      <w:lang w:val="en-US" w:eastAsia="en-US" w:bidi="ar-SA"/>
                    </w:rPr>
                    <w:t>160</w:t>
                  </w:r>
                </w:p>
              </w:tc>
              <w:tc>
                <w:tcPr>
                  <w:tcW w:w="702" w:type="pct"/>
                  <w:tcBorders>
                    <w:tl2br w:val="nil"/>
                    <w:tr2bl w:val="nil"/>
                  </w:tcBorders>
                  <w:noWrap w:val="0"/>
                  <w:vAlign w:val="center"/>
                </w:tcPr>
                <w:p w14:paraId="6CA132D8">
                  <w:pPr>
                    <w:keepNext w:val="0"/>
                    <w:keepLines w:val="0"/>
                    <w:pageBreakBefore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auto"/>
                      <w:spacing w:val="8"/>
                      <w:kern w:val="0"/>
                      <w:sz w:val="21"/>
                      <w:szCs w:val="21"/>
                      <w:lang w:val="en-US" w:eastAsia="en-US" w:bidi="ar-SA"/>
                    </w:rPr>
                  </w:pPr>
                  <w:r>
                    <w:rPr>
                      <w:rFonts w:hint="default" w:ascii="Times New Roman" w:hAnsi="Times New Roman" w:eastAsia="宋体" w:cs="Times New Roman"/>
                      <w:snapToGrid w:val="0"/>
                      <w:color w:val="auto"/>
                      <w:spacing w:val="8"/>
                      <w:kern w:val="0"/>
                      <w:sz w:val="21"/>
                      <w:szCs w:val="21"/>
                      <w:lang w:val="en-US" w:eastAsia="en-US" w:bidi="ar-SA"/>
                    </w:rPr>
                    <w:t>111</w:t>
                  </w:r>
                </w:p>
              </w:tc>
              <w:tc>
                <w:tcPr>
                  <w:tcW w:w="665" w:type="pct"/>
                  <w:tcBorders>
                    <w:tl2br w:val="nil"/>
                    <w:tr2bl w:val="nil"/>
                  </w:tcBorders>
                  <w:noWrap w:val="0"/>
                  <w:vAlign w:val="center"/>
                </w:tcPr>
                <w:p w14:paraId="665DB9D1">
                  <w:pPr>
                    <w:keepNext w:val="0"/>
                    <w:keepLines w:val="0"/>
                    <w:pageBreakBefore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auto"/>
                      <w:spacing w:val="8"/>
                      <w:kern w:val="0"/>
                      <w:sz w:val="21"/>
                      <w:szCs w:val="21"/>
                      <w:lang w:val="en-US" w:eastAsia="en-US" w:bidi="ar-SA"/>
                    </w:rPr>
                  </w:pPr>
                  <w:r>
                    <w:rPr>
                      <w:rFonts w:hint="default" w:ascii="Times New Roman" w:hAnsi="Times New Roman" w:eastAsia="宋体" w:cs="Times New Roman"/>
                      <w:snapToGrid w:val="0"/>
                      <w:color w:val="auto"/>
                      <w:spacing w:val="8"/>
                      <w:kern w:val="0"/>
                      <w:sz w:val="21"/>
                      <w:szCs w:val="21"/>
                      <w:lang w:val="en-US" w:eastAsia="en-US" w:bidi="ar-SA"/>
                    </w:rPr>
                    <w:t>不达标</w:t>
                  </w:r>
                </w:p>
              </w:tc>
            </w:tr>
          </w:tbl>
          <w:p w14:paraId="5479C812">
            <w:pPr>
              <w:pStyle w:val="89"/>
              <w:ind w:firstLine="480"/>
              <w:rPr>
                <w:rFonts w:hint="default" w:ascii="Times New Roman" w:hAnsi="Times New Roman" w:cs="Times New Roman"/>
                <w:color w:val="auto"/>
              </w:rPr>
            </w:pPr>
            <w:r>
              <w:rPr>
                <w:rFonts w:hint="default" w:ascii="Times New Roman" w:hAnsi="Times New Roman" w:eastAsia="宋体" w:cs="Times New Roman"/>
                <w:color w:val="auto"/>
                <w:sz w:val="24"/>
                <w:lang w:val="zh-CN" w:eastAsia="en-US"/>
              </w:rPr>
              <w:t>由上表可知，济宁市2023年SO</w:t>
            </w:r>
            <w:r>
              <w:rPr>
                <w:rFonts w:hint="default" w:ascii="Times New Roman" w:hAnsi="Times New Roman" w:eastAsia="宋体" w:cs="Times New Roman"/>
                <w:color w:val="auto"/>
                <w:sz w:val="24"/>
                <w:vertAlign w:val="subscript"/>
                <w:lang w:val="zh-CN" w:eastAsia="en-US"/>
              </w:rPr>
              <w:t>2</w:t>
            </w:r>
            <w:r>
              <w:rPr>
                <w:rFonts w:hint="default" w:ascii="Times New Roman" w:hAnsi="Times New Roman" w:eastAsia="宋体" w:cs="Times New Roman"/>
                <w:color w:val="auto"/>
                <w:sz w:val="24"/>
                <w:lang w:val="zh-CN" w:eastAsia="en-US"/>
              </w:rPr>
              <w:t>、NO</w:t>
            </w:r>
            <w:r>
              <w:rPr>
                <w:rFonts w:hint="default" w:ascii="Times New Roman" w:hAnsi="Times New Roman" w:eastAsia="宋体" w:cs="Times New Roman"/>
                <w:color w:val="auto"/>
                <w:sz w:val="24"/>
                <w:vertAlign w:val="subscript"/>
                <w:lang w:val="zh-CN" w:eastAsia="en-US"/>
              </w:rPr>
              <w:t>2</w:t>
            </w:r>
            <w:r>
              <w:rPr>
                <w:rFonts w:hint="default" w:ascii="Times New Roman" w:hAnsi="Times New Roman" w:eastAsia="宋体" w:cs="Times New Roman"/>
                <w:color w:val="auto"/>
                <w:sz w:val="24"/>
                <w:lang w:val="zh-CN" w:eastAsia="en-US"/>
              </w:rPr>
              <w:t>、CO日平均第95百分位数监测浓度值均满足《环境空气质量标准》（GB3095-2012）及其修改单中二级标准要求；PM</w:t>
            </w:r>
            <w:r>
              <w:rPr>
                <w:rFonts w:hint="default" w:ascii="Times New Roman" w:hAnsi="Times New Roman" w:eastAsia="宋体" w:cs="Times New Roman"/>
                <w:color w:val="auto"/>
                <w:sz w:val="24"/>
                <w:vertAlign w:val="subscript"/>
                <w:lang w:val="zh-CN" w:eastAsia="en-US"/>
              </w:rPr>
              <w:t>10</w:t>
            </w:r>
            <w:r>
              <w:rPr>
                <w:rFonts w:hint="default" w:ascii="Times New Roman" w:hAnsi="Times New Roman" w:eastAsia="宋体" w:cs="Times New Roman"/>
                <w:color w:val="auto"/>
                <w:sz w:val="24"/>
                <w:lang w:val="zh-CN" w:eastAsia="en-US"/>
              </w:rPr>
              <w:t>、PM</w:t>
            </w:r>
            <w:r>
              <w:rPr>
                <w:rFonts w:hint="default" w:ascii="Times New Roman" w:hAnsi="Times New Roman" w:eastAsia="宋体" w:cs="Times New Roman"/>
                <w:color w:val="auto"/>
                <w:sz w:val="24"/>
                <w:vertAlign w:val="subscript"/>
                <w:lang w:val="zh-CN" w:eastAsia="en-US"/>
              </w:rPr>
              <w:t>2.5</w:t>
            </w:r>
            <w:r>
              <w:rPr>
                <w:rFonts w:hint="default" w:ascii="Times New Roman" w:hAnsi="Times New Roman" w:eastAsia="宋体" w:cs="Times New Roman"/>
                <w:color w:val="auto"/>
                <w:sz w:val="24"/>
                <w:lang w:val="zh-CN" w:eastAsia="en-US"/>
              </w:rPr>
              <w:t>、臭氧（O</w:t>
            </w:r>
            <w:r>
              <w:rPr>
                <w:rFonts w:hint="default" w:ascii="Times New Roman" w:hAnsi="Times New Roman" w:eastAsia="宋体" w:cs="Times New Roman"/>
                <w:color w:val="auto"/>
                <w:sz w:val="24"/>
                <w:vertAlign w:val="subscript"/>
                <w:lang w:val="zh-CN" w:eastAsia="en-US"/>
              </w:rPr>
              <w:t>3</w:t>
            </w:r>
            <w:r>
              <w:rPr>
                <w:rFonts w:hint="default" w:ascii="Times New Roman" w:hAnsi="Times New Roman" w:eastAsia="宋体" w:cs="Times New Roman"/>
                <w:color w:val="auto"/>
                <w:sz w:val="24"/>
                <w:lang w:val="zh-CN" w:eastAsia="en-US"/>
              </w:rPr>
              <w:t>）8小时平均第90百分位数监测浓度值超标，因此济宁市属于不达标区</w:t>
            </w:r>
            <w:r>
              <w:rPr>
                <w:rFonts w:hint="default" w:ascii="Times New Roman" w:hAnsi="Times New Roman" w:cs="Times New Roman"/>
                <w:color w:val="auto"/>
              </w:rPr>
              <w:t>。</w:t>
            </w:r>
          </w:p>
          <w:p w14:paraId="70FA0B6A">
            <w:pPr>
              <w:pStyle w:val="4"/>
              <w:numPr>
                <w:ilvl w:val="0"/>
                <w:numId w:val="0"/>
              </w:numPr>
              <w:bidi w:val="0"/>
              <w:ind w:leftChars="0" w:firstLine="480" w:firstLineChars="20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w:t>
            </w:r>
            <w:r>
              <w:rPr>
                <w:rFonts w:hint="eastAsia" w:ascii="Times New Roman" w:hAnsi="Times New Roman" w:cs="Times New Roman"/>
                <w:color w:val="auto"/>
                <w:lang w:val="en-US" w:eastAsia="zh-CN"/>
              </w:rPr>
              <w:t>泗水</w:t>
            </w:r>
            <w:r>
              <w:rPr>
                <w:rFonts w:hint="default" w:ascii="Times New Roman" w:hAnsi="Times New Roman" w:cs="Times New Roman"/>
                <w:color w:val="auto"/>
                <w:lang w:val="en-US" w:eastAsia="zh-CN"/>
              </w:rPr>
              <w:t>县基本污染物环境质量现状</w:t>
            </w:r>
          </w:p>
          <w:p w14:paraId="68E9F72B">
            <w:pPr>
              <w:adjustRightInd w:val="0"/>
              <w:snapToGrid w:val="0"/>
              <w:ind w:firstLine="480" w:firstLineChars="200"/>
              <w:rPr>
                <w:rFonts w:hint="default" w:ascii="Times New Roman" w:hAnsi="Times New Roman" w:cs="Times New Roman"/>
                <w:color w:val="auto"/>
              </w:rPr>
            </w:pPr>
            <w:r>
              <w:rPr>
                <w:rFonts w:hint="default" w:ascii="Times New Roman" w:hAnsi="Times New Roman" w:cs="Times New Roman"/>
                <w:color w:val="auto"/>
              </w:rPr>
              <w:t>为了解项目所在地区的环境空气质量现状，本评价收集了202</w:t>
            </w:r>
            <w:r>
              <w:rPr>
                <w:rFonts w:hint="eastAsia" w:cs="Times New Roman"/>
                <w:color w:val="auto"/>
                <w:lang w:val="en-US" w:eastAsia="zh-CN"/>
              </w:rPr>
              <w:t>3</w:t>
            </w:r>
            <w:r>
              <w:rPr>
                <w:rFonts w:hint="default" w:ascii="Times New Roman" w:hAnsi="Times New Roman" w:cs="Times New Roman"/>
                <w:color w:val="auto"/>
              </w:rPr>
              <w:t>年1~12月份泗水县环境空气质量监测数据资料，对项目所在地区环境空气质量现状进行说明，具体数值见</w:t>
            </w:r>
            <w:r>
              <w:rPr>
                <w:rFonts w:hint="eastAsia" w:cs="Times New Roman"/>
                <w:color w:val="auto"/>
                <w:lang w:val="en-US" w:eastAsia="zh-CN"/>
              </w:rPr>
              <w:t>下</w:t>
            </w:r>
            <w:r>
              <w:rPr>
                <w:rFonts w:hint="default" w:ascii="Times New Roman" w:hAnsi="Times New Roman" w:cs="Times New Roman"/>
                <w:color w:val="auto"/>
              </w:rPr>
              <w:t>表。</w:t>
            </w:r>
          </w:p>
          <w:p w14:paraId="1B118F14">
            <w:pPr>
              <w:pStyle w:val="45"/>
              <w:bidi w:val="0"/>
              <w:rPr>
                <w:b/>
                <w:bCs/>
                <w:color w:val="auto"/>
                <w:kern w:val="2"/>
                <w:szCs w:val="24"/>
              </w:rPr>
            </w:pPr>
            <w:r>
              <w:rPr>
                <w:color w:val="auto"/>
              </w:rPr>
              <w:t>表3-</w:t>
            </w:r>
            <w:r>
              <w:rPr>
                <w:rFonts w:hint="eastAsia"/>
                <w:color w:val="auto"/>
                <w:lang w:val="en-US" w:eastAsia="zh-CN"/>
              </w:rPr>
              <w:t>2</w:t>
            </w:r>
            <w:r>
              <w:rPr>
                <w:color w:val="auto"/>
              </w:rPr>
              <w:t xml:space="preserve"> 202</w:t>
            </w:r>
            <w:r>
              <w:rPr>
                <w:rFonts w:hint="eastAsia"/>
                <w:color w:val="auto"/>
                <w:lang w:val="en-US" w:eastAsia="zh-CN"/>
              </w:rPr>
              <w:t>3</w:t>
            </w:r>
            <w:r>
              <w:rPr>
                <w:color w:val="auto"/>
              </w:rPr>
              <w:t>年泗水县基本污染物监测数据（单位：μg/m</w:t>
            </w:r>
            <w:r>
              <w:rPr>
                <w:color w:val="auto"/>
                <w:vertAlign w:val="superscript"/>
              </w:rPr>
              <w:t>3</w:t>
            </w:r>
            <w:r>
              <w:rPr>
                <w:color w:val="auto"/>
              </w:rPr>
              <w:t>）</w:t>
            </w:r>
          </w:p>
          <w:tbl>
            <w:tblPr>
              <w:tblStyle w:val="33"/>
              <w:tblW w:w="4997"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696"/>
              <w:gridCol w:w="1340"/>
              <w:gridCol w:w="1307"/>
              <w:gridCol w:w="996"/>
              <w:gridCol w:w="1061"/>
              <w:gridCol w:w="1446"/>
              <w:gridCol w:w="1129"/>
            </w:tblGrid>
            <w:tr w14:paraId="31F3ACA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436" w:type="pct"/>
                  <w:tcBorders>
                    <w:tl2br w:val="nil"/>
                    <w:tr2bl w:val="nil"/>
                  </w:tcBorders>
                  <w:noWrap w:val="0"/>
                  <w:vAlign w:val="center"/>
                </w:tcPr>
                <w:p w14:paraId="49FB8B85">
                  <w:pPr>
                    <w:pStyle w:val="44"/>
                    <w:bidi w:val="0"/>
                    <w:rPr>
                      <w:rFonts w:hint="default"/>
                      <w:b/>
                      <w:bCs/>
                      <w:color w:val="auto"/>
                    </w:rPr>
                  </w:pPr>
                  <w:r>
                    <w:rPr>
                      <w:rFonts w:hint="default"/>
                      <w:b/>
                      <w:bCs/>
                      <w:color w:val="auto"/>
                    </w:rPr>
                    <w:t>年份</w:t>
                  </w:r>
                </w:p>
              </w:tc>
              <w:tc>
                <w:tcPr>
                  <w:tcW w:w="840" w:type="pct"/>
                  <w:tcBorders>
                    <w:tl2br w:val="nil"/>
                    <w:tr2bl w:val="nil"/>
                  </w:tcBorders>
                  <w:noWrap w:val="0"/>
                  <w:vAlign w:val="center"/>
                </w:tcPr>
                <w:p w14:paraId="3DABD252">
                  <w:pPr>
                    <w:pStyle w:val="44"/>
                    <w:bidi w:val="0"/>
                    <w:rPr>
                      <w:rFonts w:hint="default"/>
                      <w:b/>
                      <w:bCs/>
                      <w:color w:val="auto"/>
                    </w:rPr>
                  </w:pPr>
                  <w:r>
                    <w:rPr>
                      <w:rFonts w:hint="default"/>
                      <w:b/>
                      <w:bCs/>
                      <w:color w:val="auto"/>
                    </w:rPr>
                    <w:t>SO</w:t>
                  </w:r>
                  <w:r>
                    <w:rPr>
                      <w:rFonts w:hint="default"/>
                      <w:b/>
                      <w:bCs/>
                      <w:color w:val="auto"/>
                      <w:vertAlign w:val="subscript"/>
                    </w:rPr>
                    <w:t>2</w:t>
                  </w:r>
                  <w:r>
                    <w:rPr>
                      <w:rFonts w:hint="default"/>
                      <w:b/>
                      <w:bCs/>
                      <w:color w:val="auto"/>
                    </w:rPr>
                    <w:t>年均浓度</w:t>
                  </w:r>
                </w:p>
              </w:tc>
              <w:tc>
                <w:tcPr>
                  <w:tcW w:w="819" w:type="pct"/>
                  <w:tcBorders>
                    <w:tl2br w:val="nil"/>
                    <w:tr2bl w:val="nil"/>
                  </w:tcBorders>
                  <w:noWrap w:val="0"/>
                  <w:vAlign w:val="center"/>
                </w:tcPr>
                <w:p w14:paraId="123752E6">
                  <w:pPr>
                    <w:pStyle w:val="44"/>
                    <w:bidi w:val="0"/>
                    <w:rPr>
                      <w:rFonts w:hint="default"/>
                      <w:b/>
                      <w:bCs/>
                      <w:color w:val="auto"/>
                    </w:rPr>
                  </w:pPr>
                  <w:r>
                    <w:rPr>
                      <w:rFonts w:hint="default"/>
                      <w:b/>
                      <w:bCs/>
                      <w:color w:val="auto"/>
                    </w:rPr>
                    <w:t>NO</w:t>
                  </w:r>
                  <w:r>
                    <w:rPr>
                      <w:rFonts w:hint="default"/>
                      <w:b/>
                      <w:bCs/>
                      <w:color w:val="auto"/>
                      <w:vertAlign w:val="subscript"/>
                    </w:rPr>
                    <w:t>2</w:t>
                  </w:r>
                  <w:r>
                    <w:rPr>
                      <w:rFonts w:hint="default"/>
                      <w:b/>
                      <w:bCs/>
                      <w:color w:val="auto"/>
                    </w:rPr>
                    <w:t>年均浓度</w:t>
                  </w:r>
                </w:p>
              </w:tc>
              <w:tc>
                <w:tcPr>
                  <w:tcW w:w="624" w:type="pct"/>
                  <w:tcBorders>
                    <w:tl2br w:val="nil"/>
                    <w:tr2bl w:val="nil"/>
                  </w:tcBorders>
                  <w:noWrap w:val="0"/>
                  <w:vAlign w:val="center"/>
                </w:tcPr>
                <w:p w14:paraId="6B59D687">
                  <w:pPr>
                    <w:pStyle w:val="44"/>
                    <w:bidi w:val="0"/>
                    <w:rPr>
                      <w:rFonts w:hint="default"/>
                      <w:b/>
                      <w:bCs/>
                      <w:color w:val="auto"/>
                    </w:rPr>
                  </w:pPr>
                  <w:r>
                    <w:rPr>
                      <w:rFonts w:hint="default"/>
                      <w:b/>
                      <w:bCs/>
                      <w:color w:val="auto"/>
                    </w:rPr>
                    <w:t>PM</w:t>
                  </w:r>
                  <w:r>
                    <w:rPr>
                      <w:rFonts w:hint="default"/>
                      <w:b/>
                      <w:bCs/>
                      <w:color w:val="auto"/>
                      <w:vertAlign w:val="subscript"/>
                    </w:rPr>
                    <w:t>10</w:t>
                  </w:r>
                  <w:r>
                    <w:rPr>
                      <w:rFonts w:hint="default"/>
                      <w:b/>
                      <w:bCs/>
                      <w:color w:val="auto"/>
                    </w:rPr>
                    <w:t>年均浓度</w:t>
                  </w:r>
                </w:p>
              </w:tc>
              <w:tc>
                <w:tcPr>
                  <w:tcW w:w="665" w:type="pct"/>
                  <w:tcBorders>
                    <w:tl2br w:val="nil"/>
                    <w:tr2bl w:val="nil"/>
                  </w:tcBorders>
                  <w:noWrap w:val="0"/>
                  <w:vAlign w:val="center"/>
                </w:tcPr>
                <w:p w14:paraId="30195AAC">
                  <w:pPr>
                    <w:pStyle w:val="44"/>
                    <w:bidi w:val="0"/>
                    <w:rPr>
                      <w:rFonts w:hint="default"/>
                      <w:b/>
                      <w:bCs/>
                      <w:color w:val="auto"/>
                    </w:rPr>
                  </w:pPr>
                  <w:r>
                    <w:rPr>
                      <w:rFonts w:hint="default"/>
                      <w:b/>
                      <w:bCs/>
                      <w:color w:val="auto"/>
                    </w:rPr>
                    <w:t>PM</w:t>
                  </w:r>
                  <w:r>
                    <w:rPr>
                      <w:rFonts w:hint="default"/>
                      <w:b/>
                      <w:bCs/>
                      <w:color w:val="auto"/>
                      <w:vertAlign w:val="subscript"/>
                    </w:rPr>
                    <w:t>2.5</w:t>
                  </w:r>
                  <w:r>
                    <w:rPr>
                      <w:rFonts w:hint="default"/>
                      <w:b/>
                      <w:bCs/>
                      <w:color w:val="auto"/>
                    </w:rPr>
                    <w:t>年均浓度</w:t>
                  </w:r>
                </w:p>
              </w:tc>
              <w:tc>
                <w:tcPr>
                  <w:tcW w:w="906" w:type="pct"/>
                  <w:tcBorders>
                    <w:tl2br w:val="nil"/>
                    <w:tr2bl w:val="nil"/>
                  </w:tcBorders>
                  <w:noWrap w:val="0"/>
                  <w:vAlign w:val="center"/>
                </w:tcPr>
                <w:p w14:paraId="21A932BD">
                  <w:pPr>
                    <w:pStyle w:val="44"/>
                    <w:bidi w:val="0"/>
                    <w:rPr>
                      <w:rFonts w:hint="default"/>
                      <w:b/>
                      <w:bCs/>
                      <w:color w:val="auto"/>
                      <w:lang w:eastAsia="zh-CN"/>
                    </w:rPr>
                  </w:pPr>
                  <w:r>
                    <w:rPr>
                      <w:rFonts w:hint="default"/>
                      <w:b/>
                      <w:bCs/>
                      <w:color w:val="auto"/>
                      <w:lang w:eastAsia="zh-CN"/>
                    </w:rPr>
                    <w:t>O</w:t>
                  </w:r>
                  <w:r>
                    <w:rPr>
                      <w:rFonts w:hint="default"/>
                      <w:b/>
                      <w:bCs/>
                      <w:color w:val="auto"/>
                      <w:vertAlign w:val="subscript"/>
                      <w:lang w:eastAsia="zh-CN"/>
                    </w:rPr>
                    <w:t>3</w:t>
                  </w:r>
                  <w:r>
                    <w:rPr>
                      <w:rFonts w:hint="default"/>
                      <w:b/>
                      <w:bCs/>
                      <w:color w:val="auto"/>
                      <w:lang w:eastAsia="zh-CN"/>
                    </w:rPr>
                    <w:t>日最大8小时均值第90百分位数</w:t>
                  </w:r>
                </w:p>
              </w:tc>
              <w:tc>
                <w:tcPr>
                  <w:tcW w:w="707" w:type="pct"/>
                  <w:tcBorders>
                    <w:tl2br w:val="nil"/>
                    <w:tr2bl w:val="nil"/>
                  </w:tcBorders>
                  <w:noWrap w:val="0"/>
                  <w:vAlign w:val="center"/>
                </w:tcPr>
                <w:p w14:paraId="447E05E2">
                  <w:pPr>
                    <w:pStyle w:val="44"/>
                    <w:bidi w:val="0"/>
                    <w:rPr>
                      <w:rFonts w:hint="default"/>
                      <w:b/>
                      <w:bCs/>
                      <w:color w:val="auto"/>
                    </w:rPr>
                  </w:pPr>
                  <w:r>
                    <w:rPr>
                      <w:rFonts w:hint="default"/>
                      <w:b/>
                      <w:bCs/>
                      <w:color w:val="auto"/>
                    </w:rPr>
                    <w:t>CO24小时平均浓度第95百分位数</w:t>
                  </w:r>
                </w:p>
              </w:tc>
            </w:tr>
            <w:tr w14:paraId="105374D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57" w:hRule="atLeast"/>
                <w:jc w:val="center"/>
              </w:trPr>
              <w:tc>
                <w:tcPr>
                  <w:tcW w:w="436" w:type="pct"/>
                  <w:tcBorders>
                    <w:tl2br w:val="nil"/>
                    <w:tr2bl w:val="nil"/>
                  </w:tcBorders>
                  <w:noWrap w:val="0"/>
                  <w:vAlign w:val="center"/>
                </w:tcPr>
                <w:p w14:paraId="703CEC00">
                  <w:pPr>
                    <w:pStyle w:val="44"/>
                    <w:bidi w:val="0"/>
                    <w:rPr>
                      <w:rFonts w:hint="default"/>
                      <w:color w:val="auto"/>
                      <w:lang w:eastAsia="zh-CN"/>
                    </w:rPr>
                  </w:pPr>
                  <w:r>
                    <w:rPr>
                      <w:rFonts w:hint="default"/>
                      <w:color w:val="auto"/>
                      <w:lang w:eastAsia="zh-CN"/>
                    </w:rPr>
                    <w:t>202</w:t>
                  </w:r>
                  <w:r>
                    <w:rPr>
                      <w:rFonts w:hint="eastAsia"/>
                      <w:color w:val="auto"/>
                      <w:lang w:val="en-US" w:eastAsia="zh-CN"/>
                    </w:rPr>
                    <w:t>3</w:t>
                  </w:r>
                  <w:r>
                    <w:rPr>
                      <w:rFonts w:hint="eastAsia"/>
                      <w:color w:val="auto"/>
                      <w:lang w:eastAsia="zh-CN"/>
                    </w:rPr>
                    <w:t>年</w:t>
                  </w:r>
                </w:p>
              </w:tc>
              <w:tc>
                <w:tcPr>
                  <w:tcW w:w="840" w:type="pct"/>
                  <w:tcBorders>
                    <w:tl2br w:val="nil"/>
                    <w:tr2bl w:val="nil"/>
                  </w:tcBorders>
                  <w:noWrap w:val="0"/>
                  <w:vAlign w:val="center"/>
                </w:tcPr>
                <w:p w14:paraId="78AB6198">
                  <w:pPr>
                    <w:pStyle w:val="44"/>
                    <w:bidi w:val="0"/>
                    <w:rPr>
                      <w:rFonts w:hint="eastAsia"/>
                      <w:color w:val="auto"/>
                      <w:lang w:eastAsia="zh-CN"/>
                    </w:rPr>
                  </w:pPr>
                  <w:r>
                    <w:rPr>
                      <w:rFonts w:hint="default"/>
                      <w:color w:val="auto"/>
                    </w:rPr>
                    <w:t>1</w:t>
                  </w:r>
                  <w:r>
                    <w:rPr>
                      <w:rFonts w:hint="eastAsia"/>
                      <w:color w:val="auto"/>
                      <w:lang w:val="en-US" w:eastAsia="zh-CN"/>
                    </w:rPr>
                    <w:t>0</w:t>
                  </w:r>
                </w:p>
              </w:tc>
              <w:tc>
                <w:tcPr>
                  <w:tcW w:w="819" w:type="pct"/>
                  <w:tcBorders>
                    <w:tl2br w:val="nil"/>
                    <w:tr2bl w:val="nil"/>
                  </w:tcBorders>
                  <w:noWrap w:val="0"/>
                  <w:vAlign w:val="center"/>
                </w:tcPr>
                <w:p w14:paraId="77A21583">
                  <w:pPr>
                    <w:pStyle w:val="44"/>
                    <w:bidi w:val="0"/>
                    <w:rPr>
                      <w:rFonts w:hint="default"/>
                      <w:color w:val="auto"/>
                      <w:lang w:val="en-US" w:eastAsia="zh-CN"/>
                    </w:rPr>
                  </w:pPr>
                  <w:r>
                    <w:rPr>
                      <w:rFonts w:hint="eastAsia"/>
                      <w:color w:val="auto"/>
                      <w:lang w:val="en-US" w:eastAsia="zh-CN"/>
                    </w:rPr>
                    <w:t>30</w:t>
                  </w:r>
                </w:p>
              </w:tc>
              <w:tc>
                <w:tcPr>
                  <w:tcW w:w="624" w:type="pct"/>
                  <w:tcBorders>
                    <w:tl2br w:val="nil"/>
                    <w:tr2bl w:val="nil"/>
                  </w:tcBorders>
                  <w:noWrap w:val="0"/>
                  <w:vAlign w:val="center"/>
                </w:tcPr>
                <w:p w14:paraId="37FBC296">
                  <w:pPr>
                    <w:pStyle w:val="44"/>
                    <w:bidi w:val="0"/>
                    <w:rPr>
                      <w:rFonts w:hint="default"/>
                      <w:color w:val="auto"/>
                      <w:lang w:val="en-US" w:eastAsia="zh-CN"/>
                    </w:rPr>
                  </w:pPr>
                  <w:r>
                    <w:rPr>
                      <w:rFonts w:hint="eastAsia"/>
                      <w:color w:val="auto"/>
                      <w:lang w:val="en-US" w:eastAsia="zh-CN"/>
                    </w:rPr>
                    <w:t>74</w:t>
                  </w:r>
                </w:p>
              </w:tc>
              <w:tc>
                <w:tcPr>
                  <w:tcW w:w="665" w:type="pct"/>
                  <w:tcBorders>
                    <w:tl2br w:val="nil"/>
                    <w:tr2bl w:val="nil"/>
                  </w:tcBorders>
                  <w:noWrap w:val="0"/>
                  <w:vAlign w:val="center"/>
                </w:tcPr>
                <w:p w14:paraId="281E117E">
                  <w:pPr>
                    <w:pStyle w:val="44"/>
                    <w:bidi w:val="0"/>
                    <w:rPr>
                      <w:rFonts w:hint="default"/>
                      <w:color w:val="auto"/>
                    </w:rPr>
                  </w:pPr>
                  <w:r>
                    <w:rPr>
                      <w:rFonts w:hint="default"/>
                      <w:color w:val="auto"/>
                    </w:rPr>
                    <w:t>44</w:t>
                  </w:r>
                </w:p>
              </w:tc>
              <w:tc>
                <w:tcPr>
                  <w:tcW w:w="906" w:type="pct"/>
                  <w:tcBorders>
                    <w:tl2br w:val="nil"/>
                    <w:tr2bl w:val="nil"/>
                  </w:tcBorders>
                  <w:noWrap w:val="0"/>
                  <w:vAlign w:val="center"/>
                </w:tcPr>
                <w:p w14:paraId="144CC25F">
                  <w:pPr>
                    <w:pStyle w:val="44"/>
                    <w:bidi w:val="0"/>
                    <w:rPr>
                      <w:rFonts w:hint="default"/>
                      <w:color w:val="auto"/>
                      <w:lang w:val="en-US" w:eastAsia="zh-CN"/>
                    </w:rPr>
                  </w:pPr>
                  <w:r>
                    <w:rPr>
                      <w:rFonts w:hint="default"/>
                      <w:color w:val="auto"/>
                    </w:rPr>
                    <w:t>1</w:t>
                  </w:r>
                  <w:r>
                    <w:rPr>
                      <w:rFonts w:hint="eastAsia"/>
                      <w:color w:val="auto"/>
                      <w:lang w:val="en-US" w:eastAsia="zh-CN"/>
                    </w:rPr>
                    <w:t>78</w:t>
                  </w:r>
                </w:p>
              </w:tc>
              <w:tc>
                <w:tcPr>
                  <w:tcW w:w="707" w:type="pct"/>
                  <w:tcBorders>
                    <w:tl2br w:val="nil"/>
                    <w:tr2bl w:val="nil"/>
                  </w:tcBorders>
                  <w:noWrap w:val="0"/>
                  <w:vAlign w:val="center"/>
                </w:tcPr>
                <w:p w14:paraId="401A348E">
                  <w:pPr>
                    <w:pStyle w:val="44"/>
                    <w:bidi w:val="0"/>
                    <w:rPr>
                      <w:rFonts w:hint="default"/>
                      <w:color w:val="auto"/>
                    </w:rPr>
                  </w:pPr>
                  <w:r>
                    <w:rPr>
                      <w:rFonts w:hint="default"/>
                      <w:color w:val="auto"/>
                    </w:rPr>
                    <w:t>1</w:t>
                  </w:r>
                  <w:r>
                    <w:rPr>
                      <w:rFonts w:hint="eastAsia"/>
                      <w:color w:val="auto"/>
                      <w:lang w:val="en-US" w:eastAsia="zh-CN"/>
                    </w:rPr>
                    <w:t>3</w:t>
                  </w:r>
                  <w:r>
                    <w:rPr>
                      <w:rFonts w:hint="default"/>
                      <w:color w:val="auto"/>
                    </w:rPr>
                    <w:t>00</w:t>
                  </w:r>
                </w:p>
              </w:tc>
            </w:tr>
          </w:tbl>
          <w:p w14:paraId="2D63F104">
            <w:pPr>
              <w:pStyle w:val="28"/>
              <w:tabs>
                <w:tab w:val="left" w:pos="5154"/>
              </w:tabs>
              <w:adjustRightInd w:val="0"/>
              <w:snapToGrid w:val="0"/>
              <w:spacing w:before="0" w:beforeAutospacing="0" w:after="0" w:afterAutospacing="0" w:line="360" w:lineRule="auto"/>
              <w:ind w:firstLine="480" w:firstLineChars="200"/>
              <w:rPr>
                <w:rFonts w:ascii="Times New Roman" w:hAnsi="Times New Roman"/>
                <w:color w:val="auto"/>
                <w:szCs w:val="24"/>
              </w:rPr>
            </w:pPr>
            <w:r>
              <w:rPr>
                <w:rFonts w:ascii="Times New Roman" w:hAnsi="Times New Roman"/>
                <w:color w:val="auto"/>
                <w:szCs w:val="24"/>
              </w:rPr>
              <w:t>泗水县202</w:t>
            </w:r>
            <w:r>
              <w:rPr>
                <w:rFonts w:hint="eastAsia" w:ascii="Times New Roman" w:hAnsi="Times New Roman"/>
                <w:color w:val="auto"/>
                <w:szCs w:val="24"/>
                <w:lang w:val="en-US" w:eastAsia="zh-CN"/>
              </w:rPr>
              <w:t>3</w:t>
            </w:r>
            <w:r>
              <w:rPr>
                <w:rFonts w:ascii="Times New Roman" w:hAnsi="Times New Roman"/>
                <w:color w:val="auto"/>
                <w:szCs w:val="24"/>
              </w:rPr>
              <w:t>年大气环境质量现状评价见</w:t>
            </w:r>
            <w:r>
              <w:rPr>
                <w:rFonts w:hint="eastAsia" w:ascii="Times New Roman" w:hAnsi="Times New Roman"/>
                <w:color w:val="auto"/>
                <w:szCs w:val="24"/>
              </w:rPr>
              <w:t>下</w:t>
            </w:r>
            <w:r>
              <w:rPr>
                <w:rFonts w:ascii="Times New Roman" w:hAnsi="Times New Roman"/>
                <w:color w:val="auto"/>
                <w:szCs w:val="24"/>
              </w:rPr>
              <w:t>表。</w:t>
            </w:r>
          </w:p>
          <w:p w14:paraId="05956F97">
            <w:pPr>
              <w:pStyle w:val="45"/>
              <w:bidi w:val="0"/>
              <w:rPr>
                <w:b/>
                <w:bCs/>
                <w:color w:val="auto"/>
              </w:rPr>
            </w:pPr>
            <w:r>
              <w:rPr>
                <w:color w:val="auto"/>
              </w:rPr>
              <w:t>表3-</w:t>
            </w:r>
            <w:r>
              <w:rPr>
                <w:rFonts w:hint="eastAsia"/>
                <w:color w:val="auto"/>
                <w:lang w:val="en-US" w:eastAsia="zh-CN"/>
              </w:rPr>
              <w:t>3</w:t>
            </w:r>
            <w:r>
              <w:rPr>
                <w:color w:val="auto"/>
              </w:rPr>
              <w:t xml:space="preserve"> 泗水县大气环境质量现状评价表</w:t>
            </w:r>
          </w:p>
          <w:tbl>
            <w:tblPr>
              <w:tblStyle w:val="33"/>
              <w:tblW w:w="495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0" w:type="dxa"/>
                <w:bottom w:w="0" w:type="dxa"/>
                <w:right w:w="0" w:type="dxa"/>
              </w:tblCellMar>
            </w:tblPr>
            <w:tblGrid>
              <w:gridCol w:w="446"/>
              <w:gridCol w:w="818"/>
              <w:gridCol w:w="2111"/>
              <w:gridCol w:w="1439"/>
              <w:gridCol w:w="1135"/>
              <w:gridCol w:w="1068"/>
              <w:gridCol w:w="881"/>
            </w:tblGrid>
            <w:tr w14:paraId="40FB79C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283" w:type="pct"/>
                  <w:tcBorders>
                    <w:tl2br w:val="nil"/>
                    <w:tr2bl w:val="nil"/>
                  </w:tcBorders>
                  <w:noWrap/>
                  <w:vAlign w:val="center"/>
                </w:tcPr>
                <w:p w14:paraId="087F3EE3">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cs="Times New Roman"/>
                      <w:b/>
                      <w:bCs/>
                      <w:color w:val="auto"/>
                      <w:kern w:val="21"/>
                      <w:sz w:val="21"/>
                      <w:szCs w:val="21"/>
                    </w:rPr>
                  </w:pPr>
                  <w:r>
                    <w:rPr>
                      <w:rFonts w:hint="default" w:cs="Times New Roman"/>
                      <w:b/>
                      <w:bCs/>
                      <w:color w:val="auto"/>
                      <w:kern w:val="21"/>
                      <w:sz w:val="21"/>
                      <w:szCs w:val="21"/>
                    </w:rPr>
                    <w:t>序号</w:t>
                  </w:r>
                </w:p>
              </w:tc>
              <w:tc>
                <w:tcPr>
                  <w:tcW w:w="517" w:type="pct"/>
                  <w:tcBorders>
                    <w:tl2br w:val="nil"/>
                    <w:tr2bl w:val="nil"/>
                  </w:tcBorders>
                  <w:noWrap/>
                  <w:vAlign w:val="center"/>
                </w:tcPr>
                <w:p w14:paraId="6318AD5C">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cs="Times New Roman"/>
                      <w:b/>
                      <w:bCs/>
                      <w:color w:val="auto"/>
                      <w:kern w:val="21"/>
                      <w:sz w:val="21"/>
                      <w:szCs w:val="21"/>
                    </w:rPr>
                  </w:pPr>
                  <w:r>
                    <w:rPr>
                      <w:rFonts w:hint="default" w:cs="Times New Roman"/>
                      <w:b/>
                      <w:bCs/>
                      <w:color w:val="auto"/>
                      <w:kern w:val="21"/>
                      <w:sz w:val="21"/>
                      <w:szCs w:val="21"/>
                    </w:rPr>
                    <w:t>污染物</w:t>
                  </w:r>
                </w:p>
              </w:tc>
              <w:tc>
                <w:tcPr>
                  <w:tcW w:w="1335" w:type="pct"/>
                  <w:tcBorders>
                    <w:tl2br w:val="nil"/>
                    <w:tr2bl w:val="nil"/>
                  </w:tcBorders>
                  <w:noWrap/>
                  <w:vAlign w:val="center"/>
                </w:tcPr>
                <w:p w14:paraId="34B198D6">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cs="Times New Roman"/>
                      <w:b/>
                      <w:bCs/>
                      <w:color w:val="auto"/>
                      <w:kern w:val="21"/>
                      <w:sz w:val="21"/>
                      <w:szCs w:val="21"/>
                    </w:rPr>
                  </w:pPr>
                  <w:r>
                    <w:rPr>
                      <w:rFonts w:hint="default" w:cs="Times New Roman"/>
                      <w:b/>
                      <w:bCs/>
                      <w:color w:val="auto"/>
                      <w:kern w:val="21"/>
                      <w:sz w:val="21"/>
                      <w:szCs w:val="21"/>
                    </w:rPr>
                    <w:t>年评价指标</w:t>
                  </w:r>
                </w:p>
              </w:tc>
              <w:tc>
                <w:tcPr>
                  <w:tcW w:w="910" w:type="pct"/>
                  <w:tcBorders>
                    <w:tl2br w:val="nil"/>
                    <w:tr2bl w:val="nil"/>
                  </w:tcBorders>
                  <w:noWrap/>
                  <w:vAlign w:val="center"/>
                </w:tcPr>
                <w:p w14:paraId="72C0F1CB">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cs="Times New Roman"/>
                      <w:b/>
                      <w:bCs/>
                      <w:color w:val="auto"/>
                      <w:kern w:val="21"/>
                      <w:sz w:val="21"/>
                      <w:szCs w:val="21"/>
                    </w:rPr>
                  </w:pPr>
                  <w:r>
                    <w:rPr>
                      <w:rFonts w:hint="default" w:cs="Times New Roman"/>
                      <w:b/>
                      <w:bCs/>
                      <w:color w:val="auto"/>
                      <w:kern w:val="21"/>
                      <w:sz w:val="21"/>
                      <w:szCs w:val="21"/>
                    </w:rPr>
                    <w:t>现状浓度μg/m</w:t>
                  </w:r>
                  <w:r>
                    <w:rPr>
                      <w:rFonts w:hint="default" w:cs="Times New Roman"/>
                      <w:b/>
                      <w:bCs/>
                      <w:color w:val="auto"/>
                      <w:kern w:val="21"/>
                      <w:sz w:val="21"/>
                      <w:szCs w:val="21"/>
                      <w:vertAlign w:val="superscript"/>
                    </w:rPr>
                    <w:t>3</w:t>
                  </w:r>
                </w:p>
              </w:tc>
              <w:tc>
                <w:tcPr>
                  <w:tcW w:w="718" w:type="pct"/>
                  <w:tcBorders>
                    <w:tl2br w:val="nil"/>
                    <w:tr2bl w:val="nil"/>
                  </w:tcBorders>
                  <w:noWrap/>
                  <w:vAlign w:val="center"/>
                </w:tcPr>
                <w:p w14:paraId="2F37A186">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cs="Times New Roman"/>
                      <w:b/>
                      <w:bCs/>
                      <w:color w:val="auto"/>
                      <w:kern w:val="21"/>
                      <w:sz w:val="21"/>
                      <w:szCs w:val="21"/>
                    </w:rPr>
                  </w:pPr>
                  <w:r>
                    <w:rPr>
                      <w:rFonts w:hint="default" w:cs="Times New Roman"/>
                      <w:b/>
                      <w:bCs/>
                      <w:color w:val="auto"/>
                      <w:kern w:val="21"/>
                      <w:sz w:val="21"/>
                      <w:szCs w:val="21"/>
                    </w:rPr>
                    <w:t>标准值μg/m</w:t>
                  </w:r>
                  <w:r>
                    <w:rPr>
                      <w:rFonts w:hint="default" w:cs="Times New Roman"/>
                      <w:b/>
                      <w:bCs/>
                      <w:color w:val="auto"/>
                      <w:kern w:val="21"/>
                      <w:sz w:val="21"/>
                      <w:szCs w:val="21"/>
                      <w:vertAlign w:val="superscript"/>
                    </w:rPr>
                    <w:t>3</w:t>
                  </w:r>
                </w:p>
              </w:tc>
              <w:tc>
                <w:tcPr>
                  <w:tcW w:w="676" w:type="pct"/>
                  <w:tcBorders>
                    <w:tl2br w:val="nil"/>
                    <w:tr2bl w:val="nil"/>
                  </w:tcBorders>
                  <w:noWrap/>
                  <w:vAlign w:val="center"/>
                </w:tcPr>
                <w:p w14:paraId="1EC24DDA">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cs="Times New Roman"/>
                      <w:b/>
                      <w:bCs/>
                      <w:color w:val="auto"/>
                      <w:kern w:val="21"/>
                      <w:sz w:val="21"/>
                      <w:szCs w:val="21"/>
                    </w:rPr>
                  </w:pPr>
                  <w:r>
                    <w:rPr>
                      <w:rFonts w:hint="default" w:cs="Times New Roman"/>
                      <w:b/>
                      <w:bCs/>
                      <w:color w:val="auto"/>
                      <w:kern w:val="21"/>
                      <w:sz w:val="21"/>
                      <w:szCs w:val="21"/>
                    </w:rPr>
                    <w:t>占标率</w:t>
                  </w:r>
                </w:p>
              </w:tc>
              <w:tc>
                <w:tcPr>
                  <w:tcW w:w="557" w:type="pct"/>
                  <w:tcBorders>
                    <w:tl2br w:val="nil"/>
                    <w:tr2bl w:val="nil"/>
                  </w:tcBorders>
                  <w:noWrap/>
                  <w:vAlign w:val="center"/>
                </w:tcPr>
                <w:p w14:paraId="6679EDCA">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cs="Times New Roman"/>
                      <w:b/>
                      <w:bCs/>
                      <w:color w:val="auto"/>
                      <w:kern w:val="21"/>
                      <w:sz w:val="21"/>
                      <w:szCs w:val="21"/>
                    </w:rPr>
                  </w:pPr>
                  <w:r>
                    <w:rPr>
                      <w:rFonts w:hint="default" w:cs="Times New Roman"/>
                      <w:b/>
                      <w:bCs/>
                      <w:color w:val="auto"/>
                      <w:kern w:val="21"/>
                      <w:sz w:val="21"/>
                      <w:szCs w:val="21"/>
                    </w:rPr>
                    <w:t>达标情况</w:t>
                  </w:r>
                </w:p>
              </w:tc>
            </w:tr>
            <w:tr w14:paraId="13335BE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283" w:type="pct"/>
                  <w:tcBorders>
                    <w:tl2br w:val="nil"/>
                    <w:tr2bl w:val="nil"/>
                  </w:tcBorders>
                  <w:noWrap/>
                  <w:vAlign w:val="center"/>
                </w:tcPr>
                <w:p w14:paraId="15E2DA30">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cs="Times New Roman"/>
                      <w:color w:val="auto"/>
                      <w:kern w:val="21"/>
                      <w:sz w:val="21"/>
                      <w:szCs w:val="21"/>
                    </w:rPr>
                  </w:pPr>
                  <w:r>
                    <w:rPr>
                      <w:rFonts w:hint="default" w:cs="Times New Roman"/>
                      <w:color w:val="auto"/>
                      <w:kern w:val="21"/>
                      <w:sz w:val="21"/>
                      <w:szCs w:val="21"/>
                    </w:rPr>
                    <w:t>1</w:t>
                  </w:r>
                </w:p>
              </w:tc>
              <w:tc>
                <w:tcPr>
                  <w:tcW w:w="517" w:type="pct"/>
                  <w:tcBorders>
                    <w:tl2br w:val="nil"/>
                    <w:tr2bl w:val="nil"/>
                  </w:tcBorders>
                  <w:noWrap/>
                  <w:vAlign w:val="center"/>
                </w:tcPr>
                <w:p w14:paraId="5850D623">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cs="Times New Roman"/>
                      <w:color w:val="auto"/>
                      <w:kern w:val="21"/>
                      <w:sz w:val="21"/>
                      <w:szCs w:val="21"/>
                    </w:rPr>
                  </w:pPr>
                  <w:r>
                    <w:rPr>
                      <w:rFonts w:hint="default" w:cs="Times New Roman"/>
                      <w:color w:val="auto"/>
                      <w:kern w:val="21"/>
                      <w:sz w:val="21"/>
                      <w:szCs w:val="21"/>
                    </w:rPr>
                    <w:t>SO</w:t>
                  </w:r>
                  <w:r>
                    <w:rPr>
                      <w:rFonts w:hint="default" w:cs="Times New Roman"/>
                      <w:color w:val="auto"/>
                      <w:kern w:val="21"/>
                      <w:sz w:val="21"/>
                      <w:szCs w:val="21"/>
                      <w:vertAlign w:val="subscript"/>
                    </w:rPr>
                    <w:t>2</w:t>
                  </w:r>
                </w:p>
              </w:tc>
              <w:tc>
                <w:tcPr>
                  <w:tcW w:w="1335" w:type="pct"/>
                  <w:tcBorders>
                    <w:tl2br w:val="nil"/>
                    <w:tr2bl w:val="nil"/>
                  </w:tcBorders>
                  <w:noWrap/>
                  <w:vAlign w:val="center"/>
                </w:tcPr>
                <w:p w14:paraId="708E8D2F">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cs="Times New Roman"/>
                      <w:color w:val="auto"/>
                      <w:kern w:val="21"/>
                      <w:sz w:val="21"/>
                      <w:szCs w:val="21"/>
                    </w:rPr>
                  </w:pPr>
                  <w:r>
                    <w:rPr>
                      <w:rFonts w:hint="default" w:cs="Times New Roman"/>
                      <w:color w:val="auto"/>
                      <w:kern w:val="21"/>
                      <w:sz w:val="21"/>
                      <w:szCs w:val="21"/>
                    </w:rPr>
                    <w:t>年平均质量浓度</w:t>
                  </w:r>
                </w:p>
              </w:tc>
              <w:tc>
                <w:tcPr>
                  <w:tcW w:w="910" w:type="pct"/>
                  <w:tcBorders>
                    <w:tl2br w:val="nil"/>
                    <w:tr2bl w:val="nil"/>
                  </w:tcBorders>
                  <w:noWrap/>
                  <w:vAlign w:val="center"/>
                </w:tcPr>
                <w:p w14:paraId="331F4B9B">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eastAsia="宋体" w:cs="Times New Roman"/>
                      <w:color w:val="auto"/>
                      <w:kern w:val="21"/>
                      <w:sz w:val="21"/>
                      <w:szCs w:val="21"/>
                      <w:lang w:eastAsia="zh-CN"/>
                    </w:rPr>
                  </w:pPr>
                  <w:r>
                    <w:rPr>
                      <w:rFonts w:hint="default" w:cs="Times New Roman"/>
                      <w:color w:val="auto"/>
                      <w:kern w:val="21"/>
                      <w:sz w:val="21"/>
                      <w:szCs w:val="21"/>
                      <w:lang w:bidi="ar"/>
                    </w:rPr>
                    <w:t>1</w:t>
                  </w:r>
                  <w:r>
                    <w:rPr>
                      <w:rFonts w:hint="eastAsia" w:cs="Times New Roman"/>
                      <w:color w:val="auto"/>
                      <w:kern w:val="21"/>
                      <w:sz w:val="21"/>
                      <w:szCs w:val="21"/>
                      <w:lang w:val="en-US" w:eastAsia="zh-CN" w:bidi="ar"/>
                    </w:rPr>
                    <w:t>0</w:t>
                  </w:r>
                </w:p>
              </w:tc>
              <w:tc>
                <w:tcPr>
                  <w:tcW w:w="718" w:type="pct"/>
                  <w:tcBorders>
                    <w:tl2br w:val="nil"/>
                    <w:tr2bl w:val="nil"/>
                  </w:tcBorders>
                  <w:noWrap/>
                  <w:vAlign w:val="center"/>
                </w:tcPr>
                <w:p w14:paraId="7DD740FD">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cs="Times New Roman"/>
                      <w:color w:val="auto"/>
                      <w:kern w:val="21"/>
                      <w:sz w:val="21"/>
                      <w:szCs w:val="21"/>
                    </w:rPr>
                  </w:pPr>
                  <w:r>
                    <w:rPr>
                      <w:rFonts w:hint="default" w:cs="Times New Roman"/>
                      <w:color w:val="auto"/>
                      <w:kern w:val="21"/>
                      <w:sz w:val="21"/>
                      <w:szCs w:val="21"/>
                    </w:rPr>
                    <w:t>60</w:t>
                  </w:r>
                </w:p>
              </w:tc>
              <w:tc>
                <w:tcPr>
                  <w:tcW w:w="676" w:type="pct"/>
                  <w:tcBorders>
                    <w:tl2br w:val="nil"/>
                    <w:tr2bl w:val="nil"/>
                  </w:tcBorders>
                  <w:noWrap/>
                  <w:vAlign w:val="center"/>
                </w:tcPr>
                <w:p w14:paraId="40AB55BE">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cs="Times New Roman"/>
                      <w:color w:val="auto"/>
                      <w:kern w:val="21"/>
                      <w:sz w:val="21"/>
                      <w:szCs w:val="21"/>
                    </w:rPr>
                  </w:pPr>
                  <w:r>
                    <w:rPr>
                      <w:rFonts w:hint="default" w:cs="Times New Roman"/>
                      <w:color w:val="auto"/>
                      <w:sz w:val="21"/>
                      <w:szCs w:val="21"/>
                      <w:lang w:bidi="ar"/>
                    </w:rPr>
                    <w:t>1</w:t>
                  </w:r>
                  <w:r>
                    <w:rPr>
                      <w:rFonts w:hint="eastAsia" w:cs="Times New Roman"/>
                      <w:color w:val="auto"/>
                      <w:sz w:val="21"/>
                      <w:szCs w:val="21"/>
                      <w:lang w:val="en-US" w:eastAsia="zh-CN" w:bidi="ar"/>
                    </w:rPr>
                    <w:t>6.67</w:t>
                  </w:r>
                  <w:r>
                    <w:rPr>
                      <w:rFonts w:hint="default" w:cs="Times New Roman"/>
                      <w:color w:val="auto"/>
                      <w:sz w:val="21"/>
                      <w:szCs w:val="21"/>
                      <w:lang w:bidi="ar"/>
                    </w:rPr>
                    <w:t>%</w:t>
                  </w:r>
                </w:p>
              </w:tc>
              <w:tc>
                <w:tcPr>
                  <w:tcW w:w="557" w:type="pct"/>
                  <w:tcBorders>
                    <w:tl2br w:val="nil"/>
                    <w:tr2bl w:val="nil"/>
                  </w:tcBorders>
                  <w:noWrap/>
                  <w:vAlign w:val="center"/>
                </w:tcPr>
                <w:p w14:paraId="30152066">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cs="Times New Roman"/>
                      <w:color w:val="auto"/>
                      <w:kern w:val="21"/>
                      <w:sz w:val="21"/>
                      <w:szCs w:val="21"/>
                    </w:rPr>
                  </w:pPr>
                  <w:r>
                    <w:rPr>
                      <w:rFonts w:hint="default" w:cs="Times New Roman"/>
                      <w:color w:val="auto"/>
                      <w:kern w:val="21"/>
                      <w:sz w:val="21"/>
                      <w:szCs w:val="21"/>
                    </w:rPr>
                    <w:t>达标</w:t>
                  </w:r>
                </w:p>
              </w:tc>
            </w:tr>
            <w:tr w14:paraId="49593B6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283" w:type="pct"/>
                  <w:tcBorders>
                    <w:tl2br w:val="nil"/>
                    <w:tr2bl w:val="nil"/>
                  </w:tcBorders>
                  <w:noWrap/>
                  <w:vAlign w:val="center"/>
                </w:tcPr>
                <w:p w14:paraId="382CD8DD">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cs="Times New Roman"/>
                      <w:color w:val="auto"/>
                      <w:kern w:val="21"/>
                      <w:sz w:val="21"/>
                      <w:szCs w:val="21"/>
                    </w:rPr>
                  </w:pPr>
                  <w:r>
                    <w:rPr>
                      <w:rFonts w:hint="default" w:cs="Times New Roman"/>
                      <w:color w:val="auto"/>
                      <w:kern w:val="21"/>
                      <w:sz w:val="21"/>
                      <w:szCs w:val="21"/>
                    </w:rPr>
                    <w:t>2</w:t>
                  </w:r>
                </w:p>
              </w:tc>
              <w:tc>
                <w:tcPr>
                  <w:tcW w:w="517" w:type="pct"/>
                  <w:tcBorders>
                    <w:tl2br w:val="nil"/>
                    <w:tr2bl w:val="nil"/>
                  </w:tcBorders>
                  <w:noWrap/>
                  <w:vAlign w:val="center"/>
                </w:tcPr>
                <w:p w14:paraId="2AC303E5">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cs="Times New Roman"/>
                      <w:color w:val="auto"/>
                      <w:kern w:val="21"/>
                      <w:sz w:val="21"/>
                      <w:szCs w:val="21"/>
                    </w:rPr>
                  </w:pPr>
                  <w:r>
                    <w:rPr>
                      <w:rFonts w:hint="default" w:cs="Times New Roman"/>
                      <w:color w:val="auto"/>
                      <w:kern w:val="21"/>
                      <w:sz w:val="21"/>
                      <w:szCs w:val="21"/>
                    </w:rPr>
                    <w:t>NO</w:t>
                  </w:r>
                  <w:r>
                    <w:rPr>
                      <w:rFonts w:hint="default" w:cs="Times New Roman"/>
                      <w:color w:val="auto"/>
                      <w:kern w:val="21"/>
                      <w:sz w:val="21"/>
                      <w:szCs w:val="21"/>
                      <w:vertAlign w:val="subscript"/>
                    </w:rPr>
                    <w:t>2</w:t>
                  </w:r>
                </w:p>
              </w:tc>
              <w:tc>
                <w:tcPr>
                  <w:tcW w:w="1335" w:type="pct"/>
                  <w:tcBorders>
                    <w:tl2br w:val="nil"/>
                    <w:tr2bl w:val="nil"/>
                  </w:tcBorders>
                  <w:noWrap/>
                  <w:vAlign w:val="center"/>
                </w:tcPr>
                <w:p w14:paraId="02E01032">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cs="Times New Roman"/>
                      <w:color w:val="auto"/>
                      <w:kern w:val="21"/>
                      <w:sz w:val="21"/>
                      <w:szCs w:val="21"/>
                    </w:rPr>
                  </w:pPr>
                  <w:r>
                    <w:rPr>
                      <w:rFonts w:hint="default" w:cs="Times New Roman"/>
                      <w:color w:val="auto"/>
                      <w:kern w:val="21"/>
                      <w:sz w:val="21"/>
                      <w:szCs w:val="21"/>
                    </w:rPr>
                    <w:t>年平均质量浓度</w:t>
                  </w:r>
                </w:p>
              </w:tc>
              <w:tc>
                <w:tcPr>
                  <w:tcW w:w="910" w:type="pct"/>
                  <w:tcBorders>
                    <w:tl2br w:val="nil"/>
                    <w:tr2bl w:val="nil"/>
                  </w:tcBorders>
                  <w:noWrap/>
                  <w:vAlign w:val="center"/>
                </w:tcPr>
                <w:p w14:paraId="10E0414F">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eastAsia="宋体" w:cs="Times New Roman"/>
                      <w:color w:val="auto"/>
                      <w:kern w:val="21"/>
                      <w:sz w:val="21"/>
                      <w:szCs w:val="21"/>
                      <w:lang w:val="en-US" w:eastAsia="zh-CN"/>
                    </w:rPr>
                  </w:pPr>
                  <w:r>
                    <w:rPr>
                      <w:rFonts w:hint="eastAsia" w:cs="Times New Roman"/>
                      <w:color w:val="auto"/>
                      <w:kern w:val="21"/>
                      <w:sz w:val="21"/>
                      <w:szCs w:val="21"/>
                      <w:lang w:val="en-US" w:eastAsia="zh-CN"/>
                    </w:rPr>
                    <w:t>30</w:t>
                  </w:r>
                </w:p>
              </w:tc>
              <w:tc>
                <w:tcPr>
                  <w:tcW w:w="718" w:type="pct"/>
                  <w:tcBorders>
                    <w:tl2br w:val="nil"/>
                    <w:tr2bl w:val="nil"/>
                  </w:tcBorders>
                  <w:noWrap/>
                  <w:vAlign w:val="center"/>
                </w:tcPr>
                <w:p w14:paraId="504EE3B2">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cs="Times New Roman"/>
                      <w:color w:val="auto"/>
                      <w:kern w:val="21"/>
                      <w:sz w:val="21"/>
                      <w:szCs w:val="21"/>
                    </w:rPr>
                  </w:pPr>
                  <w:r>
                    <w:rPr>
                      <w:rFonts w:hint="default" w:cs="Times New Roman"/>
                      <w:color w:val="auto"/>
                      <w:kern w:val="21"/>
                      <w:sz w:val="21"/>
                      <w:szCs w:val="21"/>
                    </w:rPr>
                    <w:t>40</w:t>
                  </w:r>
                </w:p>
              </w:tc>
              <w:tc>
                <w:tcPr>
                  <w:tcW w:w="676" w:type="pct"/>
                  <w:tcBorders>
                    <w:tl2br w:val="nil"/>
                    <w:tr2bl w:val="nil"/>
                  </w:tcBorders>
                  <w:noWrap/>
                  <w:vAlign w:val="center"/>
                </w:tcPr>
                <w:p w14:paraId="4EF5ED48">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cs="Times New Roman"/>
                      <w:color w:val="auto"/>
                      <w:kern w:val="21"/>
                      <w:sz w:val="21"/>
                      <w:szCs w:val="21"/>
                    </w:rPr>
                  </w:pPr>
                  <w:r>
                    <w:rPr>
                      <w:rFonts w:hint="eastAsia" w:cs="Times New Roman"/>
                      <w:color w:val="auto"/>
                      <w:sz w:val="21"/>
                      <w:szCs w:val="21"/>
                      <w:lang w:val="en-US" w:eastAsia="zh-CN" w:bidi="ar"/>
                    </w:rPr>
                    <w:t>7</w:t>
                  </w:r>
                  <w:r>
                    <w:rPr>
                      <w:rFonts w:hint="default" w:cs="Times New Roman"/>
                      <w:color w:val="auto"/>
                      <w:sz w:val="21"/>
                      <w:szCs w:val="21"/>
                      <w:lang w:bidi="ar"/>
                    </w:rPr>
                    <w:t>5.00%</w:t>
                  </w:r>
                </w:p>
              </w:tc>
              <w:tc>
                <w:tcPr>
                  <w:tcW w:w="557" w:type="pct"/>
                  <w:tcBorders>
                    <w:tl2br w:val="nil"/>
                    <w:tr2bl w:val="nil"/>
                  </w:tcBorders>
                  <w:noWrap/>
                  <w:vAlign w:val="center"/>
                </w:tcPr>
                <w:p w14:paraId="45513852">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cs="Times New Roman"/>
                      <w:color w:val="auto"/>
                      <w:kern w:val="21"/>
                      <w:sz w:val="21"/>
                      <w:szCs w:val="21"/>
                    </w:rPr>
                  </w:pPr>
                  <w:r>
                    <w:rPr>
                      <w:rFonts w:hint="default" w:cs="Times New Roman"/>
                      <w:color w:val="auto"/>
                      <w:kern w:val="21"/>
                      <w:sz w:val="21"/>
                      <w:szCs w:val="21"/>
                    </w:rPr>
                    <w:t>达标</w:t>
                  </w:r>
                </w:p>
              </w:tc>
            </w:tr>
            <w:tr w14:paraId="25A562F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283" w:type="pct"/>
                  <w:tcBorders>
                    <w:tl2br w:val="nil"/>
                    <w:tr2bl w:val="nil"/>
                  </w:tcBorders>
                  <w:noWrap/>
                  <w:vAlign w:val="center"/>
                </w:tcPr>
                <w:p w14:paraId="4E3B8E9F">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cs="Times New Roman"/>
                      <w:color w:val="auto"/>
                      <w:kern w:val="21"/>
                      <w:sz w:val="21"/>
                      <w:szCs w:val="21"/>
                    </w:rPr>
                  </w:pPr>
                  <w:r>
                    <w:rPr>
                      <w:rFonts w:hint="default" w:cs="Times New Roman"/>
                      <w:color w:val="auto"/>
                      <w:kern w:val="21"/>
                      <w:sz w:val="21"/>
                      <w:szCs w:val="21"/>
                    </w:rPr>
                    <w:t>3</w:t>
                  </w:r>
                </w:p>
              </w:tc>
              <w:tc>
                <w:tcPr>
                  <w:tcW w:w="517" w:type="pct"/>
                  <w:tcBorders>
                    <w:tl2br w:val="nil"/>
                    <w:tr2bl w:val="nil"/>
                  </w:tcBorders>
                  <w:noWrap/>
                  <w:vAlign w:val="center"/>
                </w:tcPr>
                <w:p w14:paraId="0A21FE55">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cs="Times New Roman"/>
                      <w:color w:val="auto"/>
                      <w:kern w:val="21"/>
                      <w:sz w:val="21"/>
                      <w:szCs w:val="21"/>
                    </w:rPr>
                  </w:pPr>
                  <w:r>
                    <w:rPr>
                      <w:rFonts w:hint="default" w:cs="Times New Roman"/>
                      <w:color w:val="auto"/>
                      <w:kern w:val="21"/>
                      <w:sz w:val="21"/>
                      <w:szCs w:val="21"/>
                    </w:rPr>
                    <w:t>PM</w:t>
                  </w:r>
                  <w:r>
                    <w:rPr>
                      <w:rFonts w:hint="default" w:cs="Times New Roman"/>
                      <w:color w:val="auto"/>
                      <w:kern w:val="21"/>
                      <w:sz w:val="21"/>
                      <w:szCs w:val="21"/>
                      <w:vertAlign w:val="subscript"/>
                    </w:rPr>
                    <w:t>10</w:t>
                  </w:r>
                </w:p>
              </w:tc>
              <w:tc>
                <w:tcPr>
                  <w:tcW w:w="1335" w:type="pct"/>
                  <w:tcBorders>
                    <w:tl2br w:val="nil"/>
                    <w:tr2bl w:val="nil"/>
                  </w:tcBorders>
                  <w:noWrap/>
                  <w:vAlign w:val="center"/>
                </w:tcPr>
                <w:p w14:paraId="3D5C9995">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cs="Times New Roman"/>
                      <w:color w:val="auto"/>
                      <w:kern w:val="21"/>
                      <w:sz w:val="21"/>
                      <w:szCs w:val="21"/>
                    </w:rPr>
                  </w:pPr>
                  <w:r>
                    <w:rPr>
                      <w:rFonts w:hint="default" w:cs="Times New Roman"/>
                      <w:color w:val="auto"/>
                      <w:kern w:val="21"/>
                      <w:sz w:val="21"/>
                      <w:szCs w:val="21"/>
                    </w:rPr>
                    <w:t>年平均质量浓度</w:t>
                  </w:r>
                </w:p>
              </w:tc>
              <w:tc>
                <w:tcPr>
                  <w:tcW w:w="910" w:type="pct"/>
                  <w:tcBorders>
                    <w:tl2br w:val="nil"/>
                    <w:tr2bl w:val="nil"/>
                  </w:tcBorders>
                  <w:noWrap/>
                  <w:vAlign w:val="center"/>
                </w:tcPr>
                <w:p w14:paraId="772155FB">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eastAsia="宋体" w:cs="Times New Roman"/>
                      <w:color w:val="auto"/>
                      <w:kern w:val="21"/>
                      <w:sz w:val="21"/>
                      <w:szCs w:val="21"/>
                      <w:lang w:eastAsia="zh-CN"/>
                    </w:rPr>
                  </w:pPr>
                  <w:r>
                    <w:rPr>
                      <w:rFonts w:hint="default" w:cs="Times New Roman"/>
                      <w:color w:val="auto"/>
                      <w:kern w:val="21"/>
                      <w:sz w:val="21"/>
                      <w:szCs w:val="21"/>
                      <w:lang w:bidi="ar"/>
                    </w:rPr>
                    <w:t>7</w:t>
                  </w:r>
                  <w:r>
                    <w:rPr>
                      <w:rFonts w:hint="eastAsia" w:cs="Times New Roman"/>
                      <w:color w:val="auto"/>
                      <w:kern w:val="21"/>
                      <w:sz w:val="21"/>
                      <w:szCs w:val="21"/>
                      <w:lang w:val="en-US" w:eastAsia="zh-CN" w:bidi="ar"/>
                    </w:rPr>
                    <w:t>4</w:t>
                  </w:r>
                </w:p>
              </w:tc>
              <w:tc>
                <w:tcPr>
                  <w:tcW w:w="718" w:type="pct"/>
                  <w:tcBorders>
                    <w:tl2br w:val="nil"/>
                    <w:tr2bl w:val="nil"/>
                  </w:tcBorders>
                  <w:noWrap/>
                  <w:vAlign w:val="center"/>
                </w:tcPr>
                <w:p w14:paraId="18D69945">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cs="Times New Roman"/>
                      <w:color w:val="auto"/>
                      <w:kern w:val="21"/>
                      <w:sz w:val="21"/>
                      <w:szCs w:val="21"/>
                    </w:rPr>
                  </w:pPr>
                  <w:r>
                    <w:rPr>
                      <w:rFonts w:hint="default" w:cs="Times New Roman"/>
                      <w:color w:val="auto"/>
                      <w:kern w:val="21"/>
                      <w:sz w:val="21"/>
                      <w:szCs w:val="21"/>
                    </w:rPr>
                    <w:t>70</w:t>
                  </w:r>
                </w:p>
              </w:tc>
              <w:tc>
                <w:tcPr>
                  <w:tcW w:w="676" w:type="pct"/>
                  <w:tcBorders>
                    <w:tl2br w:val="nil"/>
                    <w:tr2bl w:val="nil"/>
                  </w:tcBorders>
                  <w:noWrap/>
                  <w:vAlign w:val="center"/>
                </w:tcPr>
                <w:p w14:paraId="2023BF8D">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cs="Times New Roman"/>
                      <w:color w:val="auto"/>
                      <w:kern w:val="21"/>
                      <w:sz w:val="21"/>
                      <w:szCs w:val="21"/>
                    </w:rPr>
                  </w:pPr>
                  <w:r>
                    <w:rPr>
                      <w:rFonts w:hint="default" w:cs="Times New Roman"/>
                      <w:color w:val="auto"/>
                      <w:sz w:val="21"/>
                      <w:szCs w:val="21"/>
                      <w:lang w:bidi="ar"/>
                    </w:rPr>
                    <w:t>10</w:t>
                  </w:r>
                  <w:r>
                    <w:rPr>
                      <w:rFonts w:hint="eastAsia" w:cs="Times New Roman"/>
                      <w:color w:val="auto"/>
                      <w:sz w:val="21"/>
                      <w:szCs w:val="21"/>
                      <w:lang w:val="en-US" w:eastAsia="zh-CN" w:bidi="ar"/>
                    </w:rPr>
                    <w:t>5.71</w:t>
                  </w:r>
                  <w:r>
                    <w:rPr>
                      <w:rFonts w:hint="default" w:cs="Times New Roman"/>
                      <w:color w:val="auto"/>
                      <w:sz w:val="21"/>
                      <w:szCs w:val="21"/>
                      <w:lang w:bidi="ar"/>
                    </w:rPr>
                    <w:t>%</w:t>
                  </w:r>
                </w:p>
              </w:tc>
              <w:tc>
                <w:tcPr>
                  <w:tcW w:w="557" w:type="pct"/>
                  <w:tcBorders>
                    <w:tl2br w:val="nil"/>
                    <w:tr2bl w:val="nil"/>
                  </w:tcBorders>
                  <w:noWrap/>
                  <w:vAlign w:val="center"/>
                </w:tcPr>
                <w:p w14:paraId="5E8F0B54">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cs="Times New Roman"/>
                      <w:color w:val="auto"/>
                      <w:kern w:val="21"/>
                      <w:sz w:val="21"/>
                      <w:szCs w:val="21"/>
                    </w:rPr>
                  </w:pPr>
                  <w:r>
                    <w:rPr>
                      <w:rFonts w:hint="default" w:cs="Times New Roman"/>
                      <w:color w:val="auto"/>
                      <w:kern w:val="21"/>
                      <w:sz w:val="21"/>
                      <w:szCs w:val="21"/>
                    </w:rPr>
                    <w:t>不达标</w:t>
                  </w:r>
                </w:p>
              </w:tc>
            </w:tr>
            <w:tr w14:paraId="15B813D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283" w:type="pct"/>
                  <w:tcBorders>
                    <w:tl2br w:val="nil"/>
                    <w:tr2bl w:val="nil"/>
                  </w:tcBorders>
                  <w:noWrap/>
                  <w:vAlign w:val="center"/>
                </w:tcPr>
                <w:p w14:paraId="3294310A">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cs="Times New Roman"/>
                      <w:color w:val="auto"/>
                      <w:kern w:val="21"/>
                      <w:sz w:val="21"/>
                      <w:szCs w:val="21"/>
                    </w:rPr>
                  </w:pPr>
                  <w:r>
                    <w:rPr>
                      <w:rFonts w:hint="default" w:cs="Times New Roman"/>
                      <w:color w:val="auto"/>
                      <w:kern w:val="21"/>
                      <w:sz w:val="21"/>
                      <w:szCs w:val="21"/>
                    </w:rPr>
                    <w:t>4</w:t>
                  </w:r>
                </w:p>
              </w:tc>
              <w:tc>
                <w:tcPr>
                  <w:tcW w:w="517" w:type="pct"/>
                  <w:tcBorders>
                    <w:tl2br w:val="nil"/>
                    <w:tr2bl w:val="nil"/>
                  </w:tcBorders>
                  <w:noWrap/>
                  <w:vAlign w:val="center"/>
                </w:tcPr>
                <w:p w14:paraId="5E51A0F1">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cs="Times New Roman"/>
                      <w:color w:val="auto"/>
                      <w:kern w:val="21"/>
                      <w:sz w:val="21"/>
                      <w:szCs w:val="21"/>
                    </w:rPr>
                  </w:pPr>
                  <w:r>
                    <w:rPr>
                      <w:rFonts w:hint="default" w:cs="Times New Roman"/>
                      <w:color w:val="auto"/>
                      <w:kern w:val="21"/>
                      <w:sz w:val="21"/>
                      <w:szCs w:val="21"/>
                    </w:rPr>
                    <w:t>PM</w:t>
                  </w:r>
                  <w:r>
                    <w:rPr>
                      <w:rFonts w:hint="default" w:cs="Times New Roman"/>
                      <w:color w:val="auto"/>
                      <w:kern w:val="21"/>
                      <w:sz w:val="21"/>
                      <w:szCs w:val="21"/>
                      <w:vertAlign w:val="subscript"/>
                    </w:rPr>
                    <w:t>2.5</w:t>
                  </w:r>
                </w:p>
              </w:tc>
              <w:tc>
                <w:tcPr>
                  <w:tcW w:w="1335" w:type="pct"/>
                  <w:tcBorders>
                    <w:tl2br w:val="nil"/>
                    <w:tr2bl w:val="nil"/>
                  </w:tcBorders>
                  <w:noWrap/>
                  <w:vAlign w:val="center"/>
                </w:tcPr>
                <w:p w14:paraId="47469410">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cs="Times New Roman"/>
                      <w:color w:val="auto"/>
                      <w:kern w:val="21"/>
                      <w:sz w:val="21"/>
                      <w:szCs w:val="21"/>
                    </w:rPr>
                  </w:pPr>
                  <w:r>
                    <w:rPr>
                      <w:rFonts w:hint="default" w:cs="Times New Roman"/>
                      <w:color w:val="auto"/>
                      <w:kern w:val="21"/>
                      <w:sz w:val="21"/>
                      <w:szCs w:val="21"/>
                    </w:rPr>
                    <w:t>年平均质量浓度</w:t>
                  </w:r>
                </w:p>
              </w:tc>
              <w:tc>
                <w:tcPr>
                  <w:tcW w:w="910" w:type="pct"/>
                  <w:tcBorders>
                    <w:tl2br w:val="nil"/>
                    <w:tr2bl w:val="nil"/>
                  </w:tcBorders>
                  <w:noWrap/>
                  <w:vAlign w:val="center"/>
                </w:tcPr>
                <w:p w14:paraId="553AF71F">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cs="Times New Roman"/>
                      <w:color w:val="auto"/>
                      <w:kern w:val="21"/>
                      <w:sz w:val="21"/>
                      <w:szCs w:val="21"/>
                    </w:rPr>
                  </w:pPr>
                  <w:r>
                    <w:rPr>
                      <w:rFonts w:hint="default" w:cs="Times New Roman"/>
                      <w:color w:val="auto"/>
                      <w:kern w:val="21"/>
                      <w:sz w:val="21"/>
                      <w:szCs w:val="21"/>
                      <w:lang w:bidi="ar"/>
                    </w:rPr>
                    <w:t>44</w:t>
                  </w:r>
                </w:p>
              </w:tc>
              <w:tc>
                <w:tcPr>
                  <w:tcW w:w="718" w:type="pct"/>
                  <w:tcBorders>
                    <w:tl2br w:val="nil"/>
                    <w:tr2bl w:val="nil"/>
                  </w:tcBorders>
                  <w:noWrap/>
                  <w:vAlign w:val="center"/>
                </w:tcPr>
                <w:p w14:paraId="24307A6F">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cs="Times New Roman"/>
                      <w:color w:val="auto"/>
                      <w:kern w:val="21"/>
                      <w:sz w:val="21"/>
                      <w:szCs w:val="21"/>
                    </w:rPr>
                  </w:pPr>
                  <w:r>
                    <w:rPr>
                      <w:rFonts w:hint="default" w:cs="Times New Roman"/>
                      <w:color w:val="auto"/>
                      <w:kern w:val="21"/>
                      <w:sz w:val="21"/>
                      <w:szCs w:val="21"/>
                    </w:rPr>
                    <w:t>35</w:t>
                  </w:r>
                </w:p>
              </w:tc>
              <w:tc>
                <w:tcPr>
                  <w:tcW w:w="676" w:type="pct"/>
                  <w:tcBorders>
                    <w:tl2br w:val="nil"/>
                    <w:tr2bl w:val="nil"/>
                  </w:tcBorders>
                  <w:noWrap/>
                  <w:vAlign w:val="center"/>
                </w:tcPr>
                <w:p w14:paraId="3EDBBD33">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cs="Times New Roman"/>
                      <w:color w:val="auto"/>
                      <w:kern w:val="21"/>
                      <w:sz w:val="21"/>
                      <w:szCs w:val="21"/>
                    </w:rPr>
                  </w:pPr>
                  <w:r>
                    <w:rPr>
                      <w:rFonts w:hint="default" w:cs="Times New Roman"/>
                      <w:color w:val="auto"/>
                      <w:sz w:val="21"/>
                      <w:szCs w:val="21"/>
                      <w:lang w:bidi="ar"/>
                    </w:rPr>
                    <w:t>125.71%</w:t>
                  </w:r>
                </w:p>
              </w:tc>
              <w:tc>
                <w:tcPr>
                  <w:tcW w:w="557" w:type="pct"/>
                  <w:tcBorders>
                    <w:tl2br w:val="nil"/>
                    <w:tr2bl w:val="nil"/>
                  </w:tcBorders>
                  <w:noWrap/>
                  <w:vAlign w:val="center"/>
                </w:tcPr>
                <w:p w14:paraId="6F7BF858">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cs="Times New Roman"/>
                      <w:color w:val="auto"/>
                      <w:kern w:val="21"/>
                      <w:sz w:val="21"/>
                      <w:szCs w:val="21"/>
                    </w:rPr>
                  </w:pPr>
                  <w:r>
                    <w:rPr>
                      <w:rFonts w:hint="default" w:cs="Times New Roman"/>
                      <w:color w:val="auto"/>
                      <w:kern w:val="21"/>
                      <w:sz w:val="21"/>
                      <w:szCs w:val="21"/>
                    </w:rPr>
                    <w:t>不达标</w:t>
                  </w:r>
                </w:p>
              </w:tc>
            </w:tr>
            <w:tr w14:paraId="188E76D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283" w:type="pct"/>
                  <w:tcBorders>
                    <w:tl2br w:val="nil"/>
                    <w:tr2bl w:val="nil"/>
                  </w:tcBorders>
                  <w:noWrap/>
                  <w:vAlign w:val="center"/>
                </w:tcPr>
                <w:p w14:paraId="5C9D9C48">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cs="Times New Roman"/>
                      <w:color w:val="auto"/>
                      <w:kern w:val="21"/>
                      <w:sz w:val="21"/>
                      <w:szCs w:val="21"/>
                    </w:rPr>
                  </w:pPr>
                  <w:r>
                    <w:rPr>
                      <w:rFonts w:hint="default" w:cs="Times New Roman"/>
                      <w:color w:val="auto"/>
                      <w:kern w:val="21"/>
                      <w:sz w:val="21"/>
                      <w:szCs w:val="21"/>
                    </w:rPr>
                    <w:t>5</w:t>
                  </w:r>
                </w:p>
              </w:tc>
              <w:tc>
                <w:tcPr>
                  <w:tcW w:w="517" w:type="pct"/>
                  <w:tcBorders>
                    <w:tl2br w:val="nil"/>
                    <w:tr2bl w:val="nil"/>
                  </w:tcBorders>
                  <w:noWrap/>
                  <w:vAlign w:val="center"/>
                </w:tcPr>
                <w:p w14:paraId="57CB5E7A">
                  <w:pPr>
                    <w:pStyle w:val="90"/>
                    <w:keepNext w:val="0"/>
                    <w:keepLines w:val="0"/>
                    <w:suppressLineNumbers w:val="0"/>
                    <w:spacing w:before="0" w:beforeAutospacing="0" w:after="0" w:afterAutospacing="0"/>
                    <w:ind w:left="0" w:right="0"/>
                    <w:jc w:val="center"/>
                    <w:rPr>
                      <w:rFonts w:hint="default" w:ascii="Times New Roman" w:hAnsi="Times New Roman" w:cs="Times New Roman"/>
                      <w:color w:val="auto"/>
                      <w:kern w:val="21"/>
                      <w:sz w:val="21"/>
                      <w:szCs w:val="21"/>
                    </w:rPr>
                  </w:pPr>
                  <w:r>
                    <w:rPr>
                      <w:rFonts w:hint="default" w:ascii="Times New Roman" w:hAnsi="Times New Roman" w:cs="Times New Roman"/>
                      <w:color w:val="auto"/>
                      <w:kern w:val="21"/>
                      <w:sz w:val="21"/>
                      <w:szCs w:val="21"/>
                    </w:rPr>
                    <w:t>O</w:t>
                  </w:r>
                  <w:r>
                    <w:rPr>
                      <w:rFonts w:hint="default" w:ascii="Times New Roman" w:hAnsi="Times New Roman" w:cs="Times New Roman"/>
                      <w:color w:val="auto"/>
                      <w:kern w:val="21"/>
                      <w:sz w:val="21"/>
                      <w:szCs w:val="21"/>
                      <w:vertAlign w:val="subscript"/>
                    </w:rPr>
                    <w:t>3</w:t>
                  </w:r>
                </w:p>
              </w:tc>
              <w:tc>
                <w:tcPr>
                  <w:tcW w:w="1335" w:type="pct"/>
                  <w:tcBorders>
                    <w:tl2br w:val="nil"/>
                    <w:tr2bl w:val="nil"/>
                  </w:tcBorders>
                  <w:noWrap/>
                  <w:vAlign w:val="center"/>
                </w:tcPr>
                <w:p w14:paraId="663E54CF">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cs="Times New Roman"/>
                      <w:bCs/>
                      <w:color w:val="auto"/>
                      <w:kern w:val="21"/>
                      <w:sz w:val="21"/>
                      <w:szCs w:val="21"/>
                    </w:rPr>
                  </w:pPr>
                  <w:r>
                    <w:rPr>
                      <w:rFonts w:hint="default" w:cs="Times New Roman"/>
                      <w:bCs/>
                      <w:color w:val="auto"/>
                      <w:kern w:val="21"/>
                      <w:sz w:val="21"/>
                      <w:szCs w:val="21"/>
                    </w:rPr>
                    <w:t>日最大8小时均值第90百分位数</w:t>
                  </w:r>
                </w:p>
              </w:tc>
              <w:tc>
                <w:tcPr>
                  <w:tcW w:w="910" w:type="pct"/>
                  <w:tcBorders>
                    <w:tl2br w:val="nil"/>
                    <w:tr2bl w:val="nil"/>
                  </w:tcBorders>
                  <w:noWrap/>
                  <w:vAlign w:val="center"/>
                </w:tcPr>
                <w:p w14:paraId="0B3F042F">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eastAsia="宋体" w:cs="Times New Roman"/>
                      <w:bCs/>
                      <w:color w:val="auto"/>
                      <w:kern w:val="21"/>
                      <w:sz w:val="21"/>
                      <w:szCs w:val="21"/>
                      <w:lang w:val="en-US" w:eastAsia="zh-CN"/>
                    </w:rPr>
                  </w:pPr>
                  <w:r>
                    <w:rPr>
                      <w:rFonts w:hint="default" w:cs="Times New Roman"/>
                      <w:bCs/>
                      <w:color w:val="auto"/>
                      <w:kern w:val="21"/>
                      <w:sz w:val="21"/>
                      <w:szCs w:val="21"/>
                      <w:lang w:bidi="ar"/>
                    </w:rPr>
                    <w:t>1</w:t>
                  </w:r>
                  <w:r>
                    <w:rPr>
                      <w:rFonts w:hint="eastAsia" w:cs="Times New Roman"/>
                      <w:bCs/>
                      <w:color w:val="auto"/>
                      <w:kern w:val="21"/>
                      <w:sz w:val="21"/>
                      <w:szCs w:val="21"/>
                      <w:lang w:val="en-US" w:eastAsia="zh-CN" w:bidi="ar"/>
                    </w:rPr>
                    <w:t>78</w:t>
                  </w:r>
                </w:p>
              </w:tc>
              <w:tc>
                <w:tcPr>
                  <w:tcW w:w="718" w:type="pct"/>
                  <w:tcBorders>
                    <w:tl2br w:val="nil"/>
                    <w:tr2bl w:val="nil"/>
                  </w:tcBorders>
                  <w:noWrap/>
                  <w:vAlign w:val="center"/>
                </w:tcPr>
                <w:p w14:paraId="1A9F891E">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cs="Times New Roman"/>
                      <w:bCs/>
                      <w:color w:val="auto"/>
                      <w:kern w:val="21"/>
                      <w:sz w:val="21"/>
                      <w:szCs w:val="21"/>
                    </w:rPr>
                  </w:pPr>
                  <w:r>
                    <w:rPr>
                      <w:rFonts w:hint="default" w:cs="Times New Roman"/>
                      <w:bCs/>
                      <w:color w:val="auto"/>
                      <w:kern w:val="21"/>
                      <w:sz w:val="21"/>
                      <w:szCs w:val="21"/>
                    </w:rPr>
                    <w:t>160</w:t>
                  </w:r>
                </w:p>
              </w:tc>
              <w:tc>
                <w:tcPr>
                  <w:tcW w:w="676" w:type="pct"/>
                  <w:tcBorders>
                    <w:tl2br w:val="nil"/>
                    <w:tr2bl w:val="nil"/>
                  </w:tcBorders>
                  <w:noWrap/>
                  <w:vAlign w:val="center"/>
                </w:tcPr>
                <w:p w14:paraId="6E467257">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cs="Times New Roman"/>
                      <w:bCs/>
                      <w:color w:val="auto"/>
                      <w:kern w:val="21"/>
                      <w:sz w:val="21"/>
                      <w:szCs w:val="21"/>
                    </w:rPr>
                  </w:pPr>
                  <w:r>
                    <w:rPr>
                      <w:rFonts w:hint="eastAsia" w:cs="Times New Roman"/>
                      <w:bCs/>
                      <w:color w:val="auto"/>
                      <w:sz w:val="21"/>
                      <w:szCs w:val="21"/>
                      <w:lang w:val="en-US" w:eastAsia="zh-CN" w:bidi="ar"/>
                    </w:rPr>
                    <w:t>111.25</w:t>
                  </w:r>
                  <w:r>
                    <w:rPr>
                      <w:rFonts w:hint="default" w:cs="Times New Roman"/>
                      <w:bCs/>
                      <w:color w:val="auto"/>
                      <w:sz w:val="21"/>
                      <w:szCs w:val="21"/>
                      <w:lang w:bidi="ar"/>
                    </w:rPr>
                    <w:t>%</w:t>
                  </w:r>
                </w:p>
              </w:tc>
              <w:tc>
                <w:tcPr>
                  <w:tcW w:w="557" w:type="pct"/>
                  <w:tcBorders>
                    <w:tl2br w:val="nil"/>
                    <w:tr2bl w:val="nil"/>
                  </w:tcBorders>
                  <w:noWrap/>
                  <w:vAlign w:val="center"/>
                </w:tcPr>
                <w:p w14:paraId="629576E6">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cs="Times New Roman"/>
                      <w:bCs/>
                      <w:color w:val="auto"/>
                      <w:kern w:val="21"/>
                      <w:sz w:val="21"/>
                      <w:szCs w:val="21"/>
                    </w:rPr>
                  </w:pPr>
                  <w:r>
                    <w:rPr>
                      <w:rFonts w:hint="eastAsia" w:cs="Times New Roman"/>
                      <w:bCs/>
                      <w:color w:val="auto"/>
                      <w:kern w:val="21"/>
                      <w:sz w:val="21"/>
                      <w:szCs w:val="21"/>
                      <w:lang w:eastAsia="zh-CN"/>
                    </w:rPr>
                    <w:t>不</w:t>
                  </w:r>
                  <w:r>
                    <w:rPr>
                      <w:rFonts w:hint="default" w:cs="Times New Roman"/>
                      <w:bCs/>
                      <w:color w:val="auto"/>
                      <w:kern w:val="21"/>
                      <w:sz w:val="21"/>
                      <w:szCs w:val="21"/>
                    </w:rPr>
                    <w:t>达标</w:t>
                  </w:r>
                </w:p>
              </w:tc>
            </w:tr>
            <w:tr w14:paraId="148E330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283" w:type="pct"/>
                  <w:tcBorders>
                    <w:tl2br w:val="nil"/>
                    <w:tr2bl w:val="nil"/>
                  </w:tcBorders>
                  <w:noWrap/>
                  <w:vAlign w:val="center"/>
                </w:tcPr>
                <w:p w14:paraId="7EEA3628">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cs="Times New Roman"/>
                      <w:color w:val="auto"/>
                      <w:kern w:val="21"/>
                      <w:sz w:val="21"/>
                      <w:szCs w:val="21"/>
                    </w:rPr>
                  </w:pPr>
                  <w:r>
                    <w:rPr>
                      <w:rFonts w:hint="default" w:cs="Times New Roman"/>
                      <w:color w:val="auto"/>
                      <w:kern w:val="21"/>
                      <w:sz w:val="21"/>
                      <w:szCs w:val="21"/>
                    </w:rPr>
                    <w:t>6</w:t>
                  </w:r>
                </w:p>
              </w:tc>
              <w:tc>
                <w:tcPr>
                  <w:tcW w:w="517" w:type="pct"/>
                  <w:tcBorders>
                    <w:tl2br w:val="nil"/>
                    <w:tr2bl w:val="nil"/>
                  </w:tcBorders>
                  <w:noWrap/>
                  <w:vAlign w:val="center"/>
                </w:tcPr>
                <w:p w14:paraId="5A7FC796">
                  <w:pPr>
                    <w:pStyle w:val="90"/>
                    <w:keepNext w:val="0"/>
                    <w:keepLines w:val="0"/>
                    <w:suppressLineNumbers w:val="0"/>
                    <w:spacing w:before="0" w:beforeAutospacing="0" w:after="0" w:afterAutospacing="0"/>
                    <w:ind w:left="0" w:right="0"/>
                    <w:jc w:val="center"/>
                    <w:rPr>
                      <w:rFonts w:hint="default" w:ascii="Times New Roman" w:hAnsi="Times New Roman" w:cs="Times New Roman"/>
                      <w:color w:val="auto"/>
                      <w:kern w:val="21"/>
                      <w:sz w:val="21"/>
                      <w:szCs w:val="21"/>
                    </w:rPr>
                  </w:pPr>
                  <w:r>
                    <w:rPr>
                      <w:rFonts w:hint="default" w:ascii="Times New Roman" w:hAnsi="Times New Roman" w:cs="Times New Roman"/>
                      <w:color w:val="auto"/>
                      <w:kern w:val="21"/>
                      <w:sz w:val="21"/>
                      <w:szCs w:val="21"/>
                    </w:rPr>
                    <w:t>CO</w:t>
                  </w:r>
                </w:p>
              </w:tc>
              <w:tc>
                <w:tcPr>
                  <w:tcW w:w="1335" w:type="pct"/>
                  <w:tcBorders>
                    <w:tl2br w:val="nil"/>
                    <w:tr2bl w:val="nil"/>
                  </w:tcBorders>
                  <w:noWrap/>
                  <w:vAlign w:val="center"/>
                </w:tcPr>
                <w:p w14:paraId="4203E06E">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cs="Times New Roman"/>
                      <w:bCs/>
                      <w:color w:val="auto"/>
                      <w:kern w:val="21"/>
                      <w:sz w:val="21"/>
                      <w:szCs w:val="21"/>
                    </w:rPr>
                  </w:pPr>
                  <w:r>
                    <w:rPr>
                      <w:rFonts w:hint="default" w:cs="Times New Roman"/>
                      <w:bCs/>
                      <w:color w:val="auto"/>
                      <w:kern w:val="21"/>
                      <w:sz w:val="21"/>
                      <w:szCs w:val="21"/>
                    </w:rPr>
                    <w:t>24小时平均浓度第95百分位数</w:t>
                  </w:r>
                </w:p>
              </w:tc>
              <w:tc>
                <w:tcPr>
                  <w:tcW w:w="910" w:type="pct"/>
                  <w:tcBorders>
                    <w:tl2br w:val="nil"/>
                    <w:tr2bl w:val="nil"/>
                  </w:tcBorders>
                  <w:noWrap/>
                  <w:vAlign w:val="center"/>
                </w:tcPr>
                <w:p w14:paraId="5274A9FB">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cs="Times New Roman"/>
                      <w:bCs/>
                      <w:color w:val="auto"/>
                      <w:kern w:val="21"/>
                      <w:sz w:val="21"/>
                      <w:szCs w:val="21"/>
                    </w:rPr>
                  </w:pPr>
                  <w:r>
                    <w:rPr>
                      <w:rFonts w:hint="default" w:cs="Times New Roman"/>
                      <w:bCs/>
                      <w:color w:val="auto"/>
                      <w:kern w:val="21"/>
                      <w:sz w:val="21"/>
                      <w:szCs w:val="21"/>
                      <w:lang w:bidi="ar"/>
                    </w:rPr>
                    <w:t>1</w:t>
                  </w:r>
                  <w:r>
                    <w:rPr>
                      <w:rFonts w:hint="eastAsia" w:cs="Times New Roman"/>
                      <w:bCs/>
                      <w:color w:val="auto"/>
                      <w:kern w:val="21"/>
                      <w:sz w:val="21"/>
                      <w:szCs w:val="21"/>
                      <w:lang w:val="en-US" w:eastAsia="zh-CN" w:bidi="ar"/>
                    </w:rPr>
                    <w:t>3</w:t>
                  </w:r>
                  <w:r>
                    <w:rPr>
                      <w:rFonts w:hint="default" w:cs="Times New Roman"/>
                      <w:bCs/>
                      <w:color w:val="auto"/>
                      <w:kern w:val="21"/>
                      <w:sz w:val="21"/>
                      <w:szCs w:val="21"/>
                      <w:lang w:bidi="ar"/>
                    </w:rPr>
                    <w:t>00</w:t>
                  </w:r>
                </w:p>
              </w:tc>
              <w:tc>
                <w:tcPr>
                  <w:tcW w:w="718" w:type="pct"/>
                  <w:tcBorders>
                    <w:tl2br w:val="nil"/>
                    <w:tr2bl w:val="nil"/>
                  </w:tcBorders>
                  <w:noWrap/>
                  <w:vAlign w:val="center"/>
                </w:tcPr>
                <w:p w14:paraId="699BECA0">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cs="Times New Roman"/>
                      <w:bCs/>
                      <w:color w:val="auto"/>
                      <w:kern w:val="21"/>
                      <w:sz w:val="21"/>
                      <w:szCs w:val="21"/>
                    </w:rPr>
                  </w:pPr>
                  <w:r>
                    <w:rPr>
                      <w:rFonts w:hint="default" w:cs="Times New Roman"/>
                      <w:bCs/>
                      <w:color w:val="auto"/>
                      <w:kern w:val="21"/>
                      <w:sz w:val="21"/>
                      <w:szCs w:val="21"/>
                    </w:rPr>
                    <w:t>4000</w:t>
                  </w:r>
                </w:p>
              </w:tc>
              <w:tc>
                <w:tcPr>
                  <w:tcW w:w="676" w:type="pct"/>
                  <w:tcBorders>
                    <w:tl2br w:val="nil"/>
                    <w:tr2bl w:val="nil"/>
                  </w:tcBorders>
                  <w:noWrap/>
                  <w:vAlign w:val="center"/>
                </w:tcPr>
                <w:p w14:paraId="3204E015">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cs="Times New Roman"/>
                      <w:bCs/>
                      <w:color w:val="auto"/>
                      <w:kern w:val="21"/>
                      <w:sz w:val="21"/>
                      <w:szCs w:val="21"/>
                    </w:rPr>
                  </w:pPr>
                  <w:r>
                    <w:rPr>
                      <w:rFonts w:hint="eastAsia" w:cs="Times New Roman"/>
                      <w:bCs/>
                      <w:color w:val="auto"/>
                      <w:sz w:val="21"/>
                      <w:szCs w:val="21"/>
                      <w:lang w:val="en-US" w:eastAsia="zh-CN" w:bidi="ar"/>
                    </w:rPr>
                    <w:t>32.5</w:t>
                  </w:r>
                  <w:r>
                    <w:rPr>
                      <w:rFonts w:hint="default" w:cs="Times New Roman"/>
                      <w:bCs/>
                      <w:color w:val="auto"/>
                      <w:sz w:val="21"/>
                      <w:szCs w:val="21"/>
                      <w:lang w:bidi="ar"/>
                    </w:rPr>
                    <w:t>%</w:t>
                  </w:r>
                </w:p>
              </w:tc>
              <w:tc>
                <w:tcPr>
                  <w:tcW w:w="557" w:type="pct"/>
                  <w:tcBorders>
                    <w:tl2br w:val="nil"/>
                    <w:tr2bl w:val="nil"/>
                  </w:tcBorders>
                  <w:noWrap/>
                  <w:vAlign w:val="center"/>
                </w:tcPr>
                <w:p w14:paraId="49DED91B">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cs="Times New Roman"/>
                      <w:bCs/>
                      <w:color w:val="auto"/>
                      <w:kern w:val="21"/>
                      <w:sz w:val="21"/>
                      <w:szCs w:val="21"/>
                    </w:rPr>
                  </w:pPr>
                  <w:r>
                    <w:rPr>
                      <w:rFonts w:hint="default" w:cs="Times New Roman"/>
                      <w:bCs/>
                      <w:color w:val="auto"/>
                      <w:kern w:val="21"/>
                      <w:sz w:val="21"/>
                      <w:szCs w:val="21"/>
                    </w:rPr>
                    <w:t>达标</w:t>
                  </w:r>
                </w:p>
              </w:tc>
            </w:tr>
          </w:tbl>
          <w:p w14:paraId="11A2C69A">
            <w:pPr>
              <w:pStyle w:val="89"/>
              <w:ind w:firstLine="480"/>
              <w:rPr>
                <w:rFonts w:hint="default" w:ascii="Times New Roman" w:hAnsi="Times New Roman" w:cs="Times New Roman"/>
                <w:color w:val="auto"/>
              </w:rPr>
            </w:pPr>
            <w:r>
              <w:rPr>
                <w:rFonts w:ascii="Times New Roman" w:hAnsi="Times New Roman" w:eastAsia="宋体" w:cs="Times New Roman"/>
                <w:color w:val="auto"/>
                <w:sz w:val="24"/>
              </w:rPr>
              <w:t>根据评价结果，泗水县202</w:t>
            </w:r>
            <w:r>
              <w:rPr>
                <w:rFonts w:hint="eastAsia" w:ascii="Times New Roman" w:hAnsi="Times New Roman" w:eastAsia="宋体" w:cs="Times New Roman"/>
                <w:color w:val="auto"/>
                <w:sz w:val="24"/>
                <w:lang w:val="en-US" w:eastAsia="zh-CN"/>
              </w:rPr>
              <w:t>3</w:t>
            </w:r>
            <w:r>
              <w:rPr>
                <w:rFonts w:ascii="Times New Roman" w:hAnsi="Times New Roman" w:eastAsia="宋体" w:cs="Times New Roman"/>
                <w:color w:val="auto"/>
                <w:sz w:val="24"/>
              </w:rPr>
              <w:t>年SO</w:t>
            </w:r>
            <w:r>
              <w:rPr>
                <w:rFonts w:ascii="Times New Roman" w:hAnsi="Times New Roman" w:eastAsia="宋体" w:cs="Times New Roman"/>
                <w:color w:val="auto"/>
                <w:sz w:val="24"/>
                <w:vertAlign w:val="subscript"/>
              </w:rPr>
              <w:t>2</w:t>
            </w:r>
            <w:r>
              <w:rPr>
                <w:rFonts w:ascii="Times New Roman" w:hAnsi="Times New Roman" w:eastAsia="宋体" w:cs="Times New Roman"/>
                <w:color w:val="auto"/>
                <w:sz w:val="24"/>
              </w:rPr>
              <w:t>、NO</w:t>
            </w:r>
            <w:r>
              <w:rPr>
                <w:rFonts w:ascii="Times New Roman" w:hAnsi="Times New Roman" w:eastAsia="宋体" w:cs="Times New Roman"/>
                <w:color w:val="auto"/>
                <w:sz w:val="24"/>
                <w:vertAlign w:val="subscript"/>
              </w:rPr>
              <w:t>2</w:t>
            </w:r>
            <w:r>
              <w:rPr>
                <w:rFonts w:ascii="Times New Roman" w:hAnsi="Times New Roman" w:eastAsia="宋体" w:cs="Times New Roman"/>
                <w:color w:val="auto"/>
                <w:sz w:val="24"/>
              </w:rPr>
              <w:t>年均浓度符合《环境空气质量标准》（GB3095-2012）中二级标准要求，CO24小时平均浓度第95百分位数符合《环境空气质量标准》（GB3095-2012）中二级标准要求，PM</w:t>
            </w:r>
            <w:r>
              <w:rPr>
                <w:rFonts w:ascii="Times New Roman" w:hAnsi="Times New Roman" w:eastAsia="宋体" w:cs="Times New Roman"/>
                <w:color w:val="auto"/>
                <w:sz w:val="24"/>
                <w:vertAlign w:val="subscript"/>
              </w:rPr>
              <w:t>10</w:t>
            </w:r>
            <w:r>
              <w:rPr>
                <w:rFonts w:ascii="Times New Roman" w:hAnsi="Times New Roman" w:eastAsia="宋体" w:cs="Times New Roman"/>
                <w:color w:val="auto"/>
                <w:sz w:val="24"/>
              </w:rPr>
              <w:t>、PM</w:t>
            </w:r>
            <w:r>
              <w:rPr>
                <w:rFonts w:ascii="Times New Roman" w:hAnsi="Times New Roman" w:eastAsia="宋体" w:cs="Times New Roman"/>
                <w:color w:val="auto"/>
                <w:sz w:val="24"/>
                <w:vertAlign w:val="subscript"/>
              </w:rPr>
              <w:t>2.5</w:t>
            </w:r>
            <w:r>
              <w:rPr>
                <w:rFonts w:ascii="Times New Roman" w:hAnsi="Times New Roman" w:eastAsia="宋体" w:cs="Times New Roman"/>
                <w:color w:val="auto"/>
                <w:sz w:val="24"/>
              </w:rPr>
              <w:t>年均浓度超标，O</w:t>
            </w:r>
            <w:r>
              <w:rPr>
                <w:rFonts w:ascii="Times New Roman" w:hAnsi="Times New Roman" w:eastAsia="宋体" w:cs="Times New Roman"/>
                <w:color w:val="auto"/>
                <w:sz w:val="24"/>
                <w:vertAlign w:val="subscript"/>
              </w:rPr>
              <w:t>3</w:t>
            </w:r>
            <w:r>
              <w:rPr>
                <w:rFonts w:ascii="Times New Roman" w:hAnsi="Times New Roman" w:eastAsia="宋体" w:cs="Times New Roman"/>
                <w:color w:val="auto"/>
                <w:sz w:val="24"/>
              </w:rPr>
              <w:t>日最大8小时均值第90百分位数超标，项目所在区域为不达标区，可吸入颗粒物、细颗粒物、O</w:t>
            </w:r>
            <w:r>
              <w:rPr>
                <w:rFonts w:ascii="Times New Roman" w:hAnsi="Times New Roman" w:eastAsia="宋体" w:cs="Times New Roman"/>
                <w:color w:val="auto"/>
                <w:sz w:val="24"/>
                <w:vertAlign w:val="subscript"/>
              </w:rPr>
              <w:t>3</w:t>
            </w:r>
            <w:r>
              <w:rPr>
                <w:rFonts w:ascii="Times New Roman" w:hAnsi="Times New Roman" w:eastAsia="宋体" w:cs="Times New Roman"/>
                <w:color w:val="auto"/>
                <w:sz w:val="24"/>
              </w:rPr>
              <w:t>为影响该区域空气质量的首要污染物</w:t>
            </w:r>
            <w:r>
              <w:rPr>
                <w:rFonts w:hint="default" w:ascii="Times New Roman" w:hAnsi="Times New Roman" w:cs="Times New Roman"/>
                <w:color w:val="auto"/>
              </w:rPr>
              <w:t>。</w:t>
            </w:r>
          </w:p>
          <w:p w14:paraId="05904864">
            <w:pPr>
              <w:pStyle w:val="4"/>
              <w:numPr>
                <w:ilvl w:val="0"/>
                <w:numId w:val="0"/>
              </w:numPr>
              <w:bidi w:val="0"/>
              <w:ind w:leftChars="0" w:firstLine="480" w:firstLineChars="200"/>
              <w:rPr>
                <w:rFonts w:hint="default" w:ascii="Times New Roman" w:hAnsi="Times New Roman" w:cs="Times New Roman"/>
                <w:color w:val="auto"/>
              </w:rPr>
            </w:pPr>
            <w:r>
              <w:rPr>
                <w:rFonts w:hint="eastAsia" w:cs="Times New Roman"/>
                <w:color w:val="auto"/>
                <w:lang w:val="en-US" w:eastAsia="zh-CN"/>
              </w:rPr>
              <w:t>3</w:t>
            </w:r>
            <w:r>
              <w:rPr>
                <w:rFonts w:hint="default" w:ascii="Times New Roman" w:hAnsi="Times New Roman" w:cs="Times New Roman"/>
                <w:color w:val="auto"/>
                <w:lang w:val="en-US" w:eastAsia="zh-CN"/>
              </w:rPr>
              <w:t>、</w:t>
            </w:r>
            <w:r>
              <w:rPr>
                <w:rFonts w:hint="default" w:ascii="Times New Roman" w:hAnsi="Times New Roman" w:cs="Times New Roman"/>
                <w:color w:val="auto"/>
              </w:rPr>
              <w:t>区域整改方案</w:t>
            </w:r>
          </w:p>
          <w:p w14:paraId="6F4316B7">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目前泗水县人民政府正积极落实</w:t>
            </w:r>
            <w:r>
              <w:rPr>
                <w:rFonts w:hint="default" w:ascii="Times New Roman" w:hAnsi="Times New Roman" w:cs="Times New Roman"/>
                <w:color w:val="auto"/>
              </w:rPr>
              <w:t>《山东省空气质量持续改善暨第三轮“四减四增”行动实施方案》</w:t>
            </w:r>
            <w:r>
              <w:rPr>
                <w:rFonts w:hint="default" w:ascii="Times New Roman" w:hAnsi="Times New Roman" w:cs="Times New Roman"/>
                <w:color w:val="auto"/>
                <w:sz w:val="24"/>
              </w:rPr>
              <w:t>、《山东省深入打好蓝天保卫战行动计划（2021—2025年）》、《山东省生态环境厅关于印发山东建设项目主要大气污染物排放总量替代指标核算及管理办法的通知》等文件要求，通过实行大气污染物排放总量指标2倍削减替代，优化产业结构与布局，减少煤炭消费，推进工业污染源提标改造，强化工业企业无组织排放控制管理，加强VOCs专项整治，控制机动车污染，实施秋冬季重点行业错峰生产等方面的行动，加快以细颗粒物为重点的大气污染治理，项目所在区域大气环境质量将会逐步得到改善。</w:t>
            </w:r>
          </w:p>
          <w:p w14:paraId="77657302">
            <w:pPr>
              <w:pStyle w:val="4"/>
              <w:numPr>
                <w:ilvl w:val="0"/>
                <w:numId w:val="0"/>
              </w:numPr>
              <w:bidi w:val="0"/>
              <w:ind w:leftChars="0" w:firstLine="480" w:firstLineChars="200"/>
              <w:rPr>
                <w:rFonts w:hint="default" w:ascii="Times New Roman" w:hAnsi="Times New Roman" w:cs="Times New Roman"/>
                <w:color w:val="auto"/>
              </w:rPr>
            </w:pPr>
            <w:r>
              <w:rPr>
                <w:rFonts w:hint="default" w:ascii="Times New Roman" w:hAnsi="Times New Roman" w:cs="Times New Roman"/>
                <w:color w:val="auto"/>
              </w:rPr>
              <w:t>二、水环境</w:t>
            </w:r>
          </w:p>
          <w:p w14:paraId="391937D1">
            <w:pPr>
              <w:pStyle w:val="4"/>
              <w:numPr>
                <w:ilvl w:val="0"/>
                <w:numId w:val="0"/>
              </w:numPr>
              <w:bidi w:val="0"/>
              <w:ind w:left="0" w:leftChars="0" w:firstLine="480" w:firstLineChars="200"/>
              <w:rPr>
                <w:rFonts w:hint="default" w:ascii="Times New Roman" w:hAnsi="Times New Roman" w:cs="Times New Roman"/>
                <w:color w:val="auto"/>
              </w:rPr>
            </w:pPr>
            <w:r>
              <w:rPr>
                <w:rFonts w:hint="default" w:ascii="Times New Roman" w:hAnsi="Times New Roman" w:cs="Times New Roman"/>
                <w:color w:val="auto"/>
              </w:rPr>
              <w:t>1、地表水</w:t>
            </w:r>
          </w:p>
          <w:p w14:paraId="71CD7AAE">
            <w:pPr>
              <w:ind w:firstLine="480" w:firstLineChars="200"/>
              <w:jc w:val="left"/>
              <w:rPr>
                <w:rFonts w:hint="default" w:ascii="Times New Roman" w:hAnsi="Times New Roman" w:cs="Times New Roman"/>
                <w:color w:val="auto"/>
              </w:rPr>
            </w:pPr>
            <w:r>
              <w:rPr>
                <w:rFonts w:hint="default" w:ascii="Times New Roman" w:hAnsi="Times New Roman" w:cs="Times New Roman"/>
                <w:bCs/>
                <w:color w:val="auto"/>
                <w:kern w:val="0"/>
                <w:szCs w:val="24"/>
              </w:rPr>
              <w:t>本项目所在地地表水水域为泗河，其水环境质量功能区属Ⅲ类区，执行国家《地表水环境质量标准》（GB3838－2002）Ⅲ类标准。依据山东省省控地表水水质状况发布网站（http://58.56.98.118:8003/waterpublic/），202</w:t>
            </w:r>
            <w:r>
              <w:rPr>
                <w:rFonts w:hint="default" w:ascii="Times New Roman" w:hAnsi="Times New Roman" w:cs="Times New Roman"/>
                <w:bCs/>
                <w:color w:val="auto"/>
                <w:kern w:val="0"/>
                <w:szCs w:val="24"/>
                <w:lang w:val="en-US" w:eastAsia="zh-CN"/>
              </w:rPr>
              <w:t>4</w:t>
            </w:r>
            <w:r>
              <w:rPr>
                <w:rFonts w:hint="default" w:ascii="Times New Roman" w:hAnsi="Times New Roman" w:cs="Times New Roman"/>
                <w:bCs/>
                <w:color w:val="auto"/>
                <w:kern w:val="0"/>
                <w:szCs w:val="24"/>
              </w:rPr>
              <w:t>年</w:t>
            </w:r>
            <w:r>
              <w:rPr>
                <w:rFonts w:hint="eastAsia" w:cs="Times New Roman"/>
                <w:bCs/>
                <w:color w:val="auto"/>
                <w:kern w:val="0"/>
                <w:szCs w:val="24"/>
                <w:lang w:val="en-US" w:eastAsia="zh-CN"/>
              </w:rPr>
              <w:t>12</w:t>
            </w:r>
            <w:r>
              <w:rPr>
                <w:rFonts w:hint="default" w:ascii="Times New Roman" w:hAnsi="Times New Roman" w:cs="Times New Roman"/>
                <w:bCs/>
                <w:color w:val="auto"/>
                <w:kern w:val="0"/>
                <w:szCs w:val="24"/>
              </w:rPr>
              <w:t>月的泗河</w:t>
            </w:r>
            <w:r>
              <w:rPr>
                <w:rFonts w:hint="default" w:ascii="Times New Roman" w:hAnsi="Times New Roman" w:cs="Times New Roman"/>
                <w:bCs/>
                <w:color w:val="auto"/>
                <w:kern w:val="0"/>
                <w:szCs w:val="24"/>
                <w:lang w:val="en-US" w:eastAsia="zh-CN"/>
              </w:rPr>
              <w:t>故县坝</w:t>
            </w:r>
            <w:r>
              <w:rPr>
                <w:rFonts w:hint="default" w:ascii="Times New Roman" w:hAnsi="Times New Roman" w:cs="Times New Roman"/>
                <w:bCs/>
                <w:color w:val="auto"/>
                <w:kern w:val="0"/>
                <w:szCs w:val="24"/>
              </w:rPr>
              <w:t>断面水质</w:t>
            </w:r>
            <w:r>
              <w:rPr>
                <w:rFonts w:hint="eastAsia" w:cs="Times New Roman"/>
                <w:bCs/>
                <w:color w:val="auto"/>
                <w:kern w:val="0"/>
                <w:szCs w:val="24"/>
                <w:lang w:val="en-US" w:eastAsia="zh-CN"/>
              </w:rPr>
              <w:t>较好，可达到</w:t>
            </w:r>
            <w:r>
              <w:rPr>
                <w:rFonts w:hint="default" w:ascii="Times New Roman" w:hAnsi="Times New Roman" w:cs="Times New Roman"/>
                <w:bCs/>
                <w:color w:val="auto"/>
                <w:kern w:val="0"/>
                <w:szCs w:val="24"/>
              </w:rPr>
              <w:t>（GB3838－2002）</w:t>
            </w:r>
            <w:r>
              <w:rPr>
                <w:rFonts w:hint="eastAsia" w:ascii="宋体" w:hAnsi="宋体" w:eastAsia="宋体" w:cs="宋体"/>
                <w:bCs/>
                <w:color w:val="auto"/>
                <w:kern w:val="0"/>
                <w:szCs w:val="24"/>
              </w:rPr>
              <w:t>Ⅱ</w:t>
            </w:r>
            <w:r>
              <w:rPr>
                <w:rFonts w:hint="default" w:ascii="Times New Roman" w:hAnsi="Times New Roman" w:cs="Times New Roman"/>
                <w:bCs/>
                <w:color w:val="auto"/>
                <w:kern w:val="0"/>
                <w:szCs w:val="24"/>
              </w:rPr>
              <w:t>类标准</w:t>
            </w:r>
            <w:r>
              <w:rPr>
                <w:rFonts w:hint="eastAsia" w:ascii="Times New Roman" w:hAnsi="Times New Roman" w:cs="Times New Roman"/>
                <w:bCs/>
                <w:color w:val="auto"/>
                <w:kern w:val="0"/>
                <w:szCs w:val="24"/>
                <w:lang w:eastAsia="zh-CN"/>
              </w:rPr>
              <w:t>，</w:t>
            </w:r>
            <w:r>
              <w:rPr>
                <w:rFonts w:hint="default" w:ascii="Times New Roman" w:hAnsi="Times New Roman" w:cs="Times New Roman"/>
                <w:bCs/>
                <w:color w:val="auto"/>
                <w:kern w:val="0"/>
                <w:szCs w:val="24"/>
              </w:rPr>
              <w:t>满足Ⅲ类标准</w:t>
            </w:r>
            <w:r>
              <w:rPr>
                <w:rFonts w:hint="default" w:ascii="Times New Roman" w:hAnsi="Times New Roman" w:cs="Times New Roman"/>
                <w:color w:val="auto"/>
              </w:rPr>
              <w:t>。</w:t>
            </w:r>
          </w:p>
          <w:p w14:paraId="0CF72474">
            <w:pPr>
              <w:jc w:val="center"/>
              <w:rPr>
                <w:rFonts w:hint="default" w:ascii="Times New Roman" w:hAnsi="Times New Roman" w:cs="Times New Roman"/>
                <w:color w:val="auto"/>
              </w:rPr>
            </w:pPr>
            <w:r>
              <w:rPr>
                <w:color w:val="auto"/>
              </w:rPr>
              <w:drawing>
                <wp:inline distT="0" distB="0" distL="114300" distR="114300">
                  <wp:extent cx="5062220" cy="1701800"/>
                  <wp:effectExtent l="0" t="0" r="5080" b="12700"/>
                  <wp:docPr id="4" name="图片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48"/>
                          <pic:cNvPicPr>
                            <a:picLocks noChangeAspect="1"/>
                          </pic:cNvPicPr>
                        </pic:nvPicPr>
                        <pic:blipFill>
                          <a:blip r:embed="rId13"/>
                          <a:stretch>
                            <a:fillRect/>
                          </a:stretch>
                        </pic:blipFill>
                        <pic:spPr>
                          <a:xfrm>
                            <a:off x="0" y="0"/>
                            <a:ext cx="5062220" cy="1701800"/>
                          </a:xfrm>
                          <a:prstGeom prst="rect">
                            <a:avLst/>
                          </a:prstGeom>
                          <a:noFill/>
                          <a:ln>
                            <a:noFill/>
                          </a:ln>
                        </pic:spPr>
                      </pic:pic>
                    </a:graphicData>
                  </a:graphic>
                </wp:inline>
              </w:drawing>
            </w:r>
          </w:p>
          <w:p w14:paraId="486480A8">
            <w:pPr>
              <w:pStyle w:val="4"/>
              <w:numPr>
                <w:ilvl w:val="0"/>
                <w:numId w:val="0"/>
              </w:numPr>
              <w:bidi w:val="0"/>
              <w:ind w:leftChars="0"/>
              <w:jc w:val="center"/>
              <w:rPr>
                <w:rFonts w:hint="default" w:ascii="Times New Roman" w:hAnsi="Times New Roman" w:cs="Times New Roman"/>
                <w:color w:val="auto"/>
                <w:szCs w:val="24"/>
              </w:rPr>
            </w:pPr>
            <w:r>
              <w:rPr>
                <w:rFonts w:hint="default" w:ascii="Times New Roman" w:hAnsi="Times New Roman" w:cs="Times New Roman"/>
                <w:color w:val="auto"/>
              </w:rPr>
              <w:t>图3-1 省控地表水水质状况</w:t>
            </w:r>
          </w:p>
          <w:p w14:paraId="504B1ABD">
            <w:pPr>
              <w:pStyle w:val="4"/>
              <w:numPr>
                <w:ilvl w:val="0"/>
                <w:numId w:val="0"/>
              </w:numPr>
              <w:bidi w:val="0"/>
              <w:ind w:leftChars="0" w:firstLine="480" w:firstLineChars="200"/>
              <w:rPr>
                <w:rFonts w:hint="default" w:ascii="Times New Roman" w:hAnsi="Times New Roman" w:eastAsia="黑体" w:cs="Times New Roman"/>
                <w:color w:val="auto"/>
                <w:lang w:val="en-US" w:eastAsia="zh-CN"/>
              </w:rPr>
            </w:pPr>
            <w:r>
              <w:rPr>
                <w:rFonts w:hint="default" w:ascii="Times New Roman" w:hAnsi="Times New Roman" w:cs="Times New Roman"/>
                <w:color w:val="auto"/>
              </w:rPr>
              <w:t>2、地下水</w:t>
            </w:r>
            <w:r>
              <w:rPr>
                <w:rFonts w:hint="eastAsia" w:cs="Times New Roman"/>
                <w:color w:val="auto"/>
                <w:lang w:eastAsia="zh-CN"/>
              </w:rPr>
              <w:t>、</w:t>
            </w:r>
            <w:r>
              <w:rPr>
                <w:rFonts w:hint="eastAsia" w:cs="Times New Roman"/>
                <w:color w:val="auto"/>
                <w:lang w:val="en-US" w:eastAsia="zh-CN"/>
              </w:rPr>
              <w:t>土壤</w:t>
            </w:r>
          </w:p>
          <w:p w14:paraId="314741E4">
            <w:pPr>
              <w:ind w:firstLine="480" w:firstLineChars="200"/>
              <w:rPr>
                <w:rFonts w:hint="default" w:ascii="Times New Roman" w:hAnsi="Times New Roman" w:cs="Times New Roman"/>
                <w:color w:val="auto"/>
                <w:kern w:val="0"/>
              </w:rPr>
            </w:pPr>
            <w:r>
              <w:rPr>
                <w:rFonts w:hint="default" w:ascii="Times New Roman" w:hAnsi="Times New Roman" w:cs="Times New Roman"/>
                <w:color w:val="auto"/>
                <w:kern w:val="0"/>
              </w:rPr>
              <w:t>本项目厂界外500m范围内不存在地下水集中式饮用水水源和热水、矿泉水、温泉等特殊地下水资源保护目标，项目正常情况不存在土壤、地下水污染途径，因此不需要进行土壤、地下水现状调查。</w:t>
            </w:r>
          </w:p>
          <w:p w14:paraId="4CB82145">
            <w:pPr>
              <w:pStyle w:val="4"/>
              <w:numPr>
                <w:ilvl w:val="0"/>
                <w:numId w:val="0"/>
              </w:numPr>
              <w:bidi w:val="0"/>
              <w:ind w:leftChars="0" w:firstLine="480" w:firstLineChars="200"/>
              <w:rPr>
                <w:rFonts w:hint="default" w:ascii="Times New Roman" w:hAnsi="Times New Roman" w:cs="Times New Roman"/>
                <w:color w:val="auto"/>
              </w:rPr>
            </w:pPr>
            <w:r>
              <w:rPr>
                <w:rFonts w:hint="default" w:ascii="Times New Roman" w:hAnsi="Times New Roman" w:cs="Times New Roman"/>
                <w:color w:val="auto"/>
              </w:rPr>
              <w:t>三、声环境</w:t>
            </w:r>
          </w:p>
          <w:p w14:paraId="2CA6C9DD">
            <w:pPr>
              <w:widowControl/>
              <w:adjustRightInd w:val="0"/>
              <w:snapToGrid w:val="0"/>
              <w:ind w:firstLine="480"/>
              <w:rPr>
                <w:rFonts w:hint="default" w:ascii="Times New Roman" w:hAnsi="Times New Roman" w:eastAsia="宋体" w:cs="Times New Roman"/>
                <w:color w:val="auto"/>
                <w:lang w:eastAsia="zh-CN"/>
              </w:rPr>
            </w:pPr>
            <w:r>
              <w:rPr>
                <w:rFonts w:hint="default" w:ascii="Times New Roman" w:hAnsi="Times New Roman" w:cs="Times New Roman"/>
                <w:color w:val="auto"/>
              </w:rPr>
              <w:t>项目所在地属于3类声环境功能区，执行国家《声环境质量标准》（GB3096--2008）3类标准。根据现场调查，厂界外周边50米范围内不存在声环境保护目标，因此本次评价不需对周边声环境保护目标进行现状监测</w:t>
            </w:r>
            <w:r>
              <w:rPr>
                <w:rFonts w:hint="default" w:ascii="Times New Roman" w:hAnsi="Times New Roman" w:cs="Times New Roman"/>
                <w:color w:val="auto"/>
                <w:lang w:eastAsia="zh-CN"/>
              </w:rPr>
              <w:t>。</w:t>
            </w:r>
          </w:p>
          <w:p w14:paraId="0D5F0F62">
            <w:pPr>
              <w:pStyle w:val="4"/>
              <w:numPr>
                <w:ilvl w:val="0"/>
                <w:numId w:val="0"/>
              </w:numPr>
              <w:bidi w:val="0"/>
              <w:ind w:leftChars="0" w:firstLine="480" w:firstLineChars="200"/>
              <w:rPr>
                <w:rFonts w:hint="default" w:ascii="Times New Roman" w:hAnsi="Times New Roman" w:cs="Times New Roman"/>
                <w:color w:val="auto"/>
              </w:rPr>
            </w:pPr>
            <w:r>
              <w:rPr>
                <w:rFonts w:hint="default" w:ascii="Times New Roman" w:hAnsi="Times New Roman" w:cs="Times New Roman"/>
                <w:color w:val="auto"/>
              </w:rPr>
              <w:t>四、生态环境</w:t>
            </w:r>
          </w:p>
          <w:p w14:paraId="39FE1B69">
            <w:pPr>
              <w:ind w:firstLine="482"/>
              <w:rPr>
                <w:rFonts w:hint="default" w:ascii="Times New Roman" w:hAnsi="Times New Roman" w:cs="Times New Roman"/>
                <w:color w:val="auto"/>
              </w:rPr>
            </w:pPr>
            <w:r>
              <w:rPr>
                <w:rStyle w:val="136"/>
                <w:rFonts w:hint="default" w:ascii="Times New Roman" w:hAnsi="Times New Roman" w:eastAsia="新宋体" w:cs="Times New Roman"/>
                <w:color w:val="auto"/>
                <w:sz w:val="24"/>
              </w:rPr>
              <w:t>本项目位于济宁市泗水县</w:t>
            </w:r>
            <w:r>
              <w:rPr>
                <w:rStyle w:val="136"/>
                <w:rFonts w:hint="eastAsia" w:ascii="Times New Roman" w:hAnsi="Times New Roman" w:eastAsia="新宋体" w:cs="Times New Roman"/>
                <w:color w:val="auto"/>
                <w:sz w:val="24"/>
              </w:rPr>
              <w:t>金庄镇卞家庄工业园内</w:t>
            </w:r>
            <w:r>
              <w:rPr>
                <w:rStyle w:val="136"/>
                <w:rFonts w:hint="default" w:ascii="Times New Roman" w:hAnsi="Times New Roman" w:eastAsia="新宋体" w:cs="Times New Roman"/>
                <w:color w:val="auto"/>
                <w:sz w:val="24"/>
              </w:rPr>
              <w:t>，</w:t>
            </w:r>
            <w:r>
              <w:rPr>
                <w:rStyle w:val="136"/>
                <w:rFonts w:hint="eastAsia" w:ascii="Times New Roman" w:hAnsi="Times New Roman" w:eastAsia="新宋体" w:cs="Times New Roman"/>
                <w:color w:val="auto"/>
                <w:sz w:val="24"/>
              </w:rPr>
              <w:t>租赁</w:t>
            </w:r>
            <w:r>
              <w:rPr>
                <w:rStyle w:val="136"/>
                <w:rFonts w:hint="eastAsia" w:ascii="Times New Roman" w:hAnsi="Times New Roman" w:eastAsia="新宋体" w:cs="Times New Roman"/>
                <w:color w:val="auto"/>
                <w:sz w:val="24"/>
                <w:lang w:eastAsia="zh-CN"/>
              </w:rPr>
              <w:t>现有厂房，项目</w:t>
            </w:r>
            <w:r>
              <w:rPr>
                <w:rStyle w:val="136"/>
                <w:rFonts w:hint="default" w:ascii="Times New Roman" w:hAnsi="Times New Roman" w:eastAsia="新宋体" w:cs="Times New Roman"/>
                <w:color w:val="auto"/>
                <w:sz w:val="24"/>
              </w:rPr>
              <w:t>占地范围内无生态环境保护目标</w:t>
            </w:r>
            <w:r>
              <w:rPr>
                <w:rFonts w:hint="default" w:ascii="Times New Roman" w:hAnsi="Times New Roman" w:cs="Times New Roman"/>
                <w:color w:val="auto"/>
              </w:rPr>
              <w:t>。</w:t>
            </w:r>
          </w:p>
        </w:tc>
      </w:tr>
      <w:tr w14:paraId="6847D1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66" w:type="dxa"/>
            <w:noWrap w:val="0"/>
            <w:vAlign w:val="center"/>
          </w:tcPr>
          <w:p w14:paraId="7BAF715E">
            <w:pPr>
              <w:adjustRightInd w:val="0"/>
              <w:snapToGrid w:val="0"/>
              <w:jc w:val="center"/>
              <w:rPr>
                <w:rFonts w:hint="default" w:ascii="Times New Roman" w:hAnsi="Times New Roman" w:cs="Times New Roman"/>
                <w:color w:val="auto"/>
                <w:kern w:val="0"/>
                <w:szCs w:val="24"/>
              </w:rPr>
            </w:pPr>
            <w:r>
              <w:rPr>
                <w:rFonts w:hint="default" w:ascii="Times New Roman" w:hAnsi="Times New Roman" w:cs="Times New Roman"/>
                <w:color w:val="auto"/>
                <w:kern w:val="0"/>
                <w:szCs w:val="24"/>
              </w:rPr>
              <w:t>环境</w:t>
            </w:r>
          </w:p>
          <w:p w14:paraId="2190F758">
            <w:pPr>
              <w:adjustRightInd w:val="0"/>
              <w:snapToGrid w:val="0"/>
              <w:jc w:val="center"/>
              <w:rPr>
                <w:rFonts w:hint="default" w:ascii="Times New Roman" w:hAnsi="Times New Roman" w:cs="Times New Roman"/>
                <w:color w:val="auto"/>
                <w:kern w:val="0"/>
                <w:szCs w:val="24"/>
              </w:rPr>
            </w:pPr>
            <w:r>
              <w:rPr>
                <w:rFonts w:hint="default" w:ascii="Times New Roman" w:hAnsi="Times New Roman" w:cs="Times New Roman"/>
                <w:color w:val="auto"/>
                <w:kern w:val="0"/>
                <w:szCs w:val="24"/>
              </w:rPr>
              <w:t>保护</w:t>
            </w:r>
          </w:p>
          <w:p w14:paraId="334BB629">
            <w:pPr>
              <w:adjustRightInd w:val="0"/>
              <w:snapToGrid w:val="0"/>
              <w:jc w:val="center"/>
              <w:rPr>
                <w:rFonts w:hint="default" w:ascii="Times New Roman" w:hAnsi="Times New Roman" w:cs="Times New Roman"/>
                <w:color w:val="auto"/>
                <w:kern w:val="0"/>
              </w:rPr>
            </w:pPr>
            <w:r>
              <w:rPr>
                <w:rFonts w:hint="default" w:ascii="Times New Roman" w:hAnsi="Times New Roman" w:cs="Times New Roman"/>
                <w:color w:val="auto"/>
                <w:kern w:val="0"/>
                <w:szCs w:val="24"/>
              </w:rPr>
              <w:t>目标</w:t>
            </w:r>
          </w:p>
        </w:tc>
        <w:tc>
          <w:tcPr>
            <w:tcW w:w="8195" w:type="dxa"/>
            <w:noWrap w:val="0"/>
            <w:vAlign w:val="center"/>
          </w:tcPr>
          <w:p w14:paraId="07A226F8">
            <w:pPr>
              <w:pStyle w:val="4"/>
              <w:numPr>
                <w:ilvl w:val="0"/>
                <w:numId w:val="0"/>
              </w:numPr>
              <w:bidi w:val="0"/>
              <w:ind w:leftChars="0"/>
              <w:rPr>
                <w:rFonts w:hint="default" w:ascii="Times New Roman" w:hAnsi="Times New Roman" w:cs="Times New Roman"/>
                <w:color w:val="auto"/>
              </w:rPr>
            </w:pPr>
            <w:r>
              <w:rPr>
                <w:rFonts w:hint="default" w:ascii="Times New Roman" w:hAnsi="Times New Roman" w:cs="Times New Roman"/>
                <w:color w:val="auto"/>
              </w:rPr>
              <w:t>主要环境保护目标（列出名单及保护级别）：</w:t>
            </w:r>
          </w:p>
          <w:p w14:paraId="5EE40BC0">
            <w:pPr>
              <w:adjustRightInd w:val="0"/>
              <w:snapToGrid w:val="0"/>
              <w:ind w:firstLine="480" w:firstLineChars="200"/>
              <w:jc w:val="left"/>
              <w:rPr>
                <w:rFonts w:hint="default" w:ascii="Times New Roman" w:hAnsi="Times New Roman" w:cs="Times New Roman"/>
                <w:color w:val="auto"/>
                <w:kern w:val="0"/>
              </w:rPr>
            </w:pPr>
            <w:r>
              <w:rPr>
                <w:rFonts w:hint="default" w:ascii="Times New Roman" w:hAnsi="Times New Roman" w:cs="Times New Roman"/>
                <w:color w:val="auto"/>
                <w:kern w:val="0"/>
              </w:rPr>
              <w:t>1、大气环境：厂界外500米范围的自然保护区、风景名胜区、居住区、文化区和农村地区中人群较集中的区域等保护目标。</w:t>
            </w:r>
          </w:p>
          <w:p w14:paraId="4E0313AC">
            <w:pPr>
              <w:adjustRightInd w:val="0"/>
              <w:snapToGrid w:val="0"/>
              <w:ind w:firstLine="480" w:firstLineChars="200"/>
              <w:jc w:val="left"/>
              <w:rPr>
                <w:rFonts w:hint="default" w:ascii="Times New Roman" w:hAnsi="Times New Roman" w:cs="Times New Roman"/>
                <w:color w:val="auto"/>
                <w:kern w:val="0"/>
              </w:rPr>
            </w:pPr>
            <w:r>
              <w:rPr>
                <w:rFonts w:hint="default" w:ascii="Times New Roman" w:hAnsi="Times New Roman" w:cs="Times New Roman"/>
                <w:color w:val="auto"/>
                <w:kern w:val="0"/>
              </w:rPr>
              <w:t>2、声环境：厂界外50米范围的声环境保护目标。</w:t>
            </w:r>
          </w:p>
          <w:p w14:paraId="57C8B91D">
            <w:pPr>
              <w:adjustRightInd w:val="0"/>
              <w:snapToGrid w:val="0"/>
              <w:ind w:firstLine="480" w:firstLineChars="200"/>
              <w:jc w:val="left"/>
              <w:rPr>
                <w:rFonts w:hint="default" w:ascii="Times New Roman" w:hAnsi="Times New Roman" w:cs="Times New Roman"/>
                <w:color w:val="auto"/>
                <w:kern w:val="0"/>
              </w:rPr>
            </w:pPr>
            <w:r>
              <w:rPr>
                <w:rFonts w:hint="default" w:ascii="Times New Roman" w:hAnsi="Times New Roman" w:cs="Times New Roman"/>
                <w:color w:val="auto"/>
                <w:kern w:val="0"/>
              </w:rPr>
              <w:t>3、地下水环境：厂界外500米范围的地下水集中式饮用水水源和热水、矿泉水、温泉等特殊地下水资源。</w:t>
            </w:r>
          </w:p>
          <w:p w14:paraId="749E433F">
            <w:pPr>
              <w:adjustRightInd w:val="0"/>
              <w:snapToGrid w:val="0"/>
              <w:ind w:firstLine="480" w:firstLineChars="200"/>
              <w:jc w:val="left"/>
              <w:rPr>
                <w:rFonts w:hint="default" w:ascii="Times New Roman" w:hAnsi="Times New Roman" w:cs="Times New Roman"/>
                <w:color w:val="auto"/>
                <w:kern w:val="0"/>
              </w:rPr>
            </w:pPr>
            <w:r>
              <w:rPr>
                <w:rFonts w:hint="default" w:ascii="Times New Roman" w:hAnsi="Times New Roman" w:cs="Times New Roman"/>
                <w:color w:val="auto"/>
                <w:kern w:val="0"/>
              </w:rPr>
              <w:t>4、生态环境：占地范围内无生态环境保护目标。</w:t>
            </w:r>
          </w:p>
          <w:p w14:paraId="349DE900">
            <w:pPr>
              <w:adjustRightInd w:val="0"/>
              <w:snapToGrid w:val="0"/>
              <w:ind w:firstLine="480" w:firstLineChars="200"/>
              <w:rPr>
                <w:rFonts w:hint="default" w:ascii="Times New Roman" w:hAnsi="Times New Roman" w:cs="Times New Roman"/>
                <w:color w:val="auto"/>
              </w:rPr>
            </w:pPr>
            <w:r>
              <w:rPr>
                <w:rFonts w:hint="default" w:ascii="Times New Roman" w:hAnsi="Times New Roman" w:cs="Times New Roman"/>
                <w:color w:val="auto"/>
                <w:kern w:val="0"/>
              </w:rPr>
              <w:t>具体周边环境保护目标见</w:t>
            </w:r>
            <w:r>
              <w:rPr>
                <w:rFonts w:hint="default" w:ascii="Times New Roman" w:hAnsi="Times New Roman" w:cs="Times New Roman"/>
                <w:color w:val="auto"/>
                <w:kern w:val="0"/>
                <w:lang w:val="en-US" w:eastAsia="zh-CN"/>
              </w:rPr>
              <w:t>下</w:t>
            </w:r>
            <w:r>
              <w:rPr>
                <w:rFonts w:hint="default" w:ascii="Times New Roman" w:hAnsi="Times New Roman" w:cs="Times New Roman"/>
                <w:color w:val="auto"/>
                <w:kern w:val="0"/>
              </w:rPr>
              <w:t>表</w:t>
            </w:r>
            <w:r>
              <w:rPr>
                <w:rFonts w:hint="default" w:ascii="Times New Roman" w:hAnsi="Times New Roman" w:cs="Times New Roman"/>
                <w:color w:val="auto"/>
              </w:rPr>
              <w:t>。</w:t>
            </w:r>
          </w:p>
          <w:p w14:paraId="105533C8">
            <w:pPr>
              <w:pStyle w:val="47"/>
              <w:bidi w:val="0"/>
              <w:rPr>
                <w:rFonts w:hint="default" w:ascii="Times New Roman" w:hAnsi="Times New Roman" w:cs="Times New Roman"/>
                <w:b/>
                <w:color w:val="auto"/>
                <w:szCs w:val="32"/>
              </w:rPr>
            </w:pPr>
            <w:r>
              <w:rPr>
                <w:rFonts w:hint="default" w:ascii="Times New Roman" w:hAnsi="Times New Roman" w:cs="Times New Roman"/>
                <w:color w:val="auto"/>
              </w:rPr>
              <w:t>表3-</w:t>
            </w:r>
            <w:r>
              <w:rPr>
                <w:rFonts w:hint="eastAsia" w:cs="Times New Roman"/>
                <w:color w:val="auto"/>
                <w:lang w:val="en-US" w:eastAsia="zh-CN"/>
              </w:rPr>
              <w:t>4</w:t>
            </w:r>
            <w:r>
              <w:rPr>
                <w:rFonts w:hint="default" w:ascii="Times New Roman" w:hAnsi="Times New Roman" w:cs="Times New Roman"/>
                <w:color w:val="auto"/>
              </w:rPr>
              <w:t xml:space="preserve">  项目周围环境敏感保护目标一览表</w:t>
            </w:r>
          </w:p>
          <w:tbl>
            <w:tblPr>
              <w:tblStyle w:val="33"/>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
            <w:tblGrid>
              <w:gridCol w:w="1082"/>
              <w:gridCol w:w="1458"/>
              <w:gridCol w:w="903"/>
              <w:gridCol w:w="1388"/>
              <w:gridCol w:w="3144"/>
            </w:tblGrid>
            <w:tr w14:paraId="35A16CE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488" w:hRule="atLeast"/>
                <w:jc w:val="center"/>
              </w:trPr>
              <w:tc>
                <w:tcPr>
                  <w:tcW w:w="678" w:type="pct"/>
                  <w:tcBorders>
                    <w:tl2br w:val="nil"/>
                    <w:tr2bl w:val="nil"/>
                  </w:tcBorders>
                  <w:noWrap w:val="0"/>
                  <w:vAlign w:val="center"/>
                </w:tcPr>
                <w:p w14:paraId="1740FDF5">
                  <w:pPr>
                    <w:pStyle w:val="44"/>
                    <w:bidi w:val="0"/>
                    <w:rPr>
                      <w:rFonts w:hint="default" w:ascii="Times New Roman" w:hAnsi="Times New Roman" w:cs="Times New Roman"/>
                      <w:b/>
                      <w:bCs/>
                      <w:color w:val="auto"/>
                    </w:rPr>
                  </w:pPr>
                  <w:r>
                    <w:rPr>
                      <w:rFonts w:hint="default" w:ascii="Times New Roman" w:hAnsi="Times New Roman" w:cs="Times New Roman"/>
                      <w:b/>
                      <w:bCs/>
                      <w:color w:val="auto"/>
                    </w:rPr>
                    <w:t>保护类别</w:t>
                  </w:r>
                </w:p>
              </w:tc>
              <w:tc>
                <w:tcPr>
                  <w:tcW w:w="914" w:type="pct"/>
                  <w:tcBorders>
                    <w:tl2br w:val="nil"/>
                    <w:tr2bl w:val="nil"/>
                  </w:tcBorders>
                  <w:noWrap w:val="0"/>
                  <w:vAlign w:val="center"/>
                </w:tcPr>
                <w:p w14:paraId="56D68E36">
                  <w:pPr>
                    <w:pStyle w:val="44"/>
                    <w:bidi w:val="0"/>
                    <w:rPr>
                      <w:rFonts w:hint="default" w:ascii="Times New Roman" w:hAnsi="Times New Roman" w:cs="Times New Roman"/>
                      <w:b/>
                      <w:bCs/>
                      <w:color w:val="auto"/>
                    </w:rPr>
                  </w:pPr>
                  <w:r>
                    <w:rPr>
                      <w:rFonts w:hint="default" w:ascii="Times New Roman" w:hAnsi="Times New Roman" w:cs="Times New Roman"/>
                      <w:b/>
                      <w:bCs/>
                      <w:color w:val="auto"/>
                    </w:rPr>
                    <w:t>保护目标</w:t>
                  </w:r>
                </w:p>
              </w:tc>
              <w:tc>
                <w:tcPr>
                  <w:tcW w:w="566" w:type="pct"/>
                  <w:tcBorders>
                    <w:tl2br w:val="nil"/>
                    <w:tr2bl w:val="nil"/>
                  </w:tcBorders>
                  <w:noWrap w:val="0"/>
                  <w:vAlign w:val="center"/>
                </w:tcPr>
                <w:p w14:paraId="44FD59CA">
                  <w:pPr>
                    <w:pStyle w:val="44"/>
                    <w:bidi w:val="0"/>
                    <w:rPr>
                      <w:rFonts w:hint="default" w:ascii="Times New Roman" w:hAnsi="Times New Roman" w:cs="Times New Roman"/>
                      <w:b/>
                      <w:bCs/>
                      <w:color w:val="auto"/>
                    </w:rPr>
                  </w:pPr>
                  <w:r>
                    <w:rPr>
                      <w:rFonts w:hint="default" w:ascii="Times New Roman" w:hAnsi="Times New Roman" w:cs="Times New Roman"/>
                      <w:b/>
                      <w:bCs/>
                      <w:color w:val="auto"/>
                    </w:rPr>
                    <w:t>方位</w:t>
                  </w:r>
                </w:p>
              </w:tc>
              <w:tc>
                <w:tcPr>
                  <w:tcW w:w="870" w:type="pct"/>
                  <w:tcBorders>
                    <w:tl2br w:val="nil"/>
                    <w:tr2bl w:val="nil"/>
                  </w:tcBorders>
                  <w:noWrap w:val="0"/>
                  <w:vAlign w:val="center"/>
                </w:tcPr>
                <w:p w14:paraId="069BFAEF">
                  <w:pPr>
                    <w:pStyle w:val="44"/>
                    <w:bidi w:val="0"/>
                    <w:rPr>
                      <w:rFonts w:hint="default" w:ascii="Times New Roman" w:hAnsi="Times New Roman" w:cs="Times New Roman"/>
                      <w:b/>
                      <w:bCs/>
                      <w:color w:val="auto"/>
                    </w:rPr>
                  </w:pPr>
                  <w:r>
                    <w:rPr>
                      <w:rFonts w:hint="default" w:ascii="Times New Roman" w:hAnsi="Times New Roman" w:cs="Times New Roman"/>
                      <w:b/>
                      <w:bCs/>
                      <w:color w:val="auto"/>
                    </w:rPr>
                    <w:t>厂界距离（m）</w:t>
                  </w:r>
                </w:p>
              </w:tc>
              <w:tc>
                <w:tcPr>
                  <w:tcW w:w="1971" w:type="pct"/>
                  <w:tcBorders>
                    <w:tl2br w:val="nil"/>
                    <w:tr2bl w:val="nil"/>
                  </w:tcBorders>
                  <w:noWrap w:val="0"/>
                  <w:vAlign w:val="center"/>
                </w:tcPr>
                <w:p w14:paraId="7A9EA581">
                  <w:pPr>
                    <w:pStyle w:val="44"/>
                    <w:bidi w:val="0"/>
                    <w:rPr>
                      <w:rFonts w:hint="default" w:ascii="Times New Roman" w:hAnsi="Times New Roman" w:cs="Times New Roman"/>
                      <w:b/>
                      <w:bCs/>
                      <w:color w:val="auto"/>
                    </w:rPr>
                  </w:pPr>
                  <w:r>
                    <w:rPr>
                      <w:rFonts w:hint="default" w:ascii="Times New Roman" w:hAnsi="Times New Roman" w:cs="Times New Roman"/>
                      <w:b/>
                      <w:bCs/>
                      <w:color w:val="auto"/>
                    </w:rPr>
                    <w:t>保护级别</w:t>
                  </w:r>
                </w:p>
              </w:tc>
            </w:tr>
            <w:tr w14:paraId="0048392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401" w:hRule="atLeast"/>
                <w:jc w:val="center"/>
              </w:trPr>
              <w:tc>
                <w:tcPr>
                  <w:tcW w:w="678" w:type="pct"/>
                  <w:vMerge w:val="restart"/>
                  <w:tcBorders>
                    <w:tl2br w:val="nil"/>
                    <w:tr2bl w:val="nil"/>
                  </w:tcBorders>
                  <w:noWrap w:val="0"/>
                  <w:vAlign w:val="center"/>
                </w:tcPr>
                <w:p w14:paraId="0237D554">
                  <w:pPr>
                    <w:pStyle w:val="44"/>
                    <w:bidi w:val="0"/>
                    <w:rPr>
                      <w:rFonts w:hint="default" w:ascii="Times New Roman" w:hAnsi="Times New Roman" w:cs="Times New Roman"/>
                      <w:color w:val="auto"/>
                    </w:rPr>
                  </w:pPr>
                  <w:r>
                    <w:rPr>
                      <w:rFonts w:hint="default" w:ascii="Times New Roman" w:hAnsi="Times New Roman" w:cs="Times New Roman"/>
                      <w:color w:val="auto"/>
                    </w:rPr>
                    <w:t>环境空气</w:t>
                  </w:r>
                </w:p>
              </w:tc>
              <w:tc>
                <w:tcPr>
                  <w:tcW w:w="914" w:type="pct"/>
                  <w:tcBorders>
                    <w:tl2br w:val="nil"/>
                    <w:tr2bl w:val="nil"/>
                  </w:tcBorders>
                  <w:noWrap w:val="0"/>
                  <w:vAlign w:val="center"/>
                </w:tcPr>
                <w:p w14:paraId="3AC9CD9A">
                  <w:pPr>
                    <w:pStyle w:val="44"/>
                    <w:bidi w:val="0"/>
                    <w:rPr>
                      <w:rFonts w:hint="eastAsia" w:ascii="Times New Roman" w:hAnsi="Times New Roman" w:eastAsia="宋体" w:cs="Times New Roman"/>
                      <w:color w:val="auto"/>
                      <w:lang w:val="en-US" w:eastAsia="zh-CN"/>
                    </w:rPr>
                  </w:pPr>
                  <w:r>
                    <w:rPr>
                      <w:rFonts w:hint="eastAsia" w:cs="Times New Roman"/>
                      <w:color w:val="auto"/>
                      <w:lang w:val="en-US" w:eastAsia="zh-CN"/>
                    </w:rPr>
                    <w:t>孔家庄</w:t>
                  </w:r>
                </w:p>
              </w:tc>
              <w:tc>
                <w:tcPr>
                  <w:tcW w:w="566" w:type="pct"/>
                  <w:tcBorders>
                    <w:tl2br w:val="nil"/>
                    <w:tr2bl w:val="nil"/>
                  </w:tcBorders>
                  <w:noWrap w:val="0"/>
                  <w:vAlign w:val="center"/>
                </w:tcPr>
                <w:p w14:paraId="6E750140">
                  <w:pPr>
                    <w:pStyle w:val="44"/>
                    <w:bidi w:val="0"/>
                    <w:rPr>
                      <w:rFonts w:hint="default" w:ascii="Times New Roman" w:hAnsi="Times New Roman" w:cs="Times New Roman"/>
                      <w:color w:val="auto"/>
                      <w:lang w:val="en-US" w:eastAsia="zh-CN"/>
                    </w:rPr>
                  </w:pPr>
                  <w:r>
                    <w:rPr>
                      <w:rFonts w:hint="eastAsia" w:cs="Times New Roman"/>
                      <w:color w:val="auto"/>
                      <w:lang w:val="en-US" w:eastAsia="zh-CN"/>
                    </w:rPr>
                    <w:t>N</w:t>
                  </w:r>
                </w:p>
              </w:tc>
              <w:tc>
                <w:tcPr>
                  <w:tcW w:w="870" w:type="pct"/>
                  <w:tcBorders>
                    <w:tl2br w:val="nil"/>
                    <w:tr2bl w:val="nil"/>
                  </w:tcBorders>
                  <w:noWrap w:val="0"/>
                  <w:vAlign w:val="center"/>
                </w:tcPr>
                <w:p w14:paraId="379B27AD">
                  <w:pPr>
                    <w:pStyle w:val="44"/>
                    <w:bidi w:val="0"/>
                    <w:rPr>
                      <w:rFonts w:hint="default" w:ascii="Times New Roman" w:hAnsi="Times New Roman" w:cs="Times New Roman"/>
                      <w:color w:val="auto"/>
                      <w:lang w:val="en-US" w:eastAsia="zh-CN"/>
                    </w:rPr>
                  </w:pPr>
                  <w:r>
                    <w:rPr>
                      <w:rFonts w:hint="eastAsia" w:cs="Times New Roman"/>
                      <w:color w:val="auto"/>
                      <w:lang w:val="en-US" w:eastAsia="zh-CN"/>
                    </w:rPr>
                    <w:t>387</w:t>
                  </w:r>
                </w:p>
              </w:tc>
              <w:tc>
                <w:tcPr>
                  <w:tcW w:w="1971" w:type="pct"/>
                  <w:vMerge w:val="restart"/>
                  <w:tcBorders>
                    <w:tl2br w:val="nil"/>
                    <w:tr2bl w:val="nil"/>
                  </w:tcBorders>
                  <w:noWrap w:val="0"/>
                  <w:vAlign w:val="center"/>
                </w:tcPr>
                <w:p w14:paraId="1C616945">
                  <w:pPr>
                    <w:pStyle w:val="44"/>
                    <w:bidi w:val="0"/>
                    <w:rPr>
                      <w:rFonts w:hint="default" w:ascii="Times New Roman" w:hAnsi="Times New Roman" w:cs="Times New Roman"/>
                      <w:color w:val="auto"/>
                    </w:rPr>
                  </w:pPr>
                  <w:r>
                    <w:rPr>
                      <w:rFonts w:hint="default" w:ascii="Times New Roman" w:hAnsi="Times New Roman" w:cs="Times New Roman"/>
                      <w:color w:val="auto"/>
                    </w:rPr>
                    <w:t>《环境空气质量标准》</w:t>
                  </w:r>
                </w:p>
                <w:p w14:paraId="5CDD0A76">
                  <w:pPr>
                    <w:pStyle w:val="44"/>
                    <w:bidi w:val="0"/>
                    <w:rPr>
                      <w:rFonts w:hint="default" w:ascii="Times New Roman" w:hAnsi="Times New Roman" w:cs="Times New Roman"/>
                      <w:color w:val="auto"/>
                    </w:rPr>
                  </w:pPr>
                  <w:r>
                    <w:rPr>
                      <w:rFonts w:hint="default" w:ascii="Times New Roman" w:hAnsi="Times New Roman" w:cs="Times New Roman"/>
                      <w:color w:val="auto"/>
                    </w:rPr>
                    <w:t>（GB3095-2012）二级标准</w:t>
                  </w:r>
                </w:p>
              </w:tc>
            </w:tr>
            <w:tr w14:paraId="2ED3EB4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401" w:hRule="atLeast"/>
                <w:jc w:val="center"/>
              </w:trPr>
              <w:tc>
                <w:tcPr>
                  <w:tcW w:w="678" w:type="pct"/>
                  <w:vMerge w:val="continue"/>
                  <w:tcBorders>
                    <w:tl2br w:val="nil"/>
                    <w:tr2bl w:val="nil"/>
                  </w:tcBorders>
                  <w:noWrap w:val="0"/>
                  <w:vAlign w:val="center"/>
                </w:tcPr>
                <w:p w14:paraId="68EC9A9D">
                  <w:pPr>
                    <w:pStyle w:val="44"/>
                    <w:bidi w:val="0"/>
                    <w:rPr>
                      <w:rFonts w:hint="default" w:ascii="Times New Roman" w:hAnsi="Times New Roman" w:cs="Times New Roman"/>
                      <w:color w:val="auto"/>
                    </w:rPr>
                  </w:pPr>
                </w:p>
              </w:tc>
              <w:tc>
                <w:tcPr>
                  <w:tcW w:w="914" w:type="pct"/>
                  <w:tcBorders>
                    <w:tl2br w:val="nil"/>
                    <w:tr2bl w:val="nil"/>
                  </w:tcBorders>
                  <w:noWrap w:val="0"/>
                  <w:vAlign w:val="center"/>
                </w:tcPr>
                <w:p w14:paraId="21938944">
                  <w:pPr>
                    <w:pStyle w:val="44"/>
                    <w:bidi w:val="0"/>
                    <w:rPr>
                      <w:rFonts w:hint="eastAsia" w:ascii="Times New Roman" w:hAnsi="Times New Roman" w:eastAsia="宋体" w:cs="Times New Roman"/>
                      <w:color w:val="auto"/>
                      <w:lang w:val="en-US" w:eastAsia="zh-CN"/>
                    </w:rPr>
                  </w:pPr>
                  <w:r>
                    <w:rPr>
                      <w:rFonts w:hint="eastAsia" w:cs="Times New Roman"/>
                      <w:color w:val="auto"/>
                      <w:lang w:val="en-US" w:eastAsia="zh-CN"/>
                    </w:rPr>
                    <w:t>卞家庄</w:t>
                  </w:r>
                </w:p>
              </w:tc>
              <w:tc>
                <w:tcPr>
                  <w:tcW w:w="566" w:type="pct"/>
                  <w:tcBorders>
                    <w:tl2br w:val="nil"/>
                    <w:tr2bl w:val="nil"/>
                  </w:tcBorders>
                  <w:noWrap w:val="0"/>
                  <w:vAlign w:val="center"/>
                </w:tcPr>
                <w:p w14:paraId="1F32322D">
                  <w:pPr>
                    <w:pStyle w:val="44"/>
                    <w:bidi w:val="0"/>
                    <w:rPr>
                      <w:rFonts w:hint="default" w:ascii="Times New Roman" w:hAnsi="Times New Roman" w:cs="Times New Roman"/>
                      <w:color w:val="auto"/>
                      <w:lang w:val="en-US" w:eastAsia="zh-CN"/>
                    </w:rPr>
                  </w:pPr>
                  <w:r>
                    <w:rPr>
                      <w:rFonts w:hint="eastAsia" w:cs="Times New Roman"/>
                      <w:color w:val="auto"/>
                      <w:lang w:val="en-US" w:eastAsia="zh-CN"/>
                    </w:rPr>
                    <w:t>NE</w:t>
                  </w:r>
                </w:p>
              </w:tc>
              <w:tc>
                <w:tcPr>
                  <w:tcW w:w="870" w:type="pct"/>
                  <w:tcBorders>
                    <w:tl2br w:val="nil"/>
                    <w:tr2bl w:val="nil"/>
                  </w:tcBorders>
                  <w:noWrap w:val="0"/>
                  <w:vAlign w:val="center"/>
                </w:tcPr>
                <w:p w14:paraId="626A241D">
                  <w:pPr>
                    <w:pStyle w:val="44"/>
                    <w:bidi w:val="0"/>
                    <w:rPr>
                      <w:rFonts w:hint="default" w:ascii="Times New Roman" w:hAnsi="Times New Roman" w:cs="Times New Roman"/>
                      <w:color w:val="auto"/>
                      <w:lang w:val="en-US" w:eastAsia="zh-CN"/>
                    </w:rPr>
                  </w:pPr>
                  <w:r>
                    <w:rPr>
                      <w:rFonts w:hint="eastAsia" w:cs="Times New Roman"/>
                      <w:color w:val="auto"/>
                      <w:lang w:val="en-US" w:eastAsia="zh-CN"/>
                    </w:rPr>
                    <w:t>450</w:t>
                  </w:r>
                </w:p>
              </w:tc>
              <w:tc>
                <w:tcPr>
                  <w:tcW w:w="1971" w:type="pct"/>
                  <w:vMerge w:val="continue"/>
                  <w:tcBorders>
                    <w:tl2br w:val="nil"/>
                    <w:tr2bl w:val="nil"/>
                  </w:tcBorders>
                  <w:noWrap w:val="0"/>
                  <w:vAlign w:val="center"/>
                </w:tcPr>
                <w:p w14:paraId="53E5F4FC">
                  <w:pPr>
                    <w:pStyle w:val="44"/>
                    <w:bidi w:val="0"/>
                    <w:rPr>
                      <w:rFonts w:hint="default" w:ascii="Times New Roman" w:hAnsi="Times New Roman" w:cs="Times New Roman"/>
                      <w:color w:val="auto"/>
                    </w:rPr>
                  </w:pPr>
                </w:p>
              </w:tc>
            </w:tr>
            <w:tr w14:paraId="11932A2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401" w:hRule="atLeast"/>
                <w:jc w:val="center"/>
              </w:trPr>
              <w:tc>
                <w:tcPr>
                  <w:tcW w:w="678" w:type="pct"/>
                  <w:tcBorders>
                    <w:tl2br w:val="nil"/>
                    <w:tr2bl w:val="nil"/>
                  </w:tcBorders>
                  <w:noWrap w:val="0"/>
                  <w:vAlign w:val="center"/>
                </w:tcPr>
                <w:p w14:paraId="79A21DFF">
                  <w:pPr>
                    <w:pStyle w:val="44"/>
                    <w:bidi w:val="0"/>
                    <w:rPr>
                      <w:rFonts w:hint="default" w:ascii="Times New Roman" w:hAnsi="Times New Roman" w:cs="Times New Roman"/>
                      <w:color w:val="auto"/>
                    </w:rPr>
                  </w:pPr>
                  <w:r>
                    <w:rPr>
                      <w:rFonts w:hint="default" w:ascii="Times New Roman" w:hAnsi="Times New Roman" w:cs="Times New Roman"/>
                      <w:color w:val="auto"/>
                    </w:rPr>
                    <w:t>地表水</w:t>
                  </w:r>
                </w:p>
              </w:tc>
              <w:tc>
                <w:tcPr>
                  <w:tcW w:w="914" w:type="pct"/>
                  <w:tcBorders>
                    <w:tl2br w:val="nil"/>
                    <w:tr2bl w:val="nil"/>
                  </w:tcBorders>
                  <w:noWrap w:val="0"/>
                  <w:vAlign w:val="center"/>
                </w:tcPr>
                <w:p w14:paraId="5185FB43">
                  <w:pPr>
                    <w:pStyle w:val="44"/>
                    <w:bidi w:val="0"/>
                    <w:rPr>
                      <w:rFonts w:hint="default" w:ascii="Times New Roman" w:hAnsi="Times New Roman" w:cs="Times New Roman"/>
                      <w:color w:val="auto"/>
                    </w:rPr>
                  </w:pPr>
                  <w:r>
                    <w:rPr>
                      <w:rFonts w:hint="default" w:ascii="Times New Roman" w:hAnsi="Times New Roman" w:cs="Times New Roman"/>
                      <w:color w:val="auto"/>
                    </w:rPr>
                    <w:t>泗河</w:t>
                  </w:r>
                </w:p>
              </w:tc>
              <w:tc>
                <w:tcPr>
                  <w:tcW w:w="566" w:type="pct"/>
                  <w:tcBorders>
                    <w:tl2br w:val="nil"/>
                    <w:tr2bl w:val="nil"/>
                  </w:tcBorders>
                  <w:noWrap w:val="0"/>
                  <w:vAlign w:val="center"/>
                </w:tcPr>
                <w:p w14:paraId="782997AC">
                  <w:pPr>
                    <w:pStyle w:val="44"/>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NW</w:t>
                  </w:r>
                </w:p>
              </w:tc>
              <w:tc>
                <w:tcPr>
                  <w:tcW w:w="870" w:type="pct"/>
                  <w:tcBorders>
                    <w:tl2br w:val="nil"/>
                    <w:tr2bl w:val="nil"/>
                  </w:tcBorders>
                  <w:noWrap w:val="0"/>
                  <w:vAlign w:val="center"/>
                </w:tcPr>
                <w:p w14:paraId="4D15619A">
                  <w:pPr>
                    <w:pStyle w:val="44"/>
                    <w:bidi w:val="0"/>
                    <w:rPr>
                      <w:rFonts w:hint="default" w:ascii="Times New Roman" w:hAnsi="Times New Roman" w:cs="Times New Roman"/>
                      <w:color w:val="auto"/>
                      <w:lang w:val="en-US" w:eastAsia="zh-CN"/>
                    </w:rPr>
                  </w:pPr>
                  <w:r>
                    <w:rPr>
                      <w:rFonts w:hint="eastAsia" w:cs="Times New Roman"/>
                      <w:color w:val="auto"/>
                      <w:lang w:val="en-US" w:eastAsia="zh-CN"/>
                    </w:rPr>
                    <w:t>1670</w:t>
                  </w:r>
                </w:p>
              </w:tc>
              <w:tc>
                <w:tcPr>
                  <w:tcW w:w="1971" w:type="pct"/>
                  <w:tcBorders>
                    <w:tl2br w:val="nil"/>
                    <w:tr2bl w:val="nil"/>
                  </w:tcBorders>
                  <w:noWrap w:val="0"/>
                  <w:vAlign w:val="center"/>
                </w:tcPr>
                <w:p w14:paraId="4D721368">
                  <w:pPr>
                    <w:pStyle w:val="44"/>
                    <w:bidi w:val="0"/>
                    <w:rPr>
                      <w:rFonts w:hint="default" w:ascii="Times New Roman" w:hAnsi="Times New Roman" w:cs="Times New Roman"/>
                      <w:color w:val="auto"/>
                    </w:rPr>
                  </w:pPr>
                  <w:r>
                    <w:rPr>
                      <w:rFonts w:hint="default" w:ascii="Times New Roman" w:hAnsi="Times New Roman" w:cs="Times New Roman"/>
                      <w:color w:val="auto"/>
                    </w:rPr>
                    <w:t>《地表水环境质量标准》（GB3838-2002）中Ⅲ类水域标准</w:t>
                  </w:r>
                </w:p>
              </w:tc>
            </w:tr>
            <w:tr w14:paraId="5CB39B5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678" w:type="pct"/>
                  <w:tcBorders>
                    <w:tl2br w:val="nil"/>
                    <w:tr2bl w:val="nil"/>
                  </w:tcBorders>
                  <w:noWrap w:val="0"/>
                  <w:vAlign w:val="center"/>
                </w:tcPr>
                <w:p w14:paraId="62354F63">
                  <w:pPr>
                    <w:pStyle w:val="44"/>
                    <w:bidi w:val="0"/>
                    <w:rPr>
                      <w:rFonts w:hint="default" w:ascii="Times New Roman" w:hAnsi="Times New Roman" w:cs="Times New Roman"/>
                      <w:color w:val="auto"/>
                    </w:rPr>
                  </w:pPr>
                  <w:r>
                    <w:rPr>
                      <w:rFonts w:hint="default" w:ascii="Times New Roman" w:hAnsi="Times New Roman" w:cs="Times New Roman"/>
                      <w:color w:val="auto"/>
                    </w:rPr>
                    <w:t>地下水</w:t>
                  </w:r>
                </w:p>
              </w:tc>
              <w:tc>
                <w:tcPr>
                  <w:tcW w:w="2350" w:type="pct"/>
                  <w:gridSpan w:val="3"/>
                  <w:tcBorders>
                    <w:tl2br w:val="nil"/>
                    <w:tr2bl w:val="nil"/>
                  </w:tcBorders>
                  <w:noWrap w:val="0"/>
                  <w:vAlign w:val="center"/>
                </w:tcPr>
                <w:p w14:paraId="24BD8A39">
                  <w:pPr>
                    <w:pStyle w:val="44"/>
                    <w:bidi w:val="0"/>
                    <w:rPr>
                      <w:rFonts w:hint="default" w:ascii="Times New Roman" w:hAnsi="Times New Roman" w:cs="Times New Roman"/>
                      <w:color w:val="auto"/>
                    </w:rPr>
                  </w:pPr>
                  <w:r>
                    <w:rPr>
                      <w:rFonts w:hint="default" w:ascii="Times New Roman" w:hAnsi="Times New Roman" w:cs="Times New Roman"/>
                      <w:color w:val="auto"/>
                    </w:rPr>
                    <w:t>厂界外500米范围内无地下水集中式饮用水水源和热水、矿泉水、温泉等特殊地下水资源</w:t>
                  </w:r>
                </w:p>
              </w:tc>
              <w:tc>
                <w:tcPr>
                  <w:tcW w:w="1971" w:type="pct"/>
                  <w:tcBorders>
                    <w:tl2br w:val="nil"/>
                    <w:tr2bl w:val="nil"/>
                  </w:tcBorders>
                  <w:noWrap w:val="0"/>
                  <w:vAlign w:val="center"/>
                </w:tcPr>
                <w:p w14:paraId="479E4025">
                  <w:pPr>
                    <w:pStyle w:val="44"/>
                    <w:bidi w:val="0"/>
                    <w:rPr>
                      <w:rFonts w:hint="default" w:ascii="Times New Roman" w:hAnsi="Times New Roman" w:cs="Times New Roman"/>
                      <w:color w:val="auto"/>
                    </w:rPr>
                  </w:pPr>
                  <w:r>
                    <w:rPr>
                      <w:rFonts w:hint="default" w:ascii="Times New Roman" w:hAnsi="Times New Roman" w:cs="Times New Roman"/>
                      <w:color w:val="auto"/>
                    </w:rPr>
                    <w:t>《地下水质量标准》（GB/T 14848-2017）Ⅲ类</w:t>
                  </w:r>
                </w:p>
              </w:tc>
            </w:tr>
            <w:tr w14:paraId="6D728CC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678" w:type="pct"/>
                  <w:tcBorders>
                    <w:tl2br w:val="nil"/>
                    <w:tr2bl w:val="nil"/>
                  </w:tcBorders>
                  <w:noWrap w:val="0"/>
                  <w:vAlign w:val="center"/>
                </w:tcPr>
                <w:p w14:paraId="4094D721">
                  <w:pPr>
                    <w:pStyle w:val="44"/>
                    <w:bidi w:val="0"/>
                    <w:rPr>
                      <w:rFonts w:hint="default" w:ascii="Times New Roman" w:hAnsi="Times New Roman" w:cs="Times New Roman"/>
                      <w:color w:val="auto"/>
                    </w:rPr>
                  </w:pPr>
                  <w:r>
                    <w:rPr>
                      <w:rFonts w:hint="default" w:ascii="Times New Roman" w:hAnsi="Times New Roman" w:cs="Times New Roman"/>
                      <w:color w:val="auto"/>
                    </w:rPr>
                    <w:t>声环境</w:t>
                  </w:r>
                </w:p>
              </w:tc>
              <w:tc>
                <w:tcPr>
                  <w:tcW w:w="2350" w:type="pct"/>
                  <w:gridSpan w:val="3"/>
                  <w:tcBorders>
                    <w:tl2br w:val="nil"/>
                    <w:tr2bl w:val="nil"/>
                  </w:tcBorders>
                  <w:noWrap w:val="0"/>
                  <w:vAlign w:val="center"/>
                </w:tcPr>
                <w:p w14:paraId="16F1F751">
                  <w:pPr>
                    <w:pStyle w:val="44"/>
                    <w:bidi w:val="0"/>
                    <w:rPr>
                      <w:rFonts w:hint="default" w:ascii="Times New Roman" w:hAnsi="Times New Roman" w:cs="Times New Roman"/>
                      <w:color w:val="auto"/>
                    </w:rPr>
                  </w:pPr>
                  <w:r>
                    <w:rPr>
                      <w:rFonts w:hint="default" w:ascii="Times New Roman" w:hAnsi="Times New Roman" w:cs="Times New Roman"/>
                      <w:color w:val="auto"/>
                    </w:rPr>
                    <w:t>项目50米范围内无声环境敏感保护目标</w:t>
                  </w:r>
                </w:p>
              </w:tc>
              <w:tc>
                <w:tcPr>
                  <w:tcW w:w="1971" w:type="pct"/>
                  <w:tcBorders>
                    <w:tl2br w:val="nil"/>
                    <w:tr2bl w:val="nil"/>
                  </w:tcBorders>
                  <w:noWrap w:val="0"/>
                  <w:vAlign w:val="center"/>
                </w:tcPr>
                <w:p w14:paraId="62576E2C">
                  <w:pPr>
                    <w:pStyle w:val="44"/>
                    <w:bidi w:val="0"/>
                    <w:rPr>
                      <w:rFonts w:hint="default" w:ascii="Times New Roman" w:hAnsi="Times New Roman" w:cs="Times New Roman"/>
                      <w:color w:val="auto"/>
                    </w:rPr>
                  </w:pPr>
                  <w:r>
                    <w:rPr>
                      <w:rFonts w:hint="default" w:ascii="Times New Roman" w:hAnsi="Times New Roman" w:cs="Times New Roman"/>
                      <w:color w:val="auto"/>
                    </w:rPr>
                    <w:t>《声环境质量标准》（GB3096-2008）中3类</w:t>
                  </w:r>
                </w:p>
              </w:tc>
            </w:tr>
            <w:tr w14:paraId="1A6C6B9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678" w:type="pct"/>
                  <w:tcBorders>
                    <w:tl2br w:val="nil"/>
                    <w:tr2bl w:val="nil"/>
                  </w:tcBorders>
                  <w:noWrap w:val="0"/>
                  <w:vAlign w:val="center"/>
                </w:tcPr>
                <w:p w14:paraId="5A55AB81">
                  <w:pPr>
                    <w:pStyle w:val="44"/>
                    <w:bidi w:val="0"/>
                    <w:rPr>
                      <w:rFonts w:hint="default" w:ascii="Times New Roman" w:hAnsi="Times New Roman" w:cs="Times New Roman"/>
                      <w:color w:val="auto"/>
                    </w:rPr>
                  </w:pPr>
                  <w:r>
                    <w:rPr>
                      <w:rFonts w:hint="default" w:ascii="Times New Roman" w:hAnsi="Times New Roman" w:cs="Times New Roman"/>
                      <w:color w:val="auto"/>
                    </w:rPr>
                    <w:t>生态环境</w:t>
                  </w:r>
                </w:p>
              </w:tc>
              <w:tc>
                <w:tcPr>
                  <w:tcW w:w="4321" w:type="pct"/>
                  <w:gridSpan w:val="4"/>
                  <w:tcBorders>
                    <w:tl2br w:val="nil"/>
                    <w:tr2bl w:val="nil"/>
                  </w:tcBorders>
                  <w:noWrap w:val="0"/>
                  <w:vAlign w:val="center"/>
                </w:tcPr>
                <w:p w14:paraId="727A0BD5">
                  <w:pPr>
                    <w:pStyle w:val="44"/>
                    <w:bidi w:val="0"/>
                    <w:rPr>
                      <w:rFonts w:hint="default" w:ascii="Times New Roman" w:hAnsi="Times New Roman" w:cs="Times New Roman"/>
                      <w:color w:val="auto"/>
                      <w:lang w:val="en-US" w:eastAsia="zh-CN"/>
                    </w:rPr>
                  </w:pPr>
                  <w:r>
                    <w:rPr>
                      <w:rFonts w:hint="default" w:ascii="Times New Roman" w:hAnsi="Times New Roman" w:cs="Times New Roman"/>
                      <w:color w:val="auto"/>
                    </w:rPr>
                    <w:t>本项目占地范围内无生态环境保护目标</w:t>
                  </w:r>
                  <w:r>
                    <w:rPr>
                      <w:rFonts w:hint="default" w:ascii="Times New Roman" w:hAnsi="Times New Roman" w:cs="Times New Roman"/>
                      <w:color w:val="auto"/>
                      <w:lang w:val="en-US" w:eastAsia="zh-CN"/>
                    </w:rPr>
                    <w:t xml:space="preserve">  </w:t>
                  </w:r>
                </w:p>
              </w:tc>
            </w:tr>
          </w:tbl>
          <w:p w14:paraId="3F101452">
            <w:pPr>
              <w:adjustRightInd w:val="0"/>
              <w:snapToGrid w:val="0"/>
              <w:rPr>
                <w:rFonts w:hint="default" w:ascii="Times New Roman" w:hAnsi="Times New Roman" w:cs="Times New Roman"/>
                <w:color w:val="auto"/>
                <w:lang w:val="en-US" w:eastAsia="zh-CN"/>
              </w:rPr>
            </w:pPr>
          </w:p>
        </w:tc>
      </w:tr>
      <w:tr w14:paraId="33B384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6" w:type="dxa"/>
            <w:noWrap w:val="0"/>
            <w:tcMar>
              <w:left w:w="28" w:type="dxa"/>
              <w:right w:w="28" w:type="dxa"/>
            </w:tcMar>
            <w:vAlign w:val="center"/>
          </w:tcPr>
          <w:p w14:paraId="3B90C201">
            <w:pPr>
              <w:adjustRightInd w:val="0"/>
              <w:snapToGrid w:val="0"/>
              <w:jc w:val="center"/>
              <w:rPr>
                <w:rFonts w:hint="default" w:ascii="Times New Roman" w:hAnsi="Times New Roman" w:cs="Times New Roman"/>
                <w:color w:val="auto"/>
                <w:kern w:val="0"/>
                <w:szCs w:val="24"/>
              </w:rPr>
            </w:pPr>
            <w:r>
              <w:rPr>
                <w:rFonts w:hint="default" w:ascii="Times New Roman" w:hAnsi="Times New Roman" w:cs="Times New Roman"/>
                <w:color w:val="auto"/>
                <w:kern w:val="0"/>
                <w:szCs w:val="24"/>
              </w:rPr>
              <w:t>污染</w:t>
            </w:r>
          </w:p>
          <w:p w14:paraId="12DEC141">
            <w:pPr>
              <w:adjustRightInd w:val="0"/>
              <w:snapToGrid w:val="0"/>
              <w:jc w:val="center"/>
              <w:rPr>
                <w:rFonts w:hint="default" w:ascii="Times New Roman" w:hAnsi="Times New Roman" w:cs="Times New Roman"/>
                <w:color w:val="auto"/>
                <w:kern w:val="0"/>
                <w:szCs w:val="24"/>
              </w:rPr>
            </w:pPr>
            <w:r>
              <w:rPr>
                <w:rFonts w:hint="default" w:ascii="Times New Roman" w:hAnsi="Times New Roman" w:cs="Times New Roman"/>
                <w:color w:val="auto"/>
                <w:kern w:val="0"/>
                <w:szCs w:val="24"/>
              </w:rPr>
              <w:t>物排</w:t>
            </w:r>
          </w:p>
          <w:p w14:paraId="607A0405">
            <w:pPr>
              <w:adjustRightInd w:val="0"/>
              <w:snapToGrid w:val="0"/>
              <w:jc w:val="center"/>
              <w:rPr>
                <w:rFonts w:hint="default" w:ascii="Times New Roman" w:hAnsi="Times New Roman" w:cs="Times New Roman"/>
                <w:color w:val="auto"/>
                <w:kern w:val="0"/>
                <w:szCs w:val="24"/>
              </w:rPr>
            </w:pPr>
            <w:r>
              <w:rPr>
                <w:rFonts w:hint="default" w:ascii="Times New Roman" w:hAnsi="Times New Roman" w:cs="Times New Roman"/>
                <w:color w:val="auto"/>
                <w:kern w:val="0"/>
                <w:szCs w:val="24"/>
              </w:rPr>
              <w:t>放控</w:t>
            </w:r>
          </w:p>
          <w:p w14:paraId="4F7240F1">
            <w:pPr>
              <w:adjustRightInd w:val="0"/>
              <w:snapToGrid w:val="0"/>
              <w:jc w:val="center"/>
              <w:rPr>
                <w:rFonts w:hint="default" w:ascii="Times New Roman" w:hAnsi="Times New Roman" w:cs="Times New Roman"/>
                <w:color w:val="auto"/>
                <w:kern w:val="0"/>
                <w:szCs w:val="24"/>
              </w:rPr>
            </w:pPr>
            <w:r>
              <w:rPr>
                <w:rFonts w:hint="default" w:ascii="Times New Roman" w:hAnsi="Times New Roman" w:cs="Times New Roman"/>
                <w:color w:val="auto"/>
                <w:kern w:val="0"/>
                <w:szCs w:val="24"/>
              </w:rPr>
              <w:t>制标</w:t>
            </w:r>
          </w:p>
          <w:p w14:paraId="2B0125BB">
            <w:pPr>
              <w:adjustRightInd w:val="0"/>
              <w:snapToGrid w:val="0"/>
              <w:jc w:val="center"/>
              <w:rPr>
                <w:rFonts w:hint="default" w:ascii="Times New Roman" w:hAnsi="Times New Roman" w:cs="Times New Roman"/>
                <w:color w:val="auto"/>
                <w:kern w:val="0"/>
              </w:rPr>
            </w:pPr>
            <w:r>
              <w:rPr>
                <w:rFonts w:hint="default" w:ascii="Times New Roman" w:hAnsi="Times New Roman" w:cs="Times New Roman"/>
                <w:color w:val="auto"/>
                <w:kern w:val="0"/>
                <w:szCs w:val="24"/>
              </w:rPr>
              <w:t>准</w:t>
            </w:r>
          </w:p>
        </w:tc>
        <w:tc>
          <w:tcPr>
            <w:tcW w:w="8195" w:type="dxa"/>
            <w:noWrap w:val="0"/>
            <w:vAlign w:val="center"/>
          </w:tcPr>
          <w:p w14:paraId="2A9395F0">
            <w:pPr>
              <w:pStyle w:val="4"/>
              <w:numPr>
                <w:ilvl w:val="0"/>
                <w:numId w:val="0"/>
              </w:numPr>
              <w:bidi w:val="0"/>
              <w:ind w:leftChars="0" w:firstLine="48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一、</w:t>
            </w:r>
            <w:r>
              <w:rPr>
                <w:rFonts w:hint="default" w:ascii="Times New Roman" w:hAnsi="Times New Roman" w:cs="Times New Roman"/>
                <w:color w:val="auto"/>
                <w:highlight w:val="none"/>
              </w:rPr>
              <w:t>废气</w:t>
            </w:r>
          </w:p>
          <w:p w14:paraId="1FCA2474">
            <w:pPr>
              <w:tabs>
                <w:tab w:val="left" w:pos="405"/>
              </w:tabs>
              <w:adjustRightInd w:val="0"/>
              <w:snapToGrid w:val="0"/>
              <w:ind w:firstLine="480" w:firstLineChars="200"/>
              <w:rPr>
                <w:rFonts w:hint="eastAsia" w:ascii="Times New Roman" w:hAnsi="Times New Roman" w:eastAsia="宋体" w:cs="Times New Roman"/>
                <w:bCs/>
                <w:color w:val="auto"/>
                <w:sz w:val="24"/>
                <w:szCs w:val="32"/>
                <w:lang w:val="en-US" w:eastAsia="zh-CN"/>
              </w:rPr>
            </w:pPr>
            <w:r>
              <w:rPr>
                <w:rFonts w:hint="eastAsia" w:cs="Times New Roman"/>
                <w:color w:val="auto"/>
                <w:szCs w:val="32"/>
                <w:lang w:val="en-US" w:eastAsia="zh-CN"/>
              </w:rPr>
              <w:t>项目运营期有组织颗粒物排放浓度执行《涂料、油墨及胶粘剂工业大气污染物排放标准》（GB37824-2019）表1“胶粘剂制造”标准限值以及《</w:t>
            </w:r>
            <w:r>
              <w:rPr>
                <w:rFonts w:hint="eastAsia" w:ascii="Times New Roman" w:hAnsi="Times New Roman" w:eastAsia="宋体" w:cs="Times New Roman"/>
                <w:bCs/>
                <w:color w:val="auto"/>
                <w:sz w:val="24"/>
                <w:szCs w:val="32"/>
                <w:lang w:val="en-US" w:eastAsia="zh-CN"/>
              </w:rPr>
              <w:t>区域性大气污染物综合排放标准》（DB37/2736-2019）表1一般控制区标准限值，排放速率执行《大气污染物综合排放标准》（GB16297-1996）表2标准限值。</w:t>
            </w:r>
          </w:p>
          <w:p w14:paraId="0D54DC21">
            <w:pPr>
              <w:tabs>
                <w:tab w:val="left" w:pos="405"/>
              </w:tabs>
              <w:adjustRightInd w:val="0"/>
              <w:snapToGrid w:val="0"/>
              <w:ind w:firstLine="480" w:firstLineChars="200"/>
              <w:rPr>
                <w:rFonts w:hint="default" w:ascii="Times New Roman" w:hAnsi="Times New Roman" w:cs="Times New Roman"/>
                <w:color w:val="auto"/>
                <w:szCs w:val="32"/>
                <w:lang w:val="en-US" w:eastAsia="zh-CN"/>
              </w:rPr>
            </w:pPr>
            <w:r>
              <w:rPr>
                <w:rFonts w:hint="eastAsia" w:cs="Times New Roman"/>
                <w:color w:val="auto"/>
                <w:szCs w:val="32"/>
                <w:lang w:val="en-US" w:eastAsia="zh-CN"/>
              </w:rPr>
              <w:t>有组织</w:t>
            </w:r>
            <w:r>
              <w:rPr>
                <w:rFonts w:hint="default" w:ascii="Times New Roman" w:hAnsi="Times New Roman" w:cs="Times New Roman"/>
                <w:color w:val="auto"/>
                <w:szCs w:val="32"/>
              </w:rPr>
              <w:t>VOCs</w:t>
            </w:r>
            <w:r>
              <w:rPr>
                <w:rFonts w:hint="eastAsia" w:ascii="Times New Roman" w:hAnsi="Times New Roman" w:cs="Times New Roman"/>
                <w:color w:val="auto"/>
                <w:szCs w:val="32"/>
                <w:lang w:eastAsia="zh-CN"/>
              </w:rPr>
              <w:t>的</w:t>
            </w:r>
            <w:r>
              <w:rPr>
                <w:rFonts w:hint="eastAsia" w:ascii="Times New Roman" w:hAnsi="Times New Roman" w:cs="Times New Roman"/>
                <w:color w:val="auto"/>
                <w:szCs w:val="32"/>
                <w:lang w:val="en-US" w:eastAsia="zh-CN"/>
              </w:rPr>
              <w:t>排放执行</w:t>
            </w:r>
            <w:r>
              <w:rPr>
                <w:rFonts w:hint="eastAsia" w:cs="Times New Roman"/>
                <w:color w:val="auto"/>
                <w:szCs w:val="32"/>
                <w:lang w:val="en-US" w:eastAsia="zh-CN"/>
              </w:rPr>
              <w:t>《涂料、油墨及胶粘剂工业大气污染物排放标准》（GB37824-2019）表1“胶粘剂制造”NMHC标准限值以及</w:t>
            </w:r>
            <w:r>
              <w:rPr>
                <w:rFonts w:hint="default" w:ascii="Times New Roman" w:hAnsi="Times New Roman" w:eastAsia="宋体" w:cs="Times New Roman"/>
                <w:bCs/>
                <w:color w:val="auto"/>
                <w:sz w:val="24"/>
                <w:szCs w:val="32"/>
                <w:lang w:val="en-US" w:eastAsia="zh-CN"/>
              </w:rPr>
              <w:t>《挥发性有机物排放标准 第6部分：有机化工》（DB37/2801.6-2018）表1</w:t>
            </w:r>
            <w:r>
              <w:rPr>
                <w:rFonts w:hint="eastAsia" w:ascii="Times New Roman" w:hAnsi="Times New Roman" w:eastAsia="宋体" w:cs="Times New Roman"/>
                <w:bCs/>
                <w:color w:val="auto"/>
                <w:sz w:val="24"/>
                <w:szCs w:val="32"/>
                <w:lang w:val="en-US" w:eastAsia="zh-CN"/>
              </w:rPr>
              <w:t>“涂料、油墨、颜料及类似产品制造（C264）”行业</w:t>
            </w:r>
            <w:r>
              <w:rPr>
                <w:rFonts w:hint="eastAsia" w:ascii="宋体" w:hAnsi="宋体" w:eastAsia="宋体" w:cs="宋体"/>
                <w:bCs/>
                <w:color w:val="auto"/>
                <w:sz w:val="24"/>
                <w:szCs w:val="32"/>
                <w:lang w:val="en-US" w:eastAsia="zh-CN"/>
              </w:rPr>
              <w:t>Ⅱ</w:t>
            </w:r>
            <w:r>
              <w:rPr>
                <w:rFonts w:hint="eastAsia" w:ascii="Times New Roman" w:hAnsi="Times New Roman" w:eastAsia="宋体" w:cs="Times New Roman"/>
                <w:bCs/>
                <w:color w:val="auto"/>
                <w:sz w:val="24"/>
                <w:szCs w:val="32"/>
                <w:lang w:val="en-US" w:eastAsia="zh-CN"/>
              </w:rPr>
              <w:t>时段</w:t>
            </w:r>
            <w:r>
              <w:rPr>
                <w:rFonts w:hint="default" w:ascii="Times New Roman" w:hAnsi="Times New Roman" w:eastAsia="宋体" w:cs="Times New Roman"/>
                <w:bCs/>
                <w:color w:val="auto"/>
                <w:sz w:val="24"/>
                <w:szCs w:val="32"/>
                <w:lang w:val="en-US" w:eastAsia="zh-CN"/>
              </w:rPr>
              <w:t>标准限值</w:t>
            </w:r>
            <w:r>
              <w:rPr>
                <w:rFonts w:hint="eastAsia" w:ascii="Times New Roman" w:hAnsi="Times New Roman" w:eastAsia="宋体" w:cs="Times New Roman"/>
                <w:bCs/>
                <w:color w:val="auto"/>
                <w:sz w:val="24"/>
                <w:szCs w:val="32"/>
                <w:lang w:val="en-US" w:eastAsia="zh-CN"/>
              </w:rPr>
              <w:t>。</w:t>
            </w:r>
            <w:r>
              <w:rPr>
                <w:rFonts w:hint="default" w:ascii="Times New Roman" w:hAnsi="Times New Roman" w:cs="Times New Roman"/>
                <w:color w:val="auto"/>
                <w:szCs w:val="32"/>
                <w:lang w:val="en-US" w:eastAsia="zh-CN"/>
              </w:rPr>
              <w:t>臭气浓度执行《恶臭污染物排放标准》（GB14554-93）表</w:t>
            </w:r>
            <w:r>
              <w:rPr>
                <w:rFonts w:hint="eastAsia" w:cs="Times New Roman"/>
                <w:color w:val="auto"/>
                <w:szCs w:val="32"/>
                <w:lang w:val="en-US" w:eastAsia="zh-CN"/>
              </w:rPr>
              <w:t>2</w:t>
            </w:r>
            <w:r>
              <w:rPr>
                <w:rFonts w:hint="default" w:ascii="Times New Roman" w:hAnsi="Times New Roman" w:cs="Times New Roman"/>
                <w:color w:val="auto"/>
                <w:szCs w:val="32"/>
                <w:lang w:val="en-US" w:eastAsia="zh-CN"/>
              </w:rPr>
              <w:t>标准限值。</w:t>
            </w:r>
          </w:p>
          <w:p w14:paraId="2FC1FEF4">
            <w:pPr>
              <w:tabs>
                <w:tab w:val="left" w:pos="405"/>
              </w:tabs>
              <w:adjustRightInd w:val="0"/>
              <w:snapToGrid w:val="0"/>
              <w:ind w:firstLine="480" w:firstLineChars="200"/>
              <w:rPr>
                <w:rFonts w:hint="default" w:ascii="Times New Roman" w:hAnsi="Times New Roman" w:eastAsia="宋体" w:cs="Times New Roman"/>
                <w:color w:val="auto"/>
                <w:szCs w:val="32"/>
                <w:lang w:val="en-US" w:eastAsia="zh-CN"/>
              </w:rPr>
            </w:pPr>
            <w:r>
              <w:rPr>
                <w:rFonts w:hint="default" w:ascii="Times New Roman" w:hAnsi="Times New Roman" w:cs="Times New Roman"/>
                <w:color w:val="auto"/>
                <w:szCs w:val="32"/>
                <w:lang w:val="en-US" w:eastAsia="zh-CN"/>
              </w:rPr>
              <w:t>项目厂界无组织</w:t>
            </w:r>
            <w:r>
              <w:rPr>
                <w:rFonts w:hint="eastAsia" w:cs="Times New Roman"/>
                <w:color w:val="auto"/>
                <w:szCs w:val="32"/>
                <w:lang w:val="en-US" w:eastAsia="zh-CN"/>
              </w:rPr>
              <w:t>颗粒物</w:t>
            </w:r>
            <w:r>
              <w:rPr>
                <w:rFonts w:hint="default" w:ascii="Times New Roman" w:hAnsi="Times New Roman" w:cs="Times New Roman"/>
                <w:color w:val="auto"/>
                <w:szCs w:val="32"/>
                <w:lang w:val="en-US" w:eastAsia="zh-CN"/>
              </w:rPr>
              <w:t>排放浓度执行</w:t>
            </w:r>
            <w:r>
              <w:rPr>
                <w:rFonts w:hint="eastAsia" w:ascii="Times New Roman" w:hAnsi="Times New Roman" w:eastAsia="宋体" w:cs="Times New Roman"/>
                <w:bCs/>
                <w:color w:val="auto"/>
                <w:sz w:val="24"/>
                <w:szCs w:val="32"/>
                <w:lang w:val="en-US" w:eastAsia="zh-CN"/>
              </w:rPr>
              <w:t>《大气污染物综合排放标准》（GB16297-1996）表2标准限值；</w:t>
            </w:r>
            <w:r>
              <w:rPr>
                <w:rFonts w:hint="eastAsia" w:cs="Times New Roman"/>
                <w:bCs/>
                <w:color w:val="auto"/>
                <w:sz w:val="24"/>
                <w:szCs w:val="32"/>
                <w:lang w:val="en-US" w:eastAsia="zh-CN"/>
              </w:rPr>
              <w:t>厂界</w:t>
            </w:r>
            <w:r>
              <w:rPr>
                <w:rFonts w:hint="default" w:ascii="Times New Roman" w:hAnsi="Times New Roman" w:cs="Times New Roman"/>
                <w:color w:val="auto"/>
                <w:szCs w:val="32"/>
                <w:lang w:val="en-US" w:eastAsia="zh-CN"/>
              </w:rPr>
              <w:t>无组织</w:t>
            </w:r>
            <w:r>
              <w:rPr>
                <w:rFonts w:hint="default" w:ascii="Times New Roman" w:hAnsi="Times New Roman" w:cs="Times New Roman"/>
                <w:color w:val="auto"/>
                <w:szCs w:val="32"/>
              </w:rPr>
              <w:t>VOC</w:t>
            </w:r>
            <w:r>
              <w:rPr>
                <w:rFonts w:hint="default" w:ascii="Times New Roman" w:hAnsi="Times New Roman" w:cs="Times New Roman"/>
                <w:color w:val="auto"/>
                <w:szCs w:val="32"/>
                <w:lang w:val="en-US" w:eastAsia="zh-CN"/>
              </w:rPr>
              <w:t>s排放浓度执行</w:t>
            </w:r>
            <w:r>
              <w:rPr>
                <w:rFonts w:hint="default" w:ascii="Times New Roman" w:hAnsi="Times New Roman" w:cs="Times New Roman"/>
                <w:color w:val="auto"/>
                <w:sz w:val="24"/>
                <w:szCs w:val="24"/>
                <w:lang w:val="en-US" w:eastAsia="zh-CN"/>
              </w:rPr>
              <w:t>《挥发性有机物排放标准 第6部分：有机化工》（DB37/2801.6-2018）表3厂界监控点浓度</w:t>
            </w:r>
            <w:r>
              <w:rPr>
                <w:rFonts w:hint="eastAsia" w:ascii="Times New Roman" w:hAnsi="Times New Roman" w:cs="Times New Roman"/>
                <w:color w:val="auto"/>
                <w:sz w:val="24"/>
                <w:szCs w:val="24"/>
                <w:lang w:val="en-US" w:eastAsia="zh-CN"/>
              </w:rPr>
              <w:t>限值</w:t>
            </w:r>
            <w:r>
              <w:rPr>
                <w:rFonts w:hint="default" w:ascii="Times New Roman" w:hAnsi="Times New Roman" w:cs="Times New Roman"/>
                <w:color w:val="auto"/>
                <w:szCs w:val="32"/>
                <w:lang w:val="en-US" w:eastAsia="zh-CN"/>
              </w:rPr>
              <w:t>。</w:t>
            </w:r>
            <w:r>
              <w:rPr>
                <w:rFonts w:hint="eastAsia" w:cs="Times New Roman"/>
                <w:color w:val="auto"/>
                <w:szCs w:val="32"/>
                <w:lang w:val="en-US" w:eastAsia="zh-CN"/>
              </w:rPr>
              <w:t>厂界</w:t>
            </w:r>
            <w:r>
              <w:rPr>
                <w:rFonts w:hint="default" w:ascii="Times New Roman" w:hAnsi="Times New Roman" w:cs="Times New Roman"/>
                <w:color w:val="auto"/>
                <w:szCs w:val="32"/>
                <w:lang w:val="en-US" w:eastAsia="zh-CN"/>
              </w:rPr>
              <w:t>臭气浓度执行《恶臭污染物排放标准》（GB14554-93）表</w:t>
            </w:r>
            <w:r>
              <w:rPr>
                <w:rFonts w:hint="eastAsia" w:cs="Times New Roman"/>
                <w:color w:val="auto"/>
                <w:szCs w:val="32"/>
                <w:lang w:val="en-US" w:eastAsia="zh-CN"/>
              </w:rPr>
              <w:t>1</w:t>
            </w:r>
            <w:r>
              <w:rPr>
                <w:rFonts w:hint="default" w:ascii="Times New Roman" w:hAnsi="Times New Roman" w:cs="Times New Roman"/>
                <w:color w:val="auto"/>
                <w:szCs w:val="32"/>
                <w:lang w:val="en-US" w:eastAsia="zh-CN"/>
              </w:rPr>
              <w:t>标准限值</w:t>
            </w:r>
            <w:r>
              <w:rPr>
                <w:rFonts w:hint="eastAsia" w:ascii="Times New Roman" w:hAnsi="Times New Roman" w:cs="Times New Roman"/>
                <w:color w:val="auto"/>
                <w:szCs w:val="32"/>
                <w:lang w:val="en-US" w:eastAsia="zh-CN"/>
              </w:rPr>
              <w:t>。</w:t>
            </w:r>
          </w:p>
          <w:p w14:paraId="282146AD">
            <w:pPr>
              <w:tabs>
                <w:tab w:val="left" w:pos="405"/>
              </w:tabs>
              <w:adjustRightInd w:val="0"/>
              <w:snapToGrid w:val="0"/>
              <w:ind w:firstLine="480" w:firstLineChars="200"/>
              <w:rPr>
                <w:rFonts w:hint="default" w:ascii="Times New Roman" w:hAnsi="Times New Roman" w:eastAsia="宋体" w:cs="Times New Roman"/>
                <w:color w:val="auto"/>
                <w:szCs w:val="32"/>
                <w:lang w:eastAsia="zh-CN"/>
              </w:rPr>
            </w:pPr>
            <w:r>
              <w:rPr>
                <w:rFonts w:hint="default" w:ascii="Times New Roman" w:hAnsi="Times New Roman" w:cs="Times New Roman"/>
                <w:color w:val="auto"/>
                <w:szCs w:val="32"/>
              </w:rPr>
              <w:t>厂区内</w:t>
            </w:r>
            <w:r>
              <w:rPr>
                <w:rFonts w:hint="eastAsia" w:cs="Times New Roman"/>
                <w:color w:val="auto"/>
                <w:szCs w:val="32"/>
                <w:lang w:val="en-US" w:eastAsia="zh-CN"/>
              </w:rPr>
              <w:t>无组织</w:t>
            </w:r>
            <w:r>
              <w:rPr>
                <w:rFonts w:hint="default" w:ascii="Times New Roman" w:hAnsi="Times New Roman" w:cs="Times New Roman"/>
                <w:color w:val="auto"/>
                <w:szCs w:val="32"/>
              </w:rPr>
              <w:t>VOC</w:t>
            </w:r>
            <w:r>
              <w:rPr>
                <w:rFonts w:hint="default" w:ascii="Times New Roman" w:hAnsi="Times New Roman" w:cs="Times New Roman"/>
                <w:color w:val="auto"/>
                <w:szCs w:val="32"/>
                <w:lang w:val="en-US" w:eastAsia="zh-CN"/>
              </w:rPr>
              <w:t>s</w:t>
            </w:r>
            <w:r>
              <w:rPr>
                <w:rFonts w:hint="default" w:ascii="Times New Roman" w:hAnsi="Times New Roman" w:cs="Times New Roman"/>
                <w:color w:val="auto"/>
                <w:szCs w:val="32"/>
              </w:rPr>
              <w:t>排放浓度执行</w:t>
            </w:r>
            <w:r>
              <w:rPr>
                <w:rFonts w:hint="default" w:ascii="Times New Roman" w:hAnsi="Times New Roman" w:cs="Times New Roman"/>
                <w:color w:val="auto"/>
                <w:szCs w:val="32"/>
              </w:rPr>
              <w:t>《挥发性有机物无组织排放控制标准》（GB37822-2019）表A.1厂内VOCs无组织排放限值</w:t>
            </w:r>
            <w:r>
              <w:rPr>
                <w:rFonts w:hint="default" w:ascii="Times New Roman" w:hAnsi="Times New Roman" w:cs="Times New Roman"/>
                <w:color w:val="auto"/>
                <w:szCs w:val="32"/>
                <w:lang w:eastAsia="zh-CN"/>
              </w:rPr>
              <w:t>。</w:t>
            </w:r>
          </w:p>
          <w:p w14:paraId="0D8D4B91">
            <w:pPr>
              <w:bidi w:val="0"/>
              <w:ind w:firstLine="480" w:firstLineChars="200"/>
              <w:rPr>
                <w:rFonts w:hint="eastAsia" w:eastAsia="宋体"/>
                <w:color w:val="auto"/>
                <w:lang w:val="en-US" w:eastAsia="zh-CN"/>
              </w:rPr>
            </w:pPr>
            <w:r>
              <w:rPr>
                <w:rFonts w:hint="eastAsia"/>
                <w:color w:val="auto"/>
                <w:lang w:val="en-US" w:eastAsia="zh-CN"/>
              </w:rPr>
              <w:t>项目有组织颗粒物</w:t>
            </w:r>
            <w:r>
              <w:rPr>
                <w:rFonts w:hint="eastAsia" w:ascii="Times New Roman" w:hAnsi="Times New Roman" w:eastAsia="宋体" w:cs="Times New Roman"/>
                <w:color w:val="auto"/>
                <w:sz w:val="24"/>
                <w:lang w:eastAsia="zh-CN"/>
              </w:rPr>
              <w:t>最高允许排放浓度从严执行《区域性大气污染物综合排放标准》（DB37/2736-2019）表1一般控制区标准限值（</w:t>
            </w:r>
            <w:r>
              <w:rPr>
                <w:rFonts w:hint="eastAsia" w:ascii="Times New Roman" w:hAnsi="Times New Roman" w:eastAsia="宋体" w:cs="Times New Roman"/>
                <w:color w:val="auto"/>
                <w:sz w:val="24"/>
                <w:lang w:val="en-US" w:eastAsia="zh-CN"/>
              </w:rPr>
              <w:t>20mg/m</w:t>
            </w:r>
            <w:r>
              <w:rPr>
                <w:rFonts w:hint="eastAsia" w:ascii="Times New Roman" w:hAnsi="Times New Roman" w:eastAsia="宋体" w:cs="Times New Roman"/>
                <w:color w:val="auto"/>
                <w:sz w:val="24"/>
                <w:vertAlign w:val="superscript"/>
                <w:lang w:val="en-US" w:eastAsia="zh-CN"/>
              </w:rPr>
              <w:t>3</w:t>
            </w:r>
            <w:r>
              <w:rPr>
                <w:rFonts w:hint="eastAsia" w:ascii="Times New Roman" w:hAnsi="Times New Roman" w:eastAsia="宋体" w:cs="Times New Roman"/>
                <w:color w:val="auto"/>
                <w:sz w:val="24"/>
                <w:lang w:eastAsia="zh-CN"/>
              </w:rPr>
              <w:t>）</w:t>
            </w:r>
            <w:r>
              <w:rPr>
                <w:rFonts w:hint="eastAsia" w:ascii="Times New Roman" w:hAnsi="Times New Roman" w:cs="Times New Roman"/>
                <w:color w:val="auto"/>
                <w:sz w:val="24"/>
                <w:lang w:eastAsia="zh-CN"/>
              </w:rPr>
              <w:t>，</w:t>
            </w:r>
            <w:r>
              <w:rPr>
                <w:rFonts w:hint="eastAsia" w:ascii="Times New Roman" w:hAnsi="Times New Roman" w:cs="Times New Roman"/>
                <w:color w:val="auto"/>
                <w:sz w:val="24"/>
                <w:lang w:val="en-US" w:eastAsia="zh-CN"/>
              </w:rPr>
              <w:t>有组织</w:t>
            </w:r>
            <w:r>
              <w:rPr>
                <w:rFonts w:hint="default" w:ascii="Times New Roman" w:hAnsi="Times New Roman" w:cs="Times New Roman"/>
                <w:color w:val="auto"/>
                <w:szCs w:val="32"/>
              </w:rPr>
              <w:t>VOCs</w:t>
            </w:r>
            <w:r>
              <w:rPr>
                <w:rFonts w:hint="eastAsia" w:ascii="Times New Roman" w:hAnsi="Times New Roman" w:eastAsia="宋体" w:cs="Times New Roman"/>
                <w:color w:val="auto"/>
                <w:sz w:val="24"/>
                <w:lang w:eastAsia="zh-CN"/>
              </w:rPr>
              <w:t>最高允许排放浓度从严执行</w:t>
            </w:r>
            <w:r>
              <w:rPr>
                <w:rFonts w:hint="default" w:ascii="Times New Roman" w:hAnsi="Times New Roman" w:cs="Times New Roman"/>
                <w:color w:val="auto"/>
              </w:rPr>
              <w:t>《挥发性有机物排放标准 第6部分：有机化工》（DB37/2801.6-2018）表1</w:t>
            </w:r>
            <w:r>
              <w:rPr>
                <w:rFonts w:hint="eastAsia" w:ascii="Times New Roman" w:hAnsi="Times New Roman" w:cs="Times New Roman"/>
                <w:color w:val="auto"/>
                <w:lang w:eastAsia="zh-CN"/>
              </w:rPr>
              <w:t>“</w:t>
            </w:r>
            <w:r>
              <w:rPr>
                <w:rFonts w:hint="default" w:ascii="Times New Roman" w:hAnsi="Times New Roman" w:cs="Times New Roman"/>
                <w:color w:val="auto"/>
              </w:rPr>
              <w:t>涂料、油墨、颜料及类似产品制造（C264）</w:t>
            </w:r>
            <w:r>
              <w:rPr>
                <w:rFonts w:hint="eastAsia" w:ascii="Times New Roman" w:hAnsi="Times New Roman" w:cs="Times New Roman"/>
                <w:color w:val="auto"/>
                <w:lang w:eastAsia="zh-CN"/>
              </w:rPr>
              <w:t>”</w:t>
            </w:r>
            <w:r>
              <w:rPr>
                <w:rFonts w:hint="default" w:ascii="Times New Roman" w:hAnsi="Times New Roman" w:cs="Times New Roman"/>
                <w:color w:val="auto"/>
              </w:rPr>
              <w:t>行业Ⅱ时段标准限值</w:t>
            </w: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50</w:t>
            </w:r>
            <w:r>
              <w:rPr>
                <w:rFonts w:hint="eastAsia" w:ascii="Times New Roman" w:hAnsi="Times New Roman" w:eastAsia="宋体" w:cs="Times New Roman"/>
                <w:color w:val="auto"/>
                <w:sz w:val="24"/>
                <w:lang w:val="en-US" w:eastAsia="zh-CN"/>
              </w:rPr>
              <w:t>mg/m</w:t>
            </w:r>
            <w:r>
              <w:rPr>
                <w:rFonts w:hint="eastAsia" w:ascii="Times New Roman" w:hAnsi="Times New Roman" w:eastAsia="宋体" w:cs="Times New Roman"/>
                <w:color w:val="auto"/>
                <w:sz w:val="24"/>
                <w:vertAlign w:val="superscript"/>
                <w:lang w:val="en-US" w:eastAsia="zh-CN"/>
              </w:rPr>
              <w:t>3</w:t>
            </w:r>
            <w:r>
              <w:rPr>
                <w:rFonts w:hint="eastAsia" w:ascii="Times New Roman" w:hAnsi="Times New Roman" w:cs="Times New Roman"/>
                <w:color w:val="auto"/>
                <w:lang w:eastAsia="zh-CN"/>
              </w:rPr>
              <w:t>）。</w:t>
            </w:r>
          </w:p>
          <w:p w14:paraId="48A99BC3">
            <w:pPr>
              <w:tabs>
                <w:tab w:val="left" w:pos="405"/>
              </w:tabs>
              <w:adjustRightInd w:val="0"/>
              <w:snapToGrid w:val="0"/>
              <w:ind w:firstLine="480" w:firstLineChars="200"/>
              <w:rPr>
                <w:rFonts w:hint="default" w:ascii="Times New Roman" w:hAnsi="Times New Roman" w:cs="Times New Roman"/>
                <w:b/>
                <w:bCs/>
                <w:color w:val="auto"/>
                <w:szCs w:val="32"/>
              </w:rPr>
            </w:pPr>
            <w:r>
              <w:rPr>
                <w:rFonts w:hint="default" w:ascii="Times New Roman" w:hAnsi="Times New Roman" w:cs="Times New Roman"/>
                <w:color w:val="auto"/>
                <w:szCs w:val="32"/>
              </w:rPr>
              <w:t>项目</w:t>
            </w:r>
            <w:r>
              <w:rPr>
                <w:rFonts w:hint="default" w:ascii="Times New Roman" w:hAnsi="Times New Roman" w:cs="Times New Roman"/>
                <w:color w:val="auto"/>
                <w:szCs w:val="24"/>
                <w:lang w:val="en-US" w:eastAsia="zh-CN"/>
              </w:rPr>
              <w:t>废气排放执行标准见下表</w:t>
            </w:r>
            <w:r>
              <w:rPr>
                <w:rFonts w:hint="default" w:ascii="Times New Roman" w:hAnsi="Times New Roman" w:cs="Times New Roman"/>
                <w:color w:val="auto"/>
                <w:szCs w:val="32"/>
              </w:rPr>
              <w:t>。</w:t>
            </w:r>
          </w:p>
          <w:p w14:paraId="0E11A6E6">
            <w:pPr>
              <w:pStyle w:val="45"/>
              <w:bidi w:val="0"/>
              <w:rPr>
                <w:rFonts w:hint="default" w:ascii="Times New Roman" w:hAnsi="Times New Roman" w:cs="Times New Roman"/>
                <w:color w:val="auto"/>
              </w:rPr>
            </w:pPr>
            <w:r>
              <w:rPr>
                <w:rFonts w:hint="default" w:ascii="Times New Roman" w:hAnsi="Times New Roman" w:cs="Times New Roman"/>
                <w:color w:val="auto"/>
              </w:rPr>
              <w:t>表3-</w:t>
            </w:r>
            <w:r>
              <w:rPr>
                <w:rFonts w:hint="eastAsia" w:ascii="Times New Roman" w:hAnsi="Times New Roman" w:cs="Times New Roman"/>
                <w:color w:val="auto"/>
                <w:lang w:val="en-US" w:eastAsia="zh-CN"/>
              </w:rPr>
              <w:t>5</w:t>
            </w:r>
            <w:r>
              <w:rPr>
                <w:rFonts w:hint="default" w:ascii="Times New Roman" w:hAnsi="Times New Roman" w:cs="Times New Roman"/>
                <w:color w:val="auto"/>
              </w:rPr>
              <w:t xml:space="preserve"> 大气污染物有组织排放执行标准</w:t>
            </w:r>
          </w:p>
          <w:tbl>
            <w:tblPr>
              <w:tblStyle w:val="33"/>
              <w:tblW w:w="799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19"/>
              <w:gridCol w:w="1143"/>
              <w:gridCol w:w="1084"/>
              <w:gridCol w:w="1116"/>
              <w:gridCol w:w="3735"/>
            </w:tblGrid>
            <w:tr w14:paraId="5A718D7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919" w:type="dxa"/>
                  <w:tcBorders>
                    <w:tl2br w:val="nil"/>
                    <w:tr2bl w:val="nil"/>
                  </w:tcBorders>
                  <w:noWrap w:val="0"/>
                  <w:vAlign w:val="center"/>
                </w:tcPr>
                <w:p w14:paraId="016D3767">
                  <w:pPr>
                    <w:pStyle w:val="44"/>
                    <w:bidi w:val="0"/>
                    <w:rPr>
                      <w:rFonts w:hint="default" w:ascii="Times New Roman" w:hAnsi="Times New Roman" w:cs="Times New Roman"/>
                      <w:b/>
                      <w:bCs/>
                      <w:color w:val="auto"/>
                      <w:lang w:eastAsia="zh-CN"/>
                    </w:rPr>
                  </w:pPr>
                  <w:r>
                    <w:rPr>
                      <w:rFonts w:hint="default" w:ascii="Times New Roman" w:hAnsi="Times New Roman" w:cs="Times New Roman"/>
                      <w:b/>
                      <w:bCs/>
                      <w:color w:val="auto"/>
                      <w:lang w:val="en-US" w:eastAsia="zh-CN"/>
                    </w:rPr>
                    <w:t>污染源</w:t>
                  </w:r>
                </w:p>
              </w:tc>
              <w:tc>
                <w:tcPr>
                  <w:tcW w:w="1143" w:type="dxa"/>
                  <w:tcBorders>
                    <w:tl2br w:val="nil"/>
                    <w:tr2bl w:val="nil"/>
                  </w:tcBorders>
                  <w:noWrap w:val="0"/>
                  <w:vAlign w:val="center"/>
                </w:tcPr>
                <w:p w14:paraId="3301735F">
                  <w:pPr>
                    <w:pStyle w:val="44"/>
                    <w:bidi w:val="0"/>
                    <w:rPr>
                      <w:rFonts w:hint="default" w:ascii="Times New Roman" w:hAnsi="Times New Roman" w:cs="Times New Roman"/>
                      <w:b/>
                      <w:bCs/>
                      <w:color w:val="auto"/>
                    </w:rPr>
                  </w:pPr>
                  <w:r>
                    <w:rPr>
                      <w:rFonts w:hint="default" w:ascii="Times New Roman" w:hAnsi="Times New Roman" w:cs="Times New Roman"/>
                      <w:b/>
                      <w:bCs/>
                      <w:color w:val="auto"/>
                    </w:rPr>
                    <w:t>污染物</w:t>
                  </w:r>
                </w:p>
              </w:tc>
              <w:tc>
                <w:tcPr>
                  <w:tcW w:w="1084" w:type="dxa"/>
                  <w:tcBorders>
                    <w:tl2br w:val="nil"/>
                    <w:tr2bl w:val="nil"/>
                  </w:tcBorders>
                  <w:noWrap w:val="0"/>
                  <w:vAlign w:val="center"/>
                </w:tcPr>
                <w:p w14:paraId="682212FF">
                  <w:pPr>
                    <w:pStyle w:val="44"/>
                    <w:bidi w:val="0"/>
                    <w:rPr>
                      <w:rFonts w:hint="default" w:ascii="Times New Roman" w:hAnsi="Times New Roman" w:cs="Times New Roman"/>
                      <w:b/>
                      <w:bCs/>
                      <w:color w:val="auto"/>
                    </w:rPr>
                  </w:pPr>
                  <w:r>
                    <w:rPr>
                      <w:rFonts w:hint="default" w:ascii="Times New Roman" w:hAnsi="Times New Roman" w:cs="Times New Roman"/>
                      <w:b/>
                      <w:bCs/>
                      <w:color w:val="auto"/>
                    </w:rPr>
                    <w:t>浓度限值</w:t>
                  </w:r>
                </w:p>
                <w:p w14:paraId="4C6BC58B">
                  <w:pPr>
                    <w:pStyle w:val="44"/>
                    <w:bidi w:val="0"/>
                    <w:rPr>
                      <w:rFonts w:hint="default" w:ascii="Times New Roman" w:hAnsi="Times New Roman" w:cs="Times New Roman"/>
                      <w:b/>
                      <w:bCs/>
                      <w:color w:val="auto"/>
                    </w:rPr>
                  </w:pPr>
                  <w:r>
                    <w:rPr>
                      <w:rFonts w:hint="default" w:ascii="Times New Roman" w:hAnsi="Times New Roman" w:cs="Times New Roman"/>
                      <w:b/>
                      <w:bCs/>
                      <w:color w:val="auto"/>
                    </w:rPr>
                    <w:t>mg/m</w:t>
                  </w:r>
                  <w:r>
                    <w:rPr>
                      <w:rFonts w:hint="default" w:ascii="Times New Roman" w:hAnsi="Times New Roman" w:cs="Times New Roman"/>
                      <w:b/>
                      <w:bCs/>
                      <w:color w:val="auto"/>
                      <w:vertAlign w:val="superscript"/>
                    </w:rPr>
                    <w:t>3</w:t>
                  </w:r>
                </w:p>
              </w:tc>
              <w:tc>
                <w:tcPr>
                  <w:tcW w:w="1116" w:type="dxa"/>
                  <w:tcBorders>
                    <w:tl2br w:val="nil"/>
                    <w:tr2bl w:val="nil"/>
                  </w:tcBorders>
                  <w:noWrap w:val="0"/>
                  <w:vAlign w:val="center"/>
                </w:tcPr>
                <w:p w14:paraId="27836C29">
                  <w:pPr>
                    <w:pStyle w:val="44"/>
                    <w:bidi w:val="0"/>
                    <w:rPr>
                      <w:rFonts w:hint="default" w:ascii="Times New Roman" w:hAnsi="Times New Roman" w:cs="Times New Roman"/>
                      <w:b/>
                      <w:bCs/>
                      <w:color w:val="auto"/>
                      <w:lang w:eastAsia="zh-CN"/>
                    </w:rPr>
                  </w:pPr>
                  <w:r>
                    <w:rPr>
                      <w:rFonts w:hint="default" w:ascii="Times New Roman" w:hAnsi="Times New Roman" w:cs="Times New Roman"/>
                      <w:b/>
                      <w:bCs/>
                      <w:color w:val="auto"/>
                    </w:rPr>
                    <w:t>最高允许排放速率kg/h</w:t>
                  </w:r>
                </w:p>
              </w:tc>
              <w:tc>
                <w:tcPr>
                  <w:tcW w:w="3735" w:type="dxa"/>
                  <w:tcBorders>
                    <w:tl2br w:val="nil"/>
                    <w:tr2bl w:val="nil"/>
                  </w:tcBorders>
                  <w:noWrap w:val="0"/>
                  <w:vAlign w:val="center"/>
                </w:tcPr>
                <w:p w14:paraId="5D6CD281">
                  <w:pPr>
                    <w:pStyle w:val="44"/>
                    <w:bidi w:val="0"/>
                    <w:rPr>
                      <w:rFonts w:hint="default" w:ascii="Times New Roman" w:hAnsi="Times New Roman" w:cs="Times New Roman"/>
                      <w:b/>
                      <w:bCs/>
                      <w:color w:val="auto"/>
                    </w:rPr>
                  </w:pPr>
                  <w:r>
                    <w:rPr>
                      <w:rFonts w:hint="default" w:ascii="Times New Roman" w:hAnsi="Times New Roman" w:cs="Times New Roman"/>
                      <w:b/>
                      <w:bCs/>
                      <w:color w:val="auto"/>
                    </w:rPr>
                    <w:t>执行标准</w:t>
                  </w:r>
                </w:p>
              </w:tc>
            </w:tr>
            <w:tr w14:paraId="0A32FE1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919" w:type="dxa"/>
                  <w:tcBorders>
                    <w:tl2br w:val="nil"/>
                    <w:tr2bl w:val="nil"/>
                  </w:tcBorders>
                  <w:noWrap w:val="0"/>
                  <w:vAlign w:val="center"/>
                </w:tcPr>
                <w:p w14:paraId="061F891E">
                  <w:pPr>
                    <w:pStyle w:val="44"/>
                    <w:bidi w:val="0"/>
                    <w:rPr>
                      <w:rFonts w:hint="default" w:ascii="Times New Roman" w:hAnsi="Times New Roman" w:cs="Times New Roman"/>
                      <w:color w:val="auto"/>
                      <w:lang w:val="en-US"/>
                    </w:rPr>
                  </w:pPr>
                  <w:r>
                    <w:rPr>
                      <w:rFonts w:hint="default" w:ascii="Times New Roman" w:hAnsi="Times New Roman" w:cs="Times New Roman"/>
                      <w:b w:val="0"/>
                      <w:bCs w:val="0"/>
                      <w:color w:val="auto"/>
                      <w:lang w:val="en-US" w:eastAsia="zh-CN"/>
                    </w:rPr>
                    <w:t>DA001，15m</w:t>
                  </w:r>
                </w:p>
              </w:tc>
              <w:tc>
                <w:tcPr>
                  <w:tcW w:w="1143" w:type="dxa"/>
                  <w:tcBorders>
                    <w:tl2br w:val="nil"/>
                    <w:tr2bl w:val="nil"/>
                  </w:tcBorders>
                  <w:noWrap w:val="0"/>
                  <w:vAlign w:val="center"/>
                </w:tcPr>
                <w:p w14:paraId="465DC0CF">
                  <w:pPr>
                    <w:pStyle w:val="44"/>
                    <w:bidi w:val="0"/>
                    <w:rPr>
                      <w:rFonts w:hint="eastAsia" w:ascii="Times New Roman" w:hAnsi="Times New Roman" w:eastAsia="宋体" w:cs="Times New Roman"/>
                      <w:color w:val="auto"/>
                      <w:lang w:eastAsia="zh-CN"/>
                    </w:rPr>
                  </w:pPr>
                  <w:r>
                    <w:rPr>
                      <w:rFonts w:hint="eastAsia" w:cs="Times New Roman"/>
                      <w:color w:val="auto"/>
                      <w:szCs w:val="32"/>
                      <w:lang w:val="en-US" w:eastAsia="zh-CN"/>
                    </w:rPr>
                    <w:t>颗粒物</w:t>
                  </w:r>
                </w:p>
              </w:tc>
              <w:tc>
                <w:tcPr>
                  <w:tcW w:w="1084" w:type="dxa"/>
                  <w:tcBorders>
                    <w:tl2br w:val="nil"/>
                    <w:tr2bl w:val="nil"/>
                  </w:tcBorders>
                  <w:noWrap w:val="0"/>
                  <w:vAlign w:val="center"/>
                </w:tcPr>
                <w:p w14:paraId="070BEE8C">
                  <w:pPr>
                    <w:pStyle w:val="44"/>
                    <w:bidi w:val="0"/>
                    <w:rPr>
                      <w:rFonts w:hint="default" w:ascii="Times New Roman" w:hAnsi="Times New Roman" w:cs="Times New Roman"/>
                      <w:color w:val="auto"/>
                      <w:lang w:val="en-US" w:eastAsia="zh-CN"/>
                    </w:rPr>
                  </w:pPr>
                  <w:r>
                    <w:rPr>
                      <w:rFonts w:hint="eastAsia" w:cs="Times New Roman"/>
                      <w:color w:val="auto"/>
                      <w:lang w:val="en-US" w:eastAsia="zh-CN"/>
                    </w:rPr>
                    <w:t>20</w:t>
                  </w:r>
                </w:p>
              </w:tc>
              <w:tc>
                <w:tcPr>
                  <w:tcW w:w="1116" w:type="dxa"/>
                  <w:tcBorders>
                    <w:tl2br w:val="nil"/>
                    <w:tr2bl w:val="nil"/>
                  </w:tcBorders>
                  <w:noWrap w:val="0"/>
                  <w:vAlign w:val="center"/>
                </w:tcPr>
                <w:p w14:paraId="0F63298D">
                  <w:pPr>
                    <w:pStyle w:val="44"/>
                    <w:bidi w:val="0"/>
                    <w:rPr>
                      <w:rFonts w:hint="default" w:ascii="Times New Roman" w:hAnsi="Times New Roman" w:cs="Times New Roman"/>
                      <w:color w:val="auto"/>
                      <w:lang w:val="en-US" w:eastAsia="zh-CN"/>
                    </w:rPr>
                  </w:pPr>
                  <w:r>
                    <w:rPr>
                      <w:rFonts w:hint="eastAsia" w:cs="Times New Roman"/>
                      <w:color w:val="auto"/>
                      <w:lang w:val="en-US" w:eastAsia="zh-CN"/>
                    </w:rPr>
                    <w:t>3.5</w:t>
                  </w:r>
                </w:p>
              </w:tc>
              <w:tc>
                <w:tcPr>
                  <w:tcW w:w="3735" w:type="dxa"/>
                  <w:tcBorders>
                    <w:tl2br w:val="nil"/>
                    <w:tr2bl w:val="nil"/>
                  </w:tcBorders>
                  <w:noWrap w:val="0"/>
                  <w:vAlign w:val="center"/>
                </w:tcPr>
                <w:p w14:paraId="7A5F2A64">
                  <w:pPr>
                    <w:pStyle w:val="44"/>
                    <w:bidi w:val="0"/>
                    <w:rPr>
                      <w:rFonts w:hint="eastAsia" w:ascii="Times New Roman" w:hAnsi="Times New Roman" w:eastAsia="宋体" w:cs="Times New Roman"/>
                      <w:color w:val="auto"/>
                      <w:lang w:eastAsia="zh-CN"/>
                    </w:rPr>
                  </w:pPr>
                  <w:r>
                    <w:rPr>
                      <w:rFonts w:hint="default" w:ascii="Times New Roman" w:hAnsi="Times New Roman" w:cs="Times New Roman"/>
                      <w:color w:val="auto"/>
                    </w:rPr>
                    <w:t>《区域性大气污染物综合排放标准》（DB37/2736-2019）表1一般控制区标准限值</w:t>
                  </w:r>
                  <w:r>
                    <w:rPr>
                      <w:rFonts w:hint="eastAsia" w:cs="Times New Roman"/>
                      <w:color w:val="auto"/>
                      <w:lang w:eastAsia="zh-CN"/>
                    </w:rPr>
                    <w:t>；《大气污染物综合排放标准》（GB16297-1996）表2标准限值</w:t>
                  </w:r>
                </w:p>
              </w:tc>
            </w:tr>
            <w:tr w14:paraId="395928F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919" w:type="dxa"/>
                  <w:vMerge w:val="restart"/>
                  <w:tcBorders>
                    <w:tl2br w:val="nil"/>
                    <w:tr2bl w:val="nil"/>
                  </w:tcBorders>
                  <w:noWrap w:val="0"/>
                  <w:vAlign w:val="center"/>
                </w:tcPr>
                <w:p w14:paraId="63937412">
                  <w:pPr>
                    <w:pStyle w:val="44"/>
                    <w:bidi w:val="0"/>
                    <w:rPr>
                      <w:rFonts w:hint="eastAsia" w:cs="Times New Roman"/>
                      <w:color w:val="auto"/>
                      <w:lang w:val="en-US" w:eastAsia="zh-CN"/>
                    </w:rPr>
                  </w:pPr>
                  <w:r>
                    <w:rPr>
                      <w:rFonts w:hint="default" w:ascii="Times New Roman" w:hAnsi="Times New Roman" w:cs="Times New Roman"/>
                      <w:b w:val="0"/>
                      <w:bCs w:val="0"/>
                      <w:color w:val="auto"/>
                      <w:lang w:val="en-US" w:eastAsia="zh-CN"/>
                    </w:rPr>
                    <w:t>DA00</w:t>
                  </w:r>
                  <w:r>
                    <w:rPr>
                      <w:rFonts w:hint="eastAsia" w:ascii="Times New Roman" w:hAnsi="Times New Roman" w:cs="Times New Roman"/>
                      <w:b w:val="0"/>
                      <w:bCs w:val="0"/>
                      <w:color w:val="auto"/>
                      <w:lang w:val="en-US" w:eastAsia="zh-CN"/>
                    </w:rPr>
                    <w:t>2</w:t>
                  </w:r>
                  <w:r>
                    <w:rPr>
                      <w:rFonts w:hint="default" w:ascii="Times New Roman" w:hAnsi="Times New Roman" w:cs="Times New Roman"/>
                      <w:b w:val="0"/>
                      <w:bCs w:val="0"/>
                      <w:color w:val="auto"/>
                      <w:lang w:val="en-US" w:eastAsia="zh-CN"/>
                    </w:rPr>
                    <w:t>，15m</w:t>
                  </w:r>
                </w:p>
              </w:tc>
              <w:tc>
                <w:tcPr>
                  <w:tcW w:w="1143" w:type="dxa"/>
                  <w:tcBorders>
                    <w:tl2br w:val="nil"/>
                    <w:tr2bl w:val="nil"/>
                  </w:tcBorders>
                  <w:noWrap w:val="0"/>
                  <w:vAlign w:val="center"/>
                </w:tcPr>
                <w:p w14:paraId="28A6ABDA">
                  <w:pPr>
                    <w:pStyle w:val="44"/>
                    <w:bidi w:val="0"/>
                    <w:rPr>
                      <w:rFonts w:hint="eastAsia" w:cs="Times New Roman"/>
                      <w:color w:val="auto"/>
                      <w:szCs w:val="32"/>
                      <w:lang w:val="en-US" w:eastAsia="zh-CN"/>
                    </w:rPr>
                  </w:pPr>
                  <w:r>
                    <w:rPr>
                      <w:rFonts w:hint="eastAsia" w:cs="Times New Roman"/>
                      <w:color w:val="auto"/>
                      <w:szCs w:val="32"/>
                      <w:lang w:val="en-US" w:eastAsia="zh-CN"/>
                    </w:rPr>
                    <w:t>VOCs</w:t>
                  </w:r>
                </w:p>
              </w:tc>
              <w:tc>
                <w:tcPr>
                  <w:tcW w:w="1084" w:type="dxa"/>
                  <w:tcBorders>
                    <w:tl2br w:val="nil"/>
                    <w:tr2bl w:val="nil"/>
                  </w:tcBorders>
                  <w:noWrap w:val="0"/>
                  <w:vAlign w:val="center"/>
                </w:tcPr>
                <w:p w14:paraId="3A915C2F">
                  <w:pPr>
                    <w:pStyle w:val="44"/>
                    <w:bidi w:val="0"/>
                    <w:rPr>
                      <w:rFonts w:hint="default" w:cs="Times New Roman"/>
                      <w:color w:val="auto"/>
                      <w:lang w:val="en-US" w:eastAsia="zh-CN"/>
                    </w:rPr>
                  </w:pPr>
                  <w:r>
                    <w:rPr>
                      <w:rFonts w:hint="eastAsia" w:cs="Times New Roman"/>
                      <w:color w:val="auto"/>
                      <w:lang w:val="en-US" w:eastAsia="zh-CN"/>
                    </w:rPr>
                    <w:t>50</w:t>
                  </w:r>
                </w:p>
              </w:tc>
              <w:tc>
                <w:tcPr>
                  <w:tcW w:w="1116" w:type="dxa"/>
                  <w:tcBorders>
                    <w:tl2br w:val="nil"/>
                    <w:tr2bl w:val="nil"/>
                  </w:tcBorders>
                  <w:noWrap w:val="0"/>
                  <w:vAlign w:val="center"/>
                </w:tcPr>
                <w:p w14:paraId="37E138CB">
                  <w:pPr>
                    <w:pStyle w:val="44"/>
                    <w:bidi w:val="0"/>
                    <w:rPr>
                      <w:rFonts w:hint="default" w:cs="Times New Roman"/>
                      <w:color w:val="auto"/>
                      <w:lang w:val="en-US" w:eastAsia="zh-CN"/>
                    </w:rPr>
                  </w:pPr>
                  <w:r>
                    <w:rPr>
                      <w:rFonts w:hint="eastAsia" w:cs="Times New Roman"/>
                      <w:color w:val="auto"/>
                      <w:lang w:val="en-US" w:eastAsia="zh-CN"/>
                    </w:rPr>
                    <w:t>3.0</w:t>
                  </w:r>
                </w:p>
              </w:tc>
              <w:tc>
                <w:tcPr>
                  <w:tcW w:w="3735" w:type="dxa"/>
                  <w:tcBorders>
                    <w:tl2br w:val="nil"/>
                    <w:tr2bl w:val="nil"/>
                  </w:tcBorders>
                  <w:noWrap w:val="0"/>
                  <w:vAlign w:val="center"/>
                </w:tcPr>
                <w:p w14:paraId="70839802">
                  <w:pPr>
                    <w:pStyle w:val="44"/>
                    <w:bidi w:val="0"/>
                    <w:rPr>
                      <w:rFonts w:hint="default" w:ascii="Times New Roman" w:hAnsi="Times New Roman" w:cs="Times New Roman"/>
                      <w:color w:val="auto"/>
                    </w:rPr>
                  </w:pPr>
                  <w:r>
                    <w:rPr>
                      <w:rFonts w:hint="default" w:ascii="Times New Roman" w:hAnsi="Times New Roman" w:cs="Times New Roman"/>
                      <w:color w:val="auto"/>
                    </w:rPr>
                    <w:t>《挥发性有机物排放标准 第6部分：有机化工》（DB37/2801.6-2018）表1“涂料、油墨、颜料及类似产品制造（C264）”行业Ⅱ时段标准限值</w:t>
                  </w:r>
                </w:p>
              </w:tc>
            </w:tr>
            <w:tr w14:paraId="6D9EACF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919" w:type="dxa"/>
                  <w:vMerge w:val="continue"/>
                  <w:tcBorders>
                    <w:tl2br w:val="nil"/>
                    <w:tr2bl w:val="nil"/>
                  </w:tcBorders>
                  <w:noWrap w:val="0"/>
                  <w:vAlign w:val="center"/>
                </w:tcPr>
                <w:p w14:paraId="68885EAD">
                  <w:pPr>
                    <w:pStyle w:val="44"/>
                    <w:bidi w:val="0"/>
                    <w:rPr>
                      <w:rFonts w:hint="default" w:ascii="Times New Roman" w:hAnsi="Times New Roman" w:cs="Times New Roman"/>
                      <w:b w:val="0"/>
                      <w:bCs w:val="0"/>
                      <w:color w:val="auto"/>
                      <w:lang w:val="en-US" w:eastAsia="zh-CN"/>
                    </w:rPr>
                  </w:pPr>
                </w:p>
              </w:tc>
              <w:tc>
                <w:tcPr>
                  <w:tcW w:w="1143" w:type="dxa"/>
                  <w:tcBorders>
                    <w:tl2br w:val="nil"/>
                    <w:tr2bl w:val="nil"/>
                  </w:tcBorders>
                  <w:noWrap w:val="0"/>
                  <w:vAlign w:val="center"/>
                </w:tcPr>
                <w:p w14:paraId="7B1596A6">
                  <w:pPr>
                    <w:pStyle w:val="44"/>
                    <w:bidi w:val="0"/>
                    <w:rPr>
                      <w:rFonts w:hint="default" w:cs="Times New Roman"/>
                      <w:color w:val="auto"/>
                      <w:szCs w:val="32"/>
                      <w:lang w:val="en-US" w:eastAsia="zh-CN"/>
                    </w:rPr>
                  </w:pPr>
                  <w:r>
                    <w:rPr>
                      <w:rFonts w:hint="eastAsia" w:cs="Times New Roman"/>
                      <w:color w:val="auto"/>
                      <w:szCs w:val="32"/>
                      <w:lang w:val="en-US" w:eastAsia="zh-CN"/>
                    </w:rPr>
                    <w:t>臭气浓度</w:t>
                  </w:r>
                </w:p>
              </w:tc>
              <w:tc>
                <w:tcPr>
                  <w:tcW w:w="1084" w:type="dxa"/>
                  <w:tcBorders>
                    <w:tl2br w:val="nil"/>
                    <w:tr2bl w:val="nil"/>
                  </w:tcBorders>
                  <w:noWrap w:val="0"/>
                  <w:vAlign w:val="center"/>
                </w:tcPr>
                <w:p w14:paraId="257E28EF">
                  <w:pPr>
                    <w:pStyle w:val="44"/>
                    <w:bidi w:val="0"/>
                    <w:rPr>
                      <w:rFonts w:hint="default" w:cs="Times New Roman"/>
                      <w:color w:val="auto"/>
                      <w:lang w:val="en-US" w:eastAsia="zh-CN"/>
                    </w:rPr>
                  </w:pPr>
                  <w:r>
                    <w:rPr>
                      <w:rFonts w:hint="eastAsia" w:cs="Times New Roman"/>
                      <w:color w:val="auto"/>
                      <w:lang w:val="en-US" w:eastAsia="zh-CN"/>
                    </w:rPr>
                    <w:t>2000（无量纲）</w:t>
                  </w:r>
                </w:p>
              </w:tc>
              <w:tc>
                <w:tcPr>
                  <w:tcW w:w="1116" w:type="dxa"/>
                  <w:tcBorders>
                    <w:tl2br w:val="nil"/>
                    <w:tr2bl w:val="nil"/>
                  </w:tcBorders>
                  <w:noWrap w:val="0"/>
                  <w:vAlign w:val="center"/>
                </w:tcPr>
                <w:p w14:paraId="157DE3F6">
                  <w:pPr>
                    <w:pStyle w:val="44"/>
                    <w:bidi w:val="0"/>
                    <w:rPr>
                      <w:rFonts w:hint="default" w:cs="Times New Roman"/>
                      <w:color w:val="auto"/>
                      <w:lang w:val="en-US" w:eastAsia="zh-CN"/>
                    </w:rPr>
                  </w:pPr>
                  <w:r>
                    <w:rPr>
                      <w:rFonts w:hint="eastAsia" w:cs="Times New Roman"/>
                      <w:color w:val="auto"/>
                      <w:lang w:val="en-US" w:eastAsia="zh-CN"/>
                    </w:rPr>
                    <w:t>/</w:t>
                  </w:r>
                </w:p>
              </w:tc>
              <w:tc>
                <w:tcPr>
                  <w:tcW w:w="3735" w:type="dxa"/>
                  <w:tcBorders>
                    <w:tl2br w:val="nil"/>
                    <w:tr2bl w:val="nil"/>
                  </w:tcBorders>
                  <w:noWrap w:val="0"/>
                  <w:vAlign w:val="center"/>
                </w:tcPr>
                <w:p w14:paraId="7B4F59B1">
                  <w:pPr>
                    <w:pStyle w:val="44"/>
                    <w:bidi w:val="0"/>
                    <w:rPr>
                      <w:rFonts w:hint="default" w:ascii="Times New Roman" w:hAnsi="Times New Roman" w:cs="Times New Roman"/>
                      <w:color w:val="auto"/>
                      <w:szCs w:val="32"/>
                      <w:lang w:val="en-US" w:eastAsia="zh-CN"/>
                    </w:rPr>
                  </w:pPr>
                  <w:r>
                    <w:rPr>
                      <w:rFonts w:hint="default" w:ascii="Times New Roman" w:hAnsi="Times New Roman" w:cs="Times New Roman"/>
                      <w:color w:val="auto"/>
                      <w:szCs w:val="32"/>
                      <w:lang w:val="en-US" w:eastAsia="zh-CN"/>
                    </w:rPr>
                    <w:t>《恶臭污染物排放标准》</w:t>
                  </w:r>
                </w:p>
                <w:p w14:paraId="7D68ECA4">
                  <w:pPr>
                    <w:pStyle w:val="44"/>
                    <w:bidi w:val="0"/>
                    <w:rPr>
                      <w:rFonts w:hint="eastAsia" w:cs="Times New Roman"/>
                      <w:color w:val="auto"/>
                      <w:szCs w:val="32"/>
                      <w:lang w:val="en-US" w:eastAsia="zh-CN"/>
                    </w:rPr>
                  </w:pPr>
                  <w:r>
                    <w:rPr>
                      <w:rFonts w:hint="default" w:ascii="Times New Roman" w:hAnsi="Times New Roman" w:cs="Times New Roman"/>
                      <w:color w:val="auto"/>
                      <w:szCs w:val="32"/>
                      <w:lang w:val="en-US" w:eastAsia="zh-CN"/>
                    </w:rPr>
                    <w:t>（GB14554-93）表2</w:t>
                  </w:r>
                </w:p>
              </w:tc>
            </w:tr>
          </w:tbl>
          <w:p w14:paraId="2CF97F6C">
            <w:pPr>
              <w:bidi w:val="0"/>
              <w:spacing w:line="240" w:lineRule="auto"/>
              <w:jc w:val="center"/>
              <w:rPr>
                <w:rFonts w:hint="default" w:ascii="Times New Roman" w:hAnsi="Times New Roman" w:eastAsia="宋体" w:cs="Times New Roman"/>
                <w:b/>
                <w:bCs/>
                <w:color w:val="auto"/>
                <w:szCs w:val="24"/>
                <w:vertAlign w:val="superscript"/>
              </w:rPr>
            </w:pPr>
            <w:r>
              <w:rPr>
                <w:rStyle w:val="69"/>
                <w:rFonts w:hint="default"/>
                <w:color w:val="auto"/>
              </w:rPr>
              <w:t>表</w:t>
            </w:r>
            <w:r>
              <w:rPr>
                <w:rStyle w:val="69"/>
                <w:rFonts w:hint="default"/>
                <w:color w:val="auto"/>
                <w:lang w:val="en-US" w:eastAsia="zh-CN"/>
              </w:rPr>
              <w:t>3</w:t>
            </w:r>
            <w:r>
              <w:rPr>
                <w:rStyle w:val="69"/>
                <w:rFonts w:hint="default"/>
                <w:color w:val="auto"/>
              </w:rPr>
              <w:t>-</w:t>
            </w:r>
            <w:r>
              <w:rPr>
                <w:rStyle w:val="69"/>
                <w:rFonts w:hint="eastAsia"/>
                <w:color w:val="auto"/>
                <w:lang w:val="en-US" w:eastAsia="zh-CN"/>
              </w:rPr>
              <w:t>6</w:t>
            </w:r>
            <w:r>
              <w:rPr>
                <w:rStyle w:val="69"/>
                <w:rFonts w:hint="default"/>
                <w:color w:val="auto"/>
              </w:rPr>
              <w:t xml:space="preserve"> 大气污染物</w:t>
            </w:r>
            <w:r>
              <w:rPr>
                <w:rStyle w:val="69"/>
                <w:rFonts w:hint="default"/>
                <w:color w:val="auto"/>
                <w:lang w:val="en-US" w:eastAsia="zh-CN"/>
              </w:rPr>
              <w:t>厂界无组织</w:t>
            </w:r>
            <w:r>
              <w:rPr>
                <w:rStyle w:val="69"/>
                <w:rFonts w:hint="default"/>
                <w:color w:val="auto"/>
              </w:rPr>
              <w:t>排放执行标准</w:t>
            </w:r>
          </w:p>
          <w:tbl>
            <w:tblPr>
              <w:tblStyle w:val="33"/>
              <w:tblW w:w="8018"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37"/>
              <w:gridCol w:w="1193"/>
              <w:gridCol w:w="1637"/>
              <w:gridCol w:w="3951"/>
            </w:tblGrid>
            <w:tr w14:paraId="7A4CBCA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237" w:type="dxa"/>
                  <w:tcBorders>
                    <w:tl2br w:val="nil"/>
                    <w:tr2bl w:val="nil"/>
                  </w:tcBorders>
                  <w:noWrap w:val="0"/>
                  <w:vAlign w:val="center"/>
                </w:tcPr>
                <w:p w14:paraId="666114C6">
                  <w:pPr>
                    <w:pStyle w:val="44"/>
                    <w:bidi w:val="0"/>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污染源</w:t>
                  </w:r>
                </w:p>
              </w:tc>
              <w:tc>
                <w:tcPr>
                  <w:tcW w:w="1193" w:type="dxa"/>
                  <w:tcBorders>
                    <w:tl2br w:val="nil"/>
                    <w:tr2bl w:val="nil"/>
                  </w:tcBorders>
                  <w:noWrap w:val="0"/>
                  <w:vAlign w:val="center"/>
                </w:tcPr>
                <w:p w14:paraId="64E64FCD">
                  <w:pPr>
                    <w:pStyle w:val="44"/>
                    <w:bidi w:val="0"/>
                    <w:rPr>
                      <w:rFonts w:hint="default" w:ascii="Times New Roman" w:hAnsi="Times New Roman" w:cs="Times New Roman"/>
                      <w:b/>
                      <w:bCs/>
                      <w:color w:val="auto"/>
                    </w:rPr>
                  </w:pPr>
                  <w:r>
                    <w:rPr>
                      <w:rFonts w:hint="default" w:ascii="Times New Roman" w:hAnsi="Times New Roman" w:cs="Times New Roman"/>
                      <w:b/>
                      <w:bCs/>
                      <w:color w:val="auto"/>
                    </w:rPr>
                    <w:t>污染物</w:t>
                  </w:r>
                </w:p>
              </w:tc>
              <w:tc>
                <w:tcPr>
                  <w:tcW w:w="1637" w:type="dxa"/>
                  <w:tcBorders>
                    <w:tl2br w:val="nil"/>
                    <w:tr2bl w:val="nil"/>
                  </w:tcBorders>
                  <w:noWrap w:val="0"/>
                  <w:vAlign w:val="center"/>
                </w:tcPr>
                <w:p w14:paraId="143CD124">
                  <w:pPr>
                    <w:pStyle w:val="44"/>
                    <w:bidi w:val="0"/>
                    <w:rPr>
                      <w:rFonts w:hint="default" w:ascii="Times New Roman" w:hAnsi="Times New Roman" w:cs="Times New Roman"/>
                      <w:b/>
                      <w:bCs/>
                      <w:color w:val="auto"/>
                    </w:rPr>
                  </w:pPr>
                  <w:r>
                    <w:rPr>
                      <w:rFonts w:hint="default" w:ascii="Times New Roman" w:hAnsi="Times New Roman" w:cs="Times New Roman"/>
                      <w:b/>
                      <w:bCs/>
                      <w:color w:val="auto"/>
                    </w:rPr>
                    <w:t>无组织排放限值（mg/m³）</w:t>
                  </w:r>
                </w:p>
              </w:tc>
              <w:tc>
                <w:tcPr>
                  <w:tcW w:w="3951" w:type="dxa"/>
                  <w:tcBorders>
                    <w:tl2br w:val="nil"/>
                    <w:tr2bl w:val="nil"/>
                  </w:tcBorders>
                  <w:noWrap w:val="0"/>
                  <w:vAlign w:val="center"/>
                </w:tcPr>
                <w:p w14:paraId="410CE641">
                  <w:pPr>
                    <w:pStyle w:val="44"/>
                    <w:bidi w:val="0"/>
                    <w:rPr>
                      <w:rFonts w:hint="default" w:ascii="Times New Roman" w:hAnsi="Times New Roman" w:cs="Times New Roman"/>
                      <w:b/>
                      <w:bCs/>
                      <w:color w:val="auto"/>
                    </w:rPr>
                  </w:pPr>
                  <w:r>
                    <w:rPr>
                      <w:rFonts w:hint="default" w:ascii="Times New Roman" w:hAnsi="Times New Roman" w:cs="Times New Roman"/>
                      <w:b/>
                      <w:bCs/>
                      <w:color w:val="auto"/>
                    </w:rPr>
                    <w:t>执行标准</w:t>
                  </w:r>
                </w:p>
              </w:tc>
            </w:tr>
            <w:tr w14:paraId="16AEF91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237" w:type="dxa"/>
                  <w:vMerge w:val="restart"/>
                  <w:tcBorders>
                    <w:tl2br w:val="nil"/>
                    <w:tr2bl w:val="nil"/>
                  </w:tcBorders>
                  <w:noWrap w:val="0"/>
                  <w:vAlign w:val="center"/>
                </w:tcPr>
                <w:p w14:paraId="2CDA5C6D">
                  <w:pPr>
                    <w:pStyle w:val="44"/>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厂界无组织</w:t>
                  </w:r>
                </w:p>
              </w:tc>
              <w:tc>
                <w:tcPr>
                  <w:tcW w:w="1193" w:type="dxa"/>
                  <w:tcBorders>
                    <w:tl2br w:val="nil"/>
                    <w:tr2bl w:val="nil"/>
                  </w:tcBorders>
                  <w:noWrap w:val="0"/>
                  <w:vAlign w:val="center"/>
                </w:tcPr>
                <w:p w14:paraId="5E0EAC68">
                  <w:pPr>
                    <w:pStyle w:val="44"/>
                    <w:bidi w:val="0"/>
                    <w:rPr>
                      <w:rFonts w:hint="default" w:ascii="Times New Roman" w:hAnsi="Times New Roman" w:cs="Times New Roman"/>
                      <w:color w:val="auto"/>
                      <w:lang w:val="zh-TW" w:eastAsia="zh-CN"/>
                    </w:rPr>
                  </w:pPr>
                  <w:r>
                    <w:rPr>
                      <w:rFonts w:hint="default" w:ascii="Times New Roman" w:hAnsi="Times New Roman" w:cs="Times New Roman"/>
                      <w:color w:val="auto"/>
                      <w:lang w:val="en-US" w:eastAsia="en-US"/>
                    </w:rPr>
                    <w:t>VOCs</w:t>
                  </w:r>
                </w:p>
              </w:tc>
              <w:tc>
                <w:tcPr>
                  <w:tcW w:w="1637" w:type="dxa"/>
                  <w:tcBorders>
                    <w:tl2br w:val="nil"/>
                    <w:tr2bl w:val="nil"/>
                  </w:tcBorders>
                  <w:noWrap w:val="0"/>
                  <w:vAlign w:val="center"/>
                </w:tcPr>
                <w:p w14:paraId="607BAD7E">
                  <w:pPr>
                    <w:pStyle w:val="44"/>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2.0</w:t>
                  </w:r>
                </w:p>
              </w:tc>
              <w:tc>
                <w:tcPr>
                  <w:tcW w:w="3951" w:type="dxa"/>
                  <w:tcBorders>
                    <w:tl2br w:val="nil"/>
                    <w:tr2bl w:val="nil"/>
                  </w:tcBorders>
                  <w:noWrap w:val="0"/>
                  <w:vAlign w:val="center"/>
                </w:tcPr>
                <w:p w14:paraId="2D102DD6">
                  <w:pPr>
                    <w:pStyle w:val="44"/>
                    <w:bidi w:val="0"/>
                    <w:rPr>
                      <w:rFonts w:hint="default" w:ascii="Times New Roman" w:hAnsi="Times New Roman" w:cs="Times New Roman"/>
                      <w:color w:val="auto"/>
                    </w:rPr>
                  </w:pPr>
                  <w:r>
                    <w:rPr>
                      <w:rFonts w:hint="default" w:ascii="Times New Roman" w:hAnsi="Times New Roman" w:cs="Times New Roman"/>
                      <w:color w:val="auto"/>
                    </w:rPr>
                    <w:t>《挥发性有机物排放标准 第6部分：有机化工》（DB37/2801.6-2018）表3厂界监控点浓度限值</w:t>
                  </w:r>
                </w:p>
              </w:tc>
            </w:tr>
            <w:tr w14:paraId="5499CC5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237" w:type="dxa"/>
                  <w:vMerge w:val="continue"/>
                  <w:tcBorders>
                    <w:tl2br w:val="nil"/>
                    <w:tr2bl w:val="nil"/>
                  </w:tcBorders>
                  <w:noWrap w:val="0"/>
                  <w:vAlign w:val="center"/>
                </w:tcPr>
                <w:p w14:paraId="43D7116F">
                  <w:pPr>
                    <w:pStyle w:val="44"/>
                    <w:bidi w:val="0"/>
                    <w:rPr>
                      <w:rFonts w:hint="default" w:ascii="Times New Roman" w:hAnsi="Times New Roman" w:cs="Times New Roman"/>
                      <w:color w:val="auto"/>
                      <w:lang w:val="en-US" w:eastAsia="zh-CN"/>
                    </w:rPr>
                  </w:pPr>
                </w:p>
              </w:tc>
              <w:tc>
                <w:tcPr>
                  <w:tcW w:w="1193" w:type="dxa"/>
                  <w:tcBorders>
                    <w:tl2br w:val="nil"/>
                    <w:tr2bl w:val="nil"/>
                  </w:tcBorders>
                  <w:noWrap w:val="0"/>
                  <w:vAlign w:val="center"/>
                </w:tcPr>
                <w:p w14:paraId="4BD425F1">
                  <w:pPr>
                    <w:pStyle w:val="44"/>
                    <w:bidi w:val="0"/>
                    <w:rPr>
                      <w:rFonts w:hint="default" w:ascii="Times New Roman" w:hAnsi="Times New Roman" w:cs="Times New Roman"/>
                      <w:color w:val="auto"/>
                      <w:lang w:val="en-US" w:eastAsia="en-US"/>
                    </w:rPr>
                  </w:pPr>
                  <w:r>
                    <w:rPr>
                      <w:rFonts w:hint="eastAsia" w:cs="Times New Roman"/>
                      <w:color w:val="auto"/>
                      <w:szCs w:val="32"/>
                      <w:lang w:val="en-US" w:eastAsia="zh-CN"/>
                    </w:rPr>
                    <w:t>颗粒物</w:t>
                  </w:r>
                </w:p>
              </w:tc>
              <w:tc>
                <w:tcPr>
                  <w:tcW w:w="1637" w:type="dxa"/>
                  <w:tcBorders>
                    <w:tl2br w:val="nil"/>
                    <w:tr2bl w:val="nil"/>
                  </w:tcBorders>
                  <w:noWrap w:val="0"/>
                  <w:vAlign w:val="center"/>
                </w:tcPr>
                <w:p w14:paraId="0527CD42">
                  <w:pPr>
                    <w:pStyle w:val="44"/>
                    <w:bidi w:val="0"/>
                    <w:rPr>
                      <w:rFonts w:hint="default" w:ascii="Times New Roman" w:hAnsi="Times New Roman" w:cs="Times New Roman"/>
                      <w:color w:val="auto"/>
                      <w:lang w:val="en-US" w:eastAsia="zh-CN"/>
                    </w:rPr>
                  </w:pPr>
                  <w:r>
                    <w:rPr>
                      <w:rFonts w:hint="eastAsia" w:cs="Times New Roman"/>
                      <w:color w:val="auto"/>
                      <w:lang w:val="en-US" w:eastAsia="zh-CN"/>
                    </w:rPr>
                    <w:t>1.0</w:t>
                  </w:r>
                </w:p>
              </w:tc>
              <w:tc>
                <w:tcPr>
                  <w:tcW w:w="3951" w:type="dxa"/>
                  <w:tcBorders>
                    <w:tl2br w:val="nil"/>
                    <w:tr2bl w:val="nil"/>
                  </w:tcBorders>
                  <w:noWrap w:val="0"/>
                  <w:vAlign w:val="center"/>
                </w:tcPr>
                <w:p w14:paraId="7C306B3A">
                  <w:pPr>
                    <w:pStyle w:val="44"/>
                    <w:bidi w:val="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《大气污染物综合排放标准》（GB16297-1996）表2标准限值</w:t>
                  </w:r>
                </w:p>
              </w:tc>
            </w:tr>
            <w:tr w14:paraId="0737FEF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237" w:type="dxa"/>
                  <w:vMerge w:val="continue"/>
                  <w:tcBorders>
                    <w:tl2br w:val="nil"/>
                    <w:tr2bl w:val="nil"/>
                  </w:tcBorders>
                  <w:noWrap w:val="0"/>
                  <w:vAlign w:val="center"/>
                </w:tcPr>
                <w:p w14:paraId="72D14330">
                  <w:pPr>
                    <w:pStyle w:val="44"/>
                    <w:bidi w:val="0"/>
                    <w:rPr>
                      <w:rFonts w:hint="default" w:ascii="Times New Roman" w:hAnsi="Times New Roman" w:cs="Times New Roman"/>
                      <w:color w:val="auto"/>
                      <w:lang w:val="en-US" w:eastAsia="zh-CN"/>
                    </w:rPr>
                  </w:pPr>
                </w:p>
              </w:tc>
              <w:tc>
                <w:tcPr>
                  <w:tcW w:w="1193" w:type="dxa"/>
                  <w:tcBorders>
                    <w:tl2br w:val="nil"/>
                    <w:tr2bl w:val="nil"/>
                  </w:tcBorders>
                  <w:noWrap w:val="0"/>
                  <w:vAlign w:val="center"/>
                </w:tcPr>
                <w:p w14:paraId="6F44D5FF">
                  <w:pPr>
                    <w:pStyle w:val="44"/>
                    <w:bidi w:val="0"/>
                    <w:rPr>
                      <w:rFonts w:hint="eastAsia" w:cs="Times New Roman"/>
                      <w:color w:val="auto"/>
                      <w:szCs w:val="32"/>
                      <w:lang w:val="en-US" w:eastAsia="zh-CN"/>
                    </w:rPr>
                  </w:pPr>
                  <w:r>
                    <w:rPr>
                      <w:rFonts w:hint="eastAsia" w:cs="Times New Roman"/>
                      <w:color w:val="auto"/>
                      <w:szCs w:val="32"/>
                      <w:lang w:val="en-US" w:eastAsia="zh-CN"/>
                    </w:rPr>
                    <w:t>臭气浓度</w:t>
                  </w:r>
                </w:p>
              </w:tc>
              <w:tc>
                <w:tcPr>
                  <w:tcW w:w="1637" w:type="dxa"/>
                  <w:tcBorders>
                    <w:tl2br w:val="nil"/>
                    <w:tr2bl w:val="nil"/>
                  </w:tcBorders>
                  <w:noWrap w:val="0"/>
                  <w:vAlign w:val="center"/>
                </w:tcPr>
                <w:p w14:paraId="28C5E4AF">
                  <w:pPr>
                    <w:pStyle w:val="44"/>
                    <w:bidi w:val="0"/>
                    <w:rPr>
                      <w:rFonts w:hint="default" w:cs="Times New Roman"/>
                      <w:color w:val="auto"/>
                      <w:lang w:val="en-US" w:eastAsia="zh-CN"/>
                    </w:rPr>
                  </w:pPr>
                  <w:r>
                    <w:rPr>
                      <w:rFonts w:hint="eastAsia" w:cs="Times New Roman"/>
                      <w:color w:val="auto"/>
                      <w:lang w:val="en-US" w:eastAsia="zh-CN"/>
                    </w:rPr>
                    <w:t>20（无量纲）</w:t>
                  </w:r>
                </w:p>
              </w:tc>
              <w:tc>
                <w:tcPr>
                  <w:tcW w:w="3951" w:type="dxa"/>
                  <w:tcBorders>
                    <w:tl2br w:val="nil"/>
                    <w:tr2bl w:val="nil"/>
                  </w:tcBorders>
                  <w:noWrap w:val="0"/>
                  <w:vAlign w:val="center"/>
                </w:tcPr>
                <w:p w14:paraId="7C16420F">
                  <w:pPr>
                    <w:pStyle w:val="44"/>
                    <w:bidi w:val="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《恶臭污染物排放标准》（GB14554-93）表1</w:t>
                  </w:r>
                </w:p>
              </w:tc>
            </w:tr>
          </w:tbl>
          <w:p w14:paraId="44D97D4D">
            <w:pPr>
              <w:pStyle w:val="45"/>
              <w:bidi w:val="0"/>
              <w:rPr>
                <w:rFonts w:hint="default" w:ascii="Times New Roman" w:hAnsi="Times New Roman" w:eastAsia="宋体" w:cs="Times New Roman"/>
                <w:b/>
                <w:bCs/>
                <w:color w:val="auto"/>
                <w:szCs w:val="24"/>
                <w:vertAlign w:val="superscript"/>
              </w:rPr>
            </w:pPr>
            <w:r>
              <w:rPr>
                <w:rFonts w:hint="default" w:ascii="Times New Roman" w:hAnsi="Times New Roman" w:cs="Times New Roman"/>
                <w:color w:val="auto"/>
              </w:rPr>
              <w:t>表</w:t>
            </w:r>
            <w:r>
              <w:rPr>
                <w:rFonts w:hint="default" w:ascii="Times New Roman" w:hAnsi="Times New Roman" w:cs="Times New Roman"/>
                <w:color w:val="auto"/>
                <w:lang w:val="en-US" w:eastAsia="zh-CN"/>
              </w:rPr>
              <w:t>3</w:t>
            </w:r>
            <w:r>
              <w:rPr>
                <w:rFonts w:hint="default" w:ascii="Times New Roman" w:hAnsi="Times New Roman" w:cs="Times New Roman"/>
                <w:color w:val="auto"/>
              </w:rPr>
              <w:t>-</w:t>
            </w:r>
            <w:r>
              <w:rPr>
                <w:rFonts w:hint="eastAsia" w:ascii="Times New Roman" w:hAnsi="Times New Roman" w:cs="Times New Roman"/>
                <w:color w:val="auto"/>
                <w:lang w:val="en-US" w:eastAsia="zh-CN"/>
              </w:rPr>
              <w:t>7</w:t>
            </w:r>
            <w:r>
              <w:rPr>
                <w:rFonts w:hint="default" w:ascii="Times New Roman" w:hAnsi="Times New Roman" w:cs="Times New Roman"/>
                <w:color w:val="auto"/>
              </w:rPr>
              <w:t xml:space="preserve"> 厂区内挥发性有机物排放限值</w:t>
            </w:r>
          </w:p>
          <w:tbl>
            <w:tblPr>
              <w:tblStyle w:val="33"/>
              <w:tblW w:w="7958"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03"/>
              <w:gridCol w:w="1303"/>
              <w:gridCol w:w="1873"/>
              <w:gridCol w:w="1425"/>
              <w:gridCol w:w="2054"/>
            </w:tblGrid>
            <w:tr w14:paraId="274B969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303" w:type="dxa"/>
                  <w:tcBorders>
                    <w:tl2br w:val="nil"/>
                    <w:tr2bl w:val="nil"/>
                  </w:tcBorders>
                  <w:noWrap/>
                  <w:vAlign w:val="center"/>
                </w:tcPr>
                <w:p w14:paraId="567FDF50">
                  <w:pPr>
                    <w:pStyle w:val="44"/>
                    <w:bidi w:val="0"/>
                    <w:rPr>
                      <w:rFonts w:hint="default" w:ascii="Times New Roman" w:hAnsi="Times New Roman" w:eastAsia="宋体" w:cs="Times New Roman"/>
                      <w:b/>
                      <w:bCs/>
                      <w:color w:val="auto"/>
                      <w:lang w:val="en-US" w:eastAsia="zh-CN"/>
                    </w:rPr>
                  </w:pPr>
                  <w:r>
                    <w:rPr>
                      <w:rFonts w:hint="default" w:ascii="Times New Roman" w:hAnsi="Times New Roman" w:cs="Times New Roman"/>
                      <w:b/>
                      <w:bCs/>
                      <w:color w:val="auto"/>
                      <w:lang w:val="en-US" w:eastAsia="zh-CN"/>
                    </w:rPr>
                    <w:t>污染物</w:t>
                  </w:r>
                </w:p>
              </w:tc>
              <w:tc>
                <w:tcPr>
                  <w:tcW w:w="1303" w:type="dxa"/>
                  <w:tcBorders>
                    <w:tl2br w:val="nil"/>
                    <w:tr2bl w:val="nil"/>
                  </w:tcBorders>
                  <w:noWrap/>
                  <w:vAlign w:val="center"/>
                </w:tcPr>
                <w:p w14:paraId="416BFA3B">
                  <w:pPr>
                    <w:pStyle w:val="44"/>
                    <w:bidi w:val="0"/>
                    <w:rPr>
                      <w:rFonts w:hint="default" w:ascii="Times New Roman" w:hAnsi="Times New Roman" w:cs="Times New Roman"/>
                      <w:b/>
                      <w:bCs/>
                      <w:color w:val="auto"/>
                    </w:rPr>
                  </w:pPr>
                  <w:r>
                    <w:rPr>
                      <w:rFonts w:hint="default" w:ascii="Times New Roman" w:hAnsi="Times New Roman" w:cs="Times New Roman"/>
                      <w:b/>
                      <w:bCs/>
                      <w:color w:val="auto"/>
                    </w:rPr>
                    <w:t>排放限值（mg/m³）</w:t>
                  </w:r>
                </w:p>
              </w:tc>
              <w:tc>
                <w:tcPr>
                  <w:tcW w:w="1873" w:type="dxa"/>
                  <w:tcBorders>
                    <w:tl2br w:val="nil"/>
                    <w:tr2bl w:val="nil"/>
                  </w:tcBorders>
                  <w:noWrap/>
                  <w:vAlign w:val="center"/>
                </w:tcPr>
                <w:p w14:paraId="080BBC06">
                  <w:pPr>
                    <w:pStyle w:val="44"/>
                    <w:bidi w:val="0"/>
                    <w:rPr>
                      <w:rFonts w:hint="default" w:ascii="Times New Roman" w:hAnsi="Times New Roman" w:cs="Times New Roman"/>
                      <w:b/>
                      <w:bCs/>
                      <w:color w:val="auto"/>
                    </w:rPr>
                  </w:pPr>
                  <w:r>
                    <w:rPr>
                      <w:rFonts w:hint="default" w:ascii="Times New Roman" w:hAnsi="Times New Roman" w:cs="Times New Roman"/>
                      <w:b/>
                      <w:bCs/>
                      <w:color w:val="auto"/>
                    </w:rPr>
                    <w:t>限值意义</w:t>
                  </w:r>
                </w:p>
              </w:tc>
              <w:tc>
                <w:tcPr>
                  <w:tcW w:w="1425" w:type="dxa"/>
                  <w:tcBorders>
                    <w:tl2br w:val="nil"/>
                    <w:tr2bl w:val="nil"/>
                  </w:tcBorders>
                  <w:noWrap/>
                  <w:vAlign w:val="center"/>
                </w:tcPr>
                <w:p w14:paraId="2EAA3329">
                  <w:pPr>
                    <w:pStyle w:val="44"/>
                    <w:bidi w:val="0"/>
                    <w:rPr>
                      <w:rFonts w:hint="default" w:ascii="Times New Roman" w:hAnsi="Times New Roman" w:cs="Times New Roman"/>
                      <w:b/>
                      <w:bCs/>
                      <w:color w:val="auto"/>
                    </w:rPr>
                  </w:pPr>
                  <w:r>
                    <w:rPr>
                      <w:rFonts w:hint="default" w:ascii="Times New Roman" w:hAnsi="Times New Roman" w:cs="Times New Roman"/>
                      <w:b/>
                      <w:bCs/>
                      <w:color w:val="auto"/>
                    </w:rPr>
                    <w:t>无组织排放监控位置</w:t>
                  </w:r>
                </w:p>
              </w:tc>
              <w:tc>
                <w:tcPr>
                  <w:tcW w:w="2054" w:type="dxa"/>
                  <w:tcBorders>
                    <w:tl2br w:val="nil"/>
                    <w:tr2bl w:val="nil"/>
                  </w:tcBorders>
                  <w:noWrap/>
                  <w:vAlign w:val="center"/>
                </w:tcPr>
                <w:p w14:paraId="11338150">
                  <w:pPr>
                    <w:pStyle w:val="44"/>
                    <w:bidi w:val="0"/>
                    <w:rPr>
                      <w:rFonts w:hint="default" w:ascii="Times New Roman" w:hAnsi="Times New Roman" w:cs="Times New Roman"/>
                      <w:b/>
                      <w:bCs/>
                      <w:color w:val="auto"/>
                    </w:rPr>
                  </w:pPr>
                  <w:r>
                    <w:rPr>
                      <w:rFonts w:hint="default" w:ascii="Times New Roman" w:hAnsi="Times New Roman" w:cs="Times New Roman"/>
                      <w:b/>
                      <w:bCs/>
                      <w:color w:val="auto"/>
                    </w:rPr>
                    <w:t>执行标准</w:t>
                  </w:r>
                </w:p>
              </w:tc>
            </w:tr>
            <w:tr w14:paraId="4898A61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303" w:type="dxa"/>
                  <w:vMerge w:val="restart"/>
                  <w:tcBorders>
                    <w:tl2br w:val="nil"/>
                    <w:tr2bl w:val="nil"/>
                  </w:tcBorders>
                  <w:noWrap/>
                  <w:vAlign w:val="center"/>
                </w:tcPr>
                <w:p w14:paraId="1CAC6C3A">
                  <w:pPr>
                    <w:pStyle w:val="44"/>
                    <w:bidi w:val="0"/>
                    <w:rPr>
                      <w:rFonts w:hint="default" w:ascii="Times New Roman" w:hAnsi="Times New Roman" w:cs="Times New Roman"/>
                      <w:color w:val="auto"/>
                    </w:rPr>
                  </w:pPr>
                  <w:r>
                    <w:rPr>
                      <w:rFonts w:hint="default" w:ascii="Times New Roman" w:hAnsi="Times New Roman" w:cs="Times New Roman"/>
                      <w:color w:val="auto"/>
                    </w:rPr>
                    <w:t>NMHC</w:t>
                  </w:r>
                </w:p>
              </w:tc>
              <w:tc>
                <w:tcPr>
                  <w:tcW w:w="1303" w:type="dxa"/>
                  <w:tcBorders>
                    <w:tl2br w:val="nil"/>
                    <w:tr2bl w:val="nil"/>
                  </w:tcBorders>
                  <w:noWrap/>
                  <w:vAlign w:val="center"/>
                </w:tcPr>
                <w:p w14:paraId="6C799C93">
                  <w:pPr>
                    <w:pStyle w:val="44"/>
                    <w:bidi w:val="0"/>
                    <w:rPr>
                      <w:rFonts w:hint="default" w:ascii="Times New Roman" w:hAnsi="Times New Roman" w:eastAsia="宋体" w:cs="Times New Roman"/>
                      <w:color w:val="auto"/>
                      <w:lang w:val="en-US" w:eastAsia="zh-CN"/>
                    </w:rPr>
                  </w:pPr>
                  <w:r>
                    <w:rPr>
                      <w:rFonts w:hint="eastAsia" w:cs="Times New Roman"/>
                      <w:color w:val="auto"/>
                      <w:lang w:val="en-US" w:eastAsia="zh-CN"/>
                    </w:rPr>
                    <w:t>6</w:t>
                  </w:r>
                </w:p>
              </w:tc>
              <w:tc>
                <w:tcPr>
                  <w:tcW w:w="1873" w:type="dxa"/>
                  <w:tcBorders>
                    <w:tl2br w:val="nil"/>
                    <w:tr2bl w:val="nil"/>
                  </w:tcBorders>
                  <w:noWrap/>
                  <w:vAlign w:val="center"/>
                </w:tcPr>
                <w:p w14:paraId="0DD099F9">
                  <w:pPr>
                    <w:pStyle w:val="44"/>
                    <w:bidi w:val="0"/>
                    <w:rPr>
                      <w:rFonts w:hint="default" w:ascii="Times New Roman" w:hAnsi="Times New Roman" w:cs="Times New Roman"/>
                      <w:color w:val="auto"/>
                    </w:rPr>
                  </w:pPr>
                  <w:r>
                    <w:rPr>
                      <w:rFonts w:hint="default" w:ascii="Times New Roman" w:hAnsi="Times New Roman" w:cs="Times New Roman"/>
                      <w:color w:val="auto"/>
                    </w:rPr>
                    <w:t>监控点处1h平均浓度值</w:t>
                  </w:r>
                </w:p>
              </w:tc>
              <w:tc>
                <w:tcPr>
                  <w:tcW w:w="1425" w:type="dxa"/>
                  <w:vMerge w:val="restart"/>
                  <w:tcBorders>
                    <w:tl2br w:val="nil"/>
                    <w:tr2bl w:val="nil"/>
                  </w:tcBorders>
                  <w:noWrap/>
                  <w:vAlign w:val="center"/>
                </w:tcPr>
                <w:p w14:paraId="6AAC2B1E">
                  <w:pPr>
                    <w:pStyle w:val="44"/>
                    <w:bidi w:val="0"/>
                    <w:rPr>
                      <w:rFonts w:hint="default" w:ascii="Times New Roman" w:hAnsi="Times New Roman" w:cs="Times New Roman"/>
                      <w:color w:val="auto"/>
                    </w:rPr>
                  </w:pPr>
                  <w:r>
                    <w:rPr>
                      <w:rFonts w:hint="default" w:ascii="Times New Roman" w:hAnsi="Times New Roman" w:cs="Times New Roman"/>
                      <w:color w:val="auto"/>
                    </w:rPr>
                    <w:t>在厂房外设置监控点</w:t>
                  </w:r>
                </w:p>
              </w:tc>
              <w:tc>
                <w:tcPr>
                  <w:tcW w:w="2054" w:type="dxa"/>
                  <w:vMerge w:val="restart"/>
                  <w:tcBorders>
                    <w:tl2br w:val="nil"/>
                    <w:tr2bl w:val="nil"/>
                  </w:tcBorders>
                  <w:noWrap/>
                  <w:vAlign w:val="center"/>
                </w:tcPr>
                <w:p w14:paraId="55DCA6BA">
                  <w:pPr>
                    <w:pStyle w:val="44"/>
                    <w:bidi w:val="0"/>
                    <w:rPr>
                      <w:rFonts w:hint="default" w:ascii="Times New Roman" w:hAnsi="Times New Roman" w:cs="Times New Roman"/>
                      <w:color w:val="auto"/>
                    </w:rPr>
                  </w:pPr>
                  <w:r>
                    <w:rPr>
                      <w:rFonts w:hint="default" w:ascii="Times New Roman" w:hAnsi="Times New Roman" w:cs="Times New Roman"/>
                      <w:color w:val="auto"/>
                    </w:rPr>
                    <w:t>《挥发性有机物无组织排放控制标准》(GB37822-2019)</w:t>
                  </w:r>
                </w:p>
              </w:tc>
            </w:tr>
            <w:tr w14:paraId="525F6BA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303" w:type="dxa"/>
                  <w:vMerge w:val="continue"/>
                  <w:tcBorders>
                    <w:tl2br w:val="nil"/>
                    <w:tr2bl w:val="nil"/>
                  </w:tcBorders>
                  <w:noWrap/>
                  <w:vAlign w:val="center"/>
                </w:tcPr>
                <w:p w14:paraId="43D6E79A">
                  <w:pPr>
                    <w:pStyle w:val="44"/>
                    <w:bidi w:val="0"/>
                    <w:rPr>
                      <w:rFonts w:hint="default" w:ascii="Times New Roman" w:hAnsi="Times New Roman" w:cs="Times New Roman"/>
                      <w:color w:val="auto"/>
                    </w:rPr>
                  </w:pPr>
                </w:p>
              </w:tc>
              <w:tc>
                <w:tcPr>
                  <w:tcW w:w="1303" w:type="dxa"/>
                  <w:tcBorders>
                    <w:tl2br w:val="nil"/>
                    <w:tr2bl w:val="nil"/>
                  </w:tcBorders>
                  <w:noWrap/>
                  <w:vAlign w:val="center"/>
                </w:tcPr>
                <w:p w14:paraId="777463B4">
                  <w:pPr>
                    <w:pStyle w:val="44"/>
                    <w:bidi w:val="0"/>
                    <w:rPr>
                      <w:rFonts w:hint="default" w:ascii="Times New Roman" w:hAnsi="Times New Roman" w:eastAsia="宋体" w:cs="Times New Roman"/>
                      <w:color w:val="auto"/>
                      <w:lang w:val="en-US" w:eastAsia="zh-CN"/>
                    </w:rPr>
                  </w:pPr>
                  <w:r>
                    <w:rPr>
                      <w:rFonts w:hint="eastAsia" w:cs="Times New Roman"/>
                      <w:color w:val="auto"/>
                      <w:lang w:val="en-US" w:eastAsia="zh-CN"/>
                    </w:rPr>
                    <w:t>20</w:t>
                  </w:r>
                </w:p>
              </w:tc>
              <w:tc>
                <w:tcPr>
                  <w:tcW w:w="1873" w:type="dxa"/>
                  <w:tcBorders>
                    <w:tl2br w:val="nil"/>
                    <w:tr2bl w:val="nil"/>
                  </w:tcBorders>
                  <w:noWrap/>
                  <w:vAlign w:val="center"/>
                </w:tcPr>
                <w:p w14:paraId="17B43C41">
                  <w:pPr>
                    <w:pStyle w:val="44"/>
                    <w:bidi w:val="0"/>
                    <w:rPr>
                      <w:rFonts w:hint="default" w:ascii="Times New Roman" w:hAnsi="Times New Roman" w:cs="Times New Roman"/>
                      <w:color w:val="auto"/>
                    </w:rPr>
                  </w:pPr>
                  <w:r>
                    <w:rPr>
                      <w:rFonts w:hint="default" w:ascii="Times New Roman" w:hAnsi="Times New Roman" w:cs="Times New Roman"/>
                      <w:color w:val="auto"/>
                    </w:rPr>
                    <w:t>监控点处任意一次浓度值</w:t>
                  </w:r>
                </w:p>
              </w:tc>
              <w:tc>
                <w:tcPr>
                  <w:tcW w:w="1425" w:type="dxa"/>
                  <w:vMerge w:val="continue"/>
                  <w:tcBorders>
                    <w:tl2br w:val="nil"/>
                    <w:tr2bl w:val="nil"/>
                  </w:tcBorders>
                  <w:noWrap/>
                  <w:vAlign w:val="center"/>
                </w:tcPr>
                <w:p w14:paraId="146D4929">
                  <w:pPr>
                    <w:pStyle w:val="44"/>
                    <w:bidi w:val="0"/>
                    <w:rPr>
                      <w:rFonts w:hint="default" w:ascii="Times New Roman" w:hAnsi="Times New Roman" w:cs="Times New Roman"/>
                      <w:color w:val="auto"/>
                    </w:rPr>
                  </w:pPr>
                </w:p>
              </w:tc>
              <w:tc>
                <w:tcPr>
                  <w:tcW w:w="2054" w:type="dxa"/>
                  <w:vMerge w:val="continue"/>
                  <w:tcBorders>
                    <w:tl2br w:val="nil"/>
                    <w:tr2bl w:val="nil"/>
                  </w:tcBorders>
                  <w:noWrap/>
                  <w:vAlign w:val="center"/>
                </w:tcPr>
                <w:p w14:paraId="30BAE4A5">
                  <w:pPr>
                    <w:pStyle w:val="44"/>
                    <w:bidi w:val="0"/>
                    <w:rPr>
                      <w:rFonts w:hint="default" w:ascii="Times New Roman" w:hAnsi="Times New Roman" w:cs="Times New Roman"/>
                      <w:color w:val="auto"/>
                    </w:rPr>
                  </w:pPr>
                </w:p>
              </w:tc>
            </w:tr>
          </w:tbl>
          <w:p w14:paraId="2859B806">
            <w:pPr>
              <w:pStyle w:val="4"/>
              <w:numPr>
                <w:ilvl w:val="0"/>
                <w:numId w:val="0"/>
              </w:numPr>
              <w:bidi w:val="0"/>
              <w:ind w:leftChars="0" w:firstLine="480" w:firstLineChars="200"/>
              <w:rPr>
                <w:rFonts w:hint="default" w:ascii="Times New Roman" w:hAnsi="Times New Roman" w:cs="Times New Roman"/>
                <w:color w:val="auto"/>
              </w:rPr>
            </w:pPr>
            <w:r>
              <w:rPr>
                <w:rFonts w:hint="default" w:ascii="Times New Roman" w:hAnsi="Times New Roman" w:cs="Times New Roman"/>
                <w:color w:val="auto"/>
                <w:lang w:val="en-US" w:eastAsia="zh-CN"/>
              </w:rPr>
              <w:t>二、</w:t>
            </w:r>
            <w:r>
              <w:rPr>
                <w:rFonts w:hint="default" w:ascii="Times New Roman" w:hAnsi="Times New Roman" w:cs="Times New Roman"/>
                <w:color w:val="auto"/>
              </w:rPr>
              <w:t>废水</w:t>
            </w:r>
          </w:p>
          <w:p w14:paraId="58FEF7A9">
            <w:pPr>
              <w:adjustRightInd w:val="0"/>
              <w:snapToGrid w:val="0"/>
              <w:spacing w:line="36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cs="Times New Roman"/>
                <w:color w:val="auto"/>
                <w:szCs w:val="32"/>
                <w:lang w:val="en-US" w:eastAsia="zh-CN"/>
              </w:rPr>
              <w:t>项目生活污水经化粪池</w:t>
            </w:r>
            <w:r>
              <w:rPr>
                <w:rFonts w:hint="eastAsia" w:cs="Times New Roman"/>
                <w:color w:val="auto"/>
                <w:szCs w:val="32"/>
                <w:lang w:val="en-US" w:eastAsia="zh-CN"/>
              </w:rPr>
              <w:t>暂存后委托环卫部门清运；设备冷却水、冷凝冷却水循环使用不外排，本项目无废水外排</w:t>
            </w:r>
            <w:r>
              <w:rPr>
                <w:rFonts w:hint="default" w:ascii="Times New Roman" w:hAnsi="Times New Roman" w:eastAsia="宋体" w:cs="Times New Roman"/>
                <w:color w:val="auto"/>
                <w:sz w:val="24"/>
              </w:rPr>
              <w:t>。</w:t>
            </w:r>
          </w:p>
          <w:p w14:paraId="2502A704">
            <w:pPr>
              <w:pStyle w:val="4"/>
              <w:numPr>
                <w:ilvl w:val="0"/>
                <w:numId w:val="0"/>
              </w:numPr>
              <w:bidi w:val="0"/>
              <w:ind w:leftChars="0" w:firstLine="480" w:firstLineChars="200"/>
              <w:rPr>
                <w:rFonts w:hint="default" w:ascii="Times New Roman" w:hAnsi="Times New Roman" w:cs="Times New Roman"/>
                <w:color w:val="auto"/>
              </w:rPr>
            </w:pPr>
            <w:r>
              <w:rPr>
                <w:rFonts w:hint="default" w:ascii="Times New Roman" w:hAnsi="Times New Roman" w:cs="Times New Roman"/>
                <w:color w:val="auto"/>
                <w:lang w:val="en-US" w:eastAsia="zh-CN"/>
              </w:rPr>
              <w:t>三、</w:t>
            </w:r>
            <w:r>
              <w:rPr>
                <w:rFonts w:hint="default" w:ascii="Times New Roman" w:hAnsi="Times New Roman" w:cs="Times New Roman"/>
                <w:color w:val="auto"/>
              </w:rPr>
              <w:t>噪声</w:t>
            </w:r>
          </w:p>
          <w:p w14:paraId="61FC3D7B">
            <w:pPr>
              <w:numPr>
                <w:ilvl w:val="0"/>
                <w:numId w:val="0"/>
              </w:numPr>
              <w:ind w:firstLine="480" w:firstLineChars="200"/>
              <w:rPr>
                <w:rFonts w:hint="default" w:ascii="Times New Roman" w:hAnsi="Times New Roman" w:cs="Times New Roman"/>
                <w:color w:val="auto"/>
                <w:szCs w:val="32"/>
              </w:rPr>
            </w:pPr>
            <w:r>
              <w:rPr>
                <w:rFonts w:hint="default" w:ascii="Times New Roman" w:hAnsi="Times New Roman" w:cs="Times New Roman"/>
                <w:color w:val="auto"/>
                <w:szCs w:val="32"/>
              </w:rPr>
              <w:t>厂界噪声排放执行《工业企业厂界环境噪声排放标准》（GB12348-2008）</w:t>
            </w:r>
            <w:r>
              <w:rPr>
                <w:rFonts w:hint="default" w:ascii="Times New Roman" w:hAnsi="Times New Roman" w:cs="Times New Roman"/>
                <w:color w:val="auto"/>
                <w:szCs w:val="32"/>
                <w:lang w:val="en-US" w:eastAsia="zh-CN"/>
              </w:rPr>
              <w:t>3</w:t>
            </w:r>
            <w:r>
              <w:rPr>
                <w:rFonts w:hint="default" w:ascii="Times New Roman" w:hAnsi="Times New Roman" w:cs="Times New Roman"/>
                <w:color w:val="auto"/>
                <w:szCs w:val="32"/>
              </w:rPr>
              <w:t>类标准。</w:t>
            </w:r>
          </w:p>
          <w:p w14:paraId="44693BBC">
            <w:pPr>
              <w:pStyle w:val="47"/>
              <w:bidi w:val="0"/>
              <w:rPr>
                <w:rFonts w:hint="default" w:ascii="Times New Roman" w:hAnsi="Times New Roman" w:cs="Times New Roman"/>
                <w:color w:val="auto"/>
              </w:rPr>
            </w:pPr>
            <w:r>
              <w:rPr>
                <w:rFonts w:hint="default" w:ascii="Times New Roman" w:hAnsi="Times New Roman" w:cs="Times New Roman"/>
                <w:color w:val="auto"/>
              </w:rPr>
              <w:t>表3-</w:t>
            </w:r>
            <w:r>
              <w:rPr>
                <w:rFonts w:hint="eastAsia" w:cs="Times New Roman"/>
                <w:color w:val="auto"/>
                <w:lang w:val="en-US" w:eastAsia="zh-CN"/>
              </w:rPr>
              <w:t>8</w:t>
            </w:r>
            <w:r>
              <w:rPr>
                <w:rFonts w:hint="default" w:ascii="Times New Roman" w:hAnsi="Times New Roman" w:cs="Times New Roman"/>
                <w:color w:val="auto"/>
              </w:rPr>
              <w:t xml:space="preserve"> 厂界噪声排放标准</w:t>
            </w:r>
          </w:p>
          <w:tbl>
            <w:tblPr>
              <w:tblStyle w:val="33"/>
              <w:tblW w:w="4999" w:type="pct"/>
              <w:tblInd w:w="1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3086"/>
              <w:gridCol w:w="3190"/>
            </w:tblGrid>
            <w:tr w14:paraId="40462A0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3" w:hRule="atLeast"/>
              </w:trPr>
              <w:tc>
                <w:tcPr>
                  <w:tcW w:w="1066" w:type="pct"/>
                  <w:vMerge w:val="restart"/>
                  <w:tcBorders>
                    <w:tl2br w:val="nil"/>
                    <w:tr2bl w:val="nil"/>
                  </w:tcBorders>
                  <w:noWrap w:val="0"/>
                  <w:vAlign w:val="center"/>
                </w:tcPr>
                <w:p w14:paraId="22661AEE">
                  <w:pPr>
                    <w:spacing w:line="240" w:lineRule="auto"/>
                    <w:jc w:val="center"/>
                    <w:rPr>
                      <w:rFonts w:hint="default" w:ascii="Times New Roman" w:hAnsi="Times New Roman" w:cs="Times New Roman"/>
                      <w:color w:val="auto"/>
                      <w:sz w:val="21"/>
                    </w:rPr>
                  </w:pPr>
                  <w:r>
                    <w:rPr>
                      <w:rFonts w:hint="default" w:ascii="Times New Roman" w:hAnsi="Times New Roman" w:cs="Times New Roman"/>
                      <w:color w:val="auto"/>
                      <w:sz w:val="21"/>
                    </w:rPr>
                    <w:t>类别</w:t>
                  </w:r>
                </w:p>
              </w:tc>
              <w:tc>
                <w:tcPr>
                  <w:tcW w:w="3933" w:type="pct"/>
                  <w:gridSpan w:val="2"/>
                  <w:tcBorders>
                    <w:tl2br w:val="nil"/>
                    <w:tr2bl w:val="nil"/>
                  </w:tcBorders>
                  <w:noWrap w:val="0"/>
                  <w:vAlign w:val="center"/>
                </w:tcPr>
                <w:p w14:paraId="12CC139F">
                  <w:pPr>
                    <w:spacing w:line="240" w:lineRule="auto"/>
                    <w:jc w:val="center"/>
                    <w:rPr>
                      <w:rFonts w:hint="default" w:ascii="Times New Roman" w:hAnsi="Times New Roman" w:cs="Times New Roman"/>
                      <w:color w:val="auto"/>
                      <w:sz w:val="21"/>
                    </w:rPr>
                  </w:pPr>
                  <w:r>
                    <w:rPr>
                      <w:rFonts w:hint="default" w:ascii="Times New Roman" w:hAnsi="Times New Roman" w:cs="Times New Roman"/>
                      <w:color w:val="auto"/>
                      <w:sz w:val="21"/>
                    </w:rPr>
                    <w:t>等效声级dB(A)</w:t>
                  </w:r>
                </w:p>
              </w:tc>
            </w:tr>
            <w:tr w14:paraId="57D31CE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66" w:type="pct"/>
                  <w:vMerge w:val="continue"/>
                  <w:tcBorders>
                    <w:tl2br w:val="nil"/>
                    <w:tr2bl w:val="nil"/>
                  </w:tcBorders>
                  <w:noWrap w:val="0"/>
                  <w:vAlign w:val="center"/>
                </w:tcPr>
                <w:p w14:paraId="35A8486D">
                  <w:pPr>
                    <w:spacing w:line="240" w:lineRule="auto"/>
                    <w:jc w:val="center"/>
                    <w:rPr>
                      <w:rFonts w:hint="default" w:ascii="Times New Roman" w:hAnsi="Times New Roman" w:cs="Times New Roman"/>
                      <w:color w:val="auto"/>
                      <w:sz w:val="21"/>
                    </w:rPr>
                  </w:pPr>
                </w:p>
              </w:tc>
              <w:tc>
                <w:tcPr>
                  <w:tcW w:w="1934" w:type="pct"/>
                  <w:tcBorders>
                    <w:tl2br w:val="nil"/>
                    <w:tr2bl w:val="nil"/>
                  </w:tcBorders>
                  <w:noWrap w:val="0"/>
                  <w:vAlign w:val="center"/>
                </w:tcPr>
                <w:p w14:paraId="3281BE81">
                  <w:pPr>
                    <w:spacing w:line="240" w:lineRule="auto"/>
                    <w:jc w:val="center"/>
                    <w:rPr>
                      <w:rFonts w:hint="default" w:ascii="Times New Roman" w:hAnsi="Times New Roman" w:cs="Times New Roman"/>
                      <w:color w:val="auto"/>
                      <w:sz w:val="21"/>
                    </w:rPr>
                  </w:pPr>
                  <w:r>
                    <w:rPr>
                      <w:rFonts w:hint="default" w:ascii="Times New Roman" w:hAnsi="Times New Roman" w:cs="Times New Roman"/>
                      <w:color w:val="auto"/>
                      <w:sz w:val="21"/>
                    </w:rPr>
                    <w:t>昼间</w:t>
                  </w:r>
                </w:p>
              </w:tc>
              <w:tc>
                <w:tcPr>
                  <w:tcW w:w="1998" w:type="pct"/>
                  <w:tcBorders>
                    <w:tl2br w:val="nil"/>
                    <w:tr2bl w:val="nil"/>
                  </w:tcBorders>
                  <w:noWrap w:val="0"/>
                  <w:vAlign w:val="center"/>
                </w:tcPr>
                <w:p w14:paraId="7C638244">
                  <w:pPr>
                    <w:spacing w:line="240" w:lineRule="auto"/>
                    <w:jc w:val="center"/>
                    <w:rPr>
                      <w:rFonts w:hint="default" w:ascii="Times New Roman" w:hAnsi="Times New Roman" w:cs="Times New Roman"/>
                      <w:color w:val="auto"/>
                      <w:sz w:val="21"/>
                    </w:rPr>
                  </w:pPr>
                  <w:r>
                    <w:rPr>
                      <w:rFonts w:hint="default" w:ascii="Times New Roman" w:hAnsi="Times New Roman" w:cs="Times New Roman"/>
                      <w:color w:val="auto"/>
                      <w:sz w:val="21"/>
                    </w:rPr>
                    <w:t>夜间</w:t>
                  </w:r>
                </w:p>
              </w:tc>
            </w:tr>
            <w:tr w14:paraId="2493C91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66" w:type="pct"/>
                  <w:tcBorders>
                    <w:tl2br w:val="nil"/>
                    <w:tr2bl w:val="nil"/>
                  </w:tcBorders>
                  <w:noWrap w:val="0"/>
                  <w:vAlign w:val="center"/>
                </w:tcPr>
                <w:p w14:paraId="6CEB91E0">
                  <w:pPr>
                    <w:spacing w:line="240" w:lineRule="auto"/>
                    <w:jc w:val="center"/>
                    <w:rPr>
                      <w:rFonts w:hint="default" w:ascii="Times New Roman" w:hAnsi="Times New Roman" w:eastAsia="宋体" w:cs="Times New Roman"/>
                      <w:color w:val="auto"/>
                      <w:sz w:val="21"/>
                      <w:lang w:eastAsia="zh-CN"/>
                    </w:rPr>
                  </w:pPr>
                  <w:r>
                    <w:rPr>
                      <w:rFonts w:hint="default" w:ascii="Times New Roman" w:hAnsi="Times New Roman" w:cs="Times New Roman"/>
                      <w:color w:val="auto"/>
                      <w:sz w:val="21"/>
                      <w:lang w:val="en-US" w:eastAsia="zh-CN"/>
                    </w:rPr>
                    <w:t>3</w:t>
                  </w:r>
                </w:p>
              </w:tc>
              <w:tc>
                <w:tcPr>
                  <w:tcW w:w="1934" w:type="pct"/>
                  <w:tcBorders>
                    <w:tl2br w:val="nil"/>
                    <w:tr2bl w:val="nil"/>
                  </w:tcBorders>
                  <w:noWrap w:val="0"/>
                  <w:vAlign w:val="center"/>
                </w:tcPr>
                <w:p w14:paraId="6C67E7FE">
                  <w:pPr>
                    <w:spacing w:line="240" w:lineRule="auto"/>
                    <w:jc w:val="center"/>
                    <w:rPr>
                      <w:rFonts w:hint="default" w:ascii="Times New Roman" w:hAnsi="Times New Roman" w:eastAsia="宋体" w:cs="Times New Roman"/>
                      <w:color w:val="auto"/>
                      <w:sz w:val="21"/>
                      <w:lang w:eastAsia="zh-CN"/>
                    </w:rPr>
                  </w:pPr>
                  <w:r>
                    <w:rPr>
                      <w:rFonts w:hint="default" w:ascii="Times New Roman" w:hAnsi="Times New Roman" w:cs="Times New Roman"/>
                      <w:color w:val="auto"/>
                      <w:sz w:val="21"/>
                    </w:rPr>
                    <w:t>6</w:t>
                  </w:r>
                  <w:r>
                    <w:rPr>
                      <w:rFonts w:hint="default" w:ascii="Times New Roman" w:hAnsi="Times New Roman" w:cs="Times New Roman"/>
                      <w:color w:val="auto"/>
                      <w:sz w:val="21"/>
                      <w:lang w:val="en-US" w:eastAsia="zh-CN"/>
                    </w:rPr>
                    <w:t>5</w:t>
                  </w:r>
                </w:p>
              </w:tc>
              <w:tc>
                <w:tcPr>
                  <w:tcW w:w="1998" w:type="pct"/>
                  <w:tcBorders>
                    <w:tl2br w:val="nil"/>
                    <w:tr2bl w:val="nil"/>
                  </w:tcBorders>
                  <w:noWrap w:val="0"/>
                  <w:vAlign w:val="center"/>
                </w:tcPr>
                <w:p w14:paraId="35DB1E5D">
                  <w:pPr>
                    <w:spacing w:line="240" w:lineRule="auto"/>
                    <w:jc w:val="center"/>
                    <w:rPr>
                      <w:rFonts w:hint="default" w:ascii="Times New Roman" w:hAnsi="Times New Roman" w:eastAsia="宋体" w:cs="Times New Roman"/>
                      <w:color w:val="auto"/>
                      <w:sz w:val="21"/>
                      <w:lang w:eastAsia="zh-CN"/>
                    </w:rPr>
                  </w:pPr>
                  <w:r>
                    <w:rPr>
                      <w:rFonts w:hint="default" w:ascii="Times New Roman" w:hAnsi="Times New Roman" w:cs="Times New Roman"/>
                      <w:color w:val="auto"/>
                      <w:sz w:val="21"/>
                    </w:rPr>
                    <w:t>5</w:t>
                  </w:r>
                  <w:r>
                    <w:rPr>
                      <w:rFonts w:hint="default" w:ascii="Times New Roman" w:hAnsi="Times New Roman" w:cs="Times New Roman"/>
                      <w:color w:val="auto"/>
                      <w:sz w:val="21"/>
                      <w:lang w:val="en-US" w:eastAsia="zh-CN"/>
                    </w:rPr>
                    <w:t>5</w:t>
                  </w:r>
                </w:p>
              </w:tc>
            </w:tr>
          </w:tbl>
          <w:p w14:paraId="69BB2D7D">
            <w:pPr>
              <w:numPr>
                <w:ilvl w:val="0"/>
                <w:numId w:val="5"/>
              </w:numPr>
              <w:ind w:firstLine="480" w:firstLineChars="200"/>
              <w:rPr>
                <w:rFonts w:hint="default" w:ascii="Times New Roman" w:hAnsi="Times New Roman" w:cs="Times New Roman"/>
                <w:b/>
                <w:bCs/>
                <w:color w:val="auto"/>
              </w:rPr>
            </w:pPr>
            <w:r>
              <w:rPr>
                <w:rStyle w:val="51"/>
                <w:rFonts w:hint="default" w:ascii="Times New Roman" w:hAnsi="Times New Roman" w:cs="Times New Roman"/>
                <w:color w:val="auto"/>
              </w:rPr>
              <w:t>固废</w:t>
            </w:r>
          </w:p>
          <w:p w14:paraId="2A24719E">
            <w:pPr>
              <w:numPr>
                <w:ilvl w:val="0"/>
                <w:numId w:val="0"/>
              </w:numPr>
              <w:ind w:firstLine="480" w:firstLineChars="200"/>
              <w:rPr>
                <w:rFonts w:hint="default" w:ascii="Times New Roman" w:hAnsi="Times New Roman" w:eastAsia="宋体" w:cs="Times New Roman"/>
                <w:color w:val="auto"/>
                <w:kern w:val="0"/>
                <w:lang w:eastAsia="zh-CN"/>
              </w:rPr>
            </w:pPr>
            <w:r>
              <w:rPr>
                <w:rFonts w:hint="default" w:ascii="Times New Roman" w:hAnsi="Times New Roman" w:cs="Times New Roman"/>
                <w:color w:val="auto"/>
                <w:lang w:eastAsia="zh-CN"/>
              </w:rPr>
              <w:t>一般工业固废贮存执行《中华人民共和国固体废物污染环境防治法》（2020年4月29日修订）中关于一般工业固体废物贮存相关要求，</w:t>
            </w:r>
            <w:r>
              <w:rPr>
                <w:rFonts w:hint="default" w:ascii="Times New Roman" w:hAnsi="Times New Roman" w:eastAsia="宋体" w:cs="Times New Roman"/>
                <w:color w:val="auto"/>
                <w:sz w:val="24"/>
              </w:rPr>
              <w:t>危险废物执行</w:t>
            </w:r>
            <w:r>
              <w:rPr>
                <w:rFonts w:hint="default" w:ascii="Times New Roman" w:hAnsi="Times New Roman" w:eastAsia="新宋体" w:cs="Times New Roman"/>
                <w:color w:val="auto"/>
                <w:sz w:val="24"/>
                <w:szCs w:val="24"/>
              </w:rPr>
              <w:t>《危险废物贮存污染控制标准》（GB18597-2023）</w:t>
            </w:r>
            <w:r>
              <w:rPr>
                <w:rFonts w:hint="default" w:ascii="Times New Roman" w:hAnsi="Times New Roman" w:cs="Times New Roman"/>
                <w:color w:val="auto"/>
              </w:rPr>
              <w:t>。</w:t>
            </w:r>
          </w:p>
        </w:tc>
      </w:tr>
      <w:tr w14:paraId="42233A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22" w:hRule="atLeast"/>
          <w:jc w:val="center"/>
        </w:trPr>
        <w:tc>
          <w:tcPr>
            <w:tcW w:w="866" w:type="dxa"/>
            <w:noWrap w:val="0"/>
            <w:vAlign w:val="center"/>
          </w:tcPr>
          <w:p w14:paraId="6FBCE24D">
            <w:pPr>
              <w:adjustRightInd w:val="0"/>
              <w:snapToGrid w:val="0"/>
              <w:jc w:val="center"/>
              <w:rPr>
                <w:rFonts w:hint="default" w:ascii="Times New Roman" w:hAnsi="Times New Roman" w:cs="Times New Roman"/>
                <w:color w:val="auto"/>
                <w:kern w:val="0"/>
                <w:szCs w:val="24"/>
              </w:rPr>
            </w:pPr>
            <w:r>
              <w:rPr>
                <w:rFonts w:hint="default" w:ascii="Times New Roman" w:hAnsi="Times New Roman" w:cs="Times New Roman"/>
                <w:color w:val="auto"/>
                <w:kern w:val="0"/>
                <w:szCs w:val="24"/>
              </w:rPr>
              <w:t>总量</w:t>
            </w:r>
          </w:p>
          <w:p w14:paraId="553C47C1">
            <w:pPr>
              <w:adjustRightInd w:val="0"/>
              <w:snapToGrid w:val="0"/>
              <w:jc w:val="center"/>
              <w:rPr>
                <w:rFonts w:hint="default" w:ascii="Times New Roman" w:hAnsi="Times New Roman" w:cs="Times New Roman"/>
                <w:color w:val="auto"/>
                <w:kern w:val="0"/>
                <w:szCs w:val="24"/>
              </w:rPr>
            </w:pPr>
            <w:r>
              <w:rPr>
                <w:rFonts w:hint="default" w:ascii="Times New Roman" w:hAnsi="Times New Roman" w:cs="Times New Roman"/>
                <w:color w:val="auto"/>
                <w:kern w:val="0"/>
                <w:szCs w:val="24"/>
              </w:rPr>
              <w:t>控制</w:t>
            </w:r>
          </w:p>
          <w:p w14:paraId="668E7B9E">
            <w:pPr>
              <w:adjustRightInd w:val="0"/>
              <w:snapToGrid w:val="0"/>
              <w:jc w:val="center"/>
              <w:rPr>
                <w:rFonts w:hint="default" w:ascii="Times New Roman" w:hAnsi="Times New Roman" w:cs="Times New Roman"/>
                <w:color w:val="auto"/>
                <w:kern w:val="0"/>
              </w:rPr>
            </w:pPr>
            <w:r>
              <w:rPr>
                <w:rFonts w:hint="default" w:ascii="Times New Roman" w:hAnsi="Times New Roman" w:cs="Times New Roman"/>
                <w:color w:val="auto"/>
                <w:kern w:val="0"/>
                <w:szCs w:val="24"/>
              </w:rPr>
              <w:t>指标</w:t>
            </w:r>
          </w:p>
        </w:tc>
        <w:tc>
          <w:tcPr>
            <w:tcW w:w="8195" w:type="dxa"/>
            <w:noWrap w:val="0"/>
            <w:vAlign w:val="top"/>
          </w:tcPr>
          <w:p w14:paraId="388797DB">
            <w:pPr>
              <w:pStyle w:val="89"/>
              <w:ind w:firstLine="480"/>
              <w:rPr>
                <w:rFonts w:hint="default" w:ascii="Times New Roman" w:hAnsi="Times New Roman" w:cs="Times New Roman"/>
                <w:color w:val="auto"/>
              </w:rPr>
            </w:pPr>
            <w:r>
              <w:rPr>
                <w:rFonts w:hint="default" w:ascii="Times New Roman" w:hAnsi="Times New Roman" w:cs="Times New Roman"/>
                <w:color w:val="auto"/>
              </w:rPr>
              <w:t>根据《国家环境保护“十三五”规划基本思路》以及《关于印发〈建设项目主要污染物排放总量指标审核及管理暂行办法〉的通知》（环发〔2014〕197号）、《山东省建设项目主要大气污染物排放总量替代指标核算及管理办法》，“十三五”期间主要控制污染物为颗粒物、SO</w:t>
            </w:r>
            <w:r>
              <w:rPr>
                <w:rFonts w:hint="default" w:ascii="Times New Roman" w:hAnsi="Times New Roman" w:cs="Times New Roman"/>
                <w:color w:val="auto"/>
                <w:vertAlign w:val="subscript"/>
              </w:rPr>
              <w:t>2</w:t>
            </w:r>
            <w:r>
              <w:rPr>
                <w:rFonts w:hint="default" w:ascii="Times New Roman" w:hAnsi="Times New Roman" w:cs="Times New Roman"/>
                <w:color w:val="auto"/>
              </w:rPr>
              <w:t>、NOx、COD、氨氮以及挥发性有机物6项指标。</w:t>
            </w:r>
          </w:p>
          <w:p w14:paraId="2B9BF541">
            <w:pPr>
              <w:numPr>
                <w:ilvl w:val="0"/>
                <w:numId w:val="6"/>
              </w:numPr>
              <w:ind w:firstLine="48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大气污染物：本项目需申请废气总量控制指标的污染物为</w:t>
            </w:r>
            <w:r>
              <w:rPr>
                <w:rFonts w:hint="eastAsia" w:cs="Times New Roman"/>
                <w:color w:val="auto"/>
                <w:highlight w:val="none"/>
                <w:lang w:val="en-US" w:eastAsia="zh-CN"/>
              </w:rPr>
              <w:t>颗粒物、</w:t>
            </w:r>
            <w:r>
              <w:rPr>
                <w:rFonts w:hint="default" w:ascii="Times New Roman" w:hAnsi="Times New Roman" w:cs="Times New Roman"/>
                <w:color w:val="auto"/>
                <w:highlight w:val="none"/>
                <w:lang w:val="en-US" w:eastAsia="zh-CN"/>
              </w:rPr>
              <w:t>VOCs。项目运营期</w:t>
            </w:r>
            <w:r>
              <w:rPr>
                <w:rFonts w:hint="eastAsia" w:cs="Times New Roman"/>
                <w:color w:val="auto"/>
                <w:highlight w:val="none"/>
                <w:lang w:val="en-US" w:eastAsia="zh-CN"/>
              </w:rPr>
              <w:t>颗粒物排放量0.092</w:t>
            </w:r>
            <w:r>
              <w:rPr>
                <w:rFonts w:hint="default" w:ascii="Times New Roman" w:hAnsi="Times New Roman" w:cs="Times New Roman"/>
                <w:color w:val="auto"/>
                <w:highlight w:val="none"/>
                <w:lang w:val="en-US" w:eastAsia="zh-CN"/>
              </w:rPr>
              <w:t>t/a</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VOCs排放量为0.</w:t>
            </w:r>
            <w:r>
              <w:rPr>
                <w:rFonts w:hint="eastAsia" w:ascii="Times New Roman" w:hAnsi="Times New Roman" w:cs="Times New Roman"/>
                <w:color w:val="auto"/>
                <w:highlight w:val="none"/>
                <w:lang w:val="en-US" w:eastAsia="zh-CN"/>
              </w:rPr>
              <w:t>774</w:t>
            </w:r>
            <w:r>
              <w:rPr>
                <w:rFonts w:hint="default" w:ascii="Times New Roman" w:hAnsi="Times New Roman" w:cs="Times New Roman"/>
                <w:color w:val="auto"/>
                <w:highlight w:val="none"/>
                <w:lang w:val="en-US" w:eastAsia="zh-CN"/>
              </w:rPr>
              <w:t>t/a。根据《山东省生态环境厅关于印发山东省建设项目主要大气污染物排放总量替代指标核算及管理办法的通知》（鲁环发[2019]132号）、《济宁市生态环境局关于转发&lt;山东省生态环境厅关于印发山东省建设项目主要大气污染物排放总量替代指标核算及管理办法的通知&gt;的通知》等文件要求，本项目排放的大气污染物需进行2倍削减量替代。</w:t>
            </w:r>
          </w:p>
          <w:p w14:paraId="02ABCB4D">
            <w:pPr>
              <w:pStyle w:val="89"/>
              <w:ind w:firstLine="480"/>
              <w:jc w:val="both"/>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rPr>
              <w:t>因此，本项目需申请总量控制指标为</w:t>
            </w:r>
            <w:r>
              <w:rPr>
                <w:rFonts w:hint="eastAsia" w:ascii="Times New Roman" w:hAnsi="Times New Roman" w:eastAsia="宋体" w:cs="Times New Roman"/>
                <w:color w:val="auto"/>
                <w:highlight w:val="none"/>
                <w:lang w:val="en-US" w:eastAsia="zh-CN"/>
              </w:rPr>
              <w:t>颗粒物：0.092</w:t>
            </w:r>
            <w:r>
              <w:rPr>
                <w:rFonts w:hint="default" w:ascii="Times New Roman" w:hAnsi="Times New Roman" w:cs="Times New Roman"/>
                <w:color w:val="auto"/>
                <w:highlight w:val="none"/>
                <w:lang w:val="en-US" w:eastAsia="zh-CN"/>
              </w:rPr>
              <w:t>t/a</w:t>
            </w:r>
            <w:r>
              <w:rPr>
                <w:rFonts w:hint="eastAsia" w:ascii="Times New Roman" w:hAnsi="Times New Roman" w:cs="Times New Roman"/>
                <w:color w:val="auto"/>
                <w:highlight w:val="none"/>
                <w:lang w:val="en-US" w:eastAsia="zh-CN"/>
              </w:rPr>
              <w:t>，</w:t>
            </w:r>
            <w:r>
              <w:rPr>
                <w:rFonts w:hint="default" w:ascii="Times New Roman" w:hAnsi="Times New Roman" w:eastAsia="宋体" w:cs="Times New Roman"/>
                <w:color w:val="auto"/>
                <w:highlight w:val="none"/>
              </w:rPr>
              <w:t>VOCs：</w:t>
            </w:r>
            <w:r>
              <w:rPr>
                <w:rFonts w:hint="default" w:ascii="Times New Roman" w:hAnsi="Times New Roman" w:cs="Times New Roman"/>
                <w:color w:val="auto"/>
                <w:highlight w:val="none"/>
                <w:lang w:val="en-US" w:eastAsia="zh-CN"/>
              </w:rPr>
              <w:t>0.</w:t>
            </w:r>
            <w:r>
              <w:rPr>
                <w:rFonts w:hint="eastAsia" w:ascii="Times New Roman" w:hAnsi="Times New Roman" w:cs="Times New Roman"/>
                <w:color w:val="auto"/>
                <w:highlight w:val="none"/>
                <w:lang w:val="en-US" w:eastAsia="zh-CN"/>
              </w:rPr>
              <w:t>774</w:t>
            </w:r>
            <w:r>
              <w:rPr>
                <w:rFonts w:hint="default" w:ascii="Times New Roman" w:hAnsi="Times New Roman" w:eastAsia="宋体" w:cs="Times New Roman"/>
                <w:color w:val="auto"/>
                <w:highlight w:val="none"/>
              </w:rPr>
              <w:t>t/a</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rPr>
              <w:t>区域2倍削减替代量为</w:t>
            </w:r>
            <w:r>
              <w:rPr>
                <w:rFonts w:hint="eastAsia" w:ascii="Times New Roman" w:hAnsi="Times New Roman" w:eastAsia="宋体" w:cs="Times New Roman"/>
                <w:color w:val="auto"/>
                <w:highlight w:val="none"/>
                <w:lang w:val="en-US" w:eastAsia="zh-CN"/>
              </w:rPr>
              <w:t>颗粒物：0.184</w:t>
            </w:r>
            <w:r>
              <w:rPr>
                <w:rFonts w:hint="default" w:ascii="Times New Roman" w:hAnsi="Times New Roman" w:cs="Times New Roman"/>
                <w:color w:val="auto"/>
                <w:highlight w:val="none"/>
                <w:lang w:val="en-US" w:eastAsia="zh-CN"/>
              </w:rPr>
              <w:t>t/a</w:t>
            </w:r>
            <w:r>
              <w:rPr>
                <w:rFonts w:hint="eastAsia" w:ascii="Times New Roman" w:hAnsi="Times New Roman" w:cs="Times New Roman"/>
                <w:color w:val="auto"/>
                <w:highlight w:val="none"/>
                <w:lang w:val="en-US" w:eastAsia="zh-CN"/>
              </w:rPr>
              <w:t>，</w:t>
            </w:r>
            <w:r>
              <w:rPr>
                <w:rFonts w:hint="default" w:ascii="Times New Roman" w:hAnsi="Times New Roman" w:eastAsia="宋体" w:cs="Times New Roman"/>
                <w:color w:val="auto"/>
                <w:highlight w:val="none"/>
              </w:rPr>
              <w:t>VOCs：</w:t>
            </w:r>
            <w:r>
              <w:rPr>
                <w:rFonts w:hint="eastAsia" w:ascii="Times New Roman" w:hAnsi="Times New Roman" w:eastAsia="宋体" w:cs="Times New Roman"/>
                <w:color w:val="auto"/>
                <w:highlight w:val="none"/>
                <w:lang w:val="en-US" w:eastAsia="zh-CN"/>
              </w:rPr>
              <w:t>1.548</w:t>
            </w:r>
            <w:r>
              <w:rPr>
                <w:rFonts w:hint="default" w:ascii="Times New Roman" w:hAnsi="Times New Roman" w:eastAsia="宋体" w:cs="Times New Roman"/>
                <w:color w:val="auto"/>
                <w:highlight w:val="none"/>
              </w:rPr>
              <w:t>t/a</w:t>
            </w:r>
            <w:r>
              <w:rPr>
                <w:rFonts w:hint="default" w:ascii="Times New Roman" w:hAnsi="Times New Roman" w:eastAsia="宋体" w:cs="Times New Roman"/>
                <w:color w:val="auto"/>
                <w:highlight w:val="none"/>
                <w:lang w:eastAsia="zh-CN"/>
              </w:rPr>
              <w:t>。</w:t>
            </w:r>
          </w:p>
          <w:p w14:paraId="67D713E0">
            <w:pPr>
              <w:ind w:firstLine="480" w:firstLineChars="200"/>
              <w:rPr>
                <w:rFonts w:hint="default" w:ascii="Times New Roman" w:hAnsi="Times New Roman" w:eastAsia="宋体" w:cs="Times New Roman"/>
                <w:color w:val="auto"/>
                <w:lang w:eastAsia="zh-CN"/>
              </w:rPr>
            </w:pPr>
            <w:r>
              <w:rPr>
                <w:rFonts w:hint="eastAsia" w:cs="Times New Roman"/>
                <w:color w:val="auto"/>
                <w:highlight w:val="none"/>
                <w:lang w:val="en-US" w:eastAsia="zh-CN"/>
              </w:rPr>
              <w:t>2、</w:t>
            </w:r>
            <w:r>
              <w:rPr>
                <w:rFonts w:hint="default" w:ascii="Times New Roman" w:hAnsi="Times New Roman" w:cs="Times New Roman"/>
                <w:color w:val="auto"/>
                <w:highlight w:val="none"/>
                <w:lang w:val="en-US" w:eastAsia="zh-CN"/>
              </w:rPr>
              <w:t>水污染物：本项目无废水排放。因此，项目无需申请COD和氨氮总量指标</w:t>
            </w:r>
            <w:r>
              <w:rPr>
                <w:rFonts w:hint="eastAsia" w:ascii="Times New Roman" w:hAnsi="Times New Roman" w:eastAsia="宋体" w:cs="Times New Roman"/>
                <w:color w:val="auto"/>
                <w:sz w:val="24"/>
                <w:szCs w:val="24"/>
                <w:highlight w:val="none"/>
                <w:lang w:val="en-US" w:eastAsia="zh-CN"/>
              </w:rPr>
              <w:t>。</w:t>
            </w:r>
          </w:p>
        </w:tc>
      </w:tr>
    </w:tbl>
    <w:p w14:paraId="2BDEBA9D">
      <w:pPr>
        <w:spacing w:line="240" w:lineRule="auto"/>
        <w:rPr>
          <w:rFonts w:hint="eastAsia" w:eastAsia="黑体"/>
          <w:b/>
          <w:bCs/>
          <w:color w:val="auto"/>
          <w:sz w:val="30"/>
          <w:szCs w:val="30"/>
          <w:lang w:eastAsia="zh-CN"/>
        </w:rPr>
      </w:pPr>
      <w:r>
        <w:rPr>
          <w:rFonts w:hint="eastAsia" w:ascii="宋体" w:hAnsi="宋体" w:cs="宋体"/>
          <w:snapToGrid w:val="0"/>
          <w:color w:val="auto"/>
          <w:sz w:val="36"/>
          <w:szCs w:val="36"/>
        </w:rPr>
        <w:br w:type="page"/>
      </w:r>
      <w:r>
        <w:rPr>
          <w:rStyle w:val="50"/>
          <w:rFonts w:hint="eastAsia"/>
          <w:color w:val="auto"/>
        </w:rPr>
        <w:t>四、主要环境影响和保护措施</w:t>
      </w:r>
    </w:p>
    <w:tbl>
      <w:tblPr>
        <w:tblStyle w:val="33"/>
        <w:tblW w:w="898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36"/>
        <w:gridCol w:w="8145"/>
      </w:tblGrid>
      <w:tr w14:paraId="2CB473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185" w:hRule="atLeast"/>
          <w:jc w:val="center"/>
        </w:trPr>
        <w:tc>
          <w:tcPr>
            <w:tcW w:w="836" w:type="dxa"/>
            <w:noWrap w:val="0"/>
            <w:tcMar>
              <w:left w:w="28" w:type="dxa"/>
              <w:right w:w="28" w:type="dxa"/>
            </w:tcMar>
            <w:vAlign w:val="center"/>
          </w:tcPr>
          <w:p w14:paraId="7C28AB7A">
            <w:pPr>
              <w:pStyle w:val="28"/>
              <w:adjustRightInd w:val="0"/>
              <w:snapToGrid w:val="0"/>
              <w:spacing w:before="0" w:beforeAutospacing="0" w:after="0" w:afterAutospacing="0"/>
              <w:jc w:val="center"/>
              <w:rPr>
                <w:rFonts w:hint="default" w:ascii="Times New Roman" w:hAnsi="Times New Roman" w:cs="Times New Roman"/>
                <w:color w:val="auto"/>
                <w:kern w:val="2"/>
                <w:szCs w:val="24"/>
                <w:lang w:val="en-US" w:eastAsia="zh-CN"/>
              </w:rPr>
            </w:pPr>
            <w:r>
              <w:rPr>
                <w:rFonts w:hint="default" w:ascii="Times New Roman" w:hAnsi="Times New Roman" w:cs="Times New Roman"/>
                <w:color w:val="auto"/>
                <w:kern w:val="2"/>
                <w:szCs w:val="24"/>
                <w:lang w:val="en-US" w:eastAsia="zh-CN"/>
              </w:rPr>
              <w:t>施工</w:t>
            </w:r>
          </w:p>
          <w:p w14:paraId="31BFA596">
            <w:pPr>
              <w:pStyle w:val="28"/>
              <w:adjustRightInd w:val="0"/>
              <w:snapToGrid w:val="0"/>
              <w:spacing w:before="0" w:beforeAutospacing="0" w:after="0" w:afterAutospacing="0"/>
              <w:jc w:val="center"/>
              <w:rPr>
                <w:rFonts w:hint="default" w:ascii="Times New Roman" w:hAnsi="Times New Roman" w:cs="Times New Roman"/>
                <w:color w:val="auto"/>
                <w:kern w:val="2"/>
                <w:szCs w:val="24"/>
                <w:lang w:val="en-US" w:eastAsia="zh-CN"/>
              </w:rPr>
            </w:pPr>
            <w:r>
              <w:rPr>
                <w:rFonts w:hint="default" w:ascii="Times New Roman" w:hAnsi="Times New Roman" w:cs="Times New Roman"/>
                <w:color w:val="auto"/>
                <w:kern w:val="2"/>
                <w:szCs w:val="24"/>
                <w:lang w:val="en-US" w:eastAsia="zh-CN"/>
              </w:rPr>
              <w:t>期环</w:t>
            </w:r>
          </w:p>
          <w:p w14:paraId="66F33DCF">
            <w:pPr>
              <w:pStyle w:val="28"/>
              <w:adjustRightInd w:val="0"/>
              <w:snapToGrid w:val="0"/>
              <w:spacing w:before="0" w:beforeAutospacing="0" w:after="0" w:afterAutospacing="0"/>
              <w:jc w:val="center"/>
              <w:rPr>
                <w:rFonts w:hint="default" w:ascii="Times New Roman" w:hAnsi="Times New Roman" w:cs="Times New Roman"/>
                <w:color w:val="auto"/>
                <w:kern w:val="2"/>
                <w:szCs w:val="24"/>
                <w:lang w:val="en-US" w:eastAsia="zh-CN"/>
              </w:rPr>
            </w:pPr>
            <w:r>
              <w:rPr>
                <w:rFonts w:hint="default" w:ascii="Times New Roman" w:hAnsi="Times New Roman" w:cs="Times New Roman"/>
                <w:color w:val="auto"/>
                <w:kern w:val="2"/>
                <w:szCs w:val="24"/>
                <w:lang w:val="en-US" w:eastAsia="zh-CN"/>
              </w:rPr>
              <w:t>境保</w:t>
            </w:r>
          </w:p>
          <w:p w14:paraId="3023E741">
            <w:pPr>
              <w:pStyle w:val="28"/>
              <w:adjustRightInd w:val="0"/>
              <w:snapToGrid w:val="0"/>
              <w:spacing w:before="0" w:beforeAutospacing="0" w:after="0" w:afterAutospacing="0"/>
              <w:jc w:val="center"/>
              <w:rPr>
                <w:rFonts w:hint="default" w:ascii="Times New Roman" w:hAnsi="Times New Roman" w:cs="Times New Roman"/>
                <w:color w:val="auto"/>
                <w:kern w:val="2"/>
                <w:szCs w:val="24"/>
                <w:lang w:val="en-US" w:eastAsia="zh-CN"/>
              </w:rPr>
            </w:pPr>
            <w:r>
              <w:rPr>
                <w:rFonts w:hint="default" w:ascii="Times New Roman" w:hAnsi="Times New Roman" w:cs="Times New Roman"/>
                <w:color w:val="auto"/>
                <w:kern w:val="2"/>
                <w:szCs w:val="24"/>
                <w:lang w:val="en-US" w:eastAsia="zh-CN"/>
              </w:rPr>
              <w:t>护措</w:t>
            </w:r>
          </w:p>
          <w:p w14:paraId="3527E7E3">
            <w:pPr>
              <w:pStyle w:val="28"/>
              <w:adjustRightInd w:val="0"/>
              <w:snapToGrid w:val="0"/>
              <w:spacing w:before="0" w:beforeAutospacing="0" w:after="0" w:afterAutospacing="0"/>
              <w:jc w:val="center"/>
              <w:rPr>
                <w:rFonts w:hint="default" w:ascii="Times New Roman" w:hAnsi="Times New Roman" w:cs="Times New Roman"/>
                <w:bCs/>
                <w:color w:val="auto"/>
                <w:kern w:val="2"/>
                <w:szCs w:val="24"/>
                <w:lang w:val="en-US" w:eastAsia="zh-CN"/>
              </w:rPr>
            </w:pPr>
            <w:r>
              <w:rPr>
                <w:rFonts w:hint="default" w:ascii="Times New Roman" w:hAnsi="Times New Roman" w:cs="Times New Roman"/>
                <w:color w:val="auto"/>
                <w:kern w:val="2"/>
                <w:szCs w:val="24"/>
                <w:lang w:val="en-US" w:eastAsia="zh-CN"/>
              </w:rPr>
              <w:t>施</w:t>
            </w:r>
          </w:p>
        </w:tc>
        <w:tc>
          <w:tcPr>
            <w:tcW w:w="8145" w:type="dxa"/>
            <w:noWrap w:val="0"/>
            <w:vAlign w:val="center"/>
          </w:tcPr>
          <w:p w14:paraId="6E34E2B5">
            <w:pPr>
              <w:ind w:firstLine="480" w:firstLineChars="200"/>
              <w:rPr>
                <w:color w:val="auto"/>
              </w:rPr>
            </w:pPr>
            <w:r>
              <w:rPr>
                <w:color w:val="auto"/>
              </w:rPr>
              <w:t>本项目在现有厂房内建设，施工期主要进行生产设备的安装与调试，施工期的影响很小，主要为施工噪声。</w:t>
            </w:r>
          </w:p>
          <w:p w14:paraId="4FC61A05">
            <w:pPr>
              <w:ind w:firstLine="480" w:firstLineChars="200"/>
              <w:rPr>
                <w:rFonts w:hint="default" w:ascii="Times New Roman" w:hAnsi="Times New Roman" w:cs="Times New Roman"/>
                <w:color w:val="auto"/>
              </w:rPr>
            </w:pPr>
            <w:r>
              <w:rPr>
                <w:color w:val="auto"/>
              </w:rPr>
              <w:t>施工期产生的噪声源主要为设备安装、运输车辆等产生的噪声。施工车辆特别是重型运载车辆的运行线路和时间，应尽量避开噪声敏感区域和噪声敏感时段。在保证施工进度的前提下，合理安排作业时间，限制夜间进行有强噪声污染的施工作业。通过采取以上措施，施工场界噪声满足《建筑施工场界环境噪声排放标准》（GB12523-2011）的规定</w:t>
            </w:r>
            <w:r>
              <w:rPr>
                <w:rFonts w:hint="default" w:ascii="Times New Roman" w:hAnsi="Times New Roman" w:cs="Times New Roman"/>
                <w:color w:val="auto"/>
              </w:rPr>
              <w:t>。</w:t>
            </w:r>
          </w:p>
        </w:tc>
      </w:tr>
      <w:tr w14:paraId="566D3E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89" w:hRule="atLeast"/>
          <w:jc w:val="center"/>
        </w:trPr>
        <w:tc>
          <w:tcPr>
            <w:tcW w:w="836" w:type="dxa"/>
            <w:noWrap w:val="0"/>
            <w:tcMar>
              <w:left w:w="28" w:type="dxa"/>
              <w:right w:w="28" w:type="dxa"/>
            </w:tcMar>
            <w:vAlign w:val="center"/>
          </w:tcPr>
          <w:p w14:paraId="3212A16A">
            <w:pPr>
              <w:pStyle w:val="28"/>
              <w:adjustRightInd w:val="0"/>
              <w:snapToGrid w:val="0"/>
              <w:spacing w:before="0" w:beforeAutospacing="0" w:after="0" w:afterAutospacing="0"/>
              <w:jc w:val="center"/>
              <w:rPr>
                <w:rFonts w:hint="default" w:ascii="Times New Roman" w:hAnsi="Times New Roman" w:cs="Times New Roman"/>
                <w:color w:val="auto"/>
                <w:kern w:val="2"/>
                <w:szCs w:val="24"/>
                <w:lang w:val="en-US" w:eastAsia="zh-CN"/>
              </w:rPr>
            </w:pPr>
            <w:r>
              <w:rPr>
                <w:rFonts w:hint="default" w:ascii="Times New Roman" w:hAnsi="Times New Roman" w:cs="Times New Roman"/>
                <w:color w:val="auto"/>
                <w:kern w:val="2"/>
                <w:szCs w:val="24"/>
                <w:lang w:val="en-US" w:eastAsia="zh-CN"/>
              </w:rPr>
              <w:t>运营</w:t>
            </w:r>
          </w:p>
          <w:p w14:paraId="764C89AB">
            <w:pPr>
              <w:pStyle w:val="28"/>
              <w:adjustRightInd w:val="0"/>
              <w:snapToGrid w:val="0"/>
              <w:spacing w:before="0" w:beforeAutospacing="0" w:after="0" w:afterAutospacing="0"/>
              <w:jc w:val="center"/>
              <w:rPr>
                <w:rFonts w:hint="default" w:ascii="Times New Roman" w:hAnsi="Times New Roman" w:cs="Times New Roman"/>
                <w:color w:val="auto"/>
                <w:kern w:val="2"/>
                <w:szCs w:val="24"/>
                <w:lang w:val="en-US" w:eastAsia="zh-CN"/>
              </w:rPr>
            </w:pPr>
            <w:r>
              <w:rPr>
                <w:rFonts w:hint="default" w:ascii="Times New Roman" w:hAnsi="Times New Roman" w:cs="Times New Roman"/>
                <w:color w:val="auto"/>
                <w:kern w:val="2"/>
                <w:szCs w:val="24"/>
                <w:lang w:val="en-US" w:eastAsia="zh-CN"/>
              </w:rPr>
              <w:t>期环</w:t>
            </w:r>
          </w:p>
          <w:p w14:paraId="3743B44A">
            <w:pPr>
              <w:pStyle w:val="28"/>
              <w:adjustRightInd w:val="0"/>
              <w:snapToGrid w:val="0"/>
              <w:spacing w:before="0" w:beforeAutospacing="0" w:after="0" w:afterAutospacing="0"/>
              <w:jc w:val="center"/>
              <w:rPr>
                <w:rFonts w:hint="default" w:ascii="Times New Roman" w:hAnsi="Times New Roman" w:cs="Times New Roman"/>
                <w:color w:val="auto"/>
                <w:kern w:val="2"/>
                <w:szCs w:val="24"/>
                <w:lang w:val="en-US" w:eastAsia="zh-CN"/>
              </w:rPr>
            </w:pPr>
            <w:r>
              <w:rPr>
                <w:rFonts w:hint="default" w:ascii="Times New Roman" w:hAnsi="Times New Roman" w:cs="Times New Roman"/>
                <w:color w:val="auto"/>
                <w:kern w:val="2"/>
                <w:szCs w:val="24"/>
                <w:lang w:val="en-US" w:eastAsia="zh-CN"/>
              </w:rPr>
              <w:t>境影</w:t>
            </w:r>
          </w:p>
          <w:p w14:paraId="142F1CDD">
            <w:pPr>
              <w:pStyle w:val="28"/>
              <w:adjustRightInd w:val="0"/>
              <w:snapToGrid w:val="0"/>
              <w:spacing w:before="0" w:beforeAutospacing="0" w:after="0" w:afterAutospacing="0"/>
              <w:jc w:val="center"/>
              <w:rPr>
                <w:rFonts w:hint="default" w:ascii="Times New Roman" w:hAnsi="Times New Roman" w:cs="Times New Roman"/>
                <w:color w:val="auto"/>
                <w:kern w:val="2"/>
                <w:szCs w:val="24"/>
                <w:lang w:val="en-US" w:eastAsia="zh-CN"/>
              </w:rPr>
            </w:pPr>
            <w:r>
              <w:rPr>
                <w:rFonts w:hint="default" w:ascii="Times New Roman" w:hAnsi="Times New Roman" w:cs="Times New Roman"/>
                <w:color w:val="auto"/>
                <w:kern w:val="2"/>
                <w:szCs w:val="24"/>
                <w:lang w:val="en-US" w:eastAsia="zh-CN"/>
              </w:rPr>
              <w:t>响和</w:t>
            </w:r>
          </w:p>
          <w:p w14:paraId="0D85C6B7">
            <w:pPr>
              <w:pStyle w:val="28"/>
              <w:adjustRightInd w:val="0"/>
              <w:snapToGrid w:val="0"/>
              <w:spacing w:before="0" w:beforeAutospacing="0" w:after="0" w:afterAutospacing="0"/>
              <w:jc w:val="center"/>
              <w:rPr>
                <w:rFonts w:hint="default" w:ascii="Times New Roman" w:hAnsi="Times New Roman" w:cs="Times New Roman"/>
                <w:color w:val="auto"/>
                <w:kern w:val="2"/>
                <w:szCs w:val="24"/>
                <w:lang w:val="en-US" w:eastAsia="zh-CN"/>
              </w:rPr>
            </w:pPr>
            <w:r>
              <w:rPr>
                <w:rFonts w:hint="default" w:ascii="Times New Roman" w:hAnsi="Times New Roman" w:cs="Times New Roman"/>
                <w:color w:val="auto"/>
                <w:kern w:val="2"/>
                <w:szCs w:val="24"/>
                <w:lang w:val="en-US" w:eastAsia="zh-CN"/>
              </w:rPr>
              <w:t>保护</w:t>
            </w:r>
          </w:p>
          <w:p w14:paraId="4128E76F">
            <w:pPr>
              <w:pStyle w:val="28"/>
              <w:adjustRightInd w:val="0"/>
              <w:snapToGrid w:val="0"/>
              <w:spacing w:before="0" w:beforeAutospacing="0" w:after="0" w:afterAutospacing="0"/>
              <w:jc w:val="center"/>
              <w:rPr>
                <w:rFonts w:hint="default" w:ascii="Times New Roman" w:hAnsi="Times New Roman" w:cs="Times New Roman"/>
                <w:color w:val="auto"/>
                <w:kern w:val="2"/>
                <w:szCs w:val="24"/>
                <w:lang w:val="en-US" w:eastAsia="zh-CN"/>
              </w:rPr>
            </w:pPr>
            <w:r>
              <w:rPr>
                <w:rFonts w:hint="default" w:ascii="Times New Roman" w:hAnsi="Times New Roman" w:cs="Times New Roman"/>
                <w:color w:val="auto"/>
                <w:kern w:val="2"/>
                <w:szCs w:val="24"/>
                <w:lang w:val="en-US" w:eastAsia="zh-CN"/>
              </w:rPr>
              <w:t>措施</w:t>
            </w:r>
          </w:p>
        </w:tc>
        <w:tc>
          <w:tcPr>
            <w:tcW w:w="8145" w:type="dxa"/>
            <w:noWrap w:val="0"/>
            <w:vAlign w:val="top"/>
          </w:tcPr>
          <w:p w14:paraId="1713A503">
            <w:pPr>
              <w:pStyle w:val="4"/>
              <w:numPr>
                <w:ilvl w:val="0"/>
                <w:numId w:val="0"/>
              </w:numPr>
              <w:bidi w:val="0"/>
              <w:ind w:leftChars="0" w:firstLine="480" w:firstLineChars="200"/>
              <w:rPr>
                <w:rFonts w:hint="default" w:ascii="Times New Roman" w:hAnsi="Times New Roman" w:cs="Times New Roman"/>
                <w:color w:val="auto"/>
              </w:rPr>
            </w:pPr>
            <w:r>
              <w:rPr>
                <w:rFonts w:hint="default" w:ascii="Times New Roman" w:hAnsi="Times New Roman" w:cs="Times New Roman"/>
                <w:color w:val="auto"/>
              </w:rPr>
              <w:t>一、废气</w:t>
            </w:r>
          </w:p>
          <w:p w14:paraId="1B901842">
            <w:pPr>
              <w:tabs>
                <w:tab w:val="left" w:pos="4560"/>
              </w:tabs>
              <w:ind w:firstLine="480" w:firstLineChars="200"/>
              <w:rPr>
                <w:rFonts w:hint="default" w:ascii="Times New Roman" w:hAnsi="Times New Roman" w:eastAsia="宋体" w:cs="Times New Roman"/>
                <w:color w:val="auto"/>
                <w:szCs w:val="24"/>
                <w:lang w:val="en-US" w:eastAsia="zh-CN"/>
              </w:rPr>
            </w:pPr>
            <w:r>
              <w:rPr>
                <w:rFonts w:hint="default" w:ascii="Times New Roman" w:hAnsi="Times New Roman" w:cs="Times New Roman"/>
                <w:color w:val="auto"/>
                <w:szCs w:val="24"/>
              </w:rPr>
              <w:t>项目运营期废气主要为</w:t>
            </w:r>
            <w:r>
              <w:rPr>
                <w:rFonts w:hint="eastAsia" w:ascii="Times New Roman" w:hAnsi="Times New Roman" w:cs="Times New Roman"/>
                <w:color w:val="auto"/>
                <w:szCs w:val="24"/>
                <w:lang w:val="en-US" w:eastAsia="zh-CN"/>
              </w:rPr>
              <w:t>粉状物料计量投料产生的粉尘以及搅拌、抽真空等过程产生的有机废气VOCs。</w:t>
            </w:r>
          </w:p>
          <w:p w14:paraId="0DDEC2D9">
            <w:pPr>
              <w:pStyle w:val="4"/>
              <w:numPr>
                <w:ilvl w:val="0"/>
                <w:numId w:val="0"/>
              </w:numPr>
              <w:bidi w:val="0"/>
              <w:ind w:leftChars="0" w:firstLine="480" w:firstLineChars="200"/>
              <w:rPr>
                <w:rFonts w:hint="default" w:ascii="Times New Roman" w:hAnsi="Times New Roman" w:cs="Times New Roman"/>
                <w:color w:val="auto"/>
              </w:rPr>
            </w:pPr>
            <w:r>
              <w:rPr>
                <w:rFonts w:hint="default" w:ascii="Times New Roman" w:hAnsi="Times New Roman" w:cs="Times New Roman"/>
                <w:color w:val="auto"/>
              </w:rPr>
              <w:t>1、废气源强核算、污染治理措施及达标排放情况</w:t>
            </w:r>
          </w:p>
          <w:p w14:paraId="0AC82224">
            <w:pPr>
              <w:bidi w:val="0"/>
              <w:ind w:firstLine="480" w:firstLineChars="20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w:t>
            </w:r>
            <w:r>
              <w:rPr>
                <w:rFonts w:hint="eastAsia" w:ascii="Times New Roman" w:hAnsi="Times New Roman" w:cs="Times New Roman"/>
                <w:color w:val="auto"/>
                <w:lang w:val="en-US" w:eastAsia="zh-CN"/>
              </w:rPr>
              <w:t>计量</w:t>
            </w:r>
            <w:r>
              <w:rPr>
                <w:rFonts w:hint="eastAsia" w:cs="Times New Roman"/>
                <w:color w:val="auto"/>
                <w:szCs w:val="24"/>
                <w:lang w:val="en-US" w:eastAsia="zh-CN"/>
              </w:rPr>
              <w:t>投料粉尘</w:t>
            </w:r>
          </w:p>
          <w:p w14:paraId="70965C4A">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auto"/>
              <w:rPr>
                <w:rFonts w:hint="default" w:ascii="Times New Roman" w:hAnsi="Times New Roman" w:eastAsia="宋体" w:cs="Times New Roman"/>
                <w:bCs/>
                <w:color w:val="auto"/>
                <w:sz w:val="24"/>
                <w:szCs w:val="32"/>
                <w:lang w:val="en-US" w:eastAsia="zh-CN"/>
              </w:rPr>
            </w:pPr>
            <w:r>
              <w:rPr>
                <w:rFonts w:hint="eastAsia" w:ascii="Times New Roman" w:hAnsi="Times New Roman" w:eastAsia="宋体" w:cs="Times New Roman"/>
                <w:bCs/>
                <w:color w:val="auto"/>
                <w:sz w:val="24"/>
                <w:szCs w:val="32"/>
                <w:lang w:val="en-US" w:eastAsia="zh-CN"/>
              </w:rPr>
              <w:t>项目所使用的原辅材料中，无机粉体（碳酸钙粉）、纳米二氧化硅以及抗老化剂为粉末状，计量投料的过程中会产生粉尘，污染因子为颗粒物。</w:t>
            </w:r>
            <w:r>
              <w:rPr>
                <w:rFonts w:hint="eastAsia" w:eastAsia="宋体" w:cs="Times New Roman"/>
                <w:bCs/>
                <w:color w:val="auto"/>
                <w:sz w:val="24"/>
                <w:szCs w:val="32"/>
                <w:lang w:val="en-US" w:eastAsia="zh-CN"/>
              </w:rPr>
              <w:t>根据《污染源源强核算技术指南准则》（HJ8842-2018），本项目采用产污系数法核算计量投料粉尘产排污情况。参考《排放源统计调查产排污核算方法和系数手册》（2021年6月11日，生态环境部印发）中“2646密封用填料及类似品制造行业系数表”，颗粒物的产污系数为0.51千克/吨-产品。项目生产电池PACK密封材料12000t/a、</w:t>
            </w:r>
            <w:r>
              <w:rPr>
                <w:rFonts w:hint="default"/>
                <w:color w:val="auto"/>
                <w:lang w:val="en-US" w:eastAsia="zh-CN"/>
              </w:rPr>
              <w:t>电子电器密封材料</w:t>
            </w:r>
            <w:r>
              <w:rPr>
                <w:rFonts w:hint="eastAsia"/>
                <w:color w:val="auto"/>
                <w:lang w:val="en-US" w:eastAsia="zh-CN"/>
              </w:rPr>
              <w:t>8</w:t>
            </w:r>
            <w:r>
              <w:rPr>
                <w:rFonts w:hint="eastAsia" w:eastAsia="宋体" w:cs="Times New Roman"/>
                <w:bCs/>
                <w:color w:val="auto"/>
                <w:sz w:val="24"/>
                <w:szCs w:val="32"/>
                <w:lang w:val="en-US" w:eastAsia="zh-CN"/>
              </w:rPr>
              <w:t>000t/a，投料工序年运行时间900h，则颗粒物产生量为10.2t/a、11.33kg/h。</w:t>
            </w:r>
          </w:p>
          <w:p w14:paraId="34ED7B84">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auto"/>
              <w:rPr>
                <w:rFonts w:hint="default" w:ascii="Times New Roman" w:hAnsi="Times New Roman" w:eastAsia="宋体" w:cs="Times New Roman"/>
                <w:bCs/>
                <w:color w:val="auto"/>
                <w:sz w:val="24"/>
                <w:szCs w:val="32"/>
                <w:lang w:val="en-US" w:eastAsia="zh-CN"/>
              </w:rPr>
            </w:pPr>
            <w:r>
              <w:rPr>
                <w:rFonts w:hint="eastAsia" w:ascii="Times New Roman" w:hAnsi="Times New Roman" w:eastAsia="宋体" w:cs="Times New Roman"/>
                <w:bCs/>
                <w:color w:val="auto"/>
                <w:sz w:val="24"/>
                <w:szCs w:val="32"/>
                <w:lang w:val="en-US" w:eastAsia="zh-CN"/>
              </w:rPr>
              <w:t>项目生产车间内设置投料站，投料口上方设置集气罩。根据《废气处理工程技术手册》（化学工业出版社），集气罩风量可按以下公式计算：</w:t>
            </w:r>
          </w:p>
          <w:p w14:paraId="50B00ADD">
            <w:pPr>
              <w:snapToGrid w:val="0"/>
              <w:spacing w:line="360" w:lineRule="auto"/>
              <w:jc w:val="center"/>
              <w:rPr>
                <w:color w:val="auto"/>
                <w:sz w:val="24"/>
              </w:rPr>
            </w:pPr>
            <w:r>
              <w:rPr>
                <w:color w:val="auto"/>
                <w:sz w:val="24"/>
              </w:rPr>
              <w:t>Q=3600</w:t>
            </w:r>
            <w:r>
              <w:rPr>
                <w:rFonts w:hint="eastAsia"/>
                <w:color w:val="auto"/>
                <w:sz w:val="24"/>
              </w:rPr>
              <w:t>*V</w:t>
            </w:r>
            <w:r>
              <w:rPr>
                <w:rFonts w:hint="eastAsia"/>
                <w:color w:val="auto"/>
                <w:sz w:val="24"/>
                <w:vertAlign w:val="subscript"/>
              </w:rPr>
              <w:t>0</w:t>
            </w:r>
            <w:r>
              <w:rPr>
                <w:color w:val="auto"/>
                <w:sz w:val="24"/>
              </w:rPr>
              <w:t>*F</w:t>
            </w:r>
          </w:p>
          <w:p w14:paraId="7B327EF3">
            <w:pPr>
              <w:snapToGrid w:val="0"/>
              <w:spacing w:line="360" w:lineRule="auto"/>
              <w:ind w:firstLine="480" w:firstLineChars="200"/>
              <w:rPr>
                <w:rFonts w:hint="eastAsia"/>
                <w:color w:val="auto"/>
                <w:sz w:val="24"/>
                <w:lang w:eastAsia="zh-CN"/>
              </w:rPr>
            </w:pPr>
            <w:r>
              <w:rPr>
                <w:color w:val="auto"/>
                <w:sz w:val="24"/>
              </w:rPr>
              <w:t>式中</w:t>
            </w:r>
            <w:r>
              <w:rPr>
                <w:rFonts w:hint="eastAsia"/>
                <w:color w:val="auto"/>
                <w:sz w:val="24"/>
                <w:lang w:eastAsia="zh-CN"/>
              </w:rPr>
              <w:t>：</w:t>
            </w:r>
          </w:p>
          <w:p w14:paraId="6AFACB08">
            <w:pPr>
              <w:snapToGrid w:val="0"/>
              <w:spacing w:line="360" w:lineRule="auto"/>
              <w:ind w:firstLine="480" w:firstLineChars="200"/>
              <w:rPr>
                <w:rFonts w:hint="eastAsia"/>
                <w:color w:val="auto"/>
                <w:sz w:val="24"/>
              </w:rPr>
            </w:pPr>
            <w:r>
              <w:rPr>
                <w:color w:val="auto"/>
                <w:sz w:val="24"/>
              </w:rPr>
              <w:t>Q--集气罩排风量，</w:t>
            </w:r>
            <w:r>
              <w:rPr>
                <w:rFonts w:hint="eastAsia"/>
                <w:color w:val="auto"/>
                <w:sz w:val="24"/>
              </w:rPr>
              <w:t>m³</w:t>
            </w:r>
            <w:r>
              <w:rPr>
                <w:color w:val="auto"/>
                <w:sz w:val="24"/>
              </w:rPr>
              <w:t>/h</w:t>
            </w:r>
            <w:r>
              <w:rPr>
                <w:rFonts w:hint="eastAsia"/>
                <w:color w:val="auto"/>
                <w:sz w:val="24"/>
              </w:rPr>
              <w:t>；</w:t>
            </w:r>
          </w:p>
          <w:p w14:paraId="603959A4">
            <w:pPr>
              <w:snapToGrid w:val="0"/>
              <w:spacing w:line="360" w:lineRule="auto"/>
              <w:ind w:firstLine="480" w:firstLineChars="200"/>
              <w:rPr>
                <w:rFonts w:hint="eastAsia"/>
                <w:color w:val="auto"/>
                <w:sz w:val="24"/>
              </w:rPr>
            </w:pPr>
            <w:r>
              <w:rPr>
                <w:rFonts w:hint="eastAsia"/>
                <w:color w:val="auto"/>
                <w:sz w:val="24"/>
              </w:rPr>
              <w:t>V</w:t>
            </w:r>
            <w:r>
              <w:rPr>
                <w:rFonts w:hint="eastAsia"/>
                <w:color w:val="auto"/>
                <w:sz w:val="24"/>
                <w:vertAlign w:val="subscript"/>
              </w:rPr>
              <w:t>0</w:t>
            </w:r>
            <w:r>
              <w:rPr>
                <w:color w:val="auto"/>
                <w:sz w:val="24"/>
              </w:rPr>
              <w:t>--罩口平均风速，m/s</w:t>
            </w:r>
            <w:r>
              <w:rPr>
                <w:rFonts w:hint="eastAsia"/>
                <w:color w:val="auto"/>
                <w:sz w:val="24"/>
              </w:rPr>
              <w:t>；</w:t>
            </w:r>
            <w:r>
              <w:rPr>
                <w:color w:val="auto"/>
                <w:sz w:val="24"/>
              </w:rPr>
              <w:t>一般可取0.5~1.25</w:t>
            </w:r>
            <w:r>
              <w:rPr>
                <w:rFonts w:hint="eastAsia"/>
                <w:color w:val="auto"/>
                <w:sz w:val="24"/>
              </w:rPr>
              <w:t>，</w:t>
            </w:r>
            <w:r>
              <w:rPr>
                <w:color w:val="auto"/>
                <w:sz w:val="24"/>
              </w:rPr>
              <w:t>本项目集气罩与污染物散发源距离约为0.5m，平均风速按1.25m/s计</w:t>
            </w:r>
            <w:r>
              <w:rPr>
                <w:rFonts w:hint="eastAsia"/>
                <w:color w:val="auto"/>
                <w:sz w:val="24"/>
              </w:rPr>
              <w:t>；</w:t>
            </w:r>
          </w:p>
          <w:p w14:paraId="41C6BC2A">
            <w:pPr>
              <w:snapToGrid w:val="0"/>
              <w:spacing w:line="360" w:lineRule="auto"/>
              <w:ind w:firstLine="480" w:firstLineChars="200"/>
              <w:rPr>
                <w:color w:val="auto"/>
                <w:sz w:val="24"/>
              </w:rPr>
            </w:pPr>
            <w:r>
              <w:rPr>
                <w:color w:val="auto"/>
                <w:sz w:val="24"/>
              </w:rPr>
              <w:t>F--罩口面积，</w:t>
            </w:r>
            <w:r>
              <w:rPr>
                <w:rFonts w:hint="eastAsia"/>
                <w:color w:val="auto"/>
                <w:sz w:val="24"/>
                <w:lang w:val="en-US" w:eastAsia="zh-CN"/>
              </w:rPr>
              <w:t>m</w:t>
            </w:r>
            <w:r>
              <w:rPr>
                <w:rFonts w:hint="eastAsia"/>
                <w:color w:val="auto"/>
                <w:sz w:val="24"/>
                <w:vertAlign w:val="superscript"/>
                <w:lang w:val="en-US" w:eastAsia="zh-CN"/>
              </w:rPr>
              <w:t>2</w:t>
            </w:r>
            <w:r>
              <w:rPr>
                <w:rFonts w:hint="eastAsia"/>
                <w:color w:val="auto"/>
                <w:sz w:val="24"/>
              </w:rPr>
              <w:t>；项目粉体计量仓的加粉口尺寸约为0.65m*0.4m，则</w:t>
            </w:r>
            <w:r>
              <w:rPr>
                <w:color w:val="auto"/>
                <w:sz w:val="24"/>
              </w:rPr>
              <w:t>每个配套的集气罩尺寸均为</w:t>
            </w:r>
            <w:r>
              <w:rPr>
                <w:rFonts w:hint="eastAsia"/>
                <w:color w:val="auto"/>
                <w:sz w:val="24"/>
              </w:rPr>
              <w:t>0.9</w:t>
            </w:r>
            <w:r>
              <w:rPr>
                <w:color w:val="auto"/>
                <w:sz w:val="24"/>
              </w:rPr>
              <w:t>m</w:t>
            </w:r>
            <w:r>
              <w:rPr>
                <w:rFonts w:hint="eastAsia"/>
                <w:color w:val="auto"/>
                <w:sz w:val="24"/>
              </w:rPr>
              <w:t>*0.6</w:t>
            </w:r>
            <w:r>
              <w:rPr>
                <w:color w:val="auto"/>
                <w:sz w:val="24"/>
              </w:rPr>
              <w:t>m，面积为</w:t>
            </w:r>
            <w:r>
              <w:rPr>
                <w:rFonts w:hint="eastAsia"/>
                <w:color w:val="auto"/>
                <w:sz w:val="24"/>
              </w:rPr>
              <w:t>0.54</w:t>
            </w:r>
            <w:r>
              <w:rPr>
                <w:rFonts w:hint="eastAsia"/>
                <w:color w:val="auto"/>
                <w:sz w:val="24"/>
                <w:lang w:val="en-US" w:eastAsia="zh-CN"/>
              </w:rPr>
              <w:t>m</w:t>
            </w:r>
            <w:r>
              <w:rPr>
                <w:rFonts w:hint="eastAsia"/>
                <w:color w:val="auto"/>
                <w:sz w:val="24"/>
                <w:vertAlign w:val="superscript"/>
                <w:lang w:val="en-US" w:eastAsia="zh-CN"/>
              </w:rPr>
              <w:t>2</w:t>
            </w:r>
            <w:r>
              <w:rPr>
                <w:rFonts w:hint="eastAsia"/>
                <w:color w:val="auto"/>
                <w:sz w:val="24"/>
              </w:rPr>
              <w:t>；</w:t>
            </w:r>
          </w:p>
          <w:p w14:paraId="19BBE4CD">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auto"/>
              <w:rPr>
                <w:rFonts w:hint="eastAsia" w:ascii="Times New Roman" w:hAnsi="Times New Roman" w:eastAsia="宋体" w:cs="Times New Roman"/>
                <w:bCs/>
                <w:color w:val="auto"/>
                <w:sz w:val="24"/>
                <w:szCs w:val="32"/>
                <w:lang w:val="en-US" w:eastAsia="zh-CN"/>
              </w:rPr>
            </w:pPr>
            <w:r>
              <w:rPr>
                <w:color w:val="auto"/>
                <w:sz w:val="24"/>
              </w:rPr>
              <w:t>由此计算出单个集气罩排风量为</w:t>
            </w:r>
            <w:r>
              <w:rPr>
                <w:rFonts w:hint="eastAsia"/>
                <w:color w:val="auto"/>
                <w:sz w:val="24"/>
              </w:rPr>
              <w:t>2430</w:t>
            </w:r>
            <w:r>
              <w:rPr>
                <w:rFonts w:hint="eastAsia"/>
                <w:color w:val="auto"/>
                <w:sz w:val="24"/>
                <w:lang w:val="en-US" w:eastAsia="zh-CN"/>
              </w:rPr>
              <w:t>m</w:t>
            </w:r>
            <w:r>
              <w:rPr>
                <w:rFonts w:hint="eastAsia"/>
                <w:color w:val="auto"/>
                <w:sz w:val="24"/>
                <w:vertAlign w:val="superscript"/>
                <w:lang w:val="en-US" w:eastAsia="zh-CN"/>
              </w:rPr>
              <w:t>3</w:t>
            </w:r>
            <w:r>
              <w:rPr>
                <w:color w:val="auto"/>
                <w:sz w:val="24"/>
              </w:rPr>
              <w:t>，</w:t>
            </w:r>
            <w:r>
              <w:rPr>
                <w:rFonts w:hint="eastAsia"/>
                <w:color w:val="auto"/>
                <w:sz w:val="24"/>
              </w:rPr>
              <w:t>4</w:t>
            </w:r>
            <w:r>
              <w:rPr>
                <w:color w:val="auto"/>
                <w:sz w:val="24"/>
              </w:rPr>
              <w:t>个</w:t>
            </w:r>
            <w:r>
              <w:rPr>
                <w:rFonts w:hint="eastAsia"/>
                <w:color w:val="auto"/>
                <w:sz w:val="24"/>
                <w:lang w:val="en-US" w:eastAsia="zh-CN"/>
              </w:rPr>
              <w:t>投料站</w:t>
            </w:r>
            <w:r>
              <w:rPr>
                <w:color w:val="auto"/>
                <w:sz w:val="24"/>
              </w:rPr>
              <w:t>的排风量合计</w:t>
            </w:r>
            <w:r>
              <w:rPr>
                <w:rFonts w:hint="eastAsia"/>
                <w:color w:val="auto"/>
                <w:sz w:val="24"/>
              </w:rPr>
              <w:t>9720</w:t>
            </w:r>
            <w:r>
              <w:rPr>
                <w:rFonts w:hint="eastAsia"/>
                <w:color w:val="auto"/>
                <w:sz w:val="24"/>
                <w:lang w:val="en-US" w:eastAsia="zh-CN"/>
              </w:rPr>
              <w:t>m</w:t>
            </w:r>
            <w:r>
              <w:rPr>
                <w:rFonts w:hint="eastAsia"/>
                <w:color w:val="auto"/>
                <w:sz w:val="24"/>
                <w:vertAlign w:val="superscript"/>
                <w:lang w:val="en-US" w:eastAsia="zh-CN"/>
              </w:rPr>
              <w:t>3</w:t>
            </w:r>
            <w:r>
              <w:rPr>
                <w:color w:val="auto"/>
                <w:sz w:val="24"/>
              </w:rPr>
              <w:t>/h</w:t>
            </w:r>
            <w:r>
              <w:rPr>
                <w:rFonts w:hint="eastAsia"/>
                <w:color w:val="auto"/>
                <w:sz w:val="24"/>
                <w:lang w:eastAsia="zh-CN"/>
              </w:rPr>
              <w:t>，</w:t>
            </w:r>
            <w:r>
              <w:rPr>
                <w:rFonts w:hint="default" w:ascii="Times New Roman" w:hAnsi="Times New Roman" w:eastAsia="宋体" w:cs="Times New Roman"/>
                <w:color w:val="auto"/>
                <w:kern w:val="2"/>
                <w:sz w:val="24"/>
                <w:szCs w:val="28"/>
                <w:highlight w:val="none"/>
                <w:lang w:val="en-US" w:eastAsia="zh-CN" w:bidi="ar-SA"/>
              </w:rPr>
              <w:t>考虑系统风量等损耗，项目建成后</w:t>
            </w:r>
            <w:r>
              <w:rPr>
                <w:rFonts w:hint="eastAsia" w:ascii="Times New Roman" w:hAnsi="Times New Roman" w:eastAsia="宋体" w:cs="Times New Roman"/>
                <w:color w:val="auto"/>
                <w:kern w:val="2"/>
                <w:sz w:val="24"/>
                <w:szCs w:val="28"/>
                <w:highlight w:val="none"/>
                <w:lang w:val="en-US" w:eastAsia="zh-CN" w:bidi="ar-SA"/>
              </w:rPr>
              <w:t>投料口</w:t>
            </w:r>
            <w:r>
              <w:rPr>
                <w:rFonts w:hint="default" w:ascii="Times New Roman" w:hAnsi="Times New Roman" w:eastAsia="宋体" w:cs="Times New Roman"/>
                <w:color w:val="auto"/>
                <w:kern w:val="2"/>
                <w:sz w:val="24"/>
                <w:szCs w:val="28"/>
                <w:highlight w:val="none"/>
                <w:lang w:val="en-US" w:eastAsia="zh-CN" w:bidi="ar-SA"/>
              </w:rPr>
              <w:t>风机风量为10000m</w:t>
            </w:r>
            <w:r>
              <w:rPr>
                <w:rFonts w:hint="default" w:ascii="Times New Roman" w:hAnsi="Times New Roman" w:eastAsia="宋体" w:cs="Times New Roman"/>
                <w:color w:val="auto"/>
                <w:kern w:val="2"/>
                <w:sz w:val="24"/>
                <w:szCs w:val="28"/>
                <w:highlight w:val="none"/>
                <w:vertAlign w:val="superscript"/>
                <w:lang w:val="en-US" w:eastAsia="zh-CN" w:bidi="ar-SA"/>
              </w:rPr>
              <w:t>3</w:t>
            </w:r>
            <w:r>
              <w:rPr>
                <w:rFonts w:hint="default" w:ascii="Times New Roman" w:hAnsi="Times New Roman" w:eastAsia="宋体" w:cs="Times New Roman"/>
                <w:color w:val="auto"/>
                <w:kern w:val="2"/>
                <w:sz w:val="24"/>
                <w:szCs w:val="28"/>
                <w:highlight w:val="none"/>
                <w:lang w:val="en-US" w:eastAsia="zh-CN" w:bidi="ar-SA"/>
              </w:rPr>
              <w:t>/h</w:t>
            </w:r>
            <w:r>
              <w:rPr>
                <w:rFonts w:hint="eastAsia"/>
                <w:color w:val="auto"/>
                <w:sz w:val="24"/>
              </w:rPr>
              <w:t>。为提高</w:t>
            </w:r>
            <w:r>
              <w:rPr>
                <w:color w:val="auto"/>
                <w:sz w:val="24"/>
              </w:rPr>
              <w:t>废气捕集率</w:t>
            </w:r>
            <w:r>
              <w:rPr>
                <w:rFonts w:hint="eastAsia"/>
                <w:color w:val="auto"/>
                <w:sz w:val="24"/>
              </w:rPr>
              <w:t>，集气罩均加装软帘，</w:t>
            </w:r>
            <w:r>
              <w:rPr>
                <w:color w:val="auto"/>
                <w:kern w:val="24"/>
                <w:sz w:val="24"/>
              </w:rPr>
              <w:t>故本项目粉尘收集效率取9</w:t>
            </w:r>
            <w:r>
              <w:rPr>
                <w:rFonts w:hint="eastAsia"/>
                <w:color w:val="auto"/>
                <w:kern w:val="24"/>
                <w:sz w:val="24"/>
              </w:rPr>
              <w:t>0</w:t>
            </w:r>
            <w:r>
              <w:rPr>
                <w:color w:val="auto"/>
                <w:kern w:val="24"/>
                <w:sz w:val="24"/>
              </w:rPr>
              <w:t>%</w:t>
            </w:r>
            <w:r>
              <w:rPr>
                <w:rFonts w:hint="eastAsia"/>
                <w:color w:val="auto"/>
                <w:kern w:val="24"/>
                <w:sz w:val="24"/>
              </w:rPr>
              <w:t>。</w:t>
            </w:r>
          </w:p>
          <w:p w14:paraId="722B0F9D">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auto"/>
              <w:rPr>
                <w:rFonts w:hint="eastAsia" w:eastAsia="宋体" w:cs="Times New Roman"/>
                <w:bCs/>
                <w:color w:val="auto"/>
                <w:sz w:val="24"/>
                <w:szCs w:val="32"/>
                <w:lang w:val="en-US" w:eastAsia="zh-CN"/>
              </w:rPr>
            </w:pPr>
            <w:r>
              <w:rPr>
                <w:rFonts w:hint="eastAsia" w:ascii="Times New Roman" w:hAnsi="Times New Roman" w:eastAsia="宋体" w:cs="Times New Roman"/>
                <w:bCs/>
                <w:color w:val="auto"/>
                <w:sz w:val="24"/>
                <w:szCs w:val="32"/>
                <w:lang w:val="en-US" w:eastAsia="zh-CN"/>
              </w:rPr>
              <w:t>粉尘经投料站自带的袋式除尘器收集处理，袋式除尘器处理效率99%，处理后的废气经一根15m高排气筒DA001排放。未收集的粉尘约为1.02</w:t>
            </w:r>
            <w:r>
              <w:rPr>
                <w:rFonts w:hint="eastAsia" w:eastAsia="宋体" w:cs="Times New Roman"/>
                <w:bCs/>
                <w:color w:val="auto"/>
                <w:sz w:val="24"/>
                <w:szCs w:val="32"/>
                <w:lang w:val="en-US" w:eastAsia="zh-CN"/>
              </w:rPr>
              <w:t>t/a，约有60%经厂房阻隔沉降，其余40%无组织排放，排放量约为0.408t/a。</w:t>
            </w:r>
          </w:p>
          <w:p w14:paraId="0CC45579">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auto"/>
              <w:rPr>
                <w:rFonts w:hint="default" w:eastAsia="宋体" w:cs="Times New Roman"/>
                <w:bCs/>
                <w:color w:val="auto"/>
                <w:sz w:val="24"/>
                <w:szCs w:val="32"/>
                <w:lang w:val="en-US" w:eastAsia="zh-CN"/>
              </w:rPr>
            </w:pPr>
            <w:r>
              <w:rPr>
                <w:rFonts w:hint="eastAsia" w:eastAsia="宋体" w:cs="Times New Roman"/>
                <w:bCs/>
                <w:color w:val="auto"/>
                <w:sz w:val="24"/>
                <w:szCs w:val="32"/>
                <w:lang w:val="en-US" w:eastAsia="zh-CN"/>
              </w:rPr>
              <w:t>项目计量投料粉尘产排情况具体见下表。</w:t>
            </w:r>
          </w:p>
          <w:p w14:paraId="39FB1F99">
            <w:pPr>
              <w:pStyle w:val="45"/>
              <w:numPr>
                <w:ilvl w:val="0"/>
                <w:numId w:val="0"/>
              </w:numPr>
              <w:bidi w:val="0"/>
              <w:ind w:leftChars="0"/>
              <w:jc w:val="center"/>
              <w:rPr>
                <w:color w:val="auto"/>
                <w:lang w:val="zh-CN"/>
              </w:rPr>
            </w:pPr>
            <w:r>
              <w:rPr>
                <w:rFonts w:hint="eastAsia"/>
                <w:color w:val="auto"/>
                <w:lang w:val="en-US" w:eastAsia="zh-CN"/>
              </w:rPr>
              <w:t>表4-1项目计量、</w:t>
            </w:r>
            <w:r>
              <w:rPr>
                <w:color w:val="auto"/>
                <w:lang w:val="zh-CN"/>
              </w:rPr>
              <w:t>投料粉尘产排情况</w:t>
            </w:r>
            <w:r>
              <w:rPr>
                <w:rFonts w:hint="eastAsia"/>
                <w:color w:val="auto"/>
                <w:lang w:val="en-US" w:eastAsia="zh-CN"/>
              </w:rPr>
              <w:t>一览</w:t>
            </w:r>
            <w:r>
              <w:rPr>
                <w:color w:val="auto"/>
                <w:lang w:val="zh-CN"/>
              </w:rPr>
              <w:t>表</w:t>
            </w:r>
          </w:p>
          <w:tbl>
            <w:tblPr>
              <w:tblStyle w:val="33"/>
              <w:tblW w:w="7957" w:type="dxa"/>
              <w:tblInd w:w="5"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783"/>
              <w:gridCol w:w="700"/>
              <w:gridCol w:w="403"/>
              <w:gridCol w:w="746"/>
              <w:gridCol w:w="647"/>
              <w:gridCol w:w="748"/>
              <w:gridCol w:w="565"/>
              <w:gridCol w:w="745"/>
              <w:gridCol w:w="643"/>
              <w:gridCol w:w="654"/>
              <w:gridCol w:w="724"/>
              <w:gridCol w:w="599"/>
            </w:tblGrid>
            <w:tr w14:paraId="0CFD712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62" w:hRule="atLeast"/>
              </w:trPr>
              <w:tc>
                <w:tcPr>
                  <w:tcW w:w="783" w:type="dxa"/>
                  <w:vMerge w:val="restart"/>
                  <w:noWrap w:val="0"/>
                  <w:vAlign w:val="center"/>
                </w:tcPr>
                <w:p w14:paraId="446012CE">
                  <w:pPr>
                    <w:widowControl/>
                    <w:spacing w:line="240" w:lineRule="auto"/>
                    <w:jc w:val="center"/>
                    <w:textAlignment w:val="center"/>
                    <w:rPr>
                      <w:b/>
                      <w:bCs/>
                      <w:color w:val="auto"/>
                      <w:kern w:val="0"/>
                      <w:sz w:val="18"/>
                      <w:szCs w:val="18"/>
                      <w:lang w:bidi="ar"/>
                    </w:rPr>
                  </w:pPr>
                  <w:r>
                    <w:rPr>
                      <w:b/>
                      <w:bCs/>
                      <w:color w:val="auto"/>
                      <w:kern w:val="0"/>
                      <w:sz w:val="18"/>
                      <w:szCs w:val="18"/>
                      <w:lang w:bidi="ar"/>
                    </w:rPr>
                    <w:t>排气筒编号</w:t>
                  </w:r>
                </w:p>
              </w:tc>
              <w:tc>
                <w:tcPr>
                  <w:tcW w:w="700" w:type="dxa"/>
                  <w:vMerge w:val="restart"/>
                  <w:noWrap w:val="0"/>
                  <w:vAlign w:val="center"/>
                </w:tcPr>
                <w:p w14:paraId="454C938D">
                  <w:pPr>
                    <w:widowControl/>
                    <w:spacing w:line="240" w:lineRule="auto"/>
                    <w:jc w:val="center"/>
                    <w:textAlignment w:val="center"/>
                    <w:rPr>
                      <w:b/>
                      <w:bCs/>
                      <w:color w:val="auto"/>
                      <w:kern w:val="0"/>
                      <w:sz w:val="18"/>
                      <w:szCs w:val="18"/>
                      <w:lang w:bidi="ar"/>
                    </w:rPr>
                  </w:pPr>
                  <w:r>
                    <w:rPr>
                      <w:b/>
                      <w:bCs/>
                      <w:color w:val="auto"/>
                      <w:kern w:val="0"/>
                      <w:sz w:val="18"/>
                      <w:szCs w:val="18"/>
                      <w:lang w:bidi="ar"/>
                    </w:rPr>
                    <w:t>排气筒风量m³/h</w:t>
                  </w:r>
                </w:p>
              </w:tc>
              <w:tc>
                <w:tcPr>
                  <w:tcW w:w="403" w:type="dxa"/>
                  <w:vMerge w:val="restart"/>
                  <w:noWrap w:val="0"/>
                  <w:vAlign w:val="center"/>
                </w:tcPr>
                <w:p w14:paraId="19D1CD6B">
                  <w:pPr>
                    <w:widowControl/>
                    <w:spacing w:line="240" w:lineRule="auto"/>
                    <w:jc w:val="center"/>
                    <w:textAlignment w:val="center"/>
                    <w:rPr>
                      <w:b/>
                      <w:bCs/>
                      <w:color w:val="auto"/>
                      <w:kern w:val="0"/>
                      <w:sz w:val="18"/>
                      <w:szCs w:val="18"/>
                      <w:lang w:bidi="ar"/>
                    </w:rPr>
                  </w:pPr>
                  <w:r>
                    <w:rPr>
                      <w:b/>
                      <w:bCs/>
                      <w:color w:val="auto"/>
                      <w:kern w:val="0"/>
                      <w:sz w:val="18"/>
                      <w:szCs w:val="18"/>
                      <w:lang w:bidi="ar"/>
                    </w:rPr>
                    <w:t>污染物</w:t>
                  </w:r>
                </w:p>
              </w:tc>
              <w:tc>
                <w:tcPr>
                  <w:tcW w:w="2141" w:type="dxa"/>
                  <w:gridSpan w:val="3"/>
                  <w:noWrap w:val="0"/>
                  <w:vAlign w:val="center"/>
                </w:tcPr>
                <w:p w14:paraId="18234401">
                  <w:pPr>
                    <w:widowControl/>
                    <w:spacing w:line="240" w:lineRule="auto"/>
                    <w:jc w:val="center"/>
                    <w:textAlignment w:val="center"/>
                    <w:rPr>
                      <w:b/>
                      <w:bCs/>
                      <w:color w:val="auto"/>
                      <w:kern w:val="0"/>
                      <w:sz w:val="18"/>
                      <w:szCs w:val="18"/>
                      <w:lang w:bidi="ar"/>
                    </w:rPr>
                  </w:pPr>
                  <w:r>
                    <w:rPr>
                      <w:b/>
                      <w:bCs/>
                      <w:color w:val="auto"/>
                      <w:kern w:val="0"/>
                      <w:sz w:val="18"/>
                      <w:szCs w:val="18"/>
                      <w:lang w:bidi="ar"/>
                    </w:rPr>
                    <w:t>产生情况</w:t>
                  </w:r>
                </w:p>
              </w:tc>
              <w:tc>
                <w:tcPr>
                  <w:tcW w:w="565" w:type="dxa"/>
                  <w:vMerge w:val="restart"/>
                  <w:noWrap w:val="0"/>
                  <w:vAlign w:val="center"/>
                </w:tcPr>
                <w:p w14:paraId="7222AD2B">
                  <w:pPr>
                    <w:widowControl/>
                    <w:spacing w:line="240" w:lineRule="auto"/>
                    <w:jc w:val="center"/>
                    <w:textAlignment w:val="center"/>
                    <w:rPr>
                      <w:b/>
                      <w:bCs/>
                      <w:color w:val="auto"/>
                      <w:kern w:val="0"/>
                      <w:sz w:val="18"/>
                      <w:szCs w:val="18"/>
                      <w:lang w:bidi="ar"/>
                    </w:rPr>
                  </w:pPr>
                  <w:r>
                    <w:rPr>
                      <w:b/>
                      <w:bCs/>
                      <w:color w:val="auto"/>
                      <w:kern w:val="0"/>
                      <w:sz w:val="18"/>
                      <w:szCs w:val="18"/>
                      <w:lang w:bidi="ar"/>
                    </w:rPr>
                    <w:t>处理效率</w:t>
                  </w:r>
                </w:p>
              </w:tc>
              <w:tc>
                <w:tcPr>
                  <w:tcW w:w="2042" w:type="dxa"/>
                  <w:gridSpan w:val="3"/>
                  <w:noWrap w:val="0"/>
                  <w:vAlign w:val="center"/>
                </w:tcPr>
                <w:p w14:paraId="7CE3E2AD">
                  <w:pPr>
                    <w:widowControl/>
                    <w:spacing w:line="240" w:lineRule="auto"/>
                    <w:jc w:val="center"/>
                    <w:textAlignment w:val="center"/>
                    <w:rPr>
                      <w:b/>
                      <w:bCs/>
                      <w:color w:val="auto"/>
                      <w:kern w:val="0"/>
                      <w:sz w:val="18"/>
                      <w:szCs w:val="18"/>
                      <w:lang w:bidi="ar"/>
                    </w:rPr>
                  </w:pPr>
                  <w:r>
                    <w:rPr>
                      <w:b/>
                      <w:bCs/>
                      <w:color w:val="auto"/>
                      <w:kern w:val="0"/>
                      <w:sz w:val="18"/>
                      <w:szCs w:val="18"/>
                      <w:lang w:bidi="ar"/>
                    </w:rPr>
                    <w:t>排放情况</w:t>
                  </w:r>
                </w:p>
              </w:tc>
              <w:tc>
                <w:tcPr>
                  <w:tcW w:w="1323" w:type="dxa"/>
                  <w:gridSpan w:val="2"/>
                  <w:noWrap w:val="0"/>
                  <w:vAlign w:val="center"/>
                </w:tcPr>
                <w:p w14:paraId="5E8BAFB9">
                  <w:pPr>
                    <w:widowControl/>
                    <w:spacing w:line="240" w:lineRule="auto"/>
                    <w:jc w:val="center"/>
                    <w:textAlignment w:val="center"/>
                    <w:rPr>
                      <w:b/>
                      <w:bCs/>
                      <w:color w:val="auto"/>
                      <w:kern w:val="0"/>
                      <w:sz w:val="18"/>
                      <w:szCs w:val="18"/>
                      <w:lang w:bidi="ar"/>
                    </w:rPr>
                  </w:pPr>
                  <w:r>
                    <w:rPr>
                      <w:b/>
                      <w:bCs/>
                      <w:color w:val="auto"/>
                      <w:kern w:val="0"/>
                      <w:sz w:val="18"/>
                      <w:szCs w:val="18"/>
                      <w:lang w:bidi="ar"/>
                    </w:rPr>
                    <w:t>排放标准</w:t>
                  </w:r>
                </w:p>
              </w:tc>
            </w:tr>
            <w:tr w14:paraId="278776C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783" w:type="dxa"/>
                  <w:vMerge w:val="continue"/>
                  <w:noWrap w:val="0"/>
                  <w:vAlign w:val="center"/>
                </w:tcPr>
                <w:p w14:paraId="55CC2F01">
                  <w:pPr>
                    <w:widowControl/>
                    <w:spacing w:line="240" w:lineRule="auto"/>
                    <w:jc w:val="center"/>
                    <w:textAlignment w:val="center"/>
                    <w:rPr>
                      <w:b/>
                      <w:bCs/>
                      <w:color w:val="auto"/>
                      <w:kern w:val="0"/>
                      <w:sz w:val="18"/>
                      <w:szCs w:val="18"/>
                      <w:lang w:bidi="ar"/>
                    </w:rPr>
                  </w:pPr>
                </w:p>
              </w:tc>
              <w:tc>
                <w:tcPr>
                  <w:tcW w:w="700" w:type="dxa"/>
                  <w:vMerge w:val="continue"/>
                  <w:noWrap w:val="0"/>
                  <w:vAlign w:val="center"/>
                </w:tcPr>
                <w:p w14:paraId="4FC3AF19">
                  <w:pPr>
                    <w:widowControl/>
                    <w:spacing w:line="240" w:lineRule="auto"/>
                    <w:jc w:val="center"/>
                    <w:textAlignment w:val="center"/>
                    <w:rPr>
                      <w:b/>
                      <w:bCs/>
                      <w:color w:val="auto"/>
                      <w:kern w:val="0"/>
                      <w:sz w:val="18"/>
                      <w:szCs w:val="18"/>
                      <w:lang w:bidi="ar"/>
                    </w:rPr>
                  </w:pPr>
                </w:p>
              </w:tc>
              <w:tc>
                <w:tcPr>
                  <w:tcW w:w="403" w:type="dxa"/>
                  <w:vMerge w:val="continue"/>
                  <w:noWrap w:val="0"/>
                  <w:vAlign w:val="center"/>
                </w:tcPr>
                <w:p w14:paraId="19AF5095">
                  <w:pPr>
                    <w:widowControl/>
                    <w:spacing w:line="240" w:lineRule="auto"/>
                    <w:jc w:val="center"/>
                    <w:textAlignment w:val="center"/>
                    <w:rPr>
                      <w:b/>
                      <w:bCs/>
                      <w:color w:val="auto"/>
                      <w:kern w:val="0"/>
                      <w:sz w:val="18"/>
                      <w:szCs w:val="18"/>
                      <w:lang w:bidi="ar"/>
                    </w:rPr>
                  </w:pPr>
                </w:p>
              </w:tc>
              <w:tc>
                <w:tcPr>
                  <w:tcW w:w="746" w:type="dxa"/>
                  <w:noWrap w:val="0"/>
                  <w:vAlign w:val="center"/>
                </w:tcPr>
                <w:p w14:paraId="147FCC36">
                  <w:pPr>
                    <w:widowControl/>
                    <w:spacing w:line="240" w:lineRule="auto"/>
                    <w:jc w:val="center"/>
                    <w:textAlignment w:val="center"/>
                    <w:rPr>
                      <w:b/>
                      <w:bCs/>
                      <w:color w:val="auto"/>
                      <w:kern w:val="0"/>
                      <w:sz w:val="18"/>
                      <w:szCs w:val="18"/>
                      <w:lang w:bidi="ar"/>
                    </w:rPr>
                  </w:pPr>
                  <w:r>
                    <w:rPr>
                      <w:b/>
                      <w:bCs/>
                      <w:color w:val="auto"/>
                      <w:kern w:val="0"/>
                      <w:sz w:val="18"/>
                      <w:szCs w:val="18"/>
                      <w:lang w:bidi="ar"/>
                    </w:rPr>
                    <w:t>浓度mg/m³</w:t>
                  </w:r>
                </w:p>
              </w:tc>
              <w:tc>
                <w:tcPr>
                  <w:tcW w:w="647" w:type="dxa"/>
                  <w:noWrap w:val="0"/>
                  <w:vAlign w:val="center"/>
                </w:tcPr>
                <w:p w14:paraId="23ABD486">
                  <w:pPr>
                    <w:widowControl/>
                    <w:spacing w:line="240" w:lineRule="auto"/>
                    <w:jc w:val="center"/>
                    <w:textAlignment w:val="center"/>
                    <w:rPr>
                      <w:b/>
                      <w:bCs/>
                      <w:color w:val="auto"/>
                      <w:kern w:val="0"/>
                      <w:sz w:val="18"/>
                      <w:szCs w:val="18"/>
                      <w:lang w:bidi="ar"/>
                    </w:rPr>
                  </w:pPr>
                  <w:r>
                    <w:rPr>
                      <w:b/>
                      <w:bCs/>
                      <w:color w:val="auto"/>
                      <w:kern w:val="0"/>
                      <w:sz w:val="18"/>
                      <w:szCs w:val="18"/>
                      <w:lang w:bidi="ar"/>
                    </w:rPr>
                    <w:t>速率kg/h</w:t>
                  </w:r>
                </w:p>
              </w:tc>
              <w:tc>
                <w:tcPr>
                  <w:tcW w:w="748" w:type="dxa"/>
                  <w:noWrap w:val="0"/>
                  <w:vAlign w:val="center"/>
                </w:tcPr>
                <w:p w14:paraId="6B0A172A">
                  <w:pPr>
                    <w:widowControl/>
                    <w:spacing w:line="240" w:lineRule="auto"/>
                    <w:jc w:val="center"/>
                    <w:textAlignment w:val="center"/>
                    <w:rPr>
                      <w:b/>
                      <w:bCs/>
                      <w:color w:val="auto"/>
                      <w:kern w:val="0"/>
                      <w:sz w:val="18"/>
                      <w:szCs w:val="18"/>
                      <w:lang w:bidi="ar"/>
                    </w:rPr>
                  </w:pPr>
                  <w:r>
                    <w:rPr>
                      <w:b/>
                      <w:bCs/>
                      <w:color w:val="auto"/>
                      <w:kern w:val="0"/>
                      <w:sz w:val="18"/>
                      <w:szCs w:val="18"/>
                      <w:lang w:bidi="ar"/>
                    </w:rPr>
                    <w:t>产生量t/a</w:t>
                  </w:r>
                </w:p>
              </w:tc>
              <w:tc>
                <w:tcPr>
                  <w:tcW w:w="565" w:type="dxa"/>
                  <w:vMerge w:val="continue"/>
                  <w:noWrap w:val="0"/>
                  <w:vAlign w:val="center"/>
                </w:tcPr>
                <w:p w14:paraId="6D58C8A3">
                  <w:pPr>
                    <w:widowControl/>
                    <w:spacing w:line="240" w:lineRule="auto"/>
                    <w:jc w:val="center"/>
                    <w:textAlignment w:val="center"/>
                    <w:rPr>
                      <w:b/>
                      <w:bCs/>
                      <w:color w:val="auto"/>
                      <w:kern w:val="0"/>
                      <w:sz w:val="18"/>
                      <w:szCs w:val="18"/>
                      <w:lang w:bidi="ar"/>
                    </w:rPr>
                  </w:pPr>
                </w:p>
              </w:tc>
              <w:tc>
                <w:tcPr>
                  <w:tcW w:w="745" w:type="dxa"/>
                  <w:noWrap w:val="0"/>
                  <w:vAlign w:val="center"/>
                </w:tcPr>
                <w:p w14:paraId="29A69348">
                  <w:pPr>
                    <w:widowControl/>
                    <w:spacing w:line="240" w:lineRule="auto"/>
                    <w:jc w:val="center"/>
                    <w:textAlignment w:val="center"/>
                    <w:rPr>
                      <w:b/>
                      <w:bCs/>
                      <w:color w:val="auto"/>
                      <w:kern w:val="0"/>
                      <w:sz w:val="18"/>
                      <w:szCs w:val="18"/>
                      <w:lang w:bidi="ar"/>
                    </w:rPr>
                  </w:pPr>
                  <w:r>
                    <w:rPr>
                      <w:b/>
                      <w:bCs/>
                      <w:color w:val="auto"/>
                      <w:kern w:val="0"/>
                      <w:sz w:val="18"/>
                      <w:szCs w:val="18"/>
                      <w:lang w:bidi="ar"/>
                    </w:rPr>
                    <w:t>浓度mg/m³</w:t>
                  </w:r>
                </w:p>
              </w:tc>
              <w:tc>
                <w:tcPr>
                  <w:tcW w:w="643" w:type="dxa"/>
                  <w:noWrap w:val="0"/>
                  <w:vAlign w:val="center"/>
                </w:tcPr>
                <w:p w14:paraId="14374D54">
                  <w:pPr>
                    <w:widowControl/>
                    <w:spacing w:line="240" w:lineRule="auto"/>
                    <w:jc w:val="center"/>
                    <w:textAlignment w:val="center"/>
                    <w:rPr>
                      <w:b/>
                      <w:bCs/>
                      <w:color w:val="auto"/>
                      <w:kern w:val="0"/>
                      <w:sz w:val="18"/>
                      <w:szCs w:val="18"/>
                      <w:lang w:bidi="ar"/>
                    </w:rPr>
                  </w:pPr>
                  <w:r>
                    <w:rPr>
                      <w:b/>
                      <w:bCs/>
                      <w:color w:val="auto"/>
                      <w:kern w:val="0"/>
                      <w:sz w:val="18"/>
                      <w:szCs w:val="18"/>
                      <w:lang w:bidi="ar"/>
                    </w:rPr>
                    <w:t>速率kg/h</w:t>
                  </w:r>
                </w:p>
              </w:tc>
              <w:tc>
                <w:tcPr>
                  <w:tcW w:w="654" w:type="dxa"/>
                  <w:noWrap w:val="0"/>
                  <w:vAlign w:val="center"/>
                </w:tcPr>
                <w:p w14:paraId="60DFA760">
                  <w:pPr>
                    <w:widowControl/>
                    <w:spacing w:line="240" w:lineRule="auto"/>
                    <w:jc w:val="center"/>
                    <w:textAlignment w:val="center"/>
                    <w:rPr>
                      <w:b/>
                      <w:bCs/>
                      <w:color w:val="auto"/>
                      <w:kern w:val="0"/>
                      <w:sz w:val="18"/>
                      <w:szCs w:val="18"/>
                      <w:lang w:bidi="ar"/>
                    </w:rPr>
                  </w:pPr>
                  <w:r>
                    <w:rPr>
                      <w:b/>
                      <w:bCs/>
                      <w:color w:val="auto"/>
                      <w:kern w:val="0"/>
                      <w:sz w:val="18"/>
                      <w:szCs w:val="18"/>
                      <w:lang w:bidi="ar"/>
                    </w:rPr>
                    <w:t>排放量t/a</w:t>
                  </w:r>
                </w:p>
              </w:tc>
              <w:tc>
                <w:tcPr>
                  <w:tcW w:w="724" w:type="dxa"/>
                  <w:noWrap w:val="0"/>
                  <w:vAlign w:val="center"/>
                </w:tcPr>
                <w:p w14:paraId="6859464B">
                  <w:pPr>
                    <w:widowControl/>
                    <w:spacing w:line="240" w:lineRule="auto"/>
                    <w:jc w:val="center"/>
                    <w:textAlignment w:val="center"/>
                    <w:rPr>
                      <w:b/>
                      <w:bCs/>
                      <w:color w:val="auto"/>
                      <w:kern w:val="0"/>
                      <w:sz w:val="18"/>
                      <w:szCs w:val="18"/>
                      <w:lang w:bidi="ar"/>
                    </w:rPr>
                  </w:pPr>
                  <w:r>
                    <w:rPr>
                      <w:b/>
                      <w:bCs/>
                      <w:color w:val="auto"/>
                      <w:kern w:val="0"/>
                      <w:sz w:val="18"/>
                      <w:szCs w:val="18"/>
                      <w:lang w:bidi="ar"/>
                    </w:rPr>
                    <w:t>浓度mg/m³</w:t>
                  </w:r>
                </w:p>
              </w:tc>
              <w:tc>
                <w:tcPr>
                  <w:tcW w:w="599" w:type="dxa"/>
                  <w:noWrap w:val="0"/>
                  <w:vAlign w:val="center"/>
                </w:tcPr>
                <w:p w14:paraId="41A70F5E">
                  <w:pPr>
                    <w:widowControl/>
                    <w:spacing w:line="240" w:lineRule="auto"/>
                    <w:jc w:val="both"/>
                    <w:textAlignment w:val="center"/>
                    <w:rPr>
                      <w:b/>
                      <w:bCs/>
                      <w:color w:val="auto"/>
                      <w:kern w:val="0"/>
                      <w:sz w:val="18"/>
                      <w:szCs w:val="18"/>
                      <w:lang w:bidi="ar"/>
                    </w:rPr>
                  </w:pPr>
                  <w:r>
                    <w:rPr>
                      <w:b/>
                      <w:bCs/>
                      <w:color w:val="auto"/>
                      <w:kern w:val="0"/>
                      <w:sz w:val="18"/>
                      <w:szCs w:val="18"/>
                      <w:lang w:bidi="ar"/>
                    </w:rPr>
                    <w:t>速率kg/h</w:t>
                  </w:r>
                </w:p>
              </w:tc>
            </w:tr>
            <w:tr w14:paraId="4C6F611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708" w:hRule="atLeast"/>
              </w:trPr>
              <w:tc>
                <w:tcPr>
                  <w:tcW w:w="783" w:type="dxa"/>
                  <w:noWrap w:val="0"/>
                  <w:vAlign w:val="center"/>
                </w:tcPr>
                <w:p w14:paraId="0D79F50A">
                  <w:pPr>
                    <w:widowControl/>
                    <w:spacing w:line="240" w:lineRule="auto"/>
                    <w:jc w:val="center"/>
                    <w:textAlignment w:val="center"/>
                    <w:rPr>
                      <w:color w:val="auto"/>
                      <w:kern w:val="0"/>
                      <w:sz w:val="18"/>
                      <w:szCs w:val="18"/>
                      <w:lang w:bidi="ar"/>
                    </w:rPr>
                  </w:pPr>
                  <w:r>
                    <w:rPr>
                      <w:color w:val="auto"/>
                      <w:kern w:val="0"/>
                      <w:sz w:val="18"/>
                      <w:szCs w:val="18"/>
                      <w:lang w:bidi="ar"/>
                    </w:rPr>
                    <w:t>DA001</w:t>
                  </w:r>
                </w:p>
              </w:tc>
              <w:tc>
                <w:tcPr>
                  <w:tcW w:w="700" w:type="dxa"/>
                  <w:noWrap w:val="0"/>
                  <w:vAlign w:val="center"/>
                </w:tcPr>
                <w:p w14:paraId="2CE6AD20">
                  <w:pPr>
                    <w:widowControl/>
                    <w:spacing w:line="240" w:lineRule="auto"/>
                    <w:jc w:val="center"/>
                    <w:textAlignment w:val="center"/>
                    <w:rPr>
                      <w:color w:val="auto"/>
                      <w:kern w:val="0"/>
                      <w:sz w:val="18"/>
                      <w:szCs w:val="18"/>
                      <w:lang w:bidi="ar"/>
                    </w:rPr>
                  </w:pPr>
                  <w:r>
                    <w:rPr>
                      <w:color w:val="auto"/>
                      <w:kern w:val="0"/>
                      <w:sz w:val="18"/>
                      <w:szCs w:val="18"/>
                      <w:lang w:bidi="ar"/>
                    </w:rPr>
                    <w:t>10000</w:t>
                  </w:r>
                </w:p>
              </w:tc>
              <w:tc>
                <w:tcPr>
                  <w:tcW w:w="403" w:type="dxa"/>
                  <w:noWrap w:val="0"/>
                  <w:vAlign w:val="center"/>
                </w:tcPr>
                <w:p w14:paraId="402B7668">
                  <w:pPr>
                    <w:widowControl/>
                    <w:spacing w:line="240" w:lineRule="auto"/>
                    <w:jc w:val="center"/>
                    <w:textAlignment w:val="center"/>
                    <w:rPr>
                      <w:color w:val="auto"/>
                      <w:kern w:val="0"/>
                      <w:sz w:val="18"/>
                      <w:szCs w:val="18"/>
                      <w:lang w:bidi="ar"/>
                    </w:rPr>
                  </w:pPr>
                  <w:r>
                    <w:rPr>
                      <w:color w:val="auto"/>
                      <w:kern w:val="0"/>
                      <w:sz w:val="18"/>
                      <w:szCs w:val="18"/>
                      <w:lang w:bidi="ar"/>
                    </w:rPr>
                    <w:t>颗粒物</w:t>
                  </w:r>
                </w:p>
              </w:tc>
              <w:tc>
                <w:tcPr>
                  <w:tcW w:w="746" w:type="dxa"/>
                  <w:noWrap w:val="0"/>
                  <w:vAlign w:val="center"/>
                </w:tcPr>
                <w:p w14:paraId="6AEB50D5">
                  <w:pPr>
                    <w:widowControl/>
                    <w:spacing w:line="240" w:lineRule="auto"/>
                    <w:jc w:val="center"/>
                    <w:textAlignment w:val="center"/>
                    <w:rPr>
                      <w:rFonts w:hint="default" w:eastAsia="宋体"/>
                      <w:color w:val="auto"/>
                      <w:kern w:val="0"/>
                      <w:sz w:val="18"/>
                      <w:szCs w:val="18"/>
                      <w:lang w:val="en-US" w:eastAsia="zh-CN" w:bidi="ar"/>
                    </w:rPr>
                  </w:pPr>
                  <w:r>
                    <w:rPr>
                      <w:color w:val="auto"/>
                      <w:kern w:val="0"/>
                      <w:sz w:val="18"/>
                      <w:szCs w:val="18"/>
                      <w:lang w:bidi="ar"/>
                    </w:rPr>
                    <w:t xml:space="preserve"> </w:t>
                  </w:r>
                  <w:r>
                    <w:rPr>
                      <w:rFonts w:hint="eastAsia"/>
                      <w:color w:val="auto"/>
                      <w:kern w:val="0"/>
                      <w:sz w:val="18"/>
                      <w:szCs w:val="18"/>
                      <w:lang w:val="en-US" w:eastAsia="zh-CN" w:bidi="ar"/>
                    </w:rPr>
                    <w:t>1020</w:t>
                  </w:r>
                </w:p>
              </w:tc>
              <w:tc>
                <w:tcPr>
                  <w:tcW w:w="647" w:type="dxa"/>
                  <w:noWrap w:val="0"/>
                  <w:vAlign w:val="center"/>
                </w:tcPr>
                <w:p w14:paraId="190C0F6E">
                  <w:pPr>
                    <w:widowControl/>
                    <w:spacing w:line="240" w:lineRule="auto"/>
                    <w:jc w:val="center"/>
                    <w:textAlignment w:val="center"/>
                    <w:rPr>
                      <w:rFonts w:hint="default" w:eastAsia="宋体"/>
                      <w:color w:val="auto"/>
                      <w:kern w:val="0"/>
                      <w:sz w:val="18"/>
                      <w:szCs w:val="18"/>
                      <w:lang w:val="en-US" w:eastAsia="zh-CN" w:bidi="ar"/>
                    </w:rPr>
                  </w:pPr>
                  <w:r>
                    <w:rPr>
                      <w:rFonts w:hint="eastAsia"/>
                      <w:color w:val="auto"/>
                      <w:kern w:val="0"/>
                      <w:sz w:val="18"/>
                      <w:szCs w:val="18"/>
                      <w:lang w:val="en-US" w:eastAsia="zh-CN" w:bidi="ar"/>
                    </w:rPr>
                    <w:t>10.2</w:t>
                  </w:r>
                </w:p>
              </w:tc>
              <w:tc>
                <w:tcPr>
                  <w:tcW w:w="748" w:type="dxa"/>
                  <w:noWrap w:val="0"/>
                  <w:vAlign w:val="center"/>
                </w:tcPr>
                <w:p w14:paraId="470BB4BB">
                  <w:pPr>
                    <w:widowControl/>
                    <w:spacing w:line="240" w:lineRule="auto"/>
                    <w:jc w:val="center"/>
                    <w:textAlignment w:val="center"/>
                    <w:rPr>
                      <w:rFonts w:hint="default" w:eastAsia="宋体"/>
                      <w:color w:val="auto"/>
                      <w:kern w:val="0"/>
                      <w:sz w:val="18"/>
                      <w:szCs w:val="18"/>
                      <w:lang w:val="en-US" w:eastAsia="zh-CN" w:bidi="ar"/>
                    </w:rPr>
                  </w:pPr>
                  <w:r>
                    <w:rPr>
                      <w:rFonts w:hint="eastAsia"/>
                      <w:color w:val="auto"/>
                      <w:kern w:val="0"/>
                      <w:sz w:val="18"/>
                      <w:szCs w:val="18"/>
                      <w:lang w:val="en-US" w:eastAsia="zh-CN" w:bidi="ar"/>
                    </w:rPr>
                    <w:t>9.18</w:t>
                  </w:r>
                  <w:r>
                    <w:rPr>
                      <w:color w:val="auto"/>
                      <w:kern w:val="0"/>
                      <w:sz w:val="18"/>
                      <w:szCs w:val="18"/>
                      <w:lang w:bidi="ar"/>
                    </w:rPr>
                    <w:t xml:space="preserve"> </w:t>
                  </w:r>
                </w:p>
              </w:tc>
              <w:tc>
                <w:tcPr>
                  <w:tcW w:w="565" w:type="dxa"/>
                  <w:noWrap w:val="0"/>
                  <w:vAlign w:val="center"/>
                </w:tcPr>
                <w:p w14:paraId="084D3B6A">
                  <w:pPr>
                    <w:widowControl/>
                    <w:spacing w:line="240" w:lineRule="auto"/>
                    <w:jc w:val="center"/>
                    <w:textAlignment w:val="center"/>
                    <w:rPr>
                      <w:color w:val="auto"/>
                      <w:kern w:val="0"/>
                      <w:sz w:val="18"/>
                      <w:szCs w:val="18"/>
                      <w:lang w:bidi="ar"/>
                    </w:rPr>
                  </w:pPr>
                  <w:r>
                    <w:rPr>
                      <w:color w:val="auto"/>
                      <w:kern w:val="0"/>
                      <w:sz w:val="18"/>
                      <w:szCs w:val="18"/>
                      <w:lang w:bidi="ar"/>
                    </w:rPr>
                    <w:t>99%</w:t>
                  </w:r>
                </w:p>
              </w:tc>
              <w:tc>
                <w:tcPr>
                  <w:tcW w:w="745" w:type="dxa"/>
                  <w:noWrap w:val="0"/>
                  <w:vAlign w:val="center"/>
                </w:tcPr>
                <w:p w14:paraId="03970E52">
                  <w:pPr>
                    <w:widowControl/>
                    <w:spacing w:line="240" w:lineRule="auto"/>
                    <w:jc w:val="center"/>
                    <w:textAlignment w:val="center"/>
                    <w:rPr>
                      <w:rFonts w:hint="default" w:eastAsia="宋体"/>
                      <w:color w:val="auto"/>
                      <w:kern w:val="0"/>
                      <w:sz w:val="18"/>
                      <w:szCs w:val="18"/>
                      <w:lang w:val="en-US" w:eastAsia="zh-CN" w:bidi="ar"/>
                    </w:rPr>
                  </w:pPr>
                  <w:r>
                    <w:rPr>
                      <w:rFonts w:hint="eastAsia"/>
                      <w:color w:val="auto"/>
                      <w:kern w:val="0"/>
                      <w:sz w:val="18"/>
                      <w:szCs w:val="18"/>
                      <w:lang w:val="en-US" w:eastAsia="zh-CN" w:bidi="ar"/>
                    </w:rPr>
                    <w:t>10.2</w:t>
                  </w:r>
                </w:p>
              </w:tc>
              <w:tc>
                <w:tcPr>
                  <w:tcW w:w="643" w:type="dxa"/>
                  <w:noWrap w:val="0"/>
                  <w:vAlign w:val="center"/>
                </w:tcPr>
                <w:p w14:paraId="279B87B8">
                  <w:pPr>
                    <w:widowControl/>
                    <w:spacing w:line="240" w:lineRule="auto"/>
                    <w:jc w:val="center"/>
                    <w:textAlignment w:val="center"/>
                    <w:rPr>
                      <w:rFonts w:hint="default" w:eastAsia="宋体"/>
                      <w:color w:val="auto"/>
                      <w:kern w:val="0"/>
                      <w:sz w:val="18"/>
                      <w:szCs w:val="18"/>
                      <w:lang w:val="en-US" w:eastAsia="zh-CN" w:bidi="ar"/>
                    </w:rPr>
                  </w:pPr>
                  <w:r>
                    <w:rPr>
                      <w:rFonts w:hint="eastAsia"/>
                      <w:color w:val="auto"/>
                      <w:kern w:val="0"/>
                      <w:sz w:val="18"/>
                      <w:szCs w:val="18"/>
                      <w:lang w:val="en-US" w:eastAsia="zh-CN" w:bidi="ar"/>
                    </w:rPr>
                    <w:t>0.102</w:t>
                  </w:r>
                </w:p>
              </w:tc>
              <w:tc>
                <w:tcPr>
                  <w:tcW w:w="654" w:type="dxa"/>
                  <w:noWrap w:val="0"/>
                  <w:vAlign w:val="center"/>
                </w:tcPr>
                <w:p w14:paraId="6C71DF11">
                  <w:pPr>
                    <w:widowControl/>
                    <w:spacing w:line="240" w:lineRule="auto"/>
                    <w:jc w:val="center"/>
                    <w:textAlignment w:val="center"/>
                    <w:rPr>
                      <w:color w:val="auto"/>
                      <w:kern w:val="0"/>
                      <w:sz w:val="18"/>
                      <w:szCs w:val="18"/>
                      <w:lang w:bidi="ar"/>
                    </w:rPr>
                  </w:pPr>
                  <w:r>
                    <w:rPr>
                      <w:rFonts w:hint="eastAsia"/>
                      <w:color w:val="auto"/>
                      <w:kern w:val="0"/>
                      <w:sz w:val="18"/>
                      <w:szCs w:val="18"/>
                      <w:lang w:val="en-US" w:eastAsia="zh-CN" w:bidi="ar"/>
                    </w:rPr>
                    <w:t>0.092</w:t>
                  </w:r>
                  <w:r>
                    <w:rPr>
                      <w:color w:val="auto"/>
                      <w:kern w:val="0"/>
                      <w:sz w:val="18"/>
                      <w:szCs w:val="18"/>
                      <w:lang w:bidi="ar"/>
                    </w:rPr>
                    <w:t xml:space="preserve"> </w:t>
                  </w:r>
                </w:p>
              </w:tc>
              <w:tc>
                <w:tcPr>
                  <w:tcW w:w="724" w:type="dxa"/>
                  <w:noWrap/>
                  <w:vAlign w:val="center"/>
                </w:tcPr>
                <w:p w14:paraId="19874285">
                  <w:pPr>
                    <w:widowControl/>
                    <w:spacing w:line="240" w:lineRule="auto"/>
                    <w:jc w:val="center"/>
                    <w:textAlignment w:val="center"/>
                    <w:rPr>
                      <w:color w:val="auto"/>
                      <w:kern w:val="0"/>
                      <w:sz w:val="18"/>
                      <w:szCs w:val="18"/>
                      <w:lang w:bidi="ar"/>
                    </w:rPr>
                  </w:pPr>
                  <w:r>
                    <w:rPr>
                      <w:rFonts w:hint="eastAsia"/>
                      <w:color w:val="auto"/>
                      <w:kern w:val="0"/>
                      <w:sz w:val="18"/>
                      <w:szCs w:val="18"/>
                      <w:lang w:val="en-US" w:eastAsia="zh-CN" w:bidi="ar"/>
                    </w:rPr>
                    <w:t>20</w:t>
                  </w:r>
                  <w:r>
                    <w:rPr>
                      <w:color w:val="auto"/>
                      <w:kern w:val="0"/>
                      <w:sz w:val="18"/>
                      <w:szCs w:val="18"/>
                      <w:lang w:bidi="ar"/>
                    </w:rPr>
                    <w:t xml:space="preserve"> </w:t>
                  </w:r>
                </w:p>
              </w:tc>
              <w:tc>
                <w:tcPr>
                  <w:tcW w:w="599" w:type="dxa"/>
                  <w:noWrap w:val="0"/>
                  <w:vAlign w:val="center"/>
                </w:tcPr>
                <w:p w14:paraId="4F1750FB">
                  <w:pPr>
                    <w:widowControl/>
                    <w:spacing w:line="240" w:lineRule="auto"/>
                    <w:jc w:val="center"/>
                    <w:textAlignment w:val="center"/>
                    <w:rPr>
                      <w:rFonts w:hint="default" w:eastAsia="宋体"/>
                      <w:color w:val="auto"/>
                      <w:kern w:val="0"/>
                      <w:sz w:val="18"/>
                      <w:szCs w:val="18"/>
                      <w:lang w:val="en-US" w:eastAsia="zh-CN" w:bidi="ar"/>
                    </w:rPr>
                  </w:pPr>
                  <w:r>
                    <w:rPr>
                      <w:rFonts w:hint="eastAsia"/>
                      <w:color w:val="auto"/>
                      <w:kern w:val="0"/>
                      <w:sz w:val="18"/>
                      <w:szCs w:val="18"/>
                      <w:lang w:val="en-US" w:eastAsia="zh-CN" w:bidi="ar"/>
                    </w:rPr>
                    <w:t>3.5</w:t>
                  </w:r>
                </w:p>
              </w:tc>
            </w:tr>
            <w:tr w14:paraId="0780D0A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783" w:type="dxa"/>
                  <w:noWrap w:val="0"/>
                  <w:vAlign w:val="center"/>
                </w:tcPr>
                <w:p w14:paraId="262137BB">
                  <w:pPr>
                    <w:widowControl/>
                    <w:spacing w:line="240" w:lineRule="auto"/>
                    <w:jc w:val="center"/>
                    <w:textAlignment w:val="center"/>
                    <w:rPr>
                      <w:color w:val="auto"/>
                      <w:kern w:val="0"/>
                      <w:sz w:val="18"/>
                      <w:szCs w:val="18"/>
                      <w:lang w:bidi="ar"/>
                    </w:rPr>
                  </w:pPr>
                  <w:r>
                    <w:rPr>
                      <w:color w:val="auto"/>
                      <w:kern w:val="0"/>
                      <w:sz w:val="18"/>
                      <w:szCs w:val="18"/>
                      <w:lang w:bidi="ar"/>
                    </w:rPr>
                    <w:t>无组织</w:t>
                  </w:r>
                </w:p>
              </w:tc>
              <w:tc>
                <w:tcPr>
                  <w:tcW w:w="700" w:type="dxa"/>
                  <w:noWrap w:val="0"/>
                  <w:vAlign w:val="center"/>
                </w:tcPr>
                <w:p w14:paraId="7F11CB92">
                  <w:pPr>
                    <w:widowControl/>
                    <w:spacing w:line="240" w:lineRule="auto"/>
                    <w:jc w:val="center"/>
                    <w:textAlignment w:val="center"/>
                    <w:rPr>
                      <w:color w:val="auto"/>
                      <w:kern w:val="0"/>
                      <w:sz w:val="18"/>
                      <w:szCs w:val="18"/>
                      <w:lang w:bidi="ar"/>
                    </w:rPr>
                  </w:pPr>
                  <w:r>
                    <w:rPr>
                      <w:color w:val="auto"/>
                      <w:kern w:val="0"/>
                      <w:sz w:val="18"/>
                      <w:szCs w:val="18"/>
                      <w:lang w:bidi="ar"/>
                    </w:rPr>
                    <w:t>/</w:t>
                  </w:r>
                </w:p>
              </w:tc>
              <w:tc>
                <w:tcPr>
                  <w:tcW w:w="403" w:type="dxa"/>
                  <w:noWrap w:val="0"/>
                  <w:vAlign w:val="center"/>
                </w:tcPr>
                <w:p w14:paraId="7B5C982B">
                  <w:pPr>
                    <w:widowControl/>
                    <w:spacing w:line="240" w:lineRule="auto"/>
                    <w:jc w:val="center"/>
                    <w:textAlignment w:val="center"/>
                    <w:rPr>
                      <w:color w:val="auto"/>
                      <w:kern w:val="0"/>
                      <w:sz w:val="18"/>
                      <w:szCs w:val="18"/>
                      <w:lang w:bidi="ar"/>
                    </w:rPr>
                  </w:pPr>
                  <w:r>
                    <w:rPr>
                      <w:color w:val="auto"/>
                      <w:kern w:val="0"/>
                      <w:sz w:val="18"/>
                      <w:szCs w:val="18"/>
                      <w:lang w:bidi="ar"/>
                    </w:rPr>
                    <w:t>颗粒物</w:t>
                  </w:r>
                </w:p>
              </w:tc>
              <w:tc>
                <w:tcPr>
                  <w:tcW w:w="746" w:type="dxa"/>
                  <w:noWrap w:val="0"/>
                  <w:vAlign w:val="center"/>
                </w:tcPr>
                <w:p w14:paraId="5A9B90DF">
                  <w:pPr>
                    <w:widowControl/>
                    <w:spacing w:line="240" w:lineRule="auto"/>
                    <w:jc w:val="center"/>
                    <w:textAlignment w:val="center"/>
                    <w:rPr>
                      <w:color w:val="auto"/>
                      <w:kern w:val="0"/>
                      <w:sz w:val="18"/>
                      <w:szCs w:val="18"/>
                      <w:lang w:bidi="ar"/>
                    </w:rPr>
                  </w:pPr>
                  <w:r>
                    <w:rPr>
                      <w:color w:val="auto"/>
                      <w:kern w:val="0"/>
                      <w:sz w:val="18"/>
                      <w:szCs w:val="18"/>
                      <w:lang w:bidi="ar"/>
                    </w:rPr>
                    <w:t>/</w:t>
                  </w:r>
                </w:p>
              </w:tc>
              <w:tc>
                <w:tcPr>
                  <w:tcW w:w="647" w:type="dxa"/>
                  <w:noWrap w:val="0"/>
                  <w:vAlign w:val="center"/>
                </w:tcPr>
                <w:p w14:paraId="1E0AA9A5">
                  <w:pPr>
                    <w:widowControl/>
                    <w:spacing w:line="240" w:lineRule="auto"/>
                    <w:jc w:val="center"/>
                    <w:textAlignment w:val="center"/>
                    <w:rPr>
                      <w:color w:val="auto"/>
                      <w:kern w:val="0"/>
                      <w:sz w:val="18"/>
                      <w:szCs w:val="18"/>
                      <w:lang w:bidi="ar"/>
                    </w:rPr>
                  </w:pPr>
                  <w:r>
                    <w:rPr>
                      <w:rFonts w:hint="eastAsia"/>
                      <w:color w:val="auto"/>
                      <w:kern w:val="0"/>
                      <w:sz w:val="18"/>
                      <w:szCs w:val="18"/>
                      <w:lang w:val="en-US" w:eastAsia="zh-CN" w:bidi="ar"/>
                    </w:rPr>
                    <w:t>1.13</w:t>
                  </w:r>
                  <w:r>
                    <w:rPr>
                      <w:color w:val="auto"/>
                      <w:kern w:val="0"/>
                      <w:sz w:val="18"/>
                      <w:szCs w:val="18"/>
                      <w:lang w:bidi="ar"/>
                    </w:rPr>
                    <w:t xml:space="preserve"> </w:t>
                  </w:r>
                </w:p>
              </w:tc>
              <w:tc>
                <w:tcPr>
                  <w:tcW w:w="748" w:type="dxa"/>
                  <w:noWrap w:val="0"/>
                  <w:vAlign w:val="center"/>
                </w:tcPr>
                <w:p w14:paraId="61959558">
                  <w:pPr>
                    <w:widowControl/>
                    <w:spacing w:line="240" w:lineRule="auto"/>
                    <w:jc w:val="center"/>
                    <w:textAlignment w:val="center"/>
                    <w:rPr>
                      <w:rFonts w:hint="default" w:eastAsia="宋体"/>
                      <w:color w:val="auto"/>
                      <w:kern w:val="0"/>
                      <w:sz w:val="18"/>
                      <w:szCs w:val="18"/>
                      <w:lang w:val="en-US" w:eastAsia="zh-CN" w:bidi="ar"/>
                    </w:rPr>
                  </w:pPr>
                  <w:r>
                    <w:rPr>
                      <w:rFonts w:hint="eastAsia"/>
                      <w:color w:val="auto"/>
                      <w:kern w:val="0"/>
                      <w:sz w:val="18"/>
                      <w:szCs w:val="18"/>
                      <w:lang w:val="en-US" w:eastAsia="zh-CN" w:bidi="ar"/>
                    </w:rPr>
                    <w:t>1.02</w:t>
                  </w:r>
                </w:p>
              </w:tc>
              <w:tc>
                <w:tcPr>
                  <w:tcW w:w="565" w:type="dxa"/>
                  <w:noWrap w:val="0"/>
                  <w:vAlign w:val="center"/>
                </w:tcPr>
                <w:p w14:paraId="0B476449">
                  <w:pPr>
                    <w:widowControl/>
                    <w:spacing w:line="240" w:lineRule="auto"/>
                    <w:jc w:val="center"/>
                    <w:textAlignment w:val="center"/>
                    <w:rPr>
                      <w:color w:val="auto"/>
                      <w:kern w:val="0"/>
                      <w:sz w:val="18"/>
                      <w:szCs w:val="18"/>
                      <w:lang w:bidi="ar"/>
                    </w:rPr>
                  </w:pPr>
                  <w:r>
                    <w:rPr>
                      <w:color w:val="auto"/>
                      <w:kern w:val="0"/>
                      <w:sz w:val="18"/>
                      <w:szCs w:val="18"/>
                      <w:lang w:bidi="ar"/>
                    </w:rPr>
                    <w:t>/</w:t>
                  </w:r>
                </w:p>
              </w:tc>
              <w:tc>
                <w:tcPr>
                  <w:tcW w:w="745" w:type="dxa"/>
                  <w:noWrap w:val="0"/>
                  <w:vAlign w:val="center"/>
                </w:tcPr>
                <w:p w14:paraId="3BA52D7F">
                  <w:pPr>
                    <w:widowControl/>
                    <w:spacing w:line="240" w:lineRule="auto"/>
                    <w:jc w:val="center"/>
                    <w:textAlignment w:val="center"/>
                    <w:rPr>
                      <w:color w:val="auto"/>
                      <w:kern w:val="0"/>
                      <w:sz w:val="18"/>
                      <w:szCs w:val="18"/>
                      <w:lang w:bidi="ar"/>
                    </w:rPr>
                  </w:pPr>
                  <w:r>
                    <w:rPr>
                      <w:color w:val="auto"/>
                      <w:kern w:val="0"/>
                      <w:sz w:val="18"/>
                      <w:szCs w:val="18"/>
                      <w:lang w:bidi="ar"/>
                    </w:rPr>
                    <w:t>/</w:t>
                  </w:r>
                </w:p>
              </w:tc>
              <w:tc>
                <w:tcPr>
                  <w:tcW w:w="643" w:type="dxa"/>
                  <w:noWrap w:val="0"/>
                  <w:vAlign w:val="center"/>
                </w:tcPr>
                <w:p w14:paraId="133D1094">
                  <w:pPr>
                    <w:widowControl/>
                    <w:spacing w:line="240" w:lineRule="auto"/>
                    <w:jc w:val="center"/>
                    <w:textAlignment w:val="center"/>
                    <w:rPr>
                      <w:color w:val="auto"/>
                      <w:kern w:val="0"/>
                      <w:sz w:val="18"/>
                      <w:szCs w:val="18"/>
                      <w:lang w:bidi="ar"/>
                    </w:rPr>
                  </w:pPr>
                  <w:r>
                    <w:rPr>
                      <w:rFonts w:hint="eastAsia"/>
                      <w:color w:val="auto"/>
                      <w:kern w:val="0"/>
                      <w:sz w:val="18"/>
                      <w:szCs w:val="18"/>
                      <w:lang w:val="en-US" w:eastAsia="zh-CN" w:bidi="ar"/>
                    </w:rPr>
                    <w:t>0.453</w:t>
                  </w:r>
                  <w:r>
                    <w:rPr>
                      <w:color w:val="auto"/>
                      <w:kern w:val="0"/>
                      <w:sz w:val="18"/>
                      <w:szCs w:val="18"/>
                      <w:lang w:bidi="ar"/>
                    </w:rPr>
                    <w:t xml:space="preserve"> </w:t>
                  </w:r>
                </w:p>
              </w:tc>
              <w:tc>
                <w:tcPr>
                  <w:tcW w:w="654" w:type="dxa"/>
                  <w:noWrap w:val="0"/>
                  <w:vAlign w:val="center"/>
                </w:tcPr>
                <w:p w14:paraId="798E10E2">
                  <w:pPr>
                    <w:widowControl/>
                    <w:spacing w:line="240" w:lineRule="auto"/>
                    <w:jc w:val="center"/>
                    <w:textAlignment w:val="center"/>
                    <w:rPr>
                      <w:color w:val="auto"/>
                      <w:kern w:val="0"/>
                      <w:sz w:val="18"/>
                      <w:szCs w:val="18"/>
                      <w:lang w:bidi="ar"/>
                    </w:rPr>
                  </w:pPr>
                  <w:r>
                    <w:rPr>
                      <w:rFonts w:hint="eastAsia"/>
                      <w:color w:val="auto"/>
                      <w:kern w:val="0"/>
                      <w:sz w:val="18"/>
                      <w:szCs w:val="18"/>
                      <w:lang w:val="en-US" w:eastAsia="zh-CN" w:bidi="ar"/>
                    </w:rPr>
                    <w:t>0.408</w:t>
                  </w:r>
                  <w:r>
                    <w:rPr>
                      <w:color w:val="auto"/>
                      <w:kern w:val="0"/>
                      <w:sz w:val="18"/>
                      <w:szCs w:val="18"/>
                      <w:lang w:bidi="ar"/>
                    </w:rPr>
                    <w:t xml:space="preserve"> </w:t>
                  </w:r>
                </w:p>
              </w:tc>
              <w:tc>
                <w:tcPr>
                  <w:tcW w:w="724" w:type="dxa"/>
                  <w:noWrap/>
                  <w:vAlign w:val="center"/>
                </w:tcPr>
                <w:p w14:paraId="3A315967">
                  <w:pPr>
                    <w:widowControl/>
                    <w:spacing w:line="240" w:lineRule="auto"/>
                    <w:jc w:val="center"/>
                    <w:textAlignment w:val="center"/>
                    <w:rPr>
                      <w:color w:val="auto"/>
                      <w:kern w:val="0"/>
                      <w:sz w:val="18"/>
                      <w:szCs w:val="18"/>
                      <w:lang w:bidi="ar"/>
                    </w:rPr>
                  </w:pPr>
                  <w:r>
                    <w:rPr>
                      <w:rFonts w:hint="eastAsia"/>
                      <w:color w:val="auto"/>
                      <w:kern w:val="0"/>
                      <w:sz w:val="18"/>
                      <w:szCs w:val="18"/>
                      <w:lang w:val="en-US" w:eastAsia="zh-CN" w:bidi="ar"/>
                    </w:rPr>
                    <w:t>1.0</w:t>
                  </w:r>
                  <w:r>
                    <w:rPr>
                      <w:color w:val="auto"/>
                      <w:kern w:val="0"/>
                      <w:sz w:val="18"/>
                      <w:szCs w:val="18"/>
                      <w:lang w:bidi="ar"/>
                    </w:rPr>
                    <w:t xml:space="preserve"> </w:t>
                  </w:r>
                </w:p>
              </w:tc>
              <w:tc>
                <w:tcPr>
                  <w:tcW w:w="599" w:type="dxa"/>
                  <w:noWrap w:val="0"/>
                  <w:vAlign w:val="center"/>
                </w:tcPr>
                <w:p w14:paraId="27C0C007">
                  <w:pPr>
                    <w:widowControl/>
                    <w:spacing w:line="240" w:lineRule="auto"/>
                    <w:jc w:val="center"/>
                    <w:textAlignment w:val="center"/>
                    <w:rPr>
                      <w:color w:val="auto"/>
                      <w:kern w:val="0"/>
                      <w:sz w:val="18"/>
                      <w:szCs w:val="18"/>
                      <w:lang w:bidi="ar"/>
                    </w:rPr>
                  </w:pPr>
                  <w:r>
                    <w:rPr>
                      <w:color w:val="auto"/>
                      <w:kern w:val="0"/>
                      <w:sz w:val="18"/>
                      <w:szCs w:val="18"/>
                      <w:lang w:bidi="ar"/>
                    </w:rPr>
                    <w:t>/</w:t>
                  </w:r>
                </w:p>
              </w:tc>
            </w:tr>
          </w:tbl>
          <w:p w14:paraId="5ADE8735">
            <w:pPr>
              <w:keepNext w:val="0"/>
              <w:keepLines w:val="0"/>
              <w:pageBreakBefore w:val="0"/>
              <w:widowControl w:val="0"/>
              <w:numPr>
                <w:ilvl w:val="0"/>
                <w:numId w:val="7"/>
              </w:numPr>
              <w:kinsoku/>
              <w:wordWrap/>
              <w:overflowPunct/>
              <w:topLinePunct w:val="0"/>
              <w:autoSpaceDE/>
              <w:autoSpaceDN/>
              <w:bidi w:val="0"/>
              <w:adjustRightInd w:val="0"/>
              <w:snapToGrid/>
              <w:spacing w:line="360" w:lineRule="auto"/>
              <w:ind w:firstLine="480" w:firstLineChars="200"/>
              <w:jc w:val="left"/>
              <w:textAlignment w:val="auto"/>
              <w:rPr>
                <w:rFonts w:hint="eastAsia" w:eastAsia="宋体" w:cs="Times New Roman"/>
                <w:bCs/>
                <w:color w:val="auto"/>
                <w:sz w:val="24"/>
                <w:szCs w:val="32"/>
                <w:highlight w:val="none"/>
                <w:lang w:val="en-US" w:eastAsia="zh-CN"/>
              </w:rPr>
            </w:pPr>
            <w:r>
              <w:rPr>
                <w:rFonts w:hint="eastAsia" w:eastAsia="宋体" w:cs="Times New Roman"/>
                <w:bCs/>
                <w:color w:val="auto"/>
                <w:sz w:val="24"/>
                <w:szCs w:val="32"/>
                <w:highlight w:val="none"/>
                <w:lang w:val="en-US" w:eastAsia="zh-CN"/>
              </w:rPr>
              <w:t>有机废气</w:t>
            </w:r>
          </w:p>
          <w:p w14:paraId="6A776DAF">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jc w:val="left"/>
              <w:textAlignment w:val="auto"/>
              <w:rPr>
                <w:rFonts w:hint="eastAsia" w:eastAsia="宋体" w:cs="Times New Roman"/>
                <w:bCs/>
                <w:color w:val="auto"/>
                <w:sz w:val="24"/>
                <w:szCs w:val="32"/>
                <w:highlight w:val="none"/>
                <w:lang w:val="en-US" w:eastAsia="zh-CN"/>
              </w:rPr>
            </w:pPr>
            <w:r>
              <w:rPr>
                <w:rFonts w:hint="eastAsia" w:eastAsia="宋体" w:cs="Times New Roman"/>
                <w:bCs/>
                <w:color w:val="auto"/>
                <w:sz w:val="24"/>
                <w:szCs w:val="32"/>
                <w:highlight w:val="none"/>
                <w:lang w:val="en-US" w:eastAsia="zh-CN"/>
              </w:rPr>
              <w:t>项目密封材料生产过程主要为物理搅拌，不涉及化学反应。项目液体原料均采用密封桶装，储存过程不产生有机废气。项目生产过程中，混合搅拌过程全密闭，设备开盖以及出料口处会挥发出少量有机废气，抽真空过程也会产生部分废气，主要成分为挥发性有机废物和水。</w:t>
            </w:r>
          </w:p>
          <w:p w14:paraId="1B545FAD">
            <w:pPr>
              <w:bidi w:val="0"/>
              <w:ind w:firstLine="480" w:firstLineChars="200"/>
              <w:rPr>
                <w:rFonts w:hint="default"/>
                <w:color w:val="auto"/>
                <w:lang w:val="en-US" w:eastAsia="zh-CN"/>
              </w:rPr>
            </w:pPr>
            <w:r>
              <w:rPr>
                <w:rFonts w:hint="eastAsia" w:eastAsia="宋体" w:cs="Times New Roman"/>
                <w:bCs/>
                <w:color w:val="auto"/>
                <w:sz w:val="24"/>
                <w:szCs w:val="32"/>
                <w:lang w:val="en-US" w:eastAsia="zh-CN"/>
              </w:rPr>
              <w:t>根据《污染源源强核算技术指南准则》（HJ8842-2018），本项目采用产污系数法核算有机废气产排污情况。参考《排放源统计调查产排污核算方法和系数手册》（2021年6月11日，生态环境部印发）中“2646密封用填料及类似品制造行业系数表”，挥发性有机物“原料-混合-搅拌-制胶-包装”整个生产过程产污系数为0.43kg/t-产品。项目生产密封材料合计20000t/a，则</w:t>
            </w:r>
            <w:r>
              <w:rPr>
                <w:rFonts w:hint="eastAsia" w:eastAsia="宋体" w:cs="Times New Roman"/>
                <w:bCs/>
                <w:color w:val="auto"/>
                <w:sz w:val="24"/>
                <w:szCs w:val="32"/>
                <w:highlight w:val="none"/>
                <w:lang w:val="en-US" w:eastAsia="zh-CN"/>
              </w:rPr>
              <w:t>挥发性有机废物</w:t>
            </w:r>
            <w:r>
              <w:rPr>
                <w:rFonts w:hint="eastAsia" w:ascii="Times New Roman" w:hAnsi="Times New Roman" w:cs="Times New Roman"/>
                <w:color w:val="auto"/>
                <w:sz w:val="24"/>
                <w:szCs w:val="24"/>
                <w:lang w:val="en-US" w:eastAsia="zh-CN"/>
              </w:rPr>
              <w:t>VOCs产生量为8.6</w:t>
            </w:r>
            <w:r>
              <w:rPr>
                <w:rFonts w:hint="eastAsia" w:eastAsia="宋体" w:cs="Times New Roman"/>
                <w:bCs/>
                <w:color w:val="auto"/>
                <w:sz w:val="24"/>
                <w:szCs w:val="32"/>
                <w:lang w:val="en-US" w:eastAsia="zh-CN"/>
              </w:rPr>
              <w:t>t/a。</w:t>
            </w:r>
          </w:p>
          <w:p w14:paraId="4634FD76">
            <w:pPr>
              <w:bidi w:val="0"/>
              <w:ind w:firstLine="480" w:firstLineChars="200"/>
              <w:rPr>
                <w:rFonts w:hint="eastAsia"/>
                <w:color w:val="auto"/>
                <w:lang w:val="en-US" w:eastAsia="zh-CN"/>
              </w:rPr>
            </w:pPr>
            <w:r>
              <w:rPr>
                <w:rFonts w:hint="eastAsia"/>
                <w:color w:val="auto"/>
                <w:lang w:val="en-US" w:eastAsia="zh-CN"/>
              </w:rPr>
              <w:t>项目抽真空过程，废气通过在抽真空口连接集气管道，负压收集；设备开盖处以及出料口处产生的废气，通过上方的集气口收集，本项目有机废气综合收集效率以90%计。项目有机废气收集后经冷凝后再一并进入“二级活性炭吸附装置”处理，有机废气吸附效率以90%计，“冷凝+二级活性炭吸附装置”对有机废气综合处理效率以90%计。</w:t>
            </w:r>
          </w:p>
          <w:p w14:paraId="6276802E">
            <w:pPr>
              <w:bidi w:val="0"/>
              <w:ind w:firstLine="480" w:firstLineChars="200"/>
              <w:rPr>
                <w:rFonts w:hint="default"/>
                <w:color w:val="auto"/>
                <w:lang w:val="en-US" w:eastAsia="zh-CN"/>
              </w:rPr>
            </w:pPr>
            <w:r>
              <w:rPr>
                <w:rFonts w:hint="eastAsia"/>
                <w:color w:val="auto"/>
                <w:lang w:val="en-US" w:eastAsia="zh-CN"/>
              </w:rPr>
              <w:t>项目混合搅拌、抽真空、研磨以及灌装等过程工作时间2400h/a，配套设备风机风量15000m³/h，废气处理后，通过一根15m高排气筒DA002排放。未收集的有机废气量约为0.358</w:t>
            </w:r>
            <w:r>
              <w:rPr>
                <w:rFonts w:hint="eastAsia" w:ascii="Times New Roman" w:hAnsi="Times New Roman" w:eastAsia="宋体" w:cs="Times New Roman"/>
                <w:bCs/>
                <w:color w:val="auto"/>
                <w:sz w:val="24"/>
                <w:szCs w:val="32"/>
                <w:lang w:val="en-US" w:eastAsia="zh-CN"/>
              </w:rPr>
              <w:t>t/a，车间无组织排放。</w:t>
            </w:r>
          </w:p>
          <w:p w14:paraId="6880A021">
            <w:pPr>
              <w:bidi w:val="0"/>
              <w:ind w:firstLine="480" w:firstLineChars="200"/>
              <w:rPr>
                <w:rFonts w:hint="default"/>
                <w:color w:val="auto"/>
              </w:rPr>
            </w:pPr>
            <w:r>
              <w:rPr>
                <w:rFonts w:hint="eastAsia"/>
                <w:color w:val="auto"/>
                <w:lang w:val="en-US" w:eastAsia="zh-CN"/>
              </w:rPr>
              <w:t>项目有机废气产排情况见下表。</w:t>
            </w:r>
          </w:p>
          <w:p w14:paraId="391477E8">
            <w:pPr>
              <w:pStyle w:val="45"/>
              <w:numPr>
                <w:ilvl w:val="0"/>
                <w:numId w:val="0"/>
              </w:numPr>
              <w:bidi w:val="0"/>
              <w:ind w:leftChars="0"/>
              <w:jc w:val="center"/>
              <w:rPr>
                <w:color w:val="auto"/>
                <w:lang w:val="zh-CN"/>
              </w:rPr>
            </w:pPr>
            <w:r>
              <w:rPr>
                <w:rFonts w:hint="eastAsia"/>
                <w:color w:val="auto"/>
                <w:lang w:val="en-US" w:eastAsia="zh-CN"/>
              </w:rPr>
              <w:t>表4-2 项目有机废气</w:t>
            </w:r>
            <w:r>
              <w:rPr>
                <w:color w:val="auto"/>
                <w:lang w:val="zh-CN"/>
              </w:rPr>
              <w:t>产排情况</w:t>
            </w:r>
            <w:r>
              <w:rPr>
                <w:rFonts w:hint="eastAsia"/>
                <w:color w:val="auto"/>
                <w:lang w:val="en-US" w:eastAsia="zh-CN"/>
              </w:rPr>
              <w:t>一览</w:t>
            </w:r>
            <w:r>
              <w:rPr>
                <w:color w:val="auto"/>
                <w:lang w:val="zh-CN"/>
              </w:rPr>
              <w:t>表</w:t>
            </w:r>
          </w:p>
          <w:tbl>
            <w:tblPr>
              <w:tblStyle w:val="33"/>
              <w:tblW w:w="7957" w:type="dxa"/>
              <w:tblInd w:w="5"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638"/>
              <w:gridCol w:w="675"/>
              <w:gridCol w:w="712"/>
              <w:gridCol w:w="760"/>
              <w:gridCol w:w="665"/>
              <w:gridCol w:w="675"/>
              <w:gridCol w:w="467"/>
              <w:gridCol w:w="745"/>
              <w:gridCol w:w="643"/>
              <w:gridCol w:w="654"/>
              <w:gridCol w:w="724"/>
              <w:gridCol w:w="599"/>
            </w:tblGrid>
            <w:tr w14:paraId="0F440B3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262" w:hRule="atLeast"/>
              </w:trPr>
              <w:tc>
                <w:tcPr>
                  <w:tcW w:w="638" w:type="dxa"/>
                  <w:vMerge w:val="restart"/>
                  <w:noWrap w:val="0"/>
                  <w:vAlign w:val="center"/>
                </w:tcPr>
                <w:p w14:paraId="1DB521DE">
                  <w:pPr>
                    <w:widowControl/>
                    <w:spacing w:line="240" w:lineRule="auto"/>
                    <w:jc w:val="center"/>
                    <w:textAlignment w:val="center"/>
                    <w:rPr>
                      <w:b/>
                      <w:bCs/>
                      <w:color w:val="auto"/>
                      <w:kern w:val="0"/>
                      <w:sz w:val="18"/>
                      <w:szCs w:val="18"/>
                      <w:lang w:bidi="ar"/>
                    </w:rPr>
                  </w:pPr>
                  <w:r>
                    <w:rPr>
                      <w:b/>
                      <w:bCs/>
                      <w:color w:val="auto"/>
                      <w:kern w:val="0"/>
                      <w:sz w:val="18"/>
                      <w:szCs w:val="18"/>
                      <w:lang w:bidi="ar"/>
                    </w:rPr>
                    <w:t>排气筒编号</w:t>
                  </w:r>
                </w:p>
              </w:tc>
              <w:tc>
                <w:tcPr>
                  <w:tcW w:w="675" w:type="dxa"/>
                  <w:vMerge w:val="restart"/>
                  <w:noWrap w:val="0"/>
                  <w:vAlign w:val="center"/>
                </w:tcPr>
                <w:p w14:paraId="46C5676E">
                  <w:pPr>
                    <w:widowControl/>
                    <w:spacing w:line="240" w:lineRule="auto"/>
                    <w:jc w:val="center"/>
                    <w:textAlignment w:val="center"/>
                    <w:rPr>
                      <w:b/>
                      <w:bCs/>
                      <w:color w:val="auto"/>
                      <w:kern w:val="0"/>
                      <w:sz w:val="18"/>
                      <w:szCs w:val="18"/>
                      <w:lang w:bidi="ar"/>
                    </w:rPr>
                  </w:pPr>
                  <w:r>
                    <w:rPr>
                      <w:b/>
                      <w:bCs/>
                      <w:color w:val="auto"/>
                      <w:kern w:val="0"/>
                      <w:sz w:val="18"/>
                      <w:szCs w:val="18"/>
                      <w:lang w:bidi="ar"/>
                    </w:rPr>
                    <w:t>排气筒风量m³/h</w:t>
                  </w:r>
                </w:p>
              </w:tc>
              <w:tc>
                <w:tcPr>
                  <w:tcW w:w="712" w:type="dxa"/>
                  <w:vMerge w:val="restart"/>
                  <w:noWrap w:val="0"/>
                  <w:vAlign w:val="center"/>
                </w:tcPr>
                <w:p w14:paraId="687A2002">
                  <w:pPr>
                    <w:widowControl/>
                    <w:spacing w:line="240" w:lineRule="auto"/>
                    <w:jc w:val="center"/>
                    <w:textAlignment w:val="center"/>
                    <w:rPr>
                      <w:b/>
                      <w:bCs/>
                      <w:color w:val="auto"/>
                      <w:kern w:val="0"/>
                      <w:sz w:val="18"/>
                      <w:szCs w:val="18"/>
                      <w:lang w:bidi="ar"/>
                    </w:rPr>
                  </w:pPr>
                  <w:r>
                    <w:rPr>
                      <w:b/>
                      <w:bCs/>
                      <w:color w:val="auto"/>
                      <w:kern w:val="0"/>
                      <w:sz w:val="18"/>
                      <w:szCs w:val="18"/>
                      <w:lang w:bidi="ar"/>
                    </w:rPr>
                    <w:t>污染物</w:t>
                  </w:r>
                </w:p>
              </w:tc>
              <w:tc>
                <w:tcPr>
                  <w:tcW w:w="2100" w:type="dxa"/>
                  <w:gridSpan w:val="3"/>
                  <w:noWrap w:val="0"/>
                  <w:vAlign w:val="center"/>
                </w:tcPr>
                <w:p w14:paraId="730F7917">
                  <w:pPr>
                    <w:widowControl/>
                    <w:spacing w:line="240" w:lineRule="auto"/>
                    <w:jc w:val="center"/>
                    <w:textAlignment w:val="center"/>
                    <w:rPr>
                      <w:b/>
                      <w:bCs/>
                      <w:color w:val="auto"/>
                      <w:kern w:val="0"/>
                      <w:sz w:val="18"/>
                      <w:szCs w:val="18"/>
                      <w:lang w:bidi="ar"/>
                    </w:rPr>
                  </w:pPr>
                  <w:r>
                    <w:rPr>
                      <w:b/>
                      <w:bCs/>
                      <w:color w:val="auto"/>
                      <w:kern w:val="0"/>
                      <w:sz w:val="18"/>
                      <w:szCs w:val="18"/>
                      <w:lang w:bidi="ar"/>
                    </w:rPr>
                    <w:t>产生情况</w:t>
                  </w:r>
                </w:p>
              </w:tc>
              <w:tc>
                <w:tcPr>
                  <w:tcW w:w="467" w:type="dxa"/>
                  <w:vMerge w:val="restart"/>
                  <w:noWrap w:val="0"/>
                  <w:vAlign w:val="center"/>
                </w:tcPr>
                <w:p w14:paraId="46318462">
                  <w:pPr>
                    <w:widowControl/>
                    <w:spacing w:line="240" w:lineRule="auto"/>
                    <w:jc w:val="center"/>
                    <w:textAlignment w:val="center"/>
                    <w:rPr>
                      <w:b/>
                      <w:bCs/>
                      <w:color w:val="auto"/>
                      <w:kern w:val="0"/>
                      <w:sz w:val="18"/>
                      <w:szCs w:val="18"/>
                      <w:lang w:bidi="ar"/>
                    </w:rPr>
                  </w:pPr>
                  <w:r>
                    <w:rPr>
                      <w:b/>
                      <w:bCs/>
                      <w:color w:val="auto"/>
                      <w:kern w:val="0"/>
                      <w:sz w:val="18"/>
                      <w:szCs w:val="18"/>
                      <w:lang w:bidi="ar"/>
                    </w:rPr>
                    <w:t>处理效率</w:t>
                  </w:r>
                </w:p>
              </w:tc>
              <w:tc>
                <w:tcPr>
                  <w:tcW w:w="2042" w:type="dxa"/>
                  <w:gridSpan w:val="3"/>
                  <w:noWrap w:val="0"/>
                  <w:vAlign w:val="center"/>
                </w:tcPr>
                <w:p w14:paraId="3DA50F64">
                  <w:pPr>
                    <w:widowControl/>
                    <w:spacing w:line="240" w:lineRule="auto"/>
                    <w:jc w:val="center"/>
                    <w:textAlignment w:val="center"/>
                    <w:rPr>
                      <w:b/>
                      <w:bCs/>
                      <w:color w:val="auto"/>
                      <w:kern w:val="0"/>
                      <w:sz w:val="18"/>
                      <w:szCs w:val="18"/>
                      <w:lang w:bidi="ar"/>
                    </w:rPr>
                  </w:pPr>
                  <w:r>
                    <w:rPr>
                      <w:b/>
                      <w:bCs/>
                      <w:color w:val="auto"/>
                      <w:kern w:val="0"/>
                      <w:sz w:val="18"/>
                      <w:szCs w:val="18"/>
                      <w:lang w:bidi="ar"/>
                    </w:rPr>
                    <w:t>排放情况</w:t>
                  </w:r>
                </w:p>
              </w:tc>
              <w:tc>
                <w:tcPr>
                  <w:tcW w:w="1323" w:type="dxa"/>
                  <w:gridSpan w:val="2"/>
                  <w:noWrap w:val="0"/>
                  <w:vAlign w:val="center"/>
                </w:tcPr>
                <w:p w14:paraId="3434E8FE">
                  <w:pPr>
                    <w:widowControl/>
                    <w:spacing w:line="240" w:lineRule="auto"/>
                    <w:jc w:val="center"/>
                    <w:textAlignment w:val="center"/>
                    <w:rPr>
                      <w:b/>
                      <w:bCs/>
                      <w:color w:val="auto"/>
                      <w:kern w:val="0"/>
                      <w:sz w:val="18"/>
                      <w:szCs w:val="18"/>
                      <w:lang w:bidi="ar"/>
                    </w:rPr>
                  </w:pPr>
                  <w:r>
                    <w:rPr>
                      <w:b/>
                      <w:bCs/>
                      <w:color w:val="auto"/>
                      <w:kern w:val="0"/>
                      <w:sz w:val="18"/>
                      <w:szCs w:val="18"/>
                      <w:lang w:bidi="ar"/>
                    </w:rPr>
                    <w:t>排放标准</w:t>
                  </w:r>
                </w:p>
              </w:tc>
            </w:tr>
            <w:tr w14:paraId="1CA692A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638" w:type="dxa"/>
                  <w:vMerge w:val="continue"/>
                  <w:noWrap w:val="0"/>
                  <w:vAlign w:val="center"/>
                </w:tcPr>
                <w:p w14:paraId="2628DCCA">
                  <w:pPr>
                    <w:widowControl/>
                    <w:spacing w:line="240" w:lineRule="auto"/>
                    <w:jc w:val="center"/>
                    <w:textAlignment w:val="center"/>
                    <w:rPr>
                      <w:b/>
                      <w:bCs/>
                      <w:color w:val="auto"/>
                      <w:kern w:val="0"/>
                      <w:sz w:val="18"/>
                      <w:szCs w:val="18"/>
                      <w:lang w:bidi="ar"/>
                    </w:rPr>
                  </w:pPr>
                </w:p>
              </w:tc>
              <w:tc>
                <w:tcPr>
                  <w:tcW w:w="675" w:type="dxa"/>
                  <w:vMerge w:val="continue"/>
                  <w:noWrap w:val="0"/>
                  <w:vAlign w:val="center"/>
                </w:tcPr>
                <w:p w14:paraId="794D8742">
                  <w:pPr>
                    <w:widowControl/>
                    <w:spacing w:line="240" w:lineRule="auto"/>
                    <w:jc w:val="center"/>
                    <w:textAlignment w:val="center"/>
                    <w:rPr>
                      <w:b/>
                      <w:bCs/>
                      <w:color w:val="auto"/>
                      <w:kern w:val="0"/>
                      <w:sz w:val="18"/>
                      <w:szCs w:val="18"/>
                      <w:lang w:bidi="ar"/>
                    </w:rPr>
                  </w:pPr>
                </w:p>
              </w:tc>
              <w:tc>
                <w:tcPr>
                  <w:tcW w:w="712" w:type="dxa"/>
                  <w:vMerge w:val="continue"/>
                  <w:noWrap w:val="0"/>
                  <w:vAlign w:val="center"/>
                </w:tcPr>
                <w:p w14:paraId="4C53620D">
                  <w:pPr>
                    <w:widowControl/>
                    <w:spacing w:line="240" w:lineRule="auto"/>
                    <w:jc w:val="center"/>
                    <w:textAlignment w:val="center"/>
                    <w:rPr>
                      <w:b/>
                      <w:bCs/>
                      <w:color w:val="auto"/>
                      <w:kern w:val="0"/>
                      <w:sz w:val="18"/>
                      <w:szCs w:val="18"/>
                      <w:lang w:bidi="ar"/>
                    </w:rPr>
                  </w:pPr>
                </w:p>
              </w:tc>
              <w:tc>
                <w:tcPr>
                  <w:tcW w:w="760" w:type="dxa"/>
                  <w:noWrap w:val="0"/>
                  <w:vAlign w:val="center"/>
                </w:tcPr>
                <w:p w14:paraId="6CEFAFF7">
                  <w:pPr>
                    <w:widowControl/>
                    <w:spacing w:line="240" w:lineRule="auto"/>
                    <w:jc w:val="center"/>
                    <w:textAlignment w:val="center"/>
                    <w:rPr>
                      <w:b/>
                      <w:bCs/>
                      <w:color w:val="auto"/>
                      <w:kern w:val="0"/>
                      <w:sz w:val="18"/>
                      <w:szCs w:val="18"/>
                      <w:lang w:bidi="ar"/>
                    </w:rPr>
                  </w:pPr>
                  <w:r>
                    <w:rPr>
                      <w:b/>
                      <w:bCs/>
                      <w:color w:val="auto"/>
                      <w:kern w:val="0"/>
                      <w:sz w:val="18"/>
                      <w:szCs w:val="18"/>
                      <w:lang w:bidi="ar"/>
                    </w:rPr>
                    <w:t>浓度mg/m³</w:t>
                  </w:r>
                </w:p>
              </w:tc>
              <w:tc>
                <w:tcPr>
                  <w:tcW w:w="665" w:type="dxa"/>
                  <w:noWrap w:val="0"/>
                  <w:vAlign w:val="center"/>
                </w:tcPr>
                <w:p w14:paraId="3E2DA661">
                  <w:pPr>
                    <w:widowControl/>
                    <w:spacing w:line="240" w:lineRule="auto"/>
                    <w:jc w:val="center"/>
                    <w:textAlignment w:val="center"/>
                    <w:rPr>
                      <w:b/>
                      <w:bCs/>
                      <w:color w:val="auto"/>
                      <w:kern w:val="0"/>
                      <w:sz w:val="18"/>
                      <w:szCs w:val="18"/>
                      <w:lang w:bidi="ar"/>
                    </w:rPr>
                  </w:pPr>
                  <w:r>
                    <w:rPr>
                      <w:b/>
                      <w:bCs/>
                      <w:color w:val="auto"/>
                      <w:kern w:val="0"/>
                      <w:sz w:val="18"/>
                      <w:szCs w:val="18"/>
                      <w:lang w:bidi="ar"/>
                    </w:rPr>
                    <w:t>速率kg/h</w:t>
                  </w:r>
                </w:p>
              </w:tc>
              <w:tc>
                <w:tcPr>
                  <w:tcW w:w="675" w:type="dxa"/>
                  <w:noWrap w:val="0"/>
                  <w:vAlign w:val="center"/>
                </w:tcPr>
                <w:p w14:paraId="2D035324">
                  <w:pPr>
                    <w:widowControl/>
                    <w:spacing w:line="240" w:lineRule="auto"/>
                    <w:jc w:val="center"/>
                    <w:textAlignment w:val="center"/>
                    <w:rPr>
                      <w:b/>
                      <w:bCs/>
                      <w:color w:val="auto"/>
                      <w:kern w:val="0"/>
                      <w:sz w:val="18"/>
                      <w:szCs w:val="18"/>
                      <w:lang w:bidi="ar"/>
                    </w:rPr>
                  </w:pPr>
                  <w:r>
                    <w:rPr>
                      <w:b/>
                      <w:bCs/>
                      <w:color w:val="auto"/>
                      <w:kern w:val="0"/>
                      <w:sz w:val="18"/>
                      <w:szCs w:val="18"/>
                      <w:lang w:bidi="ar"/>
                    </w:rPr>
                    <w:t>产生量t/a</w:t>
                  </w:r>
                </w:p>
              </w:tc>
              <w:tc>
                <w:tcPr>
                  <w:tcW w:w="467" w:type="dxa"/>
                  <w:vMerge w:val="continue"/>
                  <w:noWrap w:val="0"/>
                  <w:vAlign w:val="center"/>
                </w:tcPr>
                <w:p w14:paraId="20A85D46">
                  <w:pPr>
                    <w:widowControl/>
                    <w:spacing w:line="240" w:lineRule="auto"/>
                    <w:jc w:val="center"/>
                    <w:textAlignment w:val="center"/>
                    <w:rPr>
                      <w:b/>
                      <w:bCs/>
                      <w:color w:val="auto"/>
                      <w:kern w:val="0"/>
                      <w:sz w:val="18"/>
                      <w:szCs w:val="18"/>
                      <w:lang w:bidi="ar"/>
                    </w:rPr>
                  </w:pPr>
                </w:p>
              </w:tc>
              <w:tc>
                <w:tcPr>
                  <w:tcW w:w="745" w:type="dxa"/>
                  <w:noWrap w:val="0"/>
                  <w:vAlign w:val="center"/>
                </w:tcPr>
                <w:p w14:paraId="79DF8C17">
                  <w:pPr>
                    <w:widowControl/>
                    <w:spacing w:line="240" w:lineRule="auto"/>
                    <w:jc w:val="center"/>
                    <w:textAlignment w:val="center"/>
                    <w:rPr>
                      <w:b/>
                      <w:bCs/>
                      <w:color w:val="auto"/>
                      <w:kern w:val="0"/>
                      <w:sz w:val="18"/>
                      <w:szCs w:val="18"/>
                      <w:lang w:bidi="ar"/>
                    </w:rPr>
                  </w:pPr>
                  <w:r>
                    <w:rPr>
                      <w:b/>
                      <w:bCs/>
                      <w:color w:val="auto"/>
                      <w:kern w:val="0"/>
                      <w:sz w:val="18"/>
                      <w:szCs w:val="18"/>
                      <w:lang w:bidi="ar"/>
                    </w:rPr>
                    <w:t>浓度mg/m³</w:t>
                  </w:r>
                </w:p>
              </w:tc>
              <w:tc>
                <w:tcPr>
                  <w:tcW w:w="643" w:type="dxa"/>
                  <w:noWrap w:val="0"/>
                  <w:vAlign w:val="center"/>
                </w:tcPr>
                <w:p w14:paraId="7D57AF55">
                  <w:pPr>
                    <w:widowControl/>
                    <w:spacing w:line="240" w:lineRule="auto"/>
                    <w:jc w:val="center"/>
                    <w:textAlignment w:val="center"/>
                    <w:rPr>
                      <w:b/>
                      <w:bCs/>
                      <w:color w:val="auto"/>
                      <w:kern w:val="0"/>
                      <w:sz w:val="18"/>
                      <w:szCs w:val="18"/>
                      <w:lang w:bidi="ar"/>
                    </w:rPr>
                  </w:pPr>
                  <w:r>
                    <w:rPr>
                      <w:b/>
                      <w:bCs/>
                      <w:color w:val="auto"/>
                      <w:kern w:val="0"/>
                      <w:sz w:val="18"/>
                      <w:szCs w:val="18"/>
                      <w:lang w:bidi="ar"/>
                    </w:rPr>
                    <w:t>速率kg/h</w:t>
                  </w:r>
                </w:p>
              </w:tc>
              <w:tc>
                <w:tcPr>
                  <w:tcW w:w="654" w:type="dxa"/>
                  <w:noWrap w:val="0"/>
                  <w:vAlign w:val="center"/>
                </w:tcPr>
                <w:p w14:paraId="7B7BC524">
                  <w:pPr>
                    <w:widowControl/>
                    <w:spacing w:line="240" w:lineRule="auto"/>
                    <w:jc w:val="center"/>
                    <w:textAlignment w:val="center"/>
                    <w:rPr>
                      <w:b/>
                      <w:bCs/>
                      <w:color w:val="auto"/>
                      <w:kern w:val="0"/>
                      <w:sz w:val="18"/>
                      <w:szCs w:val="18"/>
                      <w:lang w:bidi="ar"/>
                    </w:rPr>
                  </w:pPr>
                  <w:r>
                    <w:rPr>
                      <w:b/>
                      <w:bCs/>
                      <w:color w:val="auto"/>
                      <w:kern w:val="0"/>
                      <w:sz w:val="18"/>
                      <w:szCs w:val="18"/>
                      <w:lang w:bidi="ar"/>
                    </w:rPr>
                    <w:t>排放量t/a</w:t>
                  </w:r>
                </w:p>
              </w:tc>
              <w:tc>
                <w:tcPr>
                  <w:tcW w:w="724" w:type="dxa"/>
                  <w:noWrap w:val="0"/>
                  <w:vAlign w:val="center"/>
                </w:tcPr>
                <w:p w14:paraId="49D0A54C">
                  <w:pPr>
                    <w:widowControl/>
                    <w:spacing w:line="240" w:lineRule="auto"/>
                    <w:jc w:val="center"/>
                    <w:textAlignment w:val="center"/>
                    <w:rPr>
                      <w:b/>
                      <w:bCs/>
                      <w:color w:val="auto"/>
                      <w:kern w:val="0"/>
                      <w:sz w:val="18"/>
                      <w:szCs w:val="18"/>
                      <w:lang w:bidi="ar"/>
                    </w:rPr>
                  </w:pPr>
                  <w:r>
                    <w:rPr>
                      <w:b/>
                      <w:bCs/>
                      <w:color w:val="auto"/>
                      <w:kern w:val="0"/>
                      <w:sz w:val="18"/>
                      <w:szCs w:val="18"/>
                      <w:lang w:bidi="ar"/>
                    </w:rPr>
                    <w:t>浓度mg/m³</w:t>
                  </w:r>
                </w:p>
              </w:tc>
              <w:tc>
                <w:tcPr>
                  <w:tcW w:w="599" w:type="dxa"/>
                  <w:noWrap w:val="0"/>
                  <w:vAlign w:val="center"/>
                </w:tcPr>
                <w:p w14:paraId="43B128B8">
                  <w:pPr>
                    <w:widowControl/>
                    <w:spacing w:line="240" w:lineRule="auto"/>
                    <w:jc w:val="both"/>
                    <w:textAlignment w:val="center"/>
                    <w:rPr>
                      <w:b/>
                      <w:bCs/>
                      <w:color w:val="auto"/>
                      <w:kern w:val="0"/>
                      <w:sz w:val="18"/>
                      <w:szCs w:val="18"/>
                      <w:lang w:bidi="ar"/>
                    </w:rPr>
                  </w:pPr>
                  <w:r>
                    <w:rPr>
                      <w:b/>
                      <w:bCs/>
                      <w:color w:val="auto"/>
                      <w:kern w:val="0"/>
                      <w:sz w:val="18"/>
                      <w:szCs w:val="18"/>
                      <w:lang w:bidi="ar"/>
                    </w:rPr>
                    <w:t>速率kg/h</w:t>
                  </w:r>
                </w:p>
              </w:tc>
            </w:tr>
            <w:tr w14:paraId="587D93E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638" w:type="dxa"/>
                  <w:noWrap w:val="0"/>
                  <w:vAlign w:val="center"/>
                </w:tcPr>
                <w:p w14:paraId="64B1E691">
                  <w:pPr>
                    <w:widowControl/>
                    <w:spacing w:line="240" w:lineRule="auto"/>
                    <w:jc w:val="center"/>
                    <w:textAlignment w:val="center"/>
                    <w:rPr>
                      <w:rFonts w:hint="eastAsia" w:eastAsia="宋体"/>
                      <w:color w:val="auto"/>
                      <w:kern w:val="0"/>
                      <w:sz w:val="18"/>
                      <w:szCs w:val="18"/>
                      <w:lang w:eastAsia="zh-CN" w:bidi="ar"/>
                    </w:rPr>
                  </w:pPr>
                  <w:r>
                    <w:rPr>
                      <w:color w:val="auto"/>
                      <w:kern w:val="0"/>
                      <w:sz w:val="18"/>
                      <w:szCs w:val="18"/>
                      <w:lang w:bidi="ar"/>
                    </w:rPr>
                    <w:t>DA00</w:t>
                  </w:r>
                  <w:r>
                    <w:rPr>
                      <w:rFonts w:hint="eastAsia"/>
                      <w:color w:val="auto"/>
                      <w:kern w:val="0"/>
                      <w:sz w:val="18"/>
                      <w:szCs w:val="18"/>
                      <w:lang w:val="en-US" w:eastAsia="zh-CN" w:bidi="ar"/>
                    </w:rPr>
                    <w:t>2</w:t>
                  </w:r>
                </w:p>
              </w:tc>
              <w:tc>
                <w:tcPr>
                  <w:tcW w:w="675" w:type="dxa"/>
                  <w:noWrap w:val="0"/>
                  <w:vAlign w:val="center"/>
                </w:tcPr>
                <w:p w14:paraId="1C0B02F8">
                  <w:pPr>
                    <w:widowControl/>
                    <w:spacing w:line="240" w:lineRule="auto"/>
                    <w:jc w:val="center"/>
                    <w:textAlignment w:val="center"/>
                    <w:rPr>
                      <w:color w:val="auto"/>
                      <w:kern w:val="0"/>
                      <w:sz w:val="18"/>
                      <w:szCs w:val="18"/>
                      <w:lang w:bidi="ar"/>
                    </w:rPr>
                  </w:pPr>
                  <w:r>
                    <w:rPr>
                      <w:rFonts w:hint="eastAsia"/>
                      <w:color w:val="auto"/>
                      <w:kern w:val="0"/>
                      <w:sz w:val="18"/>
                      <w:szCs w:val="18"/>
                      <w:lang w:val="en-US" w:eastAsia="zh-CN" w:bidi="ar"/>
                    </w:rPr>
                    <w:t>150</w:t>
                  </w:r>
                  <w:r>
                    <w:rPr>
                      <w:color w:val="auto"/>
                      <w:kern w:val="0"/>
                      <w:sz w:val="18"/>
                      <w:szCs w:val="18"/>
                      <w:lang w:bidi="ar"/>
                    </w:rPr>
                    <w:t>00</w:t>
                  </w:r>
                </w:p>
              </w:tc>
              <w:tc>
                <w:tcPr>
                  <w:tcW w:w="712" w:type="dxa"/>
                  <w:noWrap w:val="0"/>
                  <w:vAlign w:val="center"/>
                </w:tcPr>
                <w:p w14:paraId="264BE66C">
                  <w:pPr>
                    <w:widowControl/>
                    <w:spacing w:line="240" w:lineRule="auto"/>
                    <w:jc w:val="center"/>
                    <w:textAlignment w:val="center"/>
                    <w:rPr>
                      <w:color w:val="auto"/>
                      <w:kern w:val="0"/>
                      <w:sz w:val="18"/>
                      <w:szCs w:val="18"/>
                      <w:lang w:bidi="ar"/>
                    </w:rPr>
                  </w:pPr>
                  <w:r>
                    <w:rPr>
                      <w:rFonts w:hint="eastAsia"/>
                      <w:color w:val="auto"/>
                      <w:kern w:val="0"/>
                      <w:sz w:val="18"/>
                      <w:szCs w:val="18"/>
                      <w:lang w:bidi="ar"/>
                    </w:rPr>
                    <w:t>VOCs</w:t>
                  </w:r>
                </w:p>
              </w:tc>
              <w:tc>
                <w:tcPr>
                  <w:tcW w:w="760" w:type="dxa"/>
                  <w:noWrap w:val="0"/>
                  <w:vAlign w:val="center"/>
                </w:tcPr>
                <w:p w14:paraId="1FF46B5E">
                  <w:pPr>
                    <w:widowControl/>
                    <w:spacing w:line="240" w:lineRule="auto"/>
                    <w:jc w:val="center"/>
                    <w:textAlignment w:val="center"/>
                    <w:rPr>
                      <w:rFonts w:hint="default" w:eastAsia="宋体"/>
                      <w:color w:val="auto"/>
                      <w:kern w:val="0"/>
                      <w:sz w:val="18"/>
                      <w:szCs w:val="18"/>
                      <w:lang w:val="en-US" w:eastAsia="zh-CN" w:bidi="ar"/>
                    </w:rPr>
                  </w:pPr>
                  <w:r>
                    <w:rPr>
                      <w:rFonts w:hint="eastAsia"/>
                      <w:color w:val="auto"/>
                      <w:kern w:val="0"/>
                      <w:sz w:val="18"/>
                      <w:szCs w:val="18"/>
                      <w:lang w:val="en-US" w:eastAsia="zh-CN" w:bidi="ar"/>
                    </w:rPr>
                    <w:t>215</w:t>
                  </w:r>
                </w:p>
              </w:tc>
              <w:tc>
                <w:tcPr>
                  <w:tcW w:w="665" w:type="dxa"/>
                  <w:noWrap w:val="0"/>
                  <w:vAlign w:val="center"/>
                </w:tcPr>
                <w:p w14:paraId="02CE424B">
                  <w:pPr>
                    <w:widowControl/>
                    <w:spacing w:line="240" w:lineRule="auto"/>
                    <w:jc w:val="center"/>
                    <w:textAlignment w:val="center"/>
                    <w:rPr>
                      <w:rFonts w:hint="default" w:eastAsia="宋体"/>
                      <w:color w:val="auto"/>
                      <w:kern w:val="0"/>
                      <w:sz w:val="18"/>
                      <w:szCs w:val="18"/>
                      <w:lang w:val="en-US" w:eastAsia="zh-CN" w:bidi="ar"/>
                    </w:rPr>
                  </w:pPr>
                  <w:r>
                    <w:rPr>
                      <w:rFonts w:hint="eastAsia"/>
                      <w:color w:val="auto"/>
                      <w:kern w:val="0"/>
                      <w:sz w:val="18"/>
                      <w:szCs w:val="18"/>
                      <w:lang w:val="en-US" w:eastAsia="zh-CN" w:bidi="ar"/>
                    </w:rPr>
                    <w:t>3.225</w:t>
                  </w:r>
                </w:p>
              </w:tc>
              <w:tc>
                <w:tcPr>
                  <w:tcW w:w="675" w:type="dxa"/>
                  <w:noWrap w:val="0"/>
                  <w:vAlign w:val="center"/>
                </w:tcPr>
                <w:p w14:paraId="6282A03B">
                  <w:pPr>
                    <w:widowControl/>
                    <w:spacing w:line="240" w:lineRule="auto"/>
                    <w:jc w:val="center"/>
                    <w:textAlignment w:val="center"/>
                    <w:rPr>
                      <w:rFonts w:hint="default" w:eastAsia="宋体"/>
                      <w:color w:val="auto"/>
                      <w:kern w:val="0"/>
                      <w:sz w:val="18"/>
                      <w:szCs w:val="18"/>
                      <w:lang w:val="en-US" w:eastAsia="zh-CN" w:bidi="ar"/>
                    </w:rPr>
                  </w:pPr>
                  <w:r>
                    <w:rPr>
                      <w:rFonts w:hint="eastAsia"/>
                      <w:color w:val="auto"/>
                      <w:kern w:val="0"/>
                      <w:sz w:val="18"/>
                      <w:szCs w:val="18"/>
                      <w:lang w:val="en-US" w:eastAsia="zh-CN" w:bidi="ar"/>
                    </w:rPr>
                    <w:t>7.74</w:t>
                  </w:r>
                  <w:r>
                    <w:rPr>
                      <w:color w:val="auto"/>
                      <w:kern w:val="0"/>
                      <w:sz w:val="18"/>
                      <w:szCs w:val="18"/>
                      <w:lang w:bidi="ar"/>
                    </w:rPr>
                    <w:t xml:space="preserve"> </w:t>
                  </w:r>
                </w:p>
              </w:tc>
              <w:tc>
                <w:tcPr>
                  <w:tcW w:w="467" w:type="dxa"/>
                  <w:noWrap w:val="0"/>
                  <w:vAlign w:val="center"/>
                </w:tcPr>
                <w:p w14:paraId="59497880">
                  <w:pPr>
                    <w:widowControl/>
                    <w:spacing w:line="240" w:lineRule="auto"/>
                    <w:jc w:val="center"/>
                    <w:textAlignment w:val="center"/>
                    <w:rPr>
                      <w:color w:val="auto"/>
                      <w:kern w:val="0"/>
                      <w:sz w:val="18"/>
                      <w:szCs w:val="18"/>
                      <w:lang w:bidi="ar"/>
                    </w:rPr>
                  </w:pPr>
                  <w:r>
                    <w:rPr>
                      <w:rFonts w:hint="eastAsia"/>
                      <w:color w:val="auto"/>
                      <w:kern w:val="0"/>
                      <w:sz w:val="18"/>
                      <w:szCs w:val="18"/>
                      <w:lang w:val="en-US" w:eastAsia="zh-CN" w:bidi="ar"/>
                    </w:rPr>
                    <w:t>90</w:t>
                  </w:r>
                  <w:r>
                    <w:rPr>
                      <w:color w:val="auto"/>
                      <w:kern w:val="0"/>
                      <w:sz w:val="18"/>
                      <w:szCs w:val="18"/>
                      <w:lang w:bidi="ar"/>
                    </w:rPr>
                    <w:t>%</w:t>
                  </w:r>
                </w:p>
              </w:tc>
              <w:tc>
                <w:tcPr>
                  <w:tcW w:w="745" w:type="dxa"/>
                  <w:noWrap w:val="0"/>
                  <w:vAlign w:val="center"/>
                </w:tcPr>
                <w:p w14:paraId="7E8C2849">
                  <w:pPr>
                    <w:widowControl/>
                    <w:spacing w:line="240" w:lineRule="auto"/>
                    <w:jc w:val="center"/>
                    <w:textAlignment w:val="center"/>
                    <w:rPr>
                      <w:rFonts w:hint="default" w:eastAsia="宋体"/>
                      <w:color w:val="auto"/>
                      <w:kern w:val="0"/>
                      <w:sz w:val="18"/>
                      <w:szCs w:val="18"/>
                      <w:lang w:val="en-US" w:eastAsia="zh-CN" w:bidi="ar"/>
                    </w:rPr>
                  </w:pPr>
                  <w:r>
                    <w:rPr>
                      <w:color w:val="auto"/>
                      <w:kern w:val="0"/>
                      <w:sz w:val="18"/>
                      <w:szCs w:val="18"/>
                      <w:lang w:bidi="ar"/>
                    </w:rPr>
                    <w:t xml:space="preserve"> </w:t>
                  </w:r>
                  <w:r>
                    <w:rPr>
                      <w:rFonts w:hint="eastAsia"/>
                      <w:color w:val="auto"/>
                      <w:kern w:val="0"/>
                      <w:sz w:val="18"/>
                      <w:szCs w:val="18"/>
                      <w:lang w:val="en-US" w:eastAsia="zh-CN" w:bidi="ar"/>
                    </w:rPr>
                    <w:t>21.5</w:t>
                  </w:r>
                </w:p>
              </w:tc>
              <w:tc>
                <w:tcPr>
                  <w:tcW w:w="643" w:type="dxa"/>
                  <w:noWrap w:val="0"/>
                  <w:vAlign w:val="center"/>
                </w:tcPr>
                <w:p w14:paraId="1B8DA8D3">
                  <w:pPr>
                    <w:widowControl/>
                    <w:spacing w:line="240" w:lineRule="auto"/>
                    <w:jc w:val="center"/>
                    <w:textAlignment w:val="center"/>
                    <w:rPr>
                      <w:rFonts w:hint="default" w:eastAsia="宋体"/>
                      <w:color w:val="auto"/>
                      <w:kern w:val="0"/>
                      <w:sz w:val="18"/>
                      <w:szCs w:val="18"/>
                      <w:lang w:val="en-US" w:eastAsia="zh-CN" w:bidi="ar"/>
                    </w:rPr>
                  </w:pPr>
                  <w:r>
                    <w:rPr>
                      <w:rFonts w:hint="eastAsia" w:eastAsia="宋体"/>
                      <w:color w:val="auto"/>
                      <w:kern w:val="0"/>
                      <w:sz w:val="18"/>
                      <w:szCs w:val="18"/>
                      <w:lang w:val="en-US" w:eastAsia="zh-CN" w:bidi="ar"/>
                    </w:rPr>
                    <w:t>0.323</w:t>
                  </w:r>
                </w:p>
              </w:tc>
              <w:tc>
                <w:tcPr>
                  <w:tcW w:w="654" w:type="dxa"/>
                  <w:noWrap w:val="0"/>
                  <w:vAlign w:val="center"/>
                </w:tcPr>
                <w:p w14:paraId="168A2F93">
                  <w:pPr>
                    <w:widowControl/>
                    <w:spacing w:line="240" w:lineRule="auto"/>
                    <w:jc w:val="center"/>
                    <w:textAlignment w:val="center"/>
                    <w:rPr>
                      <w:color w:val="auto"/>
                      <w:kern w:val="0"/>
                      <w:sz w:val="18"/>
                      <w:szCs w:val="18"/>
                      <w:lang w:bidi="ar"/>
                    </w:rPr>
                  </w:pPr>
                  <w:r>
                    <w:rPr>
                      <w:rFonts w:hint="eastAsia"/>
                      <w:color w:val="auto"/>
                      <w:kern w:val="0"/>
                      <w:sz w:val="18"/>
                      <w:szCs w:val="18"/>
                      <w:lang w:val="en-US" w:eastAsia="zh-CN" w:bidi="ar"/>
                    </w:rPr>
                    <w:t>0.774</w:t>
                  </w:r>
                  <w:r>
                    <w:rPr>
                      <w:color w:val="auto"/>
                      <w:kern w:val="0"/>
                      <w:sz w:val="18"/>
                      <w:szCs w:val="18"/>
                      <w:lang w:bidi="ar"/>
                    </w:rPr>
                    <w:t xml:space="preserve"> </w:t>
                  </w:r>
                </w:p>
              </w:tc>
              <w:tc>
                <w:tcPr>
                  <w:tcW w:w="724" w:type="dxa"/>
                  <w:noWrap/>
                  <w:vAlign w:val="center"/>
                </w:tcPr>
                <w:p w14:paraId="28861E8A">
                  <w:pPr>
                    <w:widowControl/>
                    <w:spacing w:line="240" w:lineRule="auto"/>
                    <w:jc w:val="center"/>
                    <w:textAlignment w:val="center"/>
                    <w:rPr>
                      <w:rFonts w:hint="default" w:eastAsia="宋体"/>
                      <w:color w:val="auto"/>
                      <w:kern w:val="0"/>
                      <w:sz w:val="18"/>
                      <w:szCs w:val="18"/>
                      <w:lang w:val="en-US" w:eastAsia="zh-CN" w:bidi="ar"/>
                    </w:rPr>
                  </w:pPr>
                  <w:r>
                    <w:rPr>
                      <w:rFonts w:hint="eastAsia"/>
                      <w:color w:val="auto"/>
                      <w:kern w:val="0"/>
                      <w:sz w:val="18"/>
                      <w:szCs w:val="18"/>
                      <w:lang w:val="en-US" w:eastAsia="zh-CN" w:bidi="ar"/>
                    </w:rPr>
                    <w:t>50</w:t>
                  </w:r>
                </w:p>
              </w:tc>
              <w:tc>
                <w:tcPr>
                  <w:tcW w:w="599" w:type="dxa"/>
                  <w:noWrap w:val="0"/>
                  <w:vAlign w:val="center"/>
                </w:tcPr>
                <w:p w14:paraId="628841EA">
                  <w:pPr>
                    <w:widowControl/>
                    <w:spacing w:line="240" w:lineRule="auto"/>
                    <w:jc w:val="center"/>
                    <w:textAlignment w:val="center"/>
                    <w:rPr>
                      <w:rFonts w:hint="default" w:eastAsia="宋体"/>
                      <w:color w:val="auto"/>
                      <w:kern w:val="0"/>
                      <w:sz w:val="18"/>
                      <w:szCs w:val="18"/>
                      <w:lang w:val="en-US" w:eastAsia="zh-CN" w:bidi="ar"/>
                    </w:rPr>
                  </w:pPr>
                  <w:r>
                    <w:rPr>
                      <w:rFonts w:hint="eastAsia"/>
                      <w:color w:val="auto"/>
                      <w:kern w:val="0"/>
                      <w:sz w:val="18"/>
                      <w:szCs w:val="18"/>
                      <w:lang w:val="en-US" w:eastAsia="zh-CN" w:bidi="ar"/>
                    </w:rPr>
                    <w:t>3.0</w:t>
                  </w:r>
                  <w:r>
                    <w:rPr>
                      <w:color w:val="auto"/>
                      <w:kern w:val="0"/>
                      <w:sz w:val="18"/>
                      <w:szCs w:val="18"/>
                      <w:lang w:bidi="ar"/>
                    </w:rPr>
                    <w:t xml:space="preserve"> </w:t>
                  </w:r>
                </w:p>
              </w:tc>
            </w:tr>
            <w:tr w14:paraId="786B9D5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638" w:type="dxa"/>
                  <w:noWrap w:val="0"/>
                  <w:vAlign w:val="center"/>
                </w:tcPr>
                <w:p w14:paraId="1F1AE4C9">
                  <w:pPr>
                    <w:widowControl/>
                    <w:spacing w:line="240" w:lineRule="auto"/>
                    <w:jc w:val="center"/>
                    <w:textAlignment w:val="center"/>
                    <w:rPr>
                      <w:color w:val="auto"/>
                      <w:kern w:val="0"/>
                      <w:sz w:val="18"/>
                      <w:szCs w:val="18"/>
                      <w:lang w:bidi="ar"/>
                    </w:rPr>
                  </w:pPr>
                  <w:r>
                    <w:rPr>
                      <w:color w:val="auto"/>
                      <w:kern w:val="0"/>
                      <w:sz w:val="18"/>
                      <w:szCs w:val="18"/>
                      <w:lang w:bidi="ar"/>
                    </w:rPr>
                    <w:t>无组织</w:t>
                  </w:r>
                </w:p>
              </w:tc>
              <w:tc>
                <w:tcPr>
                  <w:tcW w:w="675" w:type="dxa"/>
                  <w:noWrap w:val="0"/>
                  <w:vAlign w:val="center"/>
                </w:tcPr>
                <w:p w14:paraId="5A7B2038">
                  <w:pPr>
                    <w:widowControl/>
                    <w:spacing w:line="240" w:lineRule="auto"/>
                    <w:jc w:val="center"/>
                    <w:textAlignment w:val="center"/>
                    <w:rPr>
                      <w:color w:val="auto"/>
                      <w:kern w:val="0"/>
                      <w:sz w:val="18"/>
                      <w:szCs w:val="18"/>
                      <w:lang w:bidi="ar"/>
                    </w:rPr>
                  </w:pPr>
                  <w:r>
                    <w:rPr>
                      <w:color w:val="auto"/>
                      <w:kern w:val="0"/>
                      <w:sz w:val="18"/>
                      <w:szCs w:val="18"/>
                      <w:lang w:bidi="ar"/>
                    </w:rPr>
                    <w:t>/</w:t>
                  </w:r>
                </w:p>
              </w:tc>
              <w:tc>
                <w:tcPr>
                  <w:tcW w:w="712" w:type="dxa"/>
                  <w:noWrap w:val="0"/>
                  <w:vAlign w:val="center"/>
                </w:tcPr>
                <w:p w14:paraId="66AD8DF3">
                  <w:pPr>
                    <w:widowControl/>
                    <w:spacing w:line="240" w:lineRule="auto"/>
                    <w:jc w:val="center"/>
                    <w:textAlignment w:val="center"/>
                    <w:rPr>
                      <w:color w:val="auto"/>
                      <w:kern w:val="0"/>
                      <w:sz w:val="18"/>
                      <w:szCs w:val="18"/>
                      <w:lang w:bidi="ar"/>
                    </w:rPr>
                  </w:pPr>
                  <w:r>
                    <w:rPr>
                      <w:rFonts w:hint="eastAsia"/>
                      <w:color w:val="auto"/>
                      <w:kern w:val="0"/>
                      <w:sz w:val="18"/>
                      <w:szCs w:val="18"/>
                      <w:lang w:bidi="ar"/>
                    </w:rPr>
                    <w:t>VOCs</w:t>
                  </w:r>
                </w:p>
              </w:tc>
              <w:tc>
                <w:tcPr>
                  <w:tcW w:w="760" w:type="dxa"/>
                  <w:noWrap w:val="0"/>
                  <w:vAlign w:val="center"/>
                </w:tcPr>
                <w:p w14:paraId="3E9E4BF4">
                  <w:pPr>
                    <w:widowControl/>
                    <w:spacing w:line="240" w:lineRule="auto"/>
                    <w:jc w:val="center"/>
                    <w:textAlignment w:val="center"/>
                    <w:rPr>
                      <w:color w:val="auto"/>
                      <w:kern w:val="0"/>
                      <w:sz w:val="18"/>
                      <w:szCs w:val="18"/>
                      <w:lang w:bidi="ar"/>
                    </w:rPr>
                  </w:pPr>
                  <w:r>
                    <w:rPr>
                      <w:color w:val="auto"/>
                      <w:kern w:val="0"/>
                      <w:sz w:val="18"/>
                      <w:szCs w:val="18"/>
                      <w:lang w:bidi="ar"/>
                    </w:rPr>
                    <w:t>/</w:t>
                  </w:r>
                </w:p>
              </w:tc>
              <w:tc>
                <w:tcPr>
                  <w:tcW w:w="665" w:type="dxa"/>
                  <w:noWrap w:val="0"/>
                  <w:vAlign w:val="center"/>
                </w:tcPr>
                <w:p w14:paraId="7A9485BC">
                  <w:pPr>
                    <w:widowControl/>
                    <w:spacing w:line="240" w:lineRule="auto"/>
                    <w:jc w:val="center"/>
                    <w:textAlignment w:val="center"/>
                    <w:rPr>
                      <w:rFonts w:ascii="Times New Roman" w:hAnsi="Times New Roman" w:eastAsia="宋体"/>
                      <w:color w:val="auto"/>
                      <w:kern w:val="0"/>
                      <w:sz w:val="18"/>
                      <w:szCs w:val="18"/>
                      <w:lang w:val="en-US" w:eastAsia="zh-CN" w:bidi="ar"/>
                    </w:rPr>
                  </w:pPr>
                  <w:r>
                    <w:rPr>
                      <w:rFonts w:hint="eastAsia"/>
                      <w:color w:val="auto"/>
                      <w:kern w:val="0"/>
                      <w:sz w:val="18"/>
                      <w:szCs w:val="18"/>
                      <w:lang w:val="en-US" w:eastAsia="zh-CN" w:bidi="ar"/>
                    </w:rPr>
                    <w:t>0.358</w:t>
                  </w:r>
                  <w:r>
                    <w:rPr>
                      <w:color w:val="auto"/>
                      <w:kern w:val="0"/>
                      <w:sz w:val="18"/>
                      <w:szCs w:val="18"/>
                      <w:lang w:bidi="ar"/>
                    </w:rPr>
                    <w:t xml:space="preserve"> </w:t>
                  </w:r>
                </w:p>
              </w:tc>
              <w:tc>
                <w:tcPr>
                  <w:tcW w:w="675" w:type="dxa"/>
                  <w:noWrap w:val="0"/>
                  <w:vAlign w:val="center"/>
                </w:tcPr>
                <w:p w14:paraId="6519F36A">
                  <w:pPr>
                    <w:widowControl/>
                    <w:spacing w:line="240" w:lineRule="auto"/>
                    <w:jc w:val="center"/>
                    <w:textAlignment w:val="center"/>
                    <w:rPr>
                      <w:rFonts w:hint="default" w:ascii="Times New Roman" w:hAnsi="Times New Roman" w:eastAsia="宋体"/>
                      <w:color w:val="auto"/>
                      <w:kern w:val="0"/>
                      <w:sz w:val="18"/>
                      <w:szCs w:val="18"/>
                      <w:lang w:val="en-US" w:eastAsia="zh-CN" w:bidi="ar"/>
                    </w:rPr>
                  </w:pPr>
                  <w:r>
                    <w:rPr>
                      <w:rFonts w:hint="eastAsia" w:eastAsia="宋体"/>
                      <w:color w:val="auto"/>
                      <w:kern w:val="0"/>
                      <w:sz w:val="18"/>
                      <w:szCs w:val="18"/>
                      <w:lang w:val="en-US" w:eastAsia="zh-CN" w:bidi="ar"/>
                    </w:rPr>
                    <w:t>0.86</w:t>
                  </w:r>
                </w:p>
              </w:tc>
              <w:tc>
                <w:tcPr>
                  <w:tcW w:w="467" w:type="dxa"/>
                  <w:noWrap w:val="0"/>
                  <w:vAlign w:val="center"/>
                </w:tcPr>
                <w:p w14:paraId="5C7EDB83">
                  <w:pPr>
                    <w:widowControl/>
                    <w:spacing w:line="240" w:lineRule="auto"/>
                    <w:jc w:val="center"/>
                    <w:textAlignment w:val="center"/>
                    <w:rPr>
                      <w:color w:val="auto"/>
                      <w:kern w:val="0"/>
                      <w:sz w:val="18"/>
                      <w:szCs w:val="18"/>
                      <w:lang w:bidi="ar"/>
                    </w:rPr>
                  </w:pPr>
                  <w:r>
                    <w:rPr>
                      <w:color w:val="auto"/>
                      <w:kern w:val="0"/>
                      <w:sz w:val="18"/>
                      <w:szCs w:val="18"/>
                      <w:lang w:bidi="ar"/>
                    </w:rPr>
                    <w:t>/</w:t>
                  </w:r>
                </w:p>
              </w:tc>
              <w:tc>
                <w:tcPr>
                  <w:tcW w:w="745" w:type="dxa"/>
                  <w:noWrap w:val="0"/>
                  <w:vAlign w:val="center"/>
                </w:tcPr>
                <w:p w14:paraId="1F4AC74B">
                  <w:pPr>
                    <w:widowControl/>
                    <w:spacing w:line="240" w:lineRule="auto"/>
                    <w:jc w:val="center"/>
                    <w:textAlignment w:val="center"/>
                    <w:rPr>
                      <w:color w:val="auto"/>
                      <w:kern w:val="0"/>
                      <w:sz w:val="18"/>
                      <w:szCs w:val="18"/>
                      <w:lang w:bidi="ar"/>
                    </w:rPr>
                  </w:pPr>
                  <w:r>
                    <w:rPr>
                      <w:color w:val="auto"/>
                      <w:kern w:val="0"/>
                      <w:sz w:val="18"/>
                      <w:szCs w:val="18"/>
                      <w:lang w:bidi="ar"/>
                    </w:rPr>
                    <w:t>/</w:t>
                  </w:r>
                </w:p>
              </w:tc>
              <w:tc>
                <w:tcPr>
                  <w:tcW w:w="643" w:type="dxa"/>
                  <w:noWrap w:val="0"/>
                  <w:vAlign w:val="center"/>
                </w:tcPr>
                <w:p w14:paraId="30911EE6">
                  <w:pPr>
                    <w:widowControl/>
                    <w:spacing w:line="240" w:lineRule="auto"/>
                    <w:jc w:val="center"/>
                    <w:textAlignment w:val="center"/>
                    <w:rPr>
                      <w:rFonts w:hint="default" w:eastAsia="宋体"/>
                      <w:color w:val="auto"/>
                      <w:kern w:val="0"/>
                      <w:sz w:val="18"/>
                      <w:szCs w:val="18"/>
                      <w:lang w:val="en-US" w:eastAsia="zh-CN" w:bidi="ar"/>
                    </w:rPr>
                  </w:pPr>
                  <w:r>
                    <w:rPr>
                      <w:rFonts w:hint="eastAsia"/>
                      <w:color w:val="auto"/>
                      <w:kern w:val="0"/>
                      <w:sz w:val="18"/>
                      <w:szCs w:val="18"/>
                      <w:lang w:val="en-US" w:eastAsia="zh-CN" w:bidi="ar"/>
                    </w:rPr>
                    <w:t>0.358</w:t>
                  </w:r>
                </w:p>
              </w:tc>
              <w:tc>
                <w:tcPr>
                  <w:tcW w:w="654" w:type="dxa"/>
                  <w:noWrap w:val="0"/>
                  <w:vAlign w:val="center"/>
                </w:tcPr>
                <w:p w14:paraId="6767A35C">
                  <w:pPr>
                    <w:widowControl/>
                    <w:spacing w:line="240" w:lineRule="auto"/>
                    <w:jc w:val="center"/>
                    <w:textAlignment w:val="center"/>
                    <w:rPr>
                      <w:rFonts w:hint="default" w:eastAsia="宋体"/>
                      <w:color w:val="auto"/>
                      <w:kern w:val="0"/>
                      <w:sz w:val="18"/>
                      <w:szCs w:val="18"/>
                      <w:lang w:val="en-US" w:eastAsia="zh-CN" w:bidi="ar"/>
                    </w:rPr>
                  </w:pPr>
                  <w:r>
                    <w:rPr>
                      <w:rFonts w:hint="eastAsia"/>
                      <w:color w:val="auto"/>
                      <w:kern w:val="0"/>
                      <w:sz w:val="18"/>
                      <w:szCs w:val="18"/>
                      <w:lang w:val="en-US" w:eastAsia="zh-CN" w:bidi="ar"/>
                    </w:rPr>
                    <w:t>0.86</w:t>
                  </w:r>
                </w:p>
              </w:tc>
              <w:tc>
                <w:tcPr>
                  <w:tcW w:w="724" w:type="dxa"/>
                  <w:noWrap/>
                  <w:vAlign w:val="center"/>
                </w:tcPr>
                <w:p w14:paraId="4A7AF055">
                  <w:pPr>
                    <w:widowControl/>
                    <w:spacing w:line="240" w:lineRule="auto"/>
                    <w:jc w:val="center"/>
                    <w:textAlignment w:val="center"/>
                    <w:rPr>
                      <w:color w:val="auto"/>
                      <w:kern w:val="0"/>
                      <w:sz w:val="18"/>
                      <w:szCs w:val="18"/>
                      <w:lang w:bidi="ar"/>
                    </w:rPr>
                  </w:pPr>
                  <w:r>
                    <w:rPr>
                      <w:rFonts w:hint="eastAsia"/>
                      <w:color w:val="auto"/>
                      <w:kern w:val="0"/>
                      <w:sz w:val="18"/>
                      <w:szCs w:val="18"/>
                      <w:lang w:val="en-US" w:eastAsia="zh-CN" w:bidi="ar"/>
                    </w:rPr>
                    <w:t>2.0</w:t>
                  </w:r>
                  <w:r>
                    <w:rPr>
                      <w:color w:val="auto"/>
                      <w:kern w:val="0"/>
                      <w:sz w:val="18"/>
                      <w:szCs w:val="18"/>
                      <w:lang w:bidi="ar"/>
                    </w:rPr>
                    <w:t xml:space="preserve"> </w:t>
                  </w:r>
                </w:p>
              </w:tc>
              <w:tc>
                <w:tcPr>
                  <w:tcW w:w="599" w:type="dxa"/>
                  <w:noWrap w:val="0"/>
                  <w:vAlign w:val="center"/>
                </w:tcPr>
                <w:p w14:paraId="74517534">
                  <w:pPr>
                    <w:widowControl/>
                    <w:spacing w:line="240" w:lineRule="auto"/>
                    <w:jc w:val="center"/>
                    <w:textAlignment w:val="center"/>
                    <w:rPr>
                      <w:color w:val="auto"/>
                      <w:kern w:val="0"/>
                      <w:sz w:val="18"/>
                      <w:szCs w:val="18"/>
                      <w:lang w:bidi="ar"/>
                    </w:rPr>
                  </w:pPr>
                  <w:r>
                    <w:rPr>
                      <w:color w:val="auto"/>
                      <w:kern w:val="0"/>
                      <w:sz w:val="18"/>
                      <w:szCs w:val="18"/>
                      <w:lang w:bidi="ar"/>
                    </w:rPr>
                    <w:t>/</w:t>
                  </w:r>
                </w:p>
              </w:tc>
            </w:tr>
          </w:tbl>
          <w:p w14:paraId="758D3F86">
            <w:pPr>
              <w:bidi w:val="0"/>
              <w:ind w:firstLine="480" w:firstLineChars="200"/>
              <w:rPr>
                <w:rFonts w:hint="default" w:eastAsia="宋体"/>
                <w:color w:val="auto"/>
                <w:lang w:val="en-US" w:eastAsia="zh-CN"/>
              </w:rPr>
            </w:pPr>
            <w:r>
              <w:rPr>
                <w:rFonts w:hint="eastAsia"/>
                <w:color w:val="auto"/>
                <w:lang w:eastAsia="zh-CN"/>
              </w:rPr>
              <w:t>（</w:t>
            </w:r>
            <w:r>
              <w:rPr>
                <w:rFonts w:hint="eastAsia"/>
                <w:color w:val="auto"/>
                <w:lang w:val="en-US" w:eastAsia="zh-CN"/>
              </w:rPr>
              <w:t>3</w:t>
            </w:r>
            <w:r>
              <w:rPr>
                <w:rFonts w:hint="eastAsia"/>
                <w:color w:val="auto"/>
                <w:lang w:eastAsia="zh-CN"/>
              </w:rPr>
              <w:t>）</w:t>
            </w:r>
            <w:r>
              <w:rPr>
                <w:rFonts w:hint="eastAsia"/>
                <w:color w:val="auto"/>
                <w:lang w:val="en-US" w:eastAsia="zh-CN"/>
              </w:rPr>
              <w:t>异味</w:t>
            </w:r>
          </w:p>
          <w:p w14:paraId="71706AEC">
            <w:pPr>
              <w:bidi w:val="0"/>
              <w:ind w:firstLine="480"/>
              <w:rPr>
                <w:rFonts w:hint="eastAsia"/>
                <w:color w:val="auto"/>
                <w:lang w:val="en-US" w:eastAsia="zh-CN"/>
              </w:rPr>
            </w:pPr>
            <w:r>
              <w:rPr>
                <w:rFonts w:hint="eastAsia"/>
                <w:color w:val="auto"/>
                <w:lang w:val="en-US" w:eastAsia="zh-CN"/>
              </w:rPr>
              <w:t>项目部分原辅料带有异味，会在开盖投料、抽真空以及出料灌装时散发出来，产生轻微恶臭，以臭气浓度表征。由于臭气浓度的发生比例与原料性能等诸多因素有关，较难进行准确定量计算，本次评价不做定量分析。臭气浓度随废气收集系统进入活性炭吸附装置处理后排放，</w:t>
            </w:r>
            <w:r>
              <w:rPr>
                <w:rFonts w:hint="default" w:ascii="Times New Roman" w:hAnsi="Times New Roman" w:cs="Times New Roman"/>
                <w:color w:val="auto"/>
                <w:lang w:val="en-US" w:eastAsia="zh-CN"/>
              </w:rPr>
              <w:t>可有效减轻影响</w:t>
            </w:r>
            <w:r>
              <w:rPr>
                <w:rFonts w:hint="eastAsia"/>
                <w:color w:val="auto"/>
                <w:lang w:val="en-US" w:eastAsia="zh-CN"/>
              </w:rPr>
              <w:t>。</w:t>
            </w:r>
          </w:p>
          <w:p w14:paraId="5D836B49">
            <w:pPr>
              <w:bidi w:val="0"/>
              <w:spacing w:line="360" w:lineRule="auto"/>
              <w:ind w:firstLine="480" w:firstLineChars="200"/>
              <w:rPr>
                <w:rFonts w:hint="default" w:ascii="Times New Roman" w:hAnsi="Times New Roman" w:eastAsia="宋体" w:cs="Times New Roman"/>
                <w:color w:val="auto"/>
                <w:lang w:eastAsia="zh-CN"/>
              </w:rPr>
            </w:pPr>
            <w:r>
              <w:rPr>
                <w:rFonts w:hint="default" w:ascii="Times New Roman" w:hAnsi="Times New Roman" w:cs="Times New Roman"/>
                <w:color w:val="auto"/>
                <w:sz w:val="24"/>
                <w:szCs w:val="24"/>
                <w:lang w:val="en-US" w:eastAsia="zh-CN"/>
              </w:rPr>
              <w:t>根据以上分析，项目</w:t>
            </w:r>
            <w:r>
              <w:rPr>
                <w:rFonts w:hint="eastAsia" w:ascii="Times New Roman" w:hAnsi="Times New Roman" w:cs="Times New Roman"/>
                <w:color w:val="auto"/>
                <w:sz w:val="24"/>
                <w:szCs w:val="24"/>
                <w:lang w:val="en-US" w:eastAsia="zh-CN"/>
              </w:rPr>
              <w:t>颗粒物排放量0.092</w:t>
            </w:r>
            <w:r>
              <w:rPr>
                <w:rFonts w:hint="default" w:ascii="Times New Roman" w:hAnsi="Times New Roman" w:eastAsia="宋体" w:cs="Times New Roman"/>
                <w:bCs/>
                <w:color w:val="auto"/>
                <w:sz w:val="24"/>
                <w:szCs w:val="32"/>
                <w:lang w:val="en-US" w:eastAsia="zh-CN"/>
              </w:rPr>
              <w:t>t/a，排放浓度</w:t>
            </w:r>
            <w:r>
              <w:rPr>
                <w:rFonts w:hint="eastAsia" w:ascii="Times New Roman" w:hAnsi="Times New Roman" w:eastAsia="宋体" w:cs="Times New Roman"/>
                <w:bCs/>
                <w:color w:val="auto"/>
                <w:sz w:val="24"/>
                <w:szCs w:val="32"/>
                <w:lang w:val="en-US" w:eastAsia="zh-CN"/>
              </w:rPr>
              <w:t>10.2</w:t>
            </w:r>
            <w:r>
              <w:rPr>
                <w:rFonts w:hint="default" w:ascii="Times New Roman" w:hAnsi="Times New Roman" w:eastAsia="宋体" w:cs="Times New Roman"/>
                <w:bCs/>
                <w:color w:val="auto"/>
                <w:sz w:val="24"/>
                <w:szCs w:val="32"/>
                <w:lang w:val="en-US" w:eastAsia="zh-CN"/>
              </w:rPr>
              <w:t>mg/m</w:t>
            </w:r>
            <w:r>
              <w:rPr>
                <w:rFonts w:hint="default" w:ascii="Times New Roman" w:hAnsi="Times New Roman" w:eastAsia="宋体" w:cs="Times New Roman"/>
                <w:bCs/>
                <w:color w:val="auto"/>
                <w:sz w:val="24"/>
                <w:szCs w:val="32"/>
                <w:vertAlign w:val="superscript"/>
                <w:lang w:val="en-US" w:eastAsia="zh-CN"/>
              </w:rPr>
              <w:t>3</w:t>
            </w:r>
            <w:r>
              <w:rPr>
                <w:rFonts w:hint="default" w:ascii="Times New Roman" w:hAnsi="Times New Roman" w:eastAsia="宋体" w:cs="Times New Roman"/>
                <w:bCs/>
                <w:color w:val="auto"/>
                <w:sz w:val="24"/>
                <w:szCs w:val="32"/>
                <w:lang w:val="en-US" w:eastAsia="zh-CN"/>
              </w:rPr>
              <w:t>，排放速率0.</w:t>
            </w:r>
            <w:r>
              <w:rPr>
                <w:rFonts w:hint="eastAsia" w:eastAsia="宋体" w:cs="Times New Roman"/>
                <w:bCs/>
                <w:color w:val="auto"/>
                <w:sz w:val="24"/>
                <w:szCs w:val="32"/>
                <w:lang w:val="en-US" w:eastAsia="zh-CN"/>
              </w:rPr>
              <w:t>102</w:t>
            </w:r>
            <w:r>
              <w:rPr>
                <w:rFonts w:hint="default" w:ascii="Times New Roman" w:hAnsi="Times New Roman" w:eastAsia="宋体" w:cs="Times New Roman"/>
                <w:bCs/>
                <w:color w:val="auto"/>
                <w:sz w:val="24"/>
                <w:szCs w:val="32"/>
                <w:lang w:val="en-US" w:eastAsia="zh-CN"/>
              </w:rPr>
              <w:t>kg/h，</w:t>
            </w:r>
            <w:r>
              <w:rPr>
                <w:rFonts w:hint="eastAsia" w:ascii="Times New Roman" w:hAnsi="Times New Roman" w:eastAsia="宋体" w:cs="Times New Roman"/>
                <w:bCs/>
                <w:color w:val="auto"/>
                <w:sz w:val="24"/>
                <w:szCs w:val="32"/>
                <w:lang w:val="en-US" w:eastAsia="zh-CN"/>
              </w:rPr>
              <w:t>可满足《区域性大气污染物综合排放标准》（DB37/2736-2019）表1一般控制区、《大气污染物综合排放标准》（GB16297-1996）表2标准限值（20</w:t>
            </w:r>
            <w:r>
              <w:rPr>
                <w:rFonts w:hint="default" w:ascii="Times New Roman" w:hAnsi="Times New Roman" w:eastAsia="宋体" w:cs="Times New Roman"/>
                <w:bCs/>
                <w:color w:val="auto"/>
                <w:sz w:val="24"/>
                <w:szCs w:val="32"/>
                <w:lang w:val="en-US" w:eastAsia="zh-CN"/>
              </w:rPr>
              <w:t>mg/m</w:t>
            </w:r>
            <w:r>
              <w:rPr>
                <w:rFonts w:hint="default" w:ascii="Times New Roman" w:hAnsi="Times New Roman" w:eastAsia="宋体" w:cs="Times New Roman"/>
                <w:bCs/>
                <w:color w:val="auto"/>
                <w:sz w:val="24"/>
                <w:szCs w:val="32"/>
                <w:vertAlign w:val="superscript"/>
                <w:lang w:val="en-US" w:eastAsia="zh-CN"/>
              </w:rPr>
              <w:t>3</w:t>
            </w:r>
            <w:r>
              <w:rPr>
                <w:rFonts w:hint="default" w:ascii="Times New Roman" w:hAnsi="Times New Roman" w:eastAsia="宋体" w:cs="Times New Roman"/>
                <w:bCs/>
                <w:color w:val="auto"/>
                <w:sz w:val="24"/>
                <w:szCs w:val="32"/>
                <w:lang w:val="en-US" w:eastAsia="zh-CN"/>
              </w:rPr>
              <w:t>，</w:t>
            </w:r>
            <w:r>
              <w:rPr>
                <w:rFonts w:hint="eastAsia" w:ascii="Times New Roman" w:hAnsi="Times New Roman" w:eastAsia="宋体" w:cs="Times New Roman"/>
                <w:bCs/>
                <w:color w:val="auto"/>
                <w:sz w:val="24"/>
                <w:szCs w:val="32"/>
                <w:lang w:val="en-US" w:eastAsia="zh-CN"/>
              </w:rPr>
              <w:t>3.5</w:t>
            </w:r>
            <w:r>
              <w:rPr>
                <w:rFonts w:hint="default" w:ascii="Times New Roman" w:hAnsi="Times New Roman" w:eastAsia="宋体" w:cs="Times New Roman"/>
                <w:bCs/>
                <w:color w:val="auto"/>
                <w:sz w:val="24"/>
                <w:szCs w:val="32"/>
                <w:lang w:val="en-US" w:eastAsia="zh-CN"/>
              </w:rPr>
              <w:t>kg/h</w:t>
            </w:r>
            <w:r>
              <w:rPr>
                <w:rFonts w:hint="eastAsia" w:ascii="Times New Roman" w:hAnsi="Times New Roman" w:eastAsia="宋体" w:cs="Times New Roman"/>
                <w:bCs/>
                <w:color w:val="auto"/>
                <w:sz w:val="24"/>
                <w:szCs w:val="32"/>
                <w:lang w:val="en-US" w:eastAsia="zh-CN"/>
              </w:rPr>
              <w:t>）；</w:t>
            </w:r>
            <w:r>
              <w:rPr>
                <w:rFonts w:hint="default" w:ascii="Times New Roman" w:hAnsi="Times New Roman" w:cs="Times New Roman"/>
                <w:color w:val="auto"/>
                <w:sz w:val="24"/>
                <w:szCs w:val="24"/>
                <w:lang w:val="en-US" w:eastAsia="zh-CN"/>
              </w:rPr>
              <w:t>VOCs排放量0.</w:t>
            </w:r>
            <w:r>
              <w:rPr>
                <w:rFonts w:hint="eastAsia" w:cs="Times New Roman"/>
                <w:color w:val="auto"/>
                <w:sz w:val="24"/>
                <w:szCs w:val="24"/>
                <w:lang w:val="en-US" w:eastAsia="zh-CN"/>
              </w:rPr>
              <w:t>774</w:t>
            </w:r>
            <w:r>
              <w:rPr>
                <w:rFonts w:hint="default" w:ascii="Times New Roman" w:hAnsi="Times New Roman" w:eastAsia="宋体" w:cs="Times New Roman"/>
                <w:bCs/>
                <w:color w:val="auto"/>
                <w:sz w:val="24"/>
                <w:szCs w:val="32"/>
                <w:lang w:val="en-US" w:eastAsia="zh-CN"/>
              </w:rPr>
              <w:t>t/a，排放浓度</w:t>
            </w:r>
            <w:r>
              <w:rPr>
                <w:rFonts w:hint="eastAsia" w:cs="Times New Roman"/>
                <w:bCs/>
                <w:color w:val="auto"/>
                <w:sz w:val="24"/>
                <w:szCs w:val="32"/>
                <w:lang w:val="en-US" w:eastAsia="zh-CN"/>
              </w:rPr>
              <w:t>21.5</w:t>
            </w:r>
            <w:r>
              <w:rPr>
                <w:rFonts w:hint="default" w:ascii="Times New Roman" w:hAnsi="Times New Roman" w:eastAsia="宋体" w:cs="Times New Roman"/>
                <w:bCs/>
                <w:color w:val="auto"/>
                <w:sz w:val="24"/>
                <w:szCs w:val="32"/>
                <w:lang w:val="en-US" w:eastAsia="zh-CN"/>
              </w:rPr>
              <w:t>mg/m</w:t>
            </w:r>
            <w:r>
              <w:rPr>
                <w:rFonts w:hint="default" w:ascii="Times New Roman" w:hAnsi="Times New Roman" w:eastAsia="宋体" w:cs="Times New Roman"/>
                <w:bCs/>
                <w:color w:val="auto"/>
                <w:sz w:val="24"/>
                <w:szCs w:val="32"/>
                <w:vertAlign w:val="superscript"/>
                <w:lang w:val="en-US" w:eastAsia="zh-CN"/>
              </w:rPr>
              <w:t>3</w:t>
            </w:r>
            <w:r>
              <w:rPr>
                <w:rFonts w:hint="default" w:ascii="Times New Roman" w:hAnsi="Times New Roman" w:eastAsia="宋体" w:cs="Times New Roman"/>
                <w:bCs/>
                <w:color w:val="auto"/>
                <w:sz w:val="24"/>
                <w:szCs w:val="32"/>
                <w:lang w:val="en-US" w:eastAsia="zh-CN"/>
              </w:rPr>
              <w:t>，排放速率0.</w:t>
            </w:r>
            <w:r>
              <w:rPr>
                <w:rFonts w:hint="eastAsia" w:eastAsia="宋体" w:cs="Times New Roman"/>
                <w:bCs/>
                <w:color w:val="auto"/>
                <w:sz w:val="24"/>
                <w:szCs w:val="32"/>
                <w:lang w:val="en-US" w:eastAsia="zh-CN"/>
              </w:rPr>
              <w:t>323</w:t>
            </w:r>
            <w:r>
              <w:rPr>
                <w:rFonts w:hint="default" w:ascii="Times New Roman" w:hAnsi="Times New Roman" w:eastAsia="宋体" w:cs="Times New Roman"/>
                <w:bCs/>
                <w:color w:val="auto"/>
                <w:sz w:val="24"/>
                <w:szCs w:val="32"/>
                <w:lang w:val="en-US" w:eastAsia="zh-CN"/>
              </w:rPr>
              <w:t>kg/h，可满足《挥发性有机物排放标准 第6部分：有机化工》（DB37/2801.6-2018）表1</w:t>
            </w:r>
            <w:r>
              <w:rPr>
                <w:rFonts w:hint="eastAsia" w:ascii="Times New Roman" w:hAnsi="Times New Roman" w:eastAsia="宋体" w:cs="Times New Roman"/>
                <w:bCs/>
                <w:color w:val="auto"/>
                <w:sz w:val="24"/>
                <w:szCs w:val="32"/>
                <w:lang w:val="en-US" w:eastAsia="zh-CN"/>
              </w:rPr>
              <w:t>“涂料、油墨、颜料及类似产品制造（C264）”行业</w:t>
            </w:r>
            <w:r>
              <w:rPr>
                <w:rFonts w:hint="eastAsia" w:ascii="宋体" w:hAnsi="宋体" w:eastAsia="宋体" w:cs="宋体"/>
                <w:bCs/>
                <w:color w:val="auto"/>
                <w:sz w:val="24"/>
                <w:szCs w:val="32"/>
                <w:lang w:val="en-US" w:eastAsia="zh-CN"/>
              </w:rPr>
              <w:t>Ⅱ</w:t>
            </w:r>
            <w:r>
              <w:rPr>
                <w:rFonts w:hint="eastAsia" w:ascii="Times New Roman" w:hAnsi="Times New Roman" w:eastAsia="宋体" w:cs="Times New Roman"/>
                <w:bCs/>
                <w:color w:val="auto"/>
                <w:sz w:val="24"/>
                <w:szCs w:val="32"/>
                <w:lang w:val="en-US" w:eastAsia="zh-CN"/>
              </w:rPr>
              <w:t>时段</w:t>
            </w:r>
            <w:r>
              <w:rPr>
                <w:rFonts w:hint="default" w:ascii="Times New Roman" w:hAnsi="Times New Roman" w:eastAsia="宋体" w:cs="Times New Roman"/>
                <w:bCs/>
                <w:color w:val="auto"/>
                <w:sz w:val="24"/>
                <w:szCs w:val="32"/>
                <w:lang w:val="en-US" w:eastAsia="zh-CN"/>
              </w:rPr>
              <w:t>标准限值</w:t>
            </w:r>
            <w:r>
              <w:rPr>
                <w:rFonts w:hint="eastAsia" w:ascii="Times New Roman" w:hAnsi="Times New Roman" w:eastAsia="宋体" w:cs="Times New Roman"/>
                <w:bCs/>
                <w:color w:val="auto"/>
                <w:sz w:val="24"/>
                <w:szCs w:val="32"/>
                <w:lang w:val="en-US" w:eastAsia="zh-CN"/>
              </w:rPr>
              <w:t>（50</w:t>
            </w:r>
            <w:r>
              <w:rPr>
                <w:rFonts w:hint="default" w:ascii="Times New Roman" w:hAnsi="Times New Roman" w:eastAsia="宋体" w:cs="Times New Roman"/>
                <w:bCs/>
                <w:color w:val="auto"/>
                <w:sz w:val="24"/>
                <w:szCs w:val="32"/>
                <w:lang w:val="en-US" w:eastAsia="zh-CN"/>
              </w:rPr>
              <w:t>mg/m</w:t>
            </w:r>
            <w:r>
              <w:rPr>
                <w:rFonts w:hint="default" w:ascii="Times New Roman" w:hAnsi="Times New Roman" w:eastAsia="宋体" w:cs="Times New Roman"/>
                <w:bCs/>
                <w:color w:val="auto"/>
                <w:sz w:val="24"/>
                <w:szCs w:val="32"/>
                <w:vertAlign w:val="superscript"/>
                <w:lang w:val="en-US" w:eastAsia="zh-CN"/>
              </w:rPr>
              <w:t>3</w:t>
            </w:r>
            <w:r>
              <w:rPr>
                <w:rFonts w:hint="default" w:ascii="Times New Roman" w:hAnsi="Times New Roman" w:eastAsia="宋体" w:cs="Times New Roman"/>
                <w:bCs/>
                <w:color w:val="auto"/>
                <w:sz w:val="24"/>
                <w:szCs w:val="32"/>
                <w:lang w:val="en-US" w:eastAsia="zh-CN"/>
              </w:rPr>
              <w:t>，</w:t>
            </w:r>
            <w:r>
              <w:rPr>
                <w:rFonts w:hint="eastAsia" w:ascii="Times New Roman" w:hAnsi="Times New Roman" w:eastAsia="宋体" w:cs="Times New Roman"/>
                <w:bCs/>
                <w:color w:val="auto"/>
                <w:sz w:val="24"/>
                <w:szCs w:val="32"/>
                <w:lang w:val="en-US" w:eastAsia="zh-CN"/>
              </w:rPr>
              <w:t>3.0</w:t>
            </w:r>
            <w:r>
              <w:rPr>
                <w:rFonts w:hint="default" w:ascii="Times New Roman" w:hAnsi="Times New Roman" w:eastAsia="宋体" w:cs="Times New Roman"/>
                <w:bCs/>
                <w:color w:val="auto"/>
                <w:sz w:val="24"/>
                <w:szCs w:val="32"/>
                <w:lang w:val="en-US" w:eastAsia="zh-CN"/>
              </w:rPr>
              <w:t>kg/h</w:t>
            </w:r>
            <w:r>
              <w:rPr>
                <w:rFonts w:hint="eastAsia" w:ascii="Times New Roman" w:hAnsi="Times New Roman" w:eastAsia="宋体" w:cs="Times New Roman"/>
                <w:bCs/>
                <w:color w:val="auto"/>
                <w:sz w:val="24"/>
                <w:szCs w:val="32"/>
                <w:lang w:val="en-US" w:eastAsia="zh-CN"/>
              </w:rPr>
              <w:t>）</w:t>
            </w:r>
            <w:r>
              <w:rPr>
                <w:rFonts w:hint="eastAsia" w:cs="Times New Roman"/>
                <w:bCs/>
                <w:color w:val="auto"/>
                <w:sz w:val="24"/>
                <w:szCs w:val="32"/>
                <w:lang w:val="en-US" w:eastAsia="zh-CN"/>
              </w:rPr>
              <w:t>。</w:t>
            </w:r>
            <w:r>
              <w:rPr>
                <w:rFonts w:hint="eastAsia"/>
                <w:color w:val="auto"/>
                <w:lang w:val="en-US" w:eastAsia="zh-CN"/>
              </w:rPr>
              <w:t>综上，本项目废气污染源产排情况见下表。</w:t>
            </w:r>
          </w:p>
        </w:tc>
      </w:tr>
    </w:tbl>
    <w:p w14:paraId="37D2027F">
      <w:pPr>
        <w:pStyle w:val="32"/>
        <w:rPr>
          <w:rFonts w:hint="eastAsia"/>
          <w:color w:val="auto"/>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p w14:paraId="583CA112">
      <w:pPr>
        <w:pStyle w:val="45"/>
        <w:numPr>
          <w:ilvl w:val="0"/>
          <w:numId w:val="0"/>
        </w:numPr>
        <w:bidi w:val="0"/>
        <w:ind w:leftChars="0"/>
        <w:jc w:val="center"/>
        <w:rPr>
          <w:b/>
          <w:color w:val="auto"/>
          <w:szCs w:val="21"/>
          <w:lang w:val="zh-CN"/>
        </w:rPr>
      </w:pPr>
      <w:r>
        <w:rPr>
          <w:rFonts w:hint="eastAsia"/>
          <w:color w:val="auto"/>
          <w:lang w:val="en-US" w:eastAsia="zh-CN"/>
        </w:rPr>
        <w:t>表4-3</w:t>
      </w:r>
      <w:r>
        <w:rPr>
          <w:color w:val="auto"/>
          <w:lang w:val="zh-CN"/>
        </w:rPr>
        <w:t>废气污染源产排放信息汇总表</w:t>
      </w:r>
    </w:p>
    <w:tbl>
      <w:tblPr>
        <w:tblStyle w:val="33"/>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1756"/>
        <w:gridCol w:w="503"/>
        <w:gridCol w:w="591"/>
        <w:gridCol w:w="851"/>
        <w:gridCol w:w="605"/>
        <w:gridCol w:w="820"/>
        <w:gridCol w:w="714"/>
        <w:gridCol w:w="819"/>
        <w:gridCol w:w="706"/>
        <w:gridCol w:w="605"/>
        <w:gridCol w:w="678"/>
        <w:gridCol w:w="812"/>
        <w:gridCol w:w="762"/>
        <w:gridCol w:w="714"/>
        <w:gridCol w:w="760"/>
        <w:gridCol w:w="831"/>
      </w:tblGrid>
      <w:tr w14:paraId="1FE4C0E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41" w:hRule="atLeast"/>
        </w:trPr>
        <w:tc>
          <w:tcPr>
            <w:tcW w:w="1756" w:type="dxa"/>
            <w:vMerge w:val="restart"/>
            <w:tcBorders>
              <w:tl2br w:val="nil"/>
              <w:tr2bl w:val="nil"/>
            </w:tcBorders>
            <w:noWrap w:val="0"/>
            <w:tcMar>
              <w:top w:w="15" w:type="dxa"/>
              <w:left w:w="15" w:type="dxa"/>
              <w:right w:w="15" w:type="dxa"/>
            </w:tcMar>
            <w:vAlign w:val="center"/>
          </w:tcPr>
          <w:p w14:paraId="0FA52982">
            <w:pPr>
              <w:pStyle w:val="44"/>
              <w:bidi w:val="0"/>
              <w:rPr>
                <w:b/>
                <w:bCs/>
                <w:color w:val="auto"/>
                <w:sz w:val="21"/>
                <w:szCs w:val="21"/>
              </w:rPr>
            </w:pPr>
            <w:r>
              <w:rPr>
                <w:b/>
                <w:bCs/>
                <w:color w:val="auto"/>
                <w:sz w:val="21"/>
                <w:szCs w:val="21"/>
              </w:rPr>
              <w:t>产排污环节</w:t>
            </w:r>
          </w:p>
        </w:tc>
        <w:tc>
          <w:tcPr>
            <w:tcW w:w="503" w:type="dxa"/>
            <w:vMerge w:val="restart"/>
            <w:tcBorders>
              <w:tl2br w:val="nil"/>
              <w:tr2bl w:val="nil"/>
            </w:tcBorders>
            <w:noWrap w:val="0"/>
            <w:tcMar>
              <w:top w:w="15" w:type="dxa"/>
              <w:left w:w="15" w:type="dxa"/>
              <w:right w:w="15" w:type="dxa"/>
            </w:tcMar>
            <w:vAlign w:val="center"/>
          </w:tcPr>
          <w:p w14:paraId="4A636E07">
            <w:pPr>
              <w:pStyle w:val="44"/>
              <w:bidi w:val="0"/>
              <w:rPr>
                <w:b/>
                <w:bCs/>
                <w:color w:val="auto"/>
                <w:sz w:val="21"/>
                <w:szCs w:val="21"/>
              </w:rPr>
            </w:pPr>
            <w:r>
              <w:rPr>
                <w:b/>
                <w:bCs/>
                <w:color w:val="auto"/>
                <w:sz w:val="21"/>
                <w:szCs w:val="21"/>
              </w:rPr>
              <w:t>排放形式</w:t>
            </w:r>
          </w:p>
        </w:tc>
        <w:tc>
          <w:tcPr>
            <w:tcW w:w="591" w:type="dxa"/>
            <w:vMerge w:val="restart"/>
            <w:tcBorders>
              <w:tl2br w:val="nil"/>
              <w:tr2bl w:val="nil"/>
            </w:tcBorders>
            <w:noWrap w:val="0"/>
            <w:tcMar>
              <w:top w:w="15" w:type="dxa"/>
              <w:left w:w="15" w:type="dxa"/>
              <w:right w:w="15" w:type="dxa"/>
            </w:tcMar>
            <w:vAlign w:val="center"/>
          </w:tcPr>
          <w:p w14:paraId="7CA1BB2B">
            <w:pPr>
              <w:pStyle w:val="44"/>
              <w:bidi w:val="0"/>
              <w:rPr>
                <w:b/>
                <w:bCs/>
                <w:color w:val="auto"/>
                <w:sz w:val="21"/>
                <w:szCs w:val="21"/>
              </w:rPr>
            </w:pPr>
            <w:r>
              <w:rPr>
                <w:b/>
                <w:bCs/>
                <w:color w:val="auto"/>
                <w:sz w:val="21"/>
                <w:szCs w:val="21"/>
              </w:rPr>
              <w:t>污染物种类</w:t>
            </w:r>
          </w:p>
        </w:tc>
        <w:tc>
          <w:tcPr>
            <w:tcW w:w="851" w:type="dxa"/>
            <w:vMerge w:val="restart"/>
            <w:tcBorders>
              <w:tl2br w:val="nil"/>
              <w:tr2bl w:val="nil"/>
            </w:tcBorders>
            <w:noWrap w:val="0"/>
            <w:tcMar>
              <w:top w:w="15" w:type="dxa"/>
              <w:left w:w="15" w:type="dxa"/>
              <w:right w:w="15" w:type="dxa"/>
            </w:tcMar>
            <w:vAlign w:val="center"/>
          </w:tcPr>
          <w:p w14:paraId="1C5D9108">
            <w:pPr>
              <w:pStyle w:val="44"/>
              <w:bidi w:val="0"/>
              <w:rPr>
                <w:b/>
                <w:bCs/>
                <w:color w:val="auto"/>
                <w:sz w:val="21"/>
                <w:szCs w:val="21"/>
              </w:rPr>
            </w:pPr>
            <w:r>
              <w:rPr>
                <w:b/>
                <w:bCs/>
                <w:color w:val="auto"/>
                <w:sz w:val="21"/>
                <w:szCs w:val="21"/>
              </w:rPr>
              <w:t>年运行时间h/a</w:t>
            </w:r>
          </w:p>
        </w:tc>
        <w:tc>
          <w:tcPr>
            <w:tcW w:w="605" w:type="dxa"/>
            <w:vMerge w:val="restart"/>
            <w:tcBorders>
              <w:tl2br w:val="nil"/>
              <w:tr2bl w:val="nil"/>
            </w:tcBorders>
            <w:noWrap w:val="0"/>
            <w:tcMar>
              <w:top w:w="15" w:type="dxa"/>
              <w:left w:w="15" w:type="dxa"/>
              <w:right w:w="15" w:type="dxa"/>
            </w:tcMar>
            <w:vAlign w:val="center"/>
          </w:tcPr>
          <w:p w14:paraId="3EDDD787">
            <w:pPr>
              <w:pStyle w:val="44"/>
              <w:bidi w:val="0"/>
              <w:rPr>
                <w:b/>
                <w:bCs/>
                <w:color w:val="auto"/>
                <w:sz w:val="21"/>
                <w:szCs w:val="21"/>
              </w:rPr>
            </w:pPr>
            <w:r>
              <w:rPr>
                <w:b/>
                <w:bCs/>
                <w:color w:val="auto"/>
                <w:sz w:val="21"/>
                <w:szCs w:val="21"/>
              </w:rPr>
              <w:t>收集效率</w:t>
            </w:r>
          </w:p>
        </w:tc>
        <w:tc>
          <w:tcPr>
            <w:tcW w:w="2353" w:type="dxa"/>
            <w:gridSpan w:val="3"/>
            <w:tcBorders>
              <w:tl2br w:val="nil"/>
              <w:tr2bl w:val="nil"/>
            </w:tcBorders>
            <w:noWrap w:val="0"/>
            <w:tcMar>
              <w:top w:w="15" w:type="dxa"/>
              <w:left w:w="15" w:type="dxa"/>
              <w:right w:w="15" w:type="dxa"/>
            </w:tcMar>
            <w:vAlign w:val="center"/>
          </w:tcPr>
          <w:p w14:paraId="0159D569">
            <w:pPr>
              <w:pStyle w:val="44"/>
              <w:bidi w:val="0"/>
              <w:rPr>
                <w:b/>
                <w:bCs/>
                <w:color w:val="auto"/>
                <w:sz w:val="21"/>
                <w:szCs w:val="21"/>
              </w:rPr>
            </w:pPr>
            <w:r>
              <w:rPr>
                <w:b/>
                <w:bCs/>
                <w:color w:val="auto"/>
                <w:sz w:val="21"/>
                <w:szCs w:val="21"/>
              </w:rPr>
              <w:t>污染物产生量和浓度</w:t>
            </w:r>
          </w:p>
        </w:tc>
        <w:tc>
          <w:tcPr>
            <w:tcW w:w="2801" w:type="dxa"/>
            <w:gridSpan w:val="4"/>
            <w:tcBorders>
              <w:tl2br w:val="nil"/>
              <w:tr2bl w:val="nil"/>
            </w:tcBorders>
            <w:noWrap w:val="0"/>
            <w:tcMar>
              <w:top w:w="15" w:type="dxa"/>
              <w:left w:w="15" w:type="dxa"/>
              <w:right w:w="15" w:type="dxa"/>
            </w:tcMar>
            <w:vAlign w:val="center"/>
          </w:tcPr>
          <w:p w14:paraId="678B6045">
            <w:pPr>
              <w:pStyle w:val="44"/>
              <w:bidi w:val="0"/>
              <w:rPr>
                <w:b/>
                <w:bCs/>
                <w:color w:val="auto"/>
                <w:sz w:val="21"/>
                <w:szCs w:val="21"/>
              </w:rPr>
            </w:pPr>
            <w:r>
              <w:rPr>
                <w:b/>
                <w:bCs/>
                <w:color w:val="auto"/>
                <w:sz w:val="21"/>
                <w:szCs w:val="21"/>
              </w:rPr>
              <w:t>污染治理设施</w:t>
            </w:r>
          </w:p>
        </w:tc>
        <w:tc>
          <w:tcPr>
            <w:tcW w:w="2236" w:type="dxa"/>
            <w:gridSpan w:val="3"/>
            <w:tcBorders>
              <w:tl2br w:val="nil"/>
              <w:tr2bl w:val="nil"/>
            </w:tcBorders>
            <w:noWrap w:val="0"/>
            <w:tcMar>
              <w:top w:w="15" w:type="dxa"/>
              <w:left w:w="15" w:type="dxa"/>
              <w:right w:w="15" w:type="dxa"/>
            </w:tcMar>
            <w:vAlign w:val="center"/>
          </w:tcPr>
          <w:p w14:paraId="1D9028C3">
            <w:pPr>
              <w:pStyle w:val="44"/>
              <w:bidi w:val="0"/>
              <w:rPr>
                <w:b/>
                <w:bCs/>
                <w:color w:val="auto"/>
                <w:sz w:val="21"/>
                <w:szCs w:val="21"/>
              </w:rPr>
            </w:pPr>
            <w:r>
              <w:rPr>
                <w:b/>
                <w:bCs/>
                <w:color w:val="auto"/>
                <w:sz w:val="21"/>
                <w:szCs w:val="21"/>
              </w:rPr>
              <w:t>污染物排放量和浓度</w:t>
            </w:r>
          </w:p>
        </w:tc>
        <w:tc>
          <w:tcPr>
            <w:tcW w:w="831" w:type="dxa"/>
            <w:vMerge w:val="restart"/>
            <w:tcBorders>
              <w:tl2br w:val="nil"/>
              <w:tr2bl w:val="nil"/>
            </w:tcBorders>
            <w:noWrap w:val="0"/>
            <w:tcMar>
              <w:top w:w="15" w:type="dxa"/>
              <w:left w:w="15" w:type="dxa"/>
              <w:right w:w="15" w:type="dxa"/>
            </w:tcMar>
            <w:vAlign w:val="center"/>
          </w:tcPr>
          <w:p w14:paraId="6AC744A8">
            <w:pPr>
              <w:pStyle w:val="44"/>
              <w:bidi w:val="0"/>
              <w:rPr>
                <w:b/>
                <w:bCs/>
                <w:color w:val="auto"/>
                <w:sz w:val="21"/>
                <w:szCs w:val="21"/>
              </w:rPr>
            </w:pPr>
            <w:r>
              <w:rPr>
                <w:b/>
                <w:bCs/>
                <w:color w:val="auto"/>
                <w:sz w:val="21"/>
                <w:szCs w:val="21"/>
              </w:rPr>
              <w:t>编号及名称</w:t>
            </w:r>
          </w:p>
        </w:tc>
      </w:tr>
      <w:tr w14:paraId="3AFA74C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68" w:hRule="atLeast"/>
        </w:trPr>
        <w:tc>
          <w:tcPr>
            <w:tcW w:w="1756" w:type="dxa"/>
            <w:vMerge w:val="continue"/>
            <w:tcBorders>
              <w:tl2br w:val="nil"/>
              <w:tr2bl w:val="nil"/>
            </w:tcBorders>
            <w:noWrap w:val="0"/>
            <w:tcMar>
              <w:top w:w="15" w:type="dxa"/>
              <w:left w:w="15" w:type="dxa"/>
              <w:right w:w="15" w:type="dxa"/>
            </w:tcMar>
            <w:vAlign w:val="center"/>
          </w:tcPr>
          <w:p w14:paraId="70FF4580">
            <w:pPr>
              <w:pStyle w:val="44"/>
              <w:bidi w:val="0"/>
              <w:rPr>
                <w:color w:val="auto"/>
                <w:sz w:val="21"/>
                <w:szCs w:val="21"/>
              </w:rPr>
            </w:pPr>
          </w:p>
        </w:tc>
        <w:tc>
          <w:tcPr>
            <w:tcW w:w="503" w:type="dxa"/>
            <w:vMerge w:val="continue"/>
            <w:tcBorders>
              <w:tl2br w:val="nil"/>
              <w:tr2bl w:val="nil"/>
            </w:tcBorders>
            <w:noWrap w:val="0"/>
            <w:tcMar>
              <w:top w:w="15" w:type="dxa"/>
              <w:left w:w="15" w:type="dxa"/>
              <w:right w:w="15" w:type="dxa"/>
            </w:tcMar>
            <w:vAlign w:val="center"/>
          </w:tcPr>
          <w:p w14:paraId="48313955">
            <w:pPr>
              <w:pStyle w:val="44"/>
              <w:bidi w:val="0"/>
              <w:rPr>
                <w:color w:val="auto"/>
                <w:sz w:val="21"/>
                <w:szCs w:val="21"/>
              </w:rPr>
            </w:pPr>
          </w:p>
        </w:tc>
        <w:tc>
          <w:tcPr>
            <w:tcW w:w="591" w:type="dxa"/>
            <w:vMerge w:val="continue"/>
            <w:tcBorders>
              <w:tl2br w:val="nil"/>
              <w:tr2bl w:val="nil"/>
            </w:tcBorders>
            <w:noWrap w:val="0"/>
            <w:tcMar>
              <w:top w:w="15" w:type="dxa"/>
              <w:left w:w="15" w:type="dxa"/>
              <w:right w:w="15" w:type="dxa"/>
            </w:tcMar>
            <w:vAlign w:val="center"/>
          </w:tcPr>
          <w:p w14:paraId="42CCFCE6">
            <w:pPr>
              <w:pStyle w:val="44"/>
              <w:bidi w:val="0"/>
              <w:rPr>
                <w:color w:val="auto"/>
                <w:sz w:val="21"/>
                <w:szCs w:val="21"/>
              </w:rPr>
            </w:pPr>
          </w:p>
        </w:tc>
        <w:tc>
          <w:tcPr>
            <w:tcW w:w="851" w:type="dxa"/>
            <w:vMerge w:val="continue"/>
            <w:tcBorders>
              <w:tl2br w:val="nil"/>
              <w:tr2bl w:val="nil"/>
            </w:tcBorders>
            <w:noWrap w:val="0"/>
            <w:tcMar>
              <w:top w:w="15" w:type="dxa"/>
              <w:left w:w="15" w:type="dxa"/>
              <w:right w:w="15" w:type="dxa"/>
            </w:tcMar>
            <w:vAlign w:val="center"/>
          </w:tcPr>
          <w:p w14:paraId="4B359355">
            <w:pPr>
              <w:pStyle w:val="44"/>
              <w:bidi w:val="0"/>
              <w:rPr>
                <w:color w:val="auto"/>
                <w:sz w:val="21"/>
                <w:szCs w:val="21"/>
              </w:rPr>
            </w:pPr>
          </w:p>
        </w:tc>
        <w:tc>
          <w:tcPr>
            <w:tcW w:w="605" w:type="dxa"/>
            <w:vMerge w:val="continue"/>
            <w:tcBorders>
              <w:tl2br w:val="nil"/>
              <w:tr2bl w:val="nil"/>
            </w:tcBorders>
            <w:noWrap w:val="0"/>
            <w:tcMar>
              <w:top w:w="15" w:type="dxa"/>
              <w:left w:w="15" w:type="dxa"/>
              <w:right w:w="15" w:type="dxa"/>
            </w:tcMar>
            <w:vAlign w:val="center"/>
          </w:tcPr>
          <w:p w14:paraId="610CAA40">
            <w:pPr>
              <w:pStyle w:val="44"/>
              <w:bidi w:val="0"/>
              <w:rPr>
                <w:color w:val="auto"/>
                <w:sz w:val="21"/>
                <w:szCs w:val="21"/>
              </w:rPr>
            </w:pPr>
          </w:p>
        </w:tc>
        <w:tc>
          <w:tcPr>
            <w:tcW w:w="820" w:type="dxa"/>
            <w:tcBorders>
              <w:tl2br w:val="nil"/>
              <w:tr2bl w:val="nil"/>
            </w:tcBorders>
            <w:noWrap w:val="0"/>
            <w:tcMar>
              <w:top w:w="15" w:type="dxa"/>
              <w:left w:w="15" w:type="dxa"/>
              <w:right w:w="15" w:type="dxa"/>
            </w:tcMar>
            <w:vAlign w:val="center"/>
          </w:tcPr>
          <w:p w14:paraId="36D2AC6E">
            <w:pPr>
              <w:pStyle w:val="44"/>
              <w:bidi w:val="0"/>
              <w:rPr>
                <w:b/>
                <w:bCs/>
                <w:color w:val="auto"/>
                <w:sz w:val="21"/>
                <w:szCs w:val="21"/>
              </w:rPr>
            </w:pPr>
            <w:r>
              <w:rPr>
                <w:b/>
                <w:bCs/>
                <w:color w:val="auto"/>
                <w:sz w:val="21"/>
                <w:szCs w:val="21"/>
              </w:rPr>
              <w:t>浓度mg/m³</w:t>
            </w:r>
          </w:p>
        </w:tc>
        <w:tc>
          <w:tcPr>
            <w:tcW w:w="714" w:type="dxa"/>
            <w:tcBorders>
              <w:tl2br w:val="nil"/>
              <w:tr2bl w:val="nil"/>
            </w:tcBorders>
            <w:noWrap w:val="0"/>
            <w:tcMar>
              <w:top w:w="15" w:type="dxa"/>
              <w:left w:w="15" w:type="dxa"/>
              <w:right w:w="15" w:type="dxa"/>
            </w:tcMar>
            <w:vAlign w:val="center"/>
          </w:tcPr>
          <w:p w14:paraId="58D3EC64">
            <w:pPr>
              <w:pStyle w:val="44"/>
              <w:bidi w:val="0"/>
              <w:rPr>
                <w:b/>
                <w:bCs/>
                <w:color w:val="auto"/>
                <w:sz w:val="21"/>
                <w:szCs w:val="21"/>
              </w:rPr>
            </w:pPr>
            <w:r>
              <w:rPr>
                <w:b/>
                <w:bCs/>
                <w:color w:val="auto"/>
                <w:sz w:val="21"/>
                <w:szCs w:val="21"/>
              </w:rPr>
              <w:t>速率kg/h</w:t>
            </w:r>
          </w:p>
        </w:tc>
        <w:tc>
          <w:tcPr>
            <w:tcW w:w="819" w:type="dxa"/>
            <w:tcBorders>
              <w:tl2br w:val="nil"/>
              <w:tr2bl w:val="nil"/>
            </w:tcBorders>
            <w:noWrap w:val="0"/>
            <w:tcMar>
              <w:top w:w="15" w:type="dxa"/>
              <w:left w:w="15" w:type="dxa"/>
              <w:right w:w="15" w:type="dxa"/>
            </w:tcMar>
            <w:vAlign w:val="center"/>
          </w:tcPr>
          <w:p w14:paraId="6B06B31A">
            <w:pPr>
              <w:pStyle w:val="44"/>
              <w:bidi w:val="0"/>
              <w:rPr>
                <w:b/>
                <w:bCs/>
                <w:color w:val="auto"/>
                <w:sz w:val="21"/>
                <w:szCs w:val="21"/>
              </w:rPr>
            </w:pPr>
            <w:r>
              <w:rPr>
                <w:b/>
                <w:bCs/>
                <w:color w:val="auto"/>
                <w:sz w:val="21"/>
                <w:szCs w:val="21"/>
              </w:rPr>
              <w:t>产生量t/a</w:t>
            </w:r>
          </w:p>
        </w:tc>
        <w:tc>
          <w:tcPr>
            <w:tcW w:w="706" w:type="dxa"/>
            <w:tcBorders>
              <w:tl2br w:val="nil"/>
              <w:tr2bl w:val="nil"/>
            </w:tcBorders>
            <w:noWrap w:val="0"/>
            <w:tcMar>
              <w:top w:w="15" w:type="dxa"/>
              <w:left w:w="15" w:type="dxa"/>
              <w:right w:w="15" w:type="dxa"/>
            </w:tcMar>
            <w:vAlign w:val="center"/>
          </w:tcPr>
          <w:p w14:paraId="559FA60D">
            <w:pPr>
              <w:pStyle w:val="44"/>
              <w:bidi w:val="0"/>
              <w:rPr>
                <w:b/>
                <w:bCs/>
                <w:color w:val="auto"/>
                <w:sz w:val="21"/>
                <w:szCs w:val="21"/>
              </w:rPr>
            </w:pPr>
            <w:r>
              <w:rPr>
                <w:b/>
                <w:bCs/>
                <w:color w:val="auto"/>
                <w:sz w:val="21"/>
                <w:szCs w:val="21"/>
              </w:rPr>
              <w:t>风量m³/h</w:t>
            </w:r>
          </w:p>
        </w:tc>
        <w:tc>
          <w:tcPr>
            <w:tcW w:w="605" w:type="dxa"/>
            <w:tcBorders>
              <w:tl2br w:val="nil"/>
              <w:tr2bl w:val="nil"/>
            </w:tcBorders>
            <w:noWrap w:val="0"/>
            <w:tcMar>
              <w:top w:w="15" w:type="dxa"/>
              <w:left w:w="15" w:type="dxa"/>
              <w:right w:w="15" w:type="dxa"/>
            </w:tcMar>
            <w:vAlign w:val="center"/>
          </w:tcPr>
          <w:p w14:paraId="55052694">
            <w:pPr>
              <w:pStyle w:val="44"/>
              <w:bidi w:val="0"/>
              <w:rPr>
                <w:b/>
                <w:bCs/>
                <w:color w:val="auto"/>
                <w:sz w:val="21"/>
                <w:szCs w:val="21"/>
              </w:rPr>
            </w:pPr>
            <w:r>
              <w:rPr>
                <w:b/>
                <w:bCs/>
                <w:color w:val="auto"/>
                <w:sz w:val="21"/>
                <w:szCs w:val="21"/>
              </w:rPr>
              <w:t>去除效率</w:t>
            </w:r>
          </w:p>
        </w:tc>
        <w:tc>
          <w:tcPr>
            <w:tcW w:w="678" w:type="dxa"/>
            <w:tcBorders>
              <w:tl2br w:val="nil"/>
              <w:tr2bl w:val="nil"/>
            </w:tcBorders>
            <w:noWrap w:val="0"/>
            <w:tcMar>
              <w:top w:w="15" w:type="dxa"/>
              <w:left w:w="15" w:type="dxa"/>
              <w:right w:w="15" w:type="dxa"/>
            </w:tcMar>
            <w:vAlign w:val="center"/>
          </w:tcPr>
          <w:p w14:paraId="3FD63DCD">
            <w:pPr>
              <w:pStyle w:val="44"/>
              <w:bidi w:val="0"/>
              <w:rPr>
                <w:b/>
                <w:bCs/>
                <w:color w:val="auto"/>
                <w:sz w:val="21"/>
                <w:szCs w:val="21"/>
              </w:rPr>
            </w:pPr>
            <w:r>
              <w:rPr>
                <w:b/>
                <w:bCs/>
                <w:color w:val="auto"/>
                <w:sz w:val="21"/>
                <w:szCs w:val="21"/>
              </w:rPr>
              <w:t>是否可行技术</w:t>
            </w:r>
          </w:p>
        </w:tc>
        <w:tc>
          <w:tcPr>
            <w:tcW w:w="812" w:type="dxa"/>
            <w:tcBorders>
              <w:tl2br w:val="nil"/>
              <w:tr2bl w:val="nil"/>
            </w:tcBorders>
            <w:noWrap w:val="0"/>
            <w:tcMar>
              <w:top w:w="15" w:type="dxa"/>
              <w:left w:w="15" w:type="dxa"/>
              <w:right w:w="15" w:type="dxa"/>
            </w:tcMar>
            <w:vAlign w:val="center"/>
          </w:tcPr>
          <w:p w14:paraId="66D8F4C6">
            <w:pPr>
              <w:pStyle w:val="44"/>
              <w:bidi w:val="0"/>
              <w:rPr>
                <w:rFonts w:hint="eastAsia"/>
                <w:b/>
                <w:bCs/>
                <w:color w:val="auto"/>
                <w:sz w:val="21"/>
                <w:szCs w:val="21"/>
                <w:lang w:val="en-US" w:eastAsia="zh-CN"/>
              </w:rPr>
            </w:pPr>
            <w:r>
              <w:rPr>
                <w:rFonts w:hint="eastAsia"/>
                <w:b/>
                <w:bCs/>
                <w:color w:val="auto"/>
                <w:sz w:val="21"/>
                <w:szCs w:val="21"/>
                <w:lang w:val="en-US" w:eastAsia="zh-CN"/>
              </w:rPr>
              <w:t>治理</w:t>
            </w:r>
          </w:p>
          <w:p w14:paraId="50C2E5E2">
            <w:pPr>
              <w:pStyle w:val="44"/>
              <w:bidi w:val="0"/>
              <w:rPr>
                <w:rFonts w:hint="eastAsia" w:eastAsia="宋体"/>
                <w:b/>
                <w:bCs/>
                <w:color w:val="auto"/>
                <w:sz w:val="21"/>
                <w:szCs w:val="21"/>
                <w:lang w:eastAsia="zh-CN"/>
              </w:rPr>
            </w:pPr>
            <w:r>
              <w:rPr>
                <w:rFonts w:hint="eastAsia"/>
                <w:b/>
                <w:bCs/>
                <w:color w:val="auto"/>
                <w:sz w:val="21"/>
                <w:szCs w:val="21"/>
                <w:lang w:val="en-US" w:eastAsia="zh-CN"/>
              </w:rPr>
              <w:t>措施</w:t>
            </w:r>
          </w:p>
        </w:tc>
        <w:tc>
          <w:tcPr>
            <w:tcW w:w="762" w:type="dxa"/>
            <w:tcBorders>
              <w:tl2br w:val="nil"/>
              <w:tr2bl w:val="nil"/>
            </w:tcBorders>
            <w:noWrap w:val="0"/>
            <w:tcMar>
              <w:top w:w="15" w:type="dxa"/>
              <w:left w:w="15" w:type="dxa"/>
              <w:right w:w="15" w:type="dxa"/>
            </w:tcMar>
            <w:vAlign w:val="center"/>
          </w:tcPr>
          <w:p w14:paraId="0B4BF528">
            <w:pPr>
              <w:pStyle w:val="44"/>
              <w:bidi w:val="0"/>
              <w:rPr>
                <w:b/>
                <w:bCs/>
                <w:color w:val="auto"/>
                <w:sz w:val="21"/>
                <w:szCs w:val="21"/>
              </w:rPr>
            </w:pPr>
            <w:r>
              <w:rPr>
                <w:b/>
                <w:bCs/>
                <w:color w:val="auto"/>
                <w:sz w:val="21"/>
                <w:szCs w:val="21"/>
              </w:rPr>
              <w:t>浓度mg/m³</w:t>
            </w:r>
          </w:p>
        </w:tc>
        <w:tc>
          <w:tcPr>
            <w:tcW w:w="714" w:type="dxa"/>
            <w:tcBorders>
              <w:tl2br w:val="nil"/>
              <w:tr2bl w:val="nil"/>
            </w:tcBorders>
            <w:noWrap w:val="0"/>
            <w:tcMar>
              <w:top w:w="15" w:type="dxa"/>
              <w:left w:w="15" w:type="dxa"/>
              <w:right w:w="15" w:type="dxa"/>
            </w:tcMar>
            <w:vAlign w:val="center"/>
          </w:tcPr>
          <w:p w14:paraId="4F72D08D">
            <w:pPr>
              <w:pStyle w:val="44"/>
              <w:bidi w:val="0"/>
              <w:rPr>
                <w:b/>
                <w:bCs/>
                <w:color w:val="auto"/>
                <w:sz w:val="21"/>
                <w:szCs w:val="21"/>
              </w:rPr>
            </w:pPr>
            <w:r>
              <w:rPr>
                <w:b/>
                <w:bCs/>
                <w:color w:val="auto"/>
                <w:sz w:val="21"/>
                <w:szCs w:val="21"/>
              </w:rPr>
              <w:t>速率kg/h</w:t>
            </w:r>
          </w:p>
        </w:tc>
        <w:tc>
          <w:tcPr>
            <w:tcW w:w="760" w:type="dxa"/>
            <w:tcBorders>
              <w:tl2br w:val="nil"/>
              <w:tr2bl w:val="nil"/>
            </w:tcBorders>
            <w:noWrap w:val="0"/>
            <w:tcMar>
              <w:top w:w="15" w:type="dxa"/>
              <w:left w:w="15" w:type="dxa"/>
              <w:right w:w="15" w:type="dxa"/>
            </w:tcMar>
            <w:vAlign w:val="center"/>
          </w:tcPr>
          <w:p w14:paraId="25AE3F3E">
            <w:pPr>
              <w:pStyle w:val="44"/>
              <w:bidi w:val="0"/>
              <w:rPr>
                <w:b/>
                <w:bCs/>
                <w:color w:val="auto"/>
                <w:sz w:val="21"/>
                <w:szCs w:val="21"/>
              </w:rPr>
            </w:pPr>
            <w:r>
              <w:rPr>
                <w:b/>
                <w:bCs/>
                <w:color w:val="auto"/>
                <w:sz w:val="21"/>
                <w:szCs w:val="21"/>
              </w:rPr>
              <w:t>排放量t/a</w:t>
            </w:r>
          </w:p>
        </w:tc>
        <w:tc>
          <w:tcPr>
            <w:tcW w:w="831" w:type="dxa"/>
            <w:vMerge w:val="continue"/>
            <w:tcBorders>
              <w:tl2br w:val="nil"/>
              <w:tr2bl w:val="nil"/>
            </w:tcBorders>
            <w:noWrap w:val="0"/>
            <w:tcMar>
              <w:top w:w="15" w:type="dxa"/>
              <w:left w:w="15" w:type="dxa"/>
              <w:right w:w="15" w:type="dxa"/>
            </w:tcMar>
            <w:vAlign w:val="center"/>
          </w:tcPr>
          <w:p w14:paraId="7B4FE1A8">
            <w:pPr>
              <w:pStyle w:val="44"/>
              <w:bidi w:val="0"/>
              <w:rPr>
                <w:color w:val="auto"/>
                <w:sz w:val="21"/>
                <w:szCs w:val="21"/>
              </w:rPr>
            </w:pPr>
          </w:p>
        </w:tc>
      </w:tr>
      <w:tr w14:paraId="47A61DA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70" w:hRule="atLeast"/>
        </w:trPr>
        <w:tc>
          <w:tcPr>
            <w:tcW w:w="1756" w:type="dxa"/>
            <w:vMerge w:val="restart"/>
            <w:tcBorders>
              <w:tl2br w:val="nil"/>
              <w:tr2bl w:val="nil"/>
            </w:tcBorders>
            <w:noWrap w:val="0"/>
            <w:tcMar>
              <w:top w:w="15" w:type="dxa"/>
              <w:left w:w="15" w:type="dxa"/>
              <w:right w:w="15" w:type="dxa"/>
            </w:tcMar>
            <w:vAlign w:val="center"/>
          </w:tcPr>
          <w:p w14:paraId="52D8F43A">
            <w:pPr>
              <w:pStyle w:val="44"/>
              <w:bidi w:val="0"/>
              <w:rPr>
                <w:rFonts w:hint="default"/>
                <w:color w:val="auto"/>
                <w:lang w:val="en-US" w:eastAsia="zh-CN"/>
              </w:rPr>
            </w:pPr>
            <w:r>
              <w:rPr>
                <w:rFonts w:hint="eastAsia"/>
                <w:color w:val="auto"/>
                <w:lang w:val="en-US" w:eastAsia="zh-CN"/>
              </w:rPr>
              <w:t>计量投料</w:t>
            </w:r>
          </w:p>
        </w:tc>
        <w:tc>
          <w:tcPr>
            <w:tcW w:w="503" w:type="dxa"/>
            <w:tcBorders>
              <w:tl2br w:val="nil"/>
              <w:tr2bl w:val="nil"/>
            </w:tcBorders>
            <w:noWrap w:val="0"/>
            <w:tcMar>
              <w:top w:w="15" w:type="dxa"/>
              <w:left w:w="15" w:type="dxa"/>
              <w:right w:w="15" w:type="dxa"/>
            </w:tcMar>
            <w:vAlign w:val="center"/>
          </w:tcPr>
          <w:p w14:paraId="33803205">
            <w:pPr>
              <w:pStyle w:val="44"/>
              <w:bidi w:val="0"/>
              <w:rPr>
                <w:color w:val="auto"/>
              </w:rPr>
            </w:pPr>
            <w:r>
              <w:rPr>
                <w:color w:val="auto"/>
              </w:rPr>
              <w:t>有组织</w:t>
            </w:r>
          </w:p>
        </w:tc>
        <w:tc>
          <w:tcPr>
            <w:tcW w:w="591" w:type="dxa"/>
            <w:vMerge w:val="restart"/>
            <w:tcBorders>
              <w:tl2br w:val="nil"/>
              <w:tr2bl w:val="nil"/>
            </w:tcBorders>
            <w:noWrap w:val="0"/>
            <w:tcMar>
              <w:top w:w="15" w:type="dxa"/>
              <w:left w:w="15" w:type="dxa"/>
              <w:right w:w="15" w:type="dxa"/>
            </w:tcMar>
            <w:vAlign w:val="center"/>
          </w:tcPr>
          <w:p w14:paraId="6A451506">
            <w:pPr>
              <w:pStyle w:val="44"/>
              <w:bidi w:val="0"/>
              <w:rPr>
                <w:color w:val="auto"/>
              </w:rPr>
            </w:pPr>
            <w:r>
              <w:rPr>
                <w:color w:val="auto"/>
              </w:rPr>
              <w:t>颗粒物</w:t>
            </w:r>
          </w:p>
        </w:tc>
        <w:tc>
          <w:tcPr>
            <w:tcW w:w="851" w:type="dxa"/>
            <w:vMerge w:val="restart"/>
            <w:tcBorders>
              <w:tl2br w:val="nil"/>
              <w:tr2bl w:val="nil"/>
            </w:tcBorders>
            <w:noWrap w:val="0"/>
            <w:tcMar>
              <w:top w:w="15" w:type="dxa"/>
              <w:left w:w="15" w:type="dxa"/>
              <w:right w:w="15" w:type="dxa"/>
            </w:tcMar>
            <w:vAlign w:val="center"/>
          </w:tcPr>
          <w:p w14:paraId="2277E113">
            <w:pPr>
              <w:pStyle w:val="44"/>
              <w:bidi w:val="0"/>
              <w:rPr>
                <w:rFonts w:hint="default"/>
                <w:color w:val="auto"/>
                <w:lang w:val="en-US" w:eastAsia="zh-CN"/>
              </w:rPr>
            </w:pPr>
            <w:r>
              <w:rPr>
                <w:rFonts w:hint="eastAsia"/>
                <w:color w:val="auto"/>
                <w:lang w:val="en-US" w:eastAsia="zh-CN"/>
              </w:rPr>
              <w:t>900</w:t>
            </w:r>
          </w:p>
        </w:tc>
        <w:tc>
          <w:tcPr>
            <w:tcW w:w="605" w:type="dxa"/>
            <w:vMerge w:val="restart"/>
            <w:tcBorders>
              <w:tl2br w:val="nil"/>
              <w:tr2bl w:val="nil"/>
            </w:tcBorders>
            <w:noWrap w:val="0"/>
            <w:tcMar>
              <w:top w:w="15" w:type="dxa"/>
              <w:left w:w="15" w:type="dxa"/>
              <w:right w:w="15" w:type="dxa"/>
            </w:tcMar>
            <w:vAlign w:val="center"/>
          </w:tcPr>
          <w:p w14:paraId="21941AA2">
            <w:pPr>
              <w:pStyle w:val="44"/>
              <w:bidi w:val="0"/>
              <w:rPr>
                <w:color w:val="auto"/>
              </w:rPr>
            </w:pPr>
            <w:r>
              <w:rPr>
                <w:color w:val="auto"/>
              </w:rPr>
              <w:t>90%</w:t>
            </w:r>
          </w:p>
        </w:tc>
        <w:tc>
          <w:tcPr>
            <w:tcW w:w="820" w:type="dxa"/>
            <w:tcBorders>
              <w:tl2br w:val="nil"/>
              <w:tr2bl w:val="nil"/>
            </w:tcBorders>
            <w:noWrap w:val="0"/>
            <w:tcMar>
              <w:top w:w="15" w:type="dxa"/>
              <w:left w:w="15" w:type="dxa"/>
              <w:right w:w="15" w:type="dxa"/>
            </w:tcMar>
            <w:vAlign w:val="center"/>
          </w:tcPr>
          <w:p w14:paraId="1C854DCC">
            <w:pPr>
              <w:widowControl/>
              <w:spacing w:line="240" w:lineRule="auto"/>
              <w:jc w:val="center"/>
              <w:textAlignment w:val="center"/>
              <w:rPr>
                <w:color w:val="auto"/>
                <w:sz w:val="21"/>
                <w:szCs w:val="21"/>
              </w:rPr>
            </w:pPr>
            <w:r>
              <w:rPr>
                <w:color w:val="auto"/>
                <w:kern w:val="0"/>
                <w:sz w:val="21"/>
                <w:szCs w:val="21"/>
                <w:lang w:bidi="ar"/>
              </w:rPr>
              <w:t xml:space="preserve"> </w:t>
            </w:r>
            <w:r>
              <w:rPr>
                <w:rFonts w:hint="eastAsia"/>
                <w:color w:val="auto"/>
                <w:kern w:val="0"/>
                <w:sz w:val="21"/>
                <w:szCs w:val="21"/>
                <w:lang w:val="en-US" w:eastAsia="zh-CN" w:bidi="ar"/>
              </w:rPr>
              <w:t>1020</w:t>
            </w:r>
          </w:p>
        </w:tc>
        <w:tc>
          <w:tcPr>
            <w:tcW w:w="714" w:type="dxa"/>
            <w:tcBorders>
              <w:tl2br w:val="nil"/>
              <w:tr2bl w:val="nil"/>
            </w:tcBorders>
            <w:noWrap w:val="0"/>
            <w:tcMar>
              <w:top w:w="15" w:type="dxa"/>
              <w:left w:w="15" w:type="dxa"/>
              <w:right w:w="15" w:type="dxa"/>
            </w:tcMar>
            <w:vAlign w:val="center"/>
          </w:tcPr>
          <w:p w14:paraId="15F119F2">
            <w:pPr>
              <w:widowControl/>
              <w:spacing w:line="240" w:lineRule="auto"/>
              <w:jc w:val="center"/>
              <w:textAlignment w:val="center"/>
              <w:rPr>
                <w:color w:val="auto"/>
                <w:sz w:val="21"/>
                <w:szCs w:val="21"/>
              </w:rPr>
            </w:pPr>
            <w:r>
              <w:rPr>
                <w:rFonts w:hint="eastAsia"/>
                <w:color w:val="auto"/>
                <w:kern w:val="0"/>
                <w:sz w:val="21"/>
                <w:szCs w:val="21"/>
                <w:lang w:val="en-US" w:eastAsia="zh-CN" w:bidi="ar"/>
              </w:rPr>
              <w:t>10.2</w:t>
            </w:r>
          </w:p>
        </w:tc>
        <w:tc>
          <w:tcPr>
            <w:tcW w:w="819" w:type="dxa"/>
            <w:tcBorders>
              <w:tl2br w:val="nil"/>
              <w:tr2bl w:val="nil"/>
            </w:tcBorders>
            <w:noWrap w:val="0"/>
            <w:tcMar>
              <w:top w:w="15" w:type="dxa"/>
              <w:left w:w="15" w:type="dxa"/>
              <w:right w:w="15" w:type="dxa"/>
            </w:tcMar>
            <w:vAlign w:val="center"/>
          </w:tcPr>
          <w:p w14:paraId="0E63EAC9">
            <w:pPr>
              <w:widowControl/>
              <w:spacing w:line="240" w:lineRule="auto"/>
              <w:jc w:val="center"/>
              <w:textAlignment w:val="center"/>
              <w:rPr>
                <w:color w:val="auto"/>
                <w:sz w:val="21"/>
                <w:szCs w:val="21"/>
              </w:rPr>
            </w:pPr>
            <w:r>
              <w:rPr>
                <w:rFonts w:hint="eastAsia"/>
                <w:color w:val="auto"/>
                <w:kern w:val="0"/>
                <w:sz w:val="21"/>
                <w:szCs w:val="21"/>
                <w:lang w:val="en-US" w:eastAsia="zh-CN" w:bidi="ar"/>
              </w:rPr>
              <w:t>9.18</w:t>
            </w:r>
            <w:r>
              <w:rPr>
                <w:color w:val="auto"/>
                <w:kern w:val="0"/>
                <w:sz w:val="21"/>
                <w:szCs w:val="21"/>
                <w:lang w:bidi="ar"/>
              </w:rPr>
              <w:t xml:space="preserve"> </w:t>
            </w:r>
          </w:p>
        </w:tc>
        <w:tc>
          <w:tcPr>
            <w:tcW w:w="706" w:type="dxa"/>
            <w:tcBorders>
              <w:tl2br w:val="nil"/>
              <w:tr2bl w:val="nil"/>
            </w:tcBorders>
            <w:noWrap w:val="0"/>
            <w:tcMar>
              <w:top w:w="15" w:type="dxa"/>
              <w:left w:w="15" w:type="dxa"/>
              <w:right w:w="15" w:type="dxa"/>
            </w:tcMar>
            <w:vAlign w:val="center"/>
          </w:tcPr>
          <w:p w14:paraId="2BDCAE81">
            <w:pPr>
              <w:pStyle w:val="44"/>
              <w:bidi w:val="0"/>
              <w:rPr>
                <w:color w:val="auto"/>
              </w:rPr>
            </w:pPr>
            <w:r>
              <w:rPr>
                <w:color w:val="auto"/>
              </w:rPr>
              <w:t>10000</w:t>
            </w:r>
          </w:p>
        </w:tc>
        <w:tc>
          <w:tcPr>
            <w:tcW w:w="605" w:type="dxa"/>
            <w:tcBorders>
              <w:tl2br w:val="nil"/>
              <w:tr2bl w:val="nil"/>
            </w:tcBorders>
            <w:noWrap w:val="0"/>
            <w:tcMar>
              <w:top w:w="15" w:type="dxa"/>
              <w:left w:w="15" w:type="dxa"/>
              <w:right w:w="15" w:type="dxa"/>
            </w:tcMar>
            <w:vAlign w:val="center"/>
          </w:tcPr>
          <w:p w14:paraId="59C50272">
            <w:pPr>
              <w:pStyle w:val="44"/>
              <w:bidi w:val="0"/>
              <w:rPr>
                <w:color w:val="auto"/>
              </w:rPr>
            </w:pPr>
            <w:r>
              <w:rPr>
                <w:color w:val="auto"/>
              </w:rPr>
              <w:t>99%</w:t>
            </w:r>
          </w:p>
        </w:tc>
        <w:tc>
          <w:tcPr>
            <w:tcW w:w="678" w:type="dxa"/>
            <w:tcBorders>
              <w:tl2br w:val="nil"/>
              <w:tr2bl w:val="nil"/>
            </w:tcBorders>
            <w:noWrap w:val="0"/>
            <w:tcMar>
              <w:top w:w="15" w:type="dxa"/>
              <w:left w:w="15" w:type="dxa"/>
              <w:right w:w="15" w:type="dxa"/>
            </w:tcMar>
            <w:vAlign w:val="center"/>
          </w:tcPr>
          <w:p w14:paraId="6BC15A41">
            <w:pPr>
              <w:pStyle w:val="44"/>
              <w:bidi w:val="0"/>
              <w:rPr>
                <w:color w:val="auto"/>
              </w:rPr>
            </w:pPr>
            <w:r>
              <w:rPr>
                <w:color w:val="auto"/>
              </w:rPr>
              <w:t>是</w:t>
            </w:r>
          </w:p>
        </w:tc>
        <w:tc>
          <w:tcPr>
            <w:tcW w:w="812" w:type="dxa"/>
            <w:tcBorders>
              <w:tl2br w:val="nil"/>
              <w:tr2bl w:val="nil"/>
            </w:tcBorders>
            <w:noWrap w:val="0"/>
            <w:tcMar>
              <w:top w:w="15" w:type="dxa"/>
              <w:left w:w="15" w:type="dxa"/>
              <w:right w:w="15" w:type="dxa"/>
            </w:tcMar>
            <w:vAlign w:val="center"/>
          </w:tcPr>
          <w:p w14:paraId="427E9BB6">
            <w:pPr>
              <w:pStyle w:val="44"/>
              <w:bidi w:val="0"/>
              <w:rPr>
                <w:rFonts w:hint="eastAsia"/>
                <w:color w:val="auto"/>
                <w:lang w:val="en-US" w:eastAsia="zh-CN"/>
              </w:rPr>
            </w:pPr>
            <w:r>
              <w:rPr>
                <w:rFonts w:hint="eastAsia"/>
                <w:color w:val="auto"/>
                <w:lang w:val="en-US" w:eastAsia="zh-CN"/>
              </w:rPr>
              <w:t>袋式</w:t>
            </w:r>
          </w:p>
          <w:p w14:paraId="7352EE29">
            <w:pPr>
              <w:pStyle w:val="44"/>
              <w:bidi w:val="0"/>
              <w:rPr>
                <w:color w:val="auto"/>
              </w:rPr>
            </w:pPr>
            <w:r>
              <w:rPr>
                <w:color w:val="auto"/>
              </w:rPr>
              <w:t>除尘</w:t>
            </w:r>
          </w:p>
        </w:tc>
        <w:tc>
          <w:tcPr>
            <w:tcW w:w="762" w:type="dxa"/>
            <w:tcBorders>
              <w:tl2br w:val="nil"/>
              <w:tr2bl w:val="nil"/>
            </w:tcBorders>
            <w:noWrap w:val="0"/>
            <w:tcMar>
              <w:top w:w="15" w:type="dxa"/>
              <w:left w:w="15" w:type="dxa"/>
              <w:right w:w="15" w:type="dxa"/>
            </w:tcMar>
            <w:vAlign w:val="center"/>
          </w:tcPr>
          <w:p w14:paraId="5724D3A4">
            <w:pPr>
              <w:pStyle w:val="44"/>
              <w:bidi w:val="0"/>
              <w:rPr>
                <w:color w:val="auto"/>
              </w:rPr>
            </w:pPr>
            <w:r>
              <w:rPr>
                <w:rFonts w:hint="eastAsia"/>
                <w:color w:val="auto"/>
                <w:lang w:val="en-US" w:eastAsia="zh-CN"/>
              </w:rPr>
              <w:t>10.2</w:t>
            </w:r>
          </w:p>
        </w:tc>
        <w:tc>
          <w:tcPr>
            <w:tcW w:w="714" w:type="dxa"/>
            <w:tcBorders>
              <w:tl2br w:val="nil"/>
              <w:tr2bl w:val="nil"/>
            </w:tcBorders>
            <w:noWrap w:val="0"/>
            <w:tcMar>
              <w:top w:w="15" w:type="dxa"/>
              <w:left w:w="15" w:type="dxa"/>
              <w:right w:w="15" w:type="dxa"/>
            </w:tcMar>
            <w:vAlign w:val="center"/>
          </w:tcPr>
          <w:p w14:paraId="04777474">
            <w:pPr>
              <w:pStyle w:val="44"/>
              <w:bidi w:val="0"/>
              <w:rPr>
                <w:color w:val="auto"/>
              </w:rPr>
            </w:pPr>
            <w:r>
              <w:rPr>
                <w:rFonts w:hint="eastAsia"/>
                <w:color w:val="auto"/>
                <w:lang w:val="en-US" w:eastAsia="zh-CN"/>
              </w:rPr>
              <w:t>0.102</w:t>
            </w:r>
          </w:p>
        </w:tc>
        <w:tc>
          <w:tcPr>
            <w:tcW w:w="760" w:type="dxa"/>
            <w:tcBorders>
              <w:tl2br w:val="nil"/>
              <w:tr2bl w:val="nil"/>
            </w:tcBorders>
            <w:noWrap w:val="0"/>
            <w:tcMar>
              <w:top w:w="15" w:type="dxa"/>
              <w:left w:w="15" w:type="dxa"/>
              <w:right w:w="15" w:type="dxa"/>
            </w:tcMar>
            <w:vAlign w:val="center"/>
          </w:tcPr>
          <w:p w14:paraId="60EB736D">
            <w:pPr>
              <w:pStyle w:val="44"/>
              <w:bidi w:val="0"/>
              <w:rPr>
                <w:color w:val="auto"/>
              </w:rPr>
            </w:pPr>
            <w:r>
              <w:rPr>
                <w:rFonts w:hint="eastAsia"/>
                <w:color w:val="auto"/>
                <w:lang w:val="en-US" w:eastAsia="zh-CN"/>
              </w:rPr>
              <w:t>0.092</w:t>
            </w:r>
            <w:r>
              <w:rPr>
                <w:color w:val="auto"/>
              </w:rPr>
              <w:t xml:space="preserve"> </w:t>
            </w:r>
          </w:p>
        </w:tc>
        <w:tc>
          <w:tcPr>
            <w:tcW w:w="831" w:type="dxa"/>
            <w:vMerge w:val="restart"/>
            <w:tcBorders>
              <w:tl2br w:val="nil"/>
              <w:tr2bl w:val="nil"/>
            </w:tcBorders>
            <w:noWrap w:val="0"/>
            <w:tcMar>
              <w:top w:w="15" w:type="dxa"/>
              <w:left w:w="15" w:type="dxa"/>
              <w:right w:w="15" w:type="dxa"/>
            </w:tcMar>
            <w:vAlign w:val="center"/>
          </w:tcPr>
          <w:p w14:paraId="6CA2EC94">
            <w:pPr>
              <w:pStyle w:val="44"/>
              <w:bidi w:val="0"/>
              <w:rPr>
                <w:color w:val="auto"/>
                <w:sz w:val="21"/>
                <w:szCs w:val="21"/>
              </w:rPr>
            </w:pPr>
            <w:r>
              <w:rPr>
                <w:color w:val="auto"/>
                <w:sz w:val="21"/>
                <w:szCs w:val="21"/>
              </w:rPr>
              <w:t>DA001</w:t>
            </w:r>
          </w:p>
        </w:tc>
      </w:tr>
      <w:tr w14:paraId="144CD72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70" w:hRule="atLeast"/>
        </w:trPr>
        <w:tc>
          <w:tcPr>
            <w:tcW w:w="1756" w:type="dxa"/>
            <w:vMerge w:val="continue"/>
            <w:tcBorders>
              <w:tl2br w:val="nil"/>
              <w:tr2bl w:val="nil"/>
            </w:tcBorders>
            <w:noWrap w:val="0"/>
            <w:tcMar>
              <w:top w:w="15" w:type="dxa"/>
              <w:left w:w="15" w:type="dxa"/>
              <w:right w:w="15" w:type="dxa"/>
            </w:tcMar>
            <w:vAlign w:val="center"/>
          </w:tcPr>
          <w:p w14:paraId="7E30AE83">
            <w:pPr>
              <w:pStyle w:val="44"/>
              <w:bidi w:val="0"/>
              <w:rPr>
                <w:color w:val="auto"/>
              </w:rPr>
            </w:pPr>
          </w:p>
        </w:tc>
        <w:tc>
          <w:tcPr>
            <w:tcW w:w="503" w:type="dxa"/>
            <w:tcBorders>
              <w:tl2br w:val="nil"/>
              <w:tr2bl w:val="nil"/>
            </w:tcBorders>
            <w:noWrap w:val="0"/>
            <w:tcMar>
              <w:top w:w="15" w:type="dxa"/>
              <w:left w:w="15" w:type="dxa"/>
              <w:right w:w="15" w:type="dxa"/>
            </w:tcMar>
            <w:vAlign w:val="center"/>
          </w:tcPr>
          <w:p w14:paraId="310C6F46">
            <w:pPr>
              <w:pStyle w:val="44"/>
              <w:bidi w:val="0"/>
              <w:rPr>
                <w:color w:val="auto"/>
              </w:rPr>
            </w:pPr>
            <w:r>
              <w:rPr>
                <w:color w:val="auto"/>
              </w:rPr>
              <w:t>无组织</w:t>
            </w:r>
          </w:p>
        </w:tc>
        <w:tc>
          <w:tcPr>
            <w:tcW w:w="591" w:type="dxa"/>
            <w:vMerge w:val="continue"/>
            <w:tcBorders>
              <w:tl2br w:val="nil"/>
              <w:tr2bl w:val="nil"/>
            </w:tcBorders>
            <w:noWrap w:val="0"/>
            <w:tcMar>
              <w:top w:w="15" w:type="dxa"/>
              <w:left w:w="15" w:type="dxa"/>
              <w:right w:w="15" w:type="dxa"/>
            </w:tcMar>
            <w:vAlign w:val="center"/>
          </w:tcPr>
          <w:p w14:paraId="57B2AA86">
            <w:pPr>
              <w:pStyle w:val="44"/>
              <w:bidi w:val="0"/>
              <w:rPr>
                <w:color w:val="auto"/>
              </w:rPr>
            </w:pPr>
          </w:p>
        </w:tc>
        <w:tc>
          <w:tcPr>
            <w:tcW w:w="851" w:type="dxa"/>
            <w:vMerge w:val="continue"/>
            <w:tcBorders>
              <w:tl2br w:val="nil"/>
              <w:tr2bl w:val="nil"/>
            </w:tcBorders>
            <w:noWrap w:val="0"/>
            <w:tcMar>
              <w:top w:w="15" w:type="dxa"/>
              <w:left w:w="15" w:type="dxa"/>
              <w:right w:w="15" w:type="dxa"/>
            </w:tcMar>
            <w:vAlign w:val="center"/>
          </w:tcPr>
          <w:p w14:paraId="75196213">
            <w:pPr>
              <w:pStyle w:val="44"/>
              <w:bidi w:val="0"/>
              <w:rPr>
                <w:color w:val="auto"/>
              </w:rPr>
            </w:pPr>
          </w:p>
        </w:tc>
        <w:tc>
          <w:tcPr>
            <w:tcW w:w="605" w:type="dxa"/>
            <w:vMerge w:val="continue"/>
            <w:tcBorders>
              <w:tl2br w:val="nil"/>
              <w:tr2bl w:val="nil"/>
            </w:tcBorders>
            <w:noWrap w:val="0"/>
            <w:tcMar>
              <w:top w:w="15" w:type="dxa"/>
              <w:left w:w="15" w:type="dxa"/>
              <w:right w:w="15" w:type="dxa"/>
            </w:tcMar>
            <w:vAlign w:val="center"/>
          </w:tcPr>
          <w:p w14:paraId="68B3F46D">
            <w:pPr>
              <w:pStyle w:val="44"/>
              <w:bidi w:val="0"/>
              <w:rPr>
                <w:color w:val="auto"/>
              </w:rPr>
            </w:pPr>
          </w:p>
        </w:tc>
        <w:tc>
          <w:tcPr>
            <w:tcW w:w="820" w:type="dxa"/>
            <w:tcBorders>
              <w:tl2br w:val="nil"/>
              <w:tr2bl w:val="nil"/>
            </w:tcBorders>
            <w:noWrap w:val="0"/>
            <w:tcMar>
              <w:top w:w="15" w:type="dxa"/>
              <w:left w:w="15" w:type="dxa"/>
              <w:right w:w="15" w:type="dxa"/>
            </w:tcMar>
            <w:vAlign w:val="center"/>
          </w:tcPr>
          <w:p w14:paraId="4C34D486">
            <w:pPr>
              <w:pStyle w:val="44"/>
              <w:bidi w:val="0"/>
              <w:rPr>
                <w:color w:val="auto"/>
              </w:rPr>
            </w:pPr>
            <w:r>
              <w:rPr>
                <w:color w:val="auto"/>
              </w:rPr>
              <w:t>/</w:t>
            </w:r>
          </w:p>
        </w:tc>
        <w:tc>
          <w:tcPr>
            <w:tcW w:w="714" w:type="dxa"/>
            <w:tcBorders>
              <w:tl2br w:val="nil"/>
              <w:tr2bl w:val="nil"/>
            </w:tcBorders>
            <w:noWrap w:val="0"/>
            <w:tcMar>
              <w:top w:w="15" w:type="dxa"/>
              <w:left w:w="15" w:type="dxa"/>
              <w:right w:w="15" w:type="dxa"/>
            </w:tcMar>
            <w:vAlign w:val="center"/>
          </w:tcPr>
          <w:p w14:paraId="79669BAE">
            <w:pPr>
              <w:widowControl/>
              <w:spacing w:line="240" w:lineRule="auto"/>
              <w:jc w:val="center"/>
              <w:textAlignment w:val="center"/>
              <w:rPr>
                <w:color w:val="auto"/>
                <w:sz w:val="21"/>
                <w:szCs w:val="21"/>
              </w:rPr>
            </w:pPr>
            <w:r>
              <w:rPr>
                <w:rFonts w:hint="eastAsia"/>
                <w:color w:val="auto"/>
                <w:kern w:val="0"/>
                <w:sz w:val="21"/>
                <w:szCs w:val="21"/>
                <w:lang w:val="en-US" w:eastAsia="zh-CN" w:bidi="ar"/>
              </w:rPr>
              <w:t>1.13</w:t>
            </w:r>
            <w:r>
              <w:rPr>
                <w:color w:val="auto"/>
                <w:kern w:val="0"/>
                <w:sz w:val="21"/>
                <w:szCs w:val="21"/>
                <w:lang w:bidi="ar"/>
              </w:rPr>
              <w:t xml:space="preserve"> </w:t>
            </w:r>
          </w:p>
        </w:tc>
        <w:tc>
          <w:tcPr>
            <w:tcW w:w="819" w:type="dxa"/>
            <w:tcBorders>
              <w:tl2br w:val="nil"/>
              <w:tr2bl w:val="nil"/>
            </w:tcBorders>
            <w:noWrap w:val="0"/>
            <w:tcMar>
              <w:top w:w="15" w:type="dxa"/>
              <w:left w:w="15" w:type="dxa"/>
              <w:right w:w="15" w:type="dxa"/>
            </w:tcMar>
            <w:vAlign w:val="center"/>
          </w:tcPr>
          <w:p w14:paraId="26299320">
            <w:pPr>
              <w:widowControl/>
              <w:spacing w:line="240" w:lineRule="auto"/>
              <w:jc w:val="center"/>
              <w:textAlignment w:val="center"/>
              <w:rPr>
                <w:color w:val="auto"/>
                <w:sz w:val="21"/>
                <w:szCs w:val="21"/>
              </w:rPr>
            </w:pPr>
            <w:r>
              <w:rPr>
                <w:rFonts w:hint="eastAsia"/>
                <w:color w:val="auto"/>
                <w:kern w:val="0"/>
                <w:sz w:val="21"/>
                <w:szCs w:val="21"/>
                <w:lang w:val="en-US" w:eastAsia="zh-CN" w:bidi="ar"/>
              </w:rPr>
              <w:t>1.02</w:t>
            </w:r>
          </w:p>
        </w:tc>
        <w:tc>
          <w:tcPr>
            <w:tcW w:w="706" w:type="dxa"/>
            <w:tcBorders>
              <w:tl2br w:val="nil"/>
              <w:tr2bl w:val="nil"/>
            </w:tcBorders>
            <w:noWrap w:val="0"/>
            <w:tcMar>
              <w:top w:w="15" w:type="dxa"/>
              <w:left w:w="15" w:type="dxa"/>
              <w:right w:w="15" w:type="dxa"/>
            </w:tcMar>
            <w:vAlign w:val="center"/>
          </w:tcPr>
          <w:p w14:paraId="604D6952">
            <w:pPr>
              <w:pStyle w:val="44"/>
              <w:bidi w:val="0"/>
              <w:rPr>
                <w:color w:val="auto"/>
              </w:rPr>
            </w:pPr>
            <w:r>
              <w:rPr>
                <w:color w:val="auto"/>
              </w:rPr>
              <w:t>/</w:t>
            </w:r>
          </w:p>
        </w:tc>
        <w:tc>
          <w:tcPr>
            <w:tcW w:w="605" w:type="dxa"/>
            <w:tcBorders>
              <w:tl2br w:val="nil"/>
              <w:tr2bl w:val="nil"/>
            </w:tcBorders>
            <w:noWrap w:val="0"/>
            <w:tcMar>
              <w:top w:w="15" w:type="dxa"/>
              <w:left w:w="15" w:type="dxa"/>
              <w:right w:w="15" w:type="dxa"/>
            </w:tcMar>
            <w:vAlign w:val="center"/>
          </w:tcPr>
          <w:p w14:paraId="466CB4FD">
            <w:pPr>
              <w:pStyle w:val="44"/>
              <w:bidi w:val="0"/>
              <w:rPr>
                <w:color w:val="auto"/>
              </w:rPr>
            </w:pPr>
            <w:r>
              <w:rPr>
                <w:color w:val="auto"/>
              </w:rPr>
              <w:t>/</w:t>
            </w:r>
          </w:p>
        </w:tc>
        <w:tc>
          <w:tcPr>
            <w:tcW w:w="678" w:type="dxa"/>
            <w:tcBorders>
              <w:tl2br w:val="nil"/>
              <w:tr2bl w:val="nil"/>
            </w:tcBorders>
            <w:noWrap w:val="0"/>
            <w:tcMar>
              <w:top w:w="15" w:type="dxa"/>
              <w:left w:w="15" w:type="dxa"/>
              <w:right w:w="15" w:type="dxa"/>
            </w:tcMar>
            <w:vAlign w:val="center"/>
          </w:tcPr>
          <w:p w14:paraId="6EA7BAA3">
            <w:pPr>
              <w:pStyle w:val="44"/>
              <w:bidi w:val="0"/>
              <w:rPr>
                <w:color w:val="auto"/>
              </w:rPr>
            </w:pPr>
            <w:r>
              <w:rPr>
                <w:color w:val="auto"/>
              </w:rPr>
              <w:t>/</w:t>
            </w:r>
          </w:p>
        </w:tc>
        <w:tc>
          <w:tcPr>
            <w:tcW w:w="812" w:type="dxa"/>
            <w:tcBorders>
              <w:tl2br w:val="nil"/>
              <w:tr2bl w:val="nil"/>
            </w:tcBorders>
            <w:noWrap w:val="0"/>
            <w:tcMar>
              <w:top w:w="15" w:type="dxa"/>
              <w:left w:w="15" w:type="dxa"/>
              <w:right w:w="15" w:type="dxa"/>
            </w:tcMar>
            <w:vAlign w:val="center"/>
          </w:tcPr>
          <w:p w14:paraId="31DEC361">
            <w:pPr>
              <w:pStyle w:val="44"/>
              <w:bidi w:val="0"/>
              <w:rPr>
                <w:rFonts w:hint="default"/>
                <w:color w:val="auto"/>
                <w:lang w:val="en-US" w:eastAsia="zh-CN"/>
              </w:rPr>
            </w:pPr>
            <w:r>
              <w:rPr>
                <w:rFonts w:hint="eastAsia"/>
                <w:color w:val="auto"/>
                <w:lang w:val="en-US" w:eastAsia="zh-CN"/>
              </w:rPr>
              <w:t>加强车间密闭</w:t>
            </w:r>
          </w:p>
        </w:tc>
        <w:tc>
          <w:tcPr>
            <w:tcW w:w="762" w:type="dxa"/>
            <w:tcBorders>
              <w:tl2br w:val="nil"/>
              <w:tr2bl w:val="nil"/>
            </w:tcBorders>
            <w:noWrap w:val="0"/>
            <w:tcMar>
              <w:top w:w="15" w:type="dxa"/>
              <w:left w:w="15" w:type="dxa"/>
              <w:right w:w="15" w:type="dxa"/>
            </w:tcMar>
            <w:vAlign w:val="center"/>
          </w:tcPr>
          <w:p w14:paraId="541D90B6">
            <w:pPr>
              <w:pStyle w:val="44"/>
              <w:bidi w:val="0"/>
              <w:rPr>
                <w:color w:val="auto"/>
              </w:rPr>
            </w:pPr>
            <w:r>
              <w:rPr>
                <w:color w:val="auto"/>
              </w:rPr>
              <w:t>/</w:t>
            </w:r>
          </w:p>
        </w:tc>
        <w:tc>
          <w:tcPr>
            <w:tcW w:w="714" w:type="dxa"/>
            <w:tcBorders>
              <w:tl2br w:val="nil"/>
              <w:tr2bl w:val="nil"/>
            </w:tcBorders>
            <w:noWrap w:val="0"/>
            <w:tcMar>
              <w:top w:w="15" w:type="dxa"/>
              <w:left w:w="15" w:type="dxa"/>
              <w:right w:w="15" w:type="dxa"/>
            </w:tcMar>
            <w:vAlign w:val="center"/>
          </w:tcPr>
          <w:p w14:paraId="28270FA2">
            <w:pPr>
              <w:pStyle w:val="44"/>
              <w:bidi w:val="0"/>
              <w:rPr>
                <w:color w:val="auto"/>
              </w:rPr>
            </w:pPr>
            <w:r>
              <w:rPr>
                <w:rFonts w:hint="eastAsia"/>
                <w:color w:val="auto"/>
                <w:lang w:val="en-US" w:eastAsia="zh-CN"/>
              </w:rPr>
              <w:t>0.453</w:t>
            </w:r>
            <w:r>
              <w:rPr>
                <w:color w:val="auto"/>
              </w:rPr>
              <w:t xml:space="preserve"> </w:t>
            </w:r>
          </w:p>
        </w:tc>
        <w:tc>
          <w:tcPr>
            <w:tcW w:w="760" w:type="dxa"/>
            <w:tcBorders>
              <w:tl2br w:val="nil"/>
              <w:tr2bl w:val="nil"/>
            </w:tcBorders>
            <w:noWrap w:val="0"/>
            <w:tcMar>
              <w:top w:w="15" w:type="dxa"/>
              <w:left w:w="15" w:type="dxa"/>
              <w:right w:w="15" w:type="dxa"/>
            </w:tcMar>
            <w:vAlign w:val="center"/>
          </w:tcPr>
          <w:p w14:paraId="698EB6D6">
            <w:pPr>
              <w:pStyle w:val="44"/>
              <w:bidi w:val="0"/>
              <w:rPr>
                <w:color w:val="auto"/>
              </w:rPr>
            </w:pPr>
            <w:r>
              <w:rPr>
                <w:rFonts w:hint="eastAsia"/>
                <w:color w:val="auto"/>
                <w:lang w:val="en-US" w:eastAsia="zh-CN"/>
              </w:rPr>
              <w:t>0.408</w:t>
            </w:r>
            <w:r>
              <w:rPr>
                <w:color w:val="auto"/>
              </w:rPr>
              <w:t xml:space="preserve"> </w:t>
            </w:r>
          </w:p>
        </w:tc>
        <w:tc>
          <w:tcPr>
            <w:tcW w:w="831" w:type="dxa"/>
            <w:vMerge w:val="continue"/>
            <w:tcBorders>
              <w:tl2br w:val="nil"/>
              <w:tr2bl w:val="nil"/>
            </w:tcBorders>
            <w:noWrap w:val="0"/>
            <w:tcMar>
              <w:top w:w="15" w:type="dxa"/>
              <w:left w:w="15" w:type="dxa"/>
              <w:right w:w="15" w:type="dxa"/>
            </w:tcMar>
            <w:vAlign w:val="center"/>
          </w:tcPr>
          <w:p w14:paraId="0B714809">
            <w:pPr>
              <w:pStyle w:val="44"/>
              <w:bidi w:val="0"/>
              <w:rPr>
                <w:color w:val="auto"/>
                <w:sz w:val="21"/>
                <w:szCs w:val="21"/>
              </w:rPr>
            </w:pPr>
          </w:p>
        </w:tc>
      </w:tr>
      <w:tr w14:paraId="0861AB5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70" w:hRule="atLeast"/>
        </w:trPr>
        <w:tc>
          <w:tcPr>
            <w:tcW w:w="1756" w:type="dxa"/>
            <w:vMerge w:val="restart"/>
            <w:tcBorders>
              <w:tl2br w:val="nil"/>
              <w:tr2bl w:val="nil"/>
            </w:tcBorders>
            <w:noWrap w:val="0"/>
            <w:tcMar>
              <w:top w:w="15" w:type="dxa"/>
              <w:left w:w="15" w:type="dxa"/>
              <w:right w:w="15" w:type="dxa"/>
            </w:tcMar>
            <w:vAlign w:val="center"/>
          </w:tcPr>
          <w:p w14:paraId="5E0F21C0">
            <w:pPr>
              <w:pStyle w:val="44"/>
              <w:bidi w:val="0"/>
              <w:rPr>
                <w:rFonts w:hint="default"/>
                <w:color w:val="auto"/>
                <w:lang w:val="en-US" w:eastAsia="zh-CN"/>
              </w:rPr>
            </w:pPr>
            <w:r>
              <w:rPr>
                <w:rFonts w:hint="eastAsia"/>
                <w:color w:val="auto"/>
              </w:rPr>
              <w:t>设备开盖计量投料</w:t>
            </w:r>
            <w:r>
              <w:rPr>
                <w:rFonts w:hint="eastAsia"/>
                <w:color w:val="auto"/>
                <w:lang w:eastAsia="zh-CN"/>
              </w:rPr>
              <w:t>、</w:t>
            </w:r>
            <w:r>
              <w:rPr>
                <w:rFonts w:hint="eastAsia"/>
                <w:color w:val="auto"/>
                <w:lang w:val="en-US" w:eastAsia="zh-CN"/>
              </w:rPr>
              <w:t>抽真空、出料</w:t>
            </w:r>
          </w:p>
        </w:tc>
        <w:tc>
          <w:tcPr>
            <w:tcW w:w="503" w:type="dxa"/>
            <w:tcBorders>
              <w:tl2br w:val="nil"/>
              <w:tr2bl w:val="nil"/>
            </w:tcBorders>
            <w:noWrap w:val="0"/>
            <w:tcMar>
              <w:top w:w="15" w:type="dxa"/>
              <w:left w:w="15" w:type="dxa"/>
              <w:right w:w="15" w:type="dxa"/>
            </w:tcMar>
            <w:vAlign w:val="center"/>
          </w:tcPr>
          <w:p w14:paraId="65CC9F9E">
            <w:pPr>
              <w:pStyle w:val="44"/>
              <w:bidi w:val="0"/>
              <w:rPr>
                <w:color w:val="auto"/>
              </w:rPr>
            </w:pPr>
            <w:r>
              <w:rPr>
                <w:color w:val="auto"/>
              </w:rPr>
              <w:t>有组织</w:t>
            </w:r>
          </w:p>
        </w:tc>
        <w:tc>
          <w:tcPr>
            <w:tcW w:w="591" w:type="dxa"/>
            <w:vMerge w:val="restart"/>
            <w:tcBorders>
              <w:tl2br w:val="nil"/>
              <w:tr2bl w:val="nil"/>
            </w:tcBorders>
            <w:noWrap w:val="0"/>
            <w:tcMar>
              <w:top w:w="15" w:type="dxa"/>
              <w:left w:w="15" w:type="dxa"/>
              <w:right w:w="15" w:type="dxa"/>
            </w:tcMar>
            <w:vAlign w:val="center"/>
          </w:tcPr>
          <w:p w14:paraId="0241E7DA">
            <w:pPr>
              <w:pStyle w:val="44"/>
              <w:bidi w:val="0"/>
              <w:rPr>
                <w:color w:val="auto"/>
              </w:rPr>
            </w:pPr>
            <w:r>
              <w:rPr>
                <w:rFonts w:hint="eastAsia"/>
                <w:color w:val="auto"/>
              </w:rPr>
              <w:t>VOCs</w:t>
            </w:r>
          </w:p>
        </w:tc>
        <w:tc>
          <w:tcPr>
            <w:tcW w:w="851" w:type="dxa"/>
            <w:vMerge w:val="restart"/>
            <w:tcBorders>
              <w:tl2br w:val="nil"/>
              <w:tr2bl w:val="nil"/>
            </w:tcBorders>
            <w:noWrap w:val="0"/>
            <w:tcMar>
              <w:top w:w="15" w:type="dxa"/>
              <w:left w:w="15" w:type="dxa"/>
              <w:right w:w="15" w:type="dxa"/>
            </w:tcMar>
            <w:vAlign w:val="center"/>
          </w:tcPr>
          <w:p w14:paraId="13AD225C">
            <w:pPr>
              <w:pStyle w:val="44"/>
              <w:bidi w:val="0"/>
              <w:rPr>
                <w:color w:val="auto"/>
              </w:rPr>
            </w:pPr>
            <w:r>
              <w:rPr>
                <w:color w:val="auto"/>
              </w:rPr>
              <w:t>2400</w:t>
            </w:r>
          </w:p>
        </w:tc>
        <w:tc>
          <w:tcPr>
            <w:tcW w:w="605" w:type="dxa"/>
            <w:vMerge w:val="restart"/>
            <w:tcBorders>
              <w:tl2br w:val="nil"/>
              <w:tr2bl w:val="nil"/>
            </w:tcBorders>
            <w:noWrap w:val="0"/>
            <w:tcMar>
              <w:top w:w="15" w:type="dxa"/>
              <w:left w:w="15" w:type="dxa"/>
              <w:right w:w="15" w:type="dxa"/>
            </w:tcMar>
            <w:vAlign w:val="center"/>
          </w:tcPr>
          <w:p w14:paraId="78740D55">
            <w:pPr>
              <w:pStyle w:val="44"/>
              <w:bidi w:val="0"/>
              <w:rPr>
                <w:color w:val="auto"/>
              </w:rPr>
            </w:pPr>
            <w:r>
              <w:rPr>
                <w:color w:val="auto"/>
              </w:rPr>
              <w:t>9</w:t>
            </w:r>
            <w:r>
              <w:rPr>
                <w:rFonts w:hint="eastAsia"/>
                <w:color w:val="auto"/>
                <w:lang w:val="en-US" w:eastAsia="zh-CN"/>
              </w:rPr>
              <w:t>0</w:t>
            </w:r>
            <w:r>
              <w:rPr>
                <w:color w:val="auto"/>
              </w:rPr>
              <w:t>%</w:t>
            </w:r>
          </w:p>
        </w:tc>
        <w:tc>
          <w:tcPr>
            <w:tcW w:w="820" w:type="dxa"/>
            <w:tcBorders>
              <w:tl2br w:val="nil"/>
              <w:tr2bl w:val="nil"/>
            </w:tcBorders>
            <w:noWrap w:val="0"/>
            <w:tcMar>
              <w:top w:w="15" w:type="dxa"/>
              <w:left w:w="15" w:type="dxa"/>
              <w:right w:w="15" w:type="dxa"/>
            </w:tcMar>
            <w:vAlign w:val="center"/>
          </w:tcPr>
          <w:p w14:paraId="41581706">
            <w:pPr>
              <w:widowControl/>
              <w:spacing w:line="240" w:lineRule="auto"/>
              <w:jc w:val="center"/>
              <w:textAlignment w:val="center"/>
              <w:rPr>
                <w:color w:val="auto"/>
                <w:sz w:val="21"/>
                <w:szCs w:val="21"/>
              </w:rPr>
            </w:pPr>
            <w:r>
              <w:rPr>
                <w:rFonts w:hint="eastAsia"/>
                <w:color w:val="auto"/>
                <w:kern w:val="0"/>
                <w:sz w:val="21"/>
                <w:szCs w:val="21"/>
                <w:lang w:val="en-US" w:eastAsia="zh-CN" w:bidi="ar"/>
              </w:rPr>
              <w:t>215</w:t>
            </w:r>
          </w:p>
        </w:tc>
        <w:tc>
          <w:tcPr>
            <w:tcW w:w="714" w:type="dxa"/>
            <w:tcBorders>
              <w:tl2br w:val="nil"/>
              <w:tr2bl w:val="nil"/>
            </w:tcBorders>
            <w:noWrap w:val="0"/>
            <w:tcMar>
              <w:top w:w="15" w:type="dxa"/>
              <w:left w:w="15" w:type="dxa"/>
              <w:right w:w="15" w:type="dxa"/>
            </w:tcMar>
            <w:vAlign w:val="center"/>
          </w:tcPr>
          <w:p w14:paraId="7DDC1D44">
            <w:pPr>
              <w:widowControl/>
              <w:spacing w:line="240" w:lineRule="auto"/>
              <w:jc w:val="center"/>
              <w:textAlignment w:val="center"/>
              <w:rPr>
                <w:color w:val="auto"/>
                <w:sz w:val="21"/>
                <w:szCs w:val="21"/>
              </w:rPr>
            </w:pPr>
            <w:r>
              <w:rPr>
                <w:rFonts w:hint="eastAsia"/>
                <w:color w:val="auto"/>
                <w:kern w:val="0"/>
                <w:sz w:val="21"/>
                <w:szCs w:val="21"/>
                <w:lang w:val="en-US" w:eastAsia="zh-CN" w:bidi="ar"/>
              </w:rPr>
              <w:t>3.225</w:t>
            </w:r>
          </w:p>
        </w:tc>
        <w:tc>
          <w:tcPr>
            <w:tcW w:w="819" w:type="dxa"/>
            <w:tcBorders>
              <w:tl2br w:val="nil"/>
              <w:tr2bl w:val="nil"/>
            </w:tcBorders>
            <w:noWrap w:val="0"/>
            <w:tcMar>
              <w:top w:w="15" w:type="dxa"/>
              <w:left w:w="15" w:type="dxa"/>
              <w:right w:w="15" w:type="dxa"/>
            </w:tcMar>
            <w:vAlign w:val="center"/>
          </w:tcPr>
          <w:p w14:paraId="23EBE1D2">
            <w:pPr>
              <w:widowControl/>
              <w:spacing w:line="240" w:lineRule="auto"/>
              <w:jc w:val="center"/>
              <w:textAlignment w:val="center"/>
              <w:rPr>
                <w:color w:val="auto"/>
                <w:sz w:val="21"/>
                <w:szCs w:val="21"/>
              </w:rPr>
            </w:pPr>
            <w:r>
              <w:rPr>
                <w:rFonts w:hint="eastAsia"/>
                <w:color w:val="auto"/>
                <w:kern w:val="0"/>
                <w:sz w:val="21"/>
                <w:szCs w:val="21"/>
                <w:lang w:val="en-US" w:eastAsia="zh-CN" w:bidi="ar"/>
              </w:rPr>
              <w:t>7.74</w:t>
            </w:r>
            <w:r>
              <w:rPr>
                <w:color w:val="auto"/>
                <w:kern w:val="0"/>
                <w:sz w:val="21"/>
                <w:szCs w:val="21"/>
                <w:lang w:bidi="ar"/>
              </w:rPr>
              <w:t xml:space="preserve"> </w:t>
            </w:r>
          </w:p>
        </w:tc>
        <w:tc>
          <w:tcPr>
            <w:tcW w:w="706" w:type="dxa"/>
            <w:tcBorders>
              <w:tl2br w:val="nil"/>
              <w:tr2bl w:val="nil"/>
            </w:tcBorders>
            <w:noWrap w:val="0"/>
            <w:tcMar>
              <w:top w:w="15" w:type="dxa"/>
              <w:left w:w="15" w:type="dxa"/>
              <w:right w:w="15" w:type="dxa"/>
            </w:tcMar>
            <w:vAlign w:val="center"/>
          </w:tcPr>
          <w:p w14:paraId="094A11A6">
            <w:pPr>
              <w:pStyle w:val="44"/>
              <w:bidi w:val="0"/>
              <w:rPr>
                <w:color w:val="auto"/>
              </w:rPr>
            </w:pPr>
            <w:r>
              <w:rPr>
                <w:rFonts w:hint="eastAsia"/>
                <w:color w:val="auto"/>
                <w:lang w:val="en-US" w:eastAsia="zh-CN"/>
              </w:rPr>
              <w:t>15</w:t>
            </w:r>
            <w:r>
              <w:rPr>
                <w:color w:val="auto"/>
              </w:rPr>
              <w:t>000</w:t>
            </w:r>
          </w:p>
        </w:tc>
        <w:tc>
          <w:tcPr>
            <w:tcW w:w="605" w:type="dxa"/>
            <w:tcBorders>
              <w:tl2br w:val="nil"/>
              <w:tr2bl w:val="nil"/>
            </w:tcBorders>
            <w:noWrap w:val="0"/>
            <w:tcMar>
              <w:top w:w="15" w:type="dxa"/>
              <w:left w:w="15" w:type="dxa"/>
              <w:right w:w="15" w:type="dxa"/>
            </w:tcMar>
            <w:vAlign w:val="center"/>
          </w:tcPr>
          <w:p w14:paraId="533BA81C">
            <w:pPr>
              <w:pStyle w:val="44"/>
              <w:bidi w:val="0"/>
              <w:rPr>
                <w:color w:val="auto"/>
              </w:rPr>
            </w:pPr>
            <w:r>
              <w:rPr>
                <w:color w:val="auto"/>
              </w:rPr>
              <w:t>90%</w:t>
            </w:r>
          </w:p>
        </w:tc>
        <w:tc>
          <w:tcPr>
            <w:tcW w:w="678" w:type="dxa"/>
            <w:tcBorders>
              <w:tl2br w:val="nil"/>
              <w:tr2bl w:val="nil"/>
            </w:tcBorders>
            <w:noWrap w:val="0"/>
            <w:tcMar>
              <w:top w:w="15" w:type="dxa"/>
              <w:left w:w="15" w:type="dxa"/>
              <w:right w:w="15" w:type="dxa"/>
            </w:tcMar>
            <w:vAlign w:val="center"/>
          </w:tcPr>
          <w:p w14:paraId="6C69697D">
            <w:pPr>
              <w:pStyle w:val="44"/>
              <w:bidi w:val="0"/>
              <w:rPr>
                <w:color w:val="auto"/>
              </w:rPr>
            </w:pPr>
            <w:r>
              <w:rPr>
                <w:color w:val="auto"/>
              </w:rPr>
              <w:t>是</w:t>
            </w:r>
          </w:p>
        </w:tc>
        <w:tc>
          <w:tcPr>
            <w:tcW w:w="812" w:type="dxa"/>
            <w:tcBorders>
              <w:tl2br w:val="nil"/>
              <w:tr2bl w:val="nil"/>
            </w:tcBorders>
            <w:noWrap w:val="0"/>
            <w:tcMar>
              <w:top w:w="15" w:type="dxa"/>
              <w:left w:w="15" w:type="dxa"/>
              <w:right w:w="15" w:type="dxa"/>
            </w:tcMar>
            <w:vAlign w:val="center"/>
          </w:tcPr>
          <w:p w14:paraId="0B12279D">
            <w:pPr>
              <w:pStyle w:val="44"/>
              <w:bidi w:val="0"/>
              <w:rPr>
                <w:color w:val="auto"/>
              </w:rPr>
            </w:pPr>
            <w:r>
              <w:rPr>
                <w:color w:val="auto"/>
              </w:rPr>
              <w:t>冷凝+二级活性炭</w:t>
            </w:r>
          </w:p>
        </w:tc>
        <w:tc>
          <w:tcPr>
            <w:tcW w:w="762" w:type="dxa"/>
            <w:tcBorders>
              <w:tl2br w:val="nil"/>
              <w:tr2bl w:val="nil"/>
            </w:tcBorders>
            <w:noWrap w:val="0"/>
            <w:tcMar>
              <w:top w:w="15" w:type="dxa"/>
              <w:left w:w="15" w:type="dxa"/>
              <w:right w:w="15" w:type="dxa"/>
            </w:tcMar>
            <w:vAlign w:val="center"/>
          </w:tcPr>
          <w:p w14:paraId="2E08B769">
            <w:pPr>
              <w:pStyle w:val="44"/>
              <w:bidi w:val="0"/>
              <w:rPr>
                <w:rFonts w:hint="default"/>
                <w:color w:val="auto"/>
                <w:lang w:val="en-US"/>
              </w:rPr>
            </w:pPr>
            <w:r>
              <w:rPr>
                <w:color w:val="auto"/>
              </w:rPr>
              <w:t xml:space="preserve"> </w:t>
            </w:r>
            <w:r>
              <w:rPr>
                <w:rFonts w:hint="eastAsia"/>
                <w:color w:val="auto"/>
                <w:lang w:val="en-US" w:eastAsia="zh-CN"/>
              </w:rPr>
              <w:t>21.5</w:t>
            </w:r>
          </w:p>
        </w:tc>
        <w:tc>
          <w:tcPr>
            <w:tcW w:w="714" w:type="dxa"/>
            <w:tcBorders>
              <w:tl2br w:val="nil"/>
              <w:tr2bl w:val="nil"/>
            </w:tcBorders>
            <w:noWrap w:val="0"/>
            <w:tcMar>
              <w:top w:w="15" w:type="dxa"/>
              <w:left w:w="15" w:type="dxa"/>
              <w:right w:w="15" w:type="dxa"/>
            </w:tcMar>
            <w:vAlign w:val="center"/>
          </w:tcPr>
          <w:p w14:paraId="6254D89D">
            <w:pPr>
              <w:pStyle w:val="44"/>
              <w:bidi w:val="0"/>
              <w:rPr>
                <w:color w:val="auto"/>
              </w:rPr>
            </w:pPr>
            <w:r>
              <w:rPr>
                <w:rFonts w:hint="eastAsia"/>
                <w:color w:val="auto"/>
                <w:lang w:val="en-US" w:eastAsia="zh-CN"/>
              </w:rPr>
              <w:t>0.323</w:t>
            </w:r>
          </w:p>
        </w:tc>
        <w:tc>
          <w:tcPr>
            <w:tcW w:w="760" w:type="dxa"/>
            <w:tcBorders>
              <w:tl2br w:val="nil"/>
              <w:tr2bl w:val="nil"/>
            </w:tcBorders>
            <w:noWrap w:val="0"/>
            <w:tcMar>
              <w:top w:w="15" w:type="dxa"/>
              <w:left w:w="15" w:type="dxa"/>
              <w:right w:w="15" w:type="dxa"/>
            </w:tcMar>
            <w:vAlign w:val="center"/>
          </w:tcPr>
          <w:p w14:paraId="5E098769">
            <w:pPr>
              <w:pStyle w:val="44"/>
              <w:bidi w:val="0"/>
              <w:rPr>
                <w:color w:val="auto"/>
              </w:rPr>
            </w:pPr>
            <w:r>
              <w:rPr>
                <w:rFonts w:hint="eastAsia"/>
                <w:color w:val="auto"/>
                <w:lang w:val="en-US" w:eastAsia="zh-CN"/>
              </w:rPr>
              <w:t>0.774</w:t>
            </w:r>
            <w:r>
              <w:rPr>
                <w:color w:val="auto"/>
              </w:rPr>
              <w:t xml:space="preserve"> </w:t>
            </w:r>
          </w:p>
        </w:tc>
        <w:tc>
          <w:tcPr>
            <w:tcW w:w="831" w:type="dxa"/>
            <w:vMerge w:val="restart"/>
            <w:tcBorders>
              <w:tl2br w:val="nil"/>
              <w:tr2bl w:val="nil"/>
            </w:tcBorders>
            <w:noWrap w:val="0"/>
            <w:tcMar>
              <w:top w:w="15" w:type="dxa"/>
              <w:left w:w="15" w:type="dxa"/>
              <w:right w:w="15" w:type="dxa"/>
            </w:tcMar>
            <w:vAlign w:val="center"/>
          </w:tcPr>
          <w:p w14:paraId="7F17ABFB">
            <w:pPr>
              <w:pStyle w:val="44"/>
              <w:bidi w:val="0"/>
              <w:rPr>
                <w:color w:val="auto"/>
                <w:sz w:val="21"/>
                <w:szCs w:val="21"/>
              </w:rPr>
            </w:pPr>
            <w:r>
              <w:rPr>
                <w:color w:val="auto"/>
                <w:sz w:val="21"/>
                <w:szCs w:val="21"/>
              </w:rPr>
              <w:t>DA002</w:t>
            </w:r>
          </w:p>
        </w:tc>
      </w:tr>
      <w:tr w14:paraId="45B69FB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70" w:hRule="atLeast"/>
        </w:trPr>
        <w:tc>
          <w:tcPr>
            <w:tcW w:w="1756" w:type="dxa"/>
            <w:vMerge w:val="continue"/>
            <w:tcBorders>
              <w:tl2br w:val="nil"/>
              <w:tr2bl w:val="nil"/>
            </w:tcBorders>
            <w:noWrap w:val="0"/>
            <w:tcMar>
              <w:top w:w="15" w:type="dxa"/>
              <w:left w:w="15" w:type="dxa"/>
              <w:right w:w="15" w:type="dxa"/>
            </w:tcMar>
            <w:vAlign w:val="center"/>
          </w:tcPr>
          <w:p w14:paraId="7F164A42">
            <w:pPr>
              <w:pStyle w:val="44"/>
              <w:bidi w:val="0"/>
              <w:rPr>
                <w:color w:val="auto"/>
              </w:rPr>
            </w:pPr>
          </w:p>
        </w:tc>
        <w:tc>
          <w:tcPr>
            <w:tcW w:w="503" w:type="dxa"/>
            <w:tcBorders>
              <w:tl2br w:val="nil"/>
              <w:tr2bl w:val="nil"/>
            </w:tcBorders>
            <w:noWrap w:val="0"/>
            <w:tcMar>
              <w:top w:w="15" w:type="dxa"/>
              <w:left w:w="15" w:type="dxa"/>
              <w:right w:w="15" w:type="dxa"/>
            </w:tcMar>
            <w:vAlign w:val="center"/>
          </w:tcPr>
          <w:p w14:paraId="28E7BADA">
            <w:pPr>
              <w:pStyle w:val="44"/>
              <w:bidi w:val="0"/>
              <w:rPr>
                <w:color w:val="auto"/>
              </w:rPr>
            </w:pPr>
            <w:r>
              <w:rPr>
                <w:color w:val="auto"/>
              </w:rPr>
              <w:t>无组织</w:t>
            </w:r>
          </w:p>
        </w:tc>
        <w:tc>
          <w:tcPr>
            <w:tcW w:w="591" w:type="dxa"/>
            <w:vMerge w:val="continue"/>
            <w:tcBorders>
              <w:tl2br w:val="nil"/>
              <w:tr2bl w:val="nil"/>
            </w:tcBorders>
            <w:noWrap w:val="0"/>
            <w:tcMar>
              <w:top w:w="15" w:type="dxa"/>
              <w:left w:w="15" w:type="dxa"/>
              <w:right w:w="15" w:type="dxa"/>
            </w:tcMar>
            <w:vAlign w:val="center"/>
          </w:tcPr>
          <w:p w14:paraId="09693309">
            <w:pPr>
              <w:pStyle w:val="44"/>
              <w:bidi w:val="0"/>
              <w:rPr>
                <w:color w:val="auto"/>
              </w:rPr>
            </w:pPr>
          </w:p>
        </w:tc>
        <w:tc>
          <w:tcPr>
            <w:tcW w:w="851" w:type="dxa"/>
            <w:vMerge w:val="continue"/>
            <w:tcBorders>
              <w:tl2br w:val="nil"/>
              <w:tr2bl w:val="nil"/>
            </w:tcBorders>
            <w:noWrap w:val="0"/>
            <w:tcMar>
              <w:top w:w="15" w:type="dxa"/>
              <w:left w:w="15" w:type="dxa"/>
              <w:right w:w="15" w:type="dxa"/>
            </w:tcMar>
            <w:vAlign w:val="center"/>
          </w:tcPr>
          <w:p w14:paraId="76A30FCE">
            <w:pPr>
              <w:pStyle w:val="44"/>
              <w:bidi w:val="0"/>
              <w:rPr>
                <w:color w:val="auto"/>
              </w:rPr>
            </w:pPr>
          </w:p>
        </w:tc>
        <w:tc>
          <w:tcPr>
            <w:tcW w:w="605" w:type="dxa"/>
            <w:vMerge w:val="continue"/>
            <w:tcBorders>
              <w:tl2br w:val="nil"/>
              <w:tr2bl w:val="nil"/>
            </w:tcBorders>
            <w:noWrap w:val="0"/>
            <w:tcMar>
              <w:top w:w="15" w:type="dxa"/>
              <w:left w:w="15" w:type="dxa"/>
              <w:right w:w="15" w:type="dxa"/>
            </w:tcMar>
            <w:vAlign w:val="center"/>
          </w:tcPr>
          <w:p w14:paraId="23B4AB05">
            <w:pPr>
              <w:pStyle w:val="44"/>
              <w:bidi w:val="0"/>
              <w:rPr>
                <w:color w:val="auto"/>
              </w:rPr>
            </w:pPr>
          </w:p>
        </w:tc>
        <w:tc>
          <w:tcPr>
            <w:tcW w:w="820" w:type="dxa"/>
            <w:tcBorders>
              <w:tl2br w:val="nil"/>
              <w:tr2bl w:val="nil"/>
            </w:tcBorders>
            <w:noWrap w:val="0"/>
            <w:tcMar>
              <w:top w:w="15" w:type="dxa"/>
              <w:left w:w="15" w:type="dxa"/>
              <w:right w:w="15" w:type="dxa"/>
            </w:tcMar>
            <w:vAlign w:val="center"/>
          </w:tcPr>
          <w:p w14:paraId="1F1D4467">
            <w:pPr>
              <w:pStyle w:val="44"/>
              <w:bidi w:val="0"/>
              <w:rPr>
                <w:color w:val="auto"/>
              </w:rPr>
            </w:pPr>
            <w:r>
              <w:rPr>
                <w:color w:val="auto"/>
              </w:rPr>
              <w:t>/</w:t>
            </w:r>
          </w:p>
        </w:tc>
        <w:tc>
          <w:tcPr>
            <w:tcW w:w="714" w:type="dxa"/>
            <w:tcBorders>
              <w:tl2br w:val="nil"/>
              <w:tr2bl w:val="nil"/>
            </w:tcBorders>
            <w:noWrap w:val="0"/>
            <w:tcMar>
              <w:top w:w="15" w:type="dxa"/>
              <w:left w:w="15" w:type="dxa"/>
              <w:right w:w="15" w:type="dxa"/>
            </w:tcMar>
            <w:vAlign w:val="center"/>
          </w:tcPr>
          <w:p w14:paraId="1B158426">
            <w:pPr>
              <w:pStyle w:val="44"/>
              <w:bidi w:val="0"/>
              <w:rPr>
                <w:color w:val="auto"/>
              </w:rPr>
            </w:pPr>
            <w:r>
              <w:rPr>
                <w:rFonts w:hint="eastAsia"/>
                <w:color w:val="auto"/>
                <w:lang w:val="en-US" w:eastAsia="zh-CN"/>
              </w:rPr>
              <w:t>0.358</w:t>
            </w:r>
            <w:r>
              <w:rPr>
                <w:color w:val="auto"/>
              </w:rPr>
              <w:t xml:space="preserve"> </w:t>
            </w:r>
          </w:p>
        </w:tc>
        <w:tc>
          <w:tcPr>
            <w:tcW w:w="819" w:type="dxa"/>
            <w:tcBorders>
              <w:tl2br w:val="nil"/>
              <w:tr2bl w:val="nil"/>
            </w:tcBorders>
            <w:noWrap w:val="0"/>
            <w:tcMar>
              <w:top w:w="15" w:type="dxa"/>
              <w:left w:w="15" w:type="dxa"/>
              <w:right w:w="15" w:type="dxa"/>
            </w:tcMar>
            <w:vAlign w:val="center"/>
          </w:tcPr>
          <w:p w14:paraId="1D420D69">
            <w:pPr>
              <w:pStyle w:val="44"/>
              <w:bidi w:val="0"/>
              <w:rPr>
                <w:color w:val="auto"/>
              </w:rPr>
            </w:pPr>
            <w:r>
              <w:rPr>
                <w:rFonts w:hint="eastAsia"/>
                <w:color w:val="auto"/>
                <w:lang w:val="en-US" w:eastAsia="zh-CN"/>
              </w:rPr>
              <w:t>0.86</w:t>
            </w:r>
          </w:p>
        </w:tc>
        <w:tc>
          <w:tcPr>
            <w:tcW w:w="706" w:type="dxa"/>
            <w:tcBorders>
              <w:tl2br w:val="nil"/>
              <w:tr2bl w:val="nil"/>
            </w:tcBorders>
            <w:noWrap w:val="0"/>
            <w:tcMar>
              <w:top w:w="15" w:type="dxa"/>
              <w:left w:w="15" w:type="dxa"/>
              <w:right w:w="15" w:type="dxa"/>
            </w:tcMar>
            <w:vAlign w:val="center"/>
          </w:tcPr>
          <w:p w14:paraId="469ED4E5">
            <w:pPr>
              <w:pStyle w:val="44"/>
              <w:bidi w:val="0"/>
              <w:rPr>
                <w:color w:val="auto"/>
              </w:rPr>
            </w:pPr>
            <w:r>
              <w:rPr>
                <w:color w:val="auto"/>
              </w:rPr>
              <w:t>/</w:t>
            </w:r>
          </w:p>
        </w:tc>
        <w:tc>
          <w:tcPr>
            <w:tcW w:w="605" w:type="dxa"/>
            <w:tcBorders>
              <w:tl2br w:val="nil"/>
              <w:tr2bl w:val="nil"/>
            </w:tcBorders>
            <w:noWrap w:val="0"/>
            <w:tcMar>
              <w:top w:w="15" w:type="dxa"/>
              <w:left w:w="15" w:type="dxa"/>
              <w:right w:w="15" w:type="dxa"/>
            </w:tcMar>
            <w:vAlign w:val="center"/>
          </w:tcPr>
          <w:p w14:paraId="1805C932">
            <w:pPr>
              <w:pStyle w:val="44"/>
              <w:bidi w:val="0"/>
              <w:rPr>
                <w:color w:val="auto"/>
              </w:rPr>
            </w:pPr>
            <w:r>
              <w:rPr>
                <w:color w:val="auto"/>
              </w:rPr>
              <w:t>/</w:t>
            </w:r>
          </w:p>
        </w:tc>
        <w:tc>
          <w:tcPr>
            <w:tcW w:w="678" w:type="dxa"/>
            <w:tcBorders>
              <w:tl2br w:val="nil"/>
              <w:tr2bl w:val="nil"/>
            </w:tcBorders>
            <w:noWrap w:val="0"/>
            <w:tcMar>
              <w:top w:w="15" w:type="dxa"/>
              <w:left w:w="15" w:type="dxa"/>
              <w:right w:w="15" w:type="dxa"/>
            </w:tcMar>
            <w:vAlign w:val="center"/>
          </w:tcPr>
          <w:p w14:paraId="7B6FF510">
            <w:pPr>
              <w:pStyle w:val="44"/>
              <w:bidi w:val="0"/>
              <w:rPr>
                <w:color w:val="auto"/>
              </w:rPr>
            </w:pPr>
            <w:r>
              <w:rPr>
                <w:color w:val="auto"/>
              </w:rPr>
              <w:t>/</w:t>
            </w:r>
          </w:p>
        </w:tc>
        <w:tc>
          <w:tcPr>
            <w:tcW w:w="812" w:type="dxa"/>
            <w:tcBorders>
              <w:tl2br w:val="nil"/>
              <w:tr2bl w:val="nil"/>
            </w:tcBorders>
            <w:noWrap w:val="0"/>
            <w:tcMar>
              <w:top w:w="15" w:type="dxa"/>
              <w:left w:w="15" w:type="dxa"/>
              <w:right w:w="15" w:type="dxa"/>
            </w:tcMar>
            <w:vAlign w:val="center"/>
          </w:tcPr>
          <w:p w14:paraId="7EB90962">
            <w:pPr>
              <w:pStyle w:val="44"/>
              <w:bidi w:val="0"/>
              <w:rPr>
                <w:color w:val="auto"/>
              </w:rPr>
            </w:pPr>
            <w:r>
              <w:rPr>
                <w:rFonts w:hint="eastAsia"/>
                <w:color w:val="auto"/>
                <w:lang w:val="en-US" w:eastAsia="zh-CN"/>
              </w:rPr>
              <w:t>加强车间密闭</w:t>
            </w:r>
          </w:p>
        </w:tc>
        <w:tc>
          <w:tcPr>
            <w:tcW w:w="762" w:type="dxa"/>
            <w:tcBorders>
              <w:tl2br w:val="nil"/>
              <w:tr2bl w:val="nil"/>
            </w:tcBorders>
            <w:noWrap w:val="0"/>
            <w:tcMar>
              <w:top w:w="15" w:type="dxa"/>
              <w:left w:w="15" w:type="dxa"/>
              <w:right w:w="15" w:type="dxa"/>
            </w:tcMar>
            <w:vAlign w:val="center"/>
          </w:tcPr>
          <w:p w14:paraId="5F9C1B1C">
            <w:pPr>
              <w:pStyle w:val="44"/>
              <w:bidi w:val="0"/>
              <w:rPr>
                <w:color w:val="auto"/>
              </w:rPr>
            </w:pPr>
            <w:r>
              <w:rPr>
                <w:color w:val="auto"/>
              </w:rPr>
              <w:t>/</w:t>
            </w:r>
          </w:p>
        </w:tc>
        <w:tc>
          <w:tcPr>
            <w:tcW w:w="714" w:type="dxa"/>
            <w:tcBorders>
              <w:tl2br w:val="nil"/>
              <w:tr2bl w:val="nil"/>
            </w:tcBorders>
            <w:noWrap w:val="0"/>
            <w:tcMar>
              <w:top w:w="15" w:type="dxa"/>
              <w:left w:w="15" w:type="dxa"/>
              <w:right w:w="15" w:type="dxa"/>
            </w:tcMar>
            <w:vAlign w:val="center"/>
          </w:tcPr>
          <w:p w14:paraId="2DAE7640">
            <w:pPr>
              <w:pStyle w:val="44"/>
              <w:bidi w:val="0"/>
              <w:rPr>
                <w:color w:val="auto"/>
              </w:rPr>
            </w:pPr>
            <w:r>
              <w:rPr>
                <w:rFonts w:hint="eastAsia"/>
                <w:color w:val="auto"/>
                <w:lang w:val="en-US" w:eastAsia="zh-CN"/>
              </w:rPr>
              <w:t>0.358</w:t>
            </w:r>
          </w:p>
        </w:tc>
        <w:tc>
          <w:tcPr>
            <w:tcW w:w="760" w:type="dxa"/>
            <w:tcBorders>
              <w:tl2br w:val="nil"/>
              <w:tr2bl w:val="nil"/>
            </w:tcBorders>
            <w:noWrap w:val="0"/>
            <w:tcMar>
              <w:top w:w="15" w:type="dxa"/>
              <w:left w:w="15" w:type="dxa"/>
              <w:right w:w="15" w:type="dxa"/>
            </w:tcMar>
            <w:vAlign w:val="center"/>
          </w:tcPr>
          <w:p w14:paraId="0222FB7D">
            <w:pPr>
              <w:pStyle w:val="44"/>
              <w:bidi w:val="0"/>
              <w:rPr>
                <w:color w:val="auto"/>
              </w:rPr>
            </w:pPr>
            <w:r>
              <w:rPr>
                <w:rFonts w:hint="eastAsia"/>
                <w:color w:val="auto"/>
                <w:lang w:val="en-US" w:eastAsia="zh-CN"/>
              </w:rPr>
              <w:t>0.86</w:t>
            </w:r>
          </w:p>
        </w:tc>
        <w:tc>
          <w:tcPr>
            <w:tcW w:w="831" w:type="dxa"/>
            <w:vMerge w:val="continue"/>
            <w:tcBorders>
              <w:tl2br w:val="nil"/>
              <w:tr2bl w:val="nil"/>
            </w:tcBorders>
            <w:noWrap w:val="0"/>
            <w:tcMar>
              <w:top w:w="15" w:type="dxa"/>
              <w:left w:w="15" w:type="dxa"/>
              <w:right w:w="15" w:type="dxa"/>
            </w:tcMar>
            <w:vAlign w:val="center"/>
          </w:tcPr>
          <w:p w14:paraId="4283623A">
            <w:pPr>
              <w:pStyle w:val="44"/>
              <w:bidi w:val="0"/>
              <w:rPr>
                <w:color w:val="auto"/>
                <w:sz w:val="21"/>
                <w:szCs w:val="21"/>
              </w:rPr>
            </w:pPr>
          </w:p>
        </w:tc>
      </w:tr>
    </w:tbl>
    <w:p w14:paraId="0A183A57">
      <w:pPr>
        <w:pStyle w:val="46"/>
        <w:bidi w:val="0"/>
        <w:rPr>
          <w:color w:val="auto"/>
          <w:lang w:val="zh-CN"/>
        </w:rPr>
      </w:pPr>
      <w:r>
        <w:rPr>
          <w:rFonts w:hint="eastAsia"/>
          <w:color w:val="auto"/>
          <w:lang w:val="en-US" w:eastAsia="zh-CN"/>
        </w:rPr>
        <w:t xml:space="preserve">表4-4 </w:t>
      </w:r>
      <w:r>
        <w:rPr>
          <w:color w:val="auto"/>
          <w:lang w:val="zh-CN"/>
        </w:rPr>
        <w:t>项目各排气筒废气排放信息汇总表</w:t>
      </w:r>
    </w:p>
    <w:tbl>
      <w:tblPr>
        <w:tblStyle w:val="33"/>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757"/>
        <w:gridCol w:w="1154"/>
        <w:gridCol w:w="681"/>
        <w:gridCol w:w="760"/>
        <w:gridCol w:w="655"/>
        <w:gridCol w:w="760"/>
        <w:gridCol w:w="688"/>
        <w:gridCol w:w="556"/>
        <w:gridCol w:w="684"/>
        <w:gridCol w:w="2030"/>
        <w:gridCol w:w="706"/>
        <w:gridCol w:w="558"/>
        <w:gridCol w:w="632"/>
        <w:gridCol w:w="637"/>
        <w:gridCol w:w="724"/>
        <w:gridCol w:w="545"/>
      </w:tblGrid>
      <w:tr w14:paraId="330AD2A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757" w:type="dxa"/>
            <w:vMerge w:val="restart"/>
            <w:tcBorders>
              <w:tl2br w:val="nil"/>
              <w:tr2bl w:val="nil"/>
            </w:tcBorders>
            <w:noWrap w:val="0"/>
            <w:tcMar>
              <w:top w:w="15" w:type="dxa"/>
              <w:left w:w="15" w:type="dxa"/>
              <w:right w:w="15" w:type="dxa"/>
            </w:tcMar>
            <w:vAlign w:val="center"/>
          </w:tcPr>
          <w:p w14:paraId="11BDC854">
            <w:pPr>
              <w:pStyle w:val="44"/>
              <w:bidi w:val="0"/>
              <w:rPr>
                <w:b/>
                <w:bCs/>
                <w:color w:val="auto"/>
              </w:rPr>
            </w:pPr>
            <w:r>
              <w:rPr>
                <w:b/>
                <w:bCs/>
                <w:color w:val="auto"/>
              </w:rPr>
              <w:t>排放口编号</w:t>
            </w:r>
          </w:p>
        </w:tc>
        <w:tc>
          <w:tcPr>
            <w:tcW w:w="1154" w:type="dxa"/>
            <w:vMerge w:val="restart"/>
            <w:tcBorders>
              <w:tl2br w:val="nil"/>
              <w:tr2bl w:val="nil"/>
            </w:tcBorders>
            <w:noWrap w:val="0"/>
            <w:tcMar>
              <w:top w:w="15" w:type="dxa"/>
              <w:left w:w="15" w:type="dxa"/>
              <w:right w:w="15" w:type="dxa"/>
            </w:tcMar>
            <w:vAlign w:val="center"/>
          </w:tcPr>
          <w:p w14:paraId="26E8084C">
            <w:pPr>
              <w:pStyle w:val="44"/>
              <w:bidi w:val="0"/>
              <w:rPr>
                <w:b/>
                <w:bCs/>
                <w:color w:val="auto"/>
              </w:rPr>
            </w:pPr>
            <w:r>
              <w:rPr>
                <w:b/>
                <w:bCs/>
                <w:color w:val="auto"/>
              </w:rPr>
              <w:t>排放口名称</w:t>
            </w:r>
          </w:p>
        </w:tc>
        <w:tc>
          <w:tcPr>
            <w:tcW w:w="681" w:type="dxa"/>
            <w:vMerge w:val="restart"/>
            <w:tcBorders>
              <w:tl2br w:val="nil"/>
              <w:tr2bl w:val="nil"/>
            </w:tcBorders>
            <w:noWrap w:val="0"/>
            <w:tcMar>
              <w:top w:w="15" w:type="dxa"/>
              <w:left w:w="15" w:type="dxa"/>
              <w:right w:w="15" w:type="dxa"/>
            </w:tcMar>
            <w:vAlign w:val="center"/>
          </w:tcPr>
          <w:p w14:paraId="21C5BFB3">
            <w:pPr>
              <w:pStyle w:val="44"/>
              <w:bidi w:val="0"/>
              <w:rPr>
                <w:b/>
                <w:bCs/>
                <w:color w:val="auto"/>
              </w:rPr>
            </w:pPr>
            <w:r>
              <w:rPr>
                <w:b/>
                <w:bCs/>
                <w:color w:val="auto"/>
              </w:rPr>
              <w:t>污染物</w:t>
            </w:r>
          </w:p>
        </w:tc>
        <w:tc>
          <w:tcPr>
            <w:tcW w:w="2175" w:type="dxa"/>
            <w:gridSpan w:val="3"/>
            <w:tcBorders>
              <w:tl2br w:val="nil"/>
              <w:tr2bl w:val="nil"/>
            </w:tcBorders>
            <w:noWrap w:val="0"/>
            <w:tcMar>
              <w:top w:w="15" w:type="dxa"/>
              <w:left w:w="15" w:type="dxa"/>
              <w:right w:w="15" w:type="dxa"/>
            </w:tcMar>
            <w:vAlign w:val="center"/>
          </w:tcPr>
          <w:p w14:paraId="145469ED">
            <w:pPr>
              <w:pStyle w:val="44"/>
              <w:bidi w:val="0"/>
              <w:rPr>
                <w:b/>
                <w:bCs/>
                <w:color w:val="auto"/>
              </w:rPr>
            </w:pPr>
            <w:r>
              <w:rPr>
                <w:b/>
                <w:bCs/>
                <w:color w:val="auto"/>
              </w:rPr>
              <w:t>污染物产生量和浓度</w:t>
            </w:r>
          </w:p>
        </w:tc>
        <w:tc>
          <w:tcPr>
            <w:tcW w:w="1928" w:type="dxa"/>
            <w:gridSpan w:val="3"/>
            <w:tcBorders>
              <w:tl2br w:val="nil"/>
              <w:tr2bl w:val="nil"/>
            </w:tcBorders>
            <w:noWrap w:val="0"/>
            <w:tcMar>
              <w:top w:w="15" w:type="dxa"/>
              <w:left w:w="15" w:type="dxa"/>
              <w:right w:w="15" w:type="dxa"/>
            </w:tcMar>
            <w:vAlign w:val="center"/>
          </w:tcPr>
          <w:p w14:paraId="3EDB69E2">
            <w:pPr>
              <w:pStyle w:val="44"/>
              <w:bidi w:val="0"/>
              <w:rPr>
                <w:b/>
                <w:bCs/>
                <w:color w:val="auto"/>
              </w:rPr>
            </w:pPr>
            <w:r>
              <w:rPr>
                <w:b/>
                <w:bCs/>
                <w:color w:val="auto"/>
              </w:rPr>
              <w:t>污染物排放量和浓度</w:t>
            </w:r>
          </w:p>
        </w:tc>
        <w:tc>
          <w:tcPr>
            <w:tcW w:w="4563" w:type="dxa"/>
            <w:gridSpan w:val="5"/>
            <w:tcBorders>
              <w:tl2br w:val="nil"/>
              <w:tr2bl w:val="nil"/>
            </w:tcBorders>
            <w:noWrap w:val="0"/>
            <w:tcMar>
              <w:top w:w="15" w:type="dxa"/>
              <w:left w:w="15" w:type="dxa"/>
              <w:right w:w="15" w:type="dxa"/>
            </w:tcMar>
            <w:vAlign w:val="center"/>
          </w:tcPr>
          <w:p w14:paraId="552F1A03">
            <w:pPr>
              <w:pStyle w:val="44"/>
              <w:bidi w:val="0"/>
              <w:rPr>
                <w:b/>
                <w:bCs/>
                <w:color w:val="auto"/>
              </w:rPr>
            </w:pPr>
            <w:r>
              <w:rPr>
                <w:b/>
                <w:bCs/>
                <w:color w:val="auto"/>
              </w:rPr>
              <w:t>排放口基本情况</w:t>
            </w:r>
          </w:p>
        </w:tc>
        <w:tc>
          <w:tcPr>
            <w:tcW w:w="1269" w:type="dxa"/>
            <w:gridSpan w:val="2"/>
            <w:tcBorders>
              <w:tl2br w:val="nil"/>
              <w:tr2bl w:val="nil"/>
            </w:tcBorders>
            <w:noWrap w:val="0"/>
            <w:tcMar>
              <w:top w:w="15" w:type="dxa"/>
              <w:left w:w="15" w:type="dxa"/>
              <w:right w:w="15" w:type="dxa"/>
            </w:tcMar>
            <w:vAlign w:val="center"/>
          </w:tcPr>
          <w:p w14:paraId="58F74C99">
            <w:pPr>
              <w:pStyle w:val="44"/>
              <w:bidi w:val="0"/>
              <w:rPr>
                <w:b/>
                <w:bCs/>
                <w:color w:val="auto"/>
              </w:rPr>
            </w:pPr>
            <w:r>
              <w:rPr>
                <w:b/>
                <w:bCs/>
                <w:color w:val="auto"/>
              </w:rPr>
              <w:t>排放标准</w:t>
            </w:r>
          </w:p>
        </w:tc>
      </w:tr>
      <w:tr w14:paraId="0D0590C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757" w:type="dxa"/>
            <w:vMerge w:val="continue"/>
            <w:tcBorders>
              <w:tl2br w:val="nil"/>
              <w:tr2bl w:val="nil"/>
            </w:tcBorders>
            <w:noWrap w:val="0"/>
            <w:tcMar>
              <w:top w:w="15" w:type="dxa"/>
              <w:left w:w="15" w:type="dxa"/>
              <w:right w:w="15" w:type="dxa"/>
            </w:tcMar>
            <w:vAlign w:val="center"/>
          </w:tcPr>
          <w:p w14:paraId="45E8B7FC">
            <w:pPr>
              <w:pStyle w:val="44"/>
              <w:bidi w:val="0"/>
              <w:rPr>
                <w:b/>
                <w:bCs/>
                <w:color w:val="auto"/>
              </w:rPr>
            </w:pPr>
          </w:p>
        </w:tc>
        <w:tc>
          <w:tcPr>
            <w:tcW w:w="1154" w:type="dxa"/>
            <w:vMerge w:val="continue"/>
            <w:tcBorders>
              <w:tl2br w:val="nil"/>
              <w:tr2bl w:val="nil"/>
            </w:tcBorders>
            <w:noWrap w:val="0"/>
            <w:tcMar>
              <w:top w:w="15" w:type="dxa"/>
              <w:left w:w="15" w:type="dxa"/>
              <w:right w:w="15" w:type="dxa"/>
            </w:tcMar>
            <w:vAlign w:val="center"/>
          </w:tcPr>
          <w:p w14:paraId="307592DF">
            <w:pPr>
              <w:pStyle w:val="44"/>
              <w:bidi w:val="0"/>
              <w:rPr>
                <w:b/>
                <w:bCs/>
                <w:color w:val="auto"/>
              </w:rPr>
            </w:pPr>
          </w:p>
        </w:tc>
        <w:tc>
          <w:tcPr>
            <w:tcW w:w="681" w:type="dxa"/>
            <w:vMerge w:val="continue"/>
            <w:tcBorders>
              <w:tl2br w:val="nil"/>
              <w:tr2bl w:val="nil"/>
            </w:tcBorders>
            <w:noWrap w:val="0"/>
            <w:tcMar>
              <w:top w:w="15" w:type="dxa"/>
              <w:left w:w="15" w:type="dxa"/>
              <w:right w:w="15" w:type="dxa"/>
            </w:tcMar>
            <w:vAlign w:val="center"/>
          </w:tcPr>
          <w:p w14:paraId="7A5A57AA">
            <w:pPr>
              <w:pStyle w:val="44"/>
              <w:bidi w:val="0"/>
              <w:rPr>
                <w:b/>
                <w:bCs/>
                <w:color w:val="auto"/>
              </w:rPr>
            </w:pPr>
          </w:p>
        </w:tc>
        <w:tc>
          <w:tcPr>
            <w:tcW w:w="760" w:type="dxa"/>
            <w:tcBorders>
              <w:tl2br w:val="nil"/>
              <w:tr2bl w:val="nil"/>
            </w:tcBorders>
            <w:noWrap w:val="0"/>
            <w:tcMar>
              <w:top w:w="15" w:type="dxa"/>
              <w:left w:w="15" w:type="dxa"/>
              <w:right w:w="15" w:type="dxa"/>
            </w:tcMar>
            <w:vAlign w:val="center"/>
          </w:tcPr>
          <w:p w14:paraId="049C99CE">
            <w:pPr>
              <w:pStyle w:val="44"/>
              <w:bidi w:val="0"/>
              <w:rPr>
                <w:b/>
                <w:bCs/>
                <w:color w:val="auto"/>
              </w:rPr>
            </w:pPr>
            <w:r>
              <w:rPr>
                <w:b/>
                <w:bCs/>
                <w:color w:val="auto"/>
              </w:rPr>
              <w:t>浓度mg/m³</w:t>
            </w:r>
          </w:p>
        </w:tc>
        <w:tc>
          <w:tcPr>
            <w:tcW w:w="655" w:type="dxa"/>
            <w:tcBorders>
              <w:tl2br w:val="nil"/>
              <w:tr2bl w:val="nil"/>
            </w:tcBorders>
            <w:noWrap w:val="0"/>
            <w:tcMar>
              <w:top w:w="15" w:type="dxa"/>
              <w:left w:w="15" w:type="dxa"/>
              <w:right w:w="15" w:type="dxa"/>
            </w:tcMar>
            <w:vAlign w:val="center"/>
          </w:tcPr>
          <w:p w14:paraId="244326EC">
            <w:pPr>
              <w:pStyle w:val="44"/>
              <w:bidi w:val="0"/>
              <w:rPr>
                <w:b/>
                <w:bCs/>
                <w:color w:val="auto"/>
              </w:rPr>
            </w:pPr>
            <w:r>
              <w:rPr>
                <w:b/>
                <w:bCs/>
                <w:color w:val="auto"/>
              </w:rPr>
              <w:t>速率kg/h</w:t>
            </w:r>
          </w:p>
        </w:tc>
        <w:tc>
          <w:tcPr>
            <w:tcW w:w="760" w:type="dxa"/>
            <w:tcBorders>
              <w:tl2br w:val="nil"/>
              <w:tr2bl w:val="nil"/>
            </w:tcBorders>
            <w:noWrap w:val="0"/>
            <w:tcMar>
              <w:top w:w="15" w:type="dxa"/>
              <w:left w:w="15" w:type="dxa"/>
              <w:right w:w="15" w:type="dxa"/>
            </w:tcMar>
            <w:vAlign w:val="center"/>
          </w:tcPr>
          <w:p w14:paraId="1400A7AB">
            <w:pPr>
              <w:pStyle w:val="44"/>
              <w:bidi w:val="0"/>
              <w:rPr>
                <w:b/>
                <w:bCs/>
                <w:color w:val="auto"/>
              </w:rPr>
            </w:pPr>
            <w:r>
              <w:rPr>
                <w:b/>
                <w:bCs/>
                <w:color w:val="auto"/>
              </w:rPr>
              <w:t>产生量t/a</w:t>
            </w:r>
          </w:p>
        </w:tc>
        <w:tc>
          <w:tcPr>
            <w:tcW w:w="688" w:type="dxa"/>
            <w:tcBorders>
              <w:tl2br w:val="nil"/>
              <w:tr2bl w:val="nil"/>
            </w:tcBorders>
            <w:noWrap w:val="0"/>
            <w:tcMar>
              <w:top w:w="15" w:type="dxa"/>
              <w:left w:w="15" w:type="dxa"/>
              <w:right w:w="15" w:type="dxa"/>
            </w:tcMar>
            <w:vAlign w:val="center"/>
          </w:tcPr>
          <w:p w14:paraId="74744A3B">
            <w:pPr>
              <w:pStyle w:val="44"/>
              <w:bidi w:val="0"/>
              <w:rPr>
                <w:b/>
                <w:bCs/>
                <w:color w:val="auto"/>
              </w:rPr>
            </w:pPr>
            <w:r>
              <w:rPr>
                <w:b/>
                <w:bCs/>
                <w:color w:val="auto"/>
              </w:rPr>
              <w:t>浓度mg/m³</w:t>
            </w:r>
          </w:p>
        </w:tc>
        <w:tc>
          <w:tcPr>
            <w:tcW w:w="556" w:type="dxa"/>
            <w:tcBorders>
              <w:tl2br w:val="nil"/>
              <w:tr2bl w:val="nil"/>
            </w:tcBorders>
            <w:noWrap w:val="0"/>
            <w:tcMar>
              <w:top w:w="15" w:type="dxa"/>
              <w:left w:w="15" w:type="dxa"/>
              <w:right w:w="15" w:type="dxa"/>
            </w:tcMar>
            <w:vAlign w:val="center"/>
          </w:tcPr>
          <w:p w14:paraId="002CD6A4">
            <w:pPr>
              <w:pStyle w:val="44"/>
              <w:bidi w:val="0"/>
              <w:rPr>
                <w:b/>
                <w:bCs/>
                <w:color w:val="auto"/>
              </w:rPr>
            </w:pPr>
            <w:r>
              <w:rPr>
                <w:b/>
                <w:bCs/>
                <w:color w:val="auto"/>
              </w:rPr>
              <w:t>速率</w:t>
            </w:r>
          </w:p>
          <w:p w14:paraId="30565B13">
            <w:pPr>
              <w:pStyle w:val="44"/>
              <w:bidi w:val="0"/>
              <w:rPr>
                <w:b/>
                <w:bCs/>
                <w:color w:val="auto"/>
              </w:rPr>
            </w:pPr>
            <w:r>
              <w:rPr>
                <w:b/>
                <w:bCs/>
                <w:color w:val="auto"/>
              </w:rPr>
              <w:t>kg/h</w:t>
            </w:r>
          </w:p>
        </w:tc>
        <w:tc>
          <w:tcPr>
            <w:tcW w:w="684" w:type="dxa"/>
            <w:tcBorders>
              <w:tl2br w:val="nil"/>
              <w:tr2bl w:val="nil"/>
            </w:tcBorders>
            <w:noWrap w:val="0"/>
            <w:tcMar>
              <w:top w:w="15" w:type="dxa"/>
              <w:left w:w="15" w:type="dxa"/>
              <w:right w:w="15" w:type="dxa"/>
            </w:tcMar>
            <w:vAlign w:val="center"/>
          </w:tcPr>
          <w:p w14:paraId="1695A231">
            <w:pPr>
              <w:pStyle w:val="44"/>
              <w:bidi w:val="0"/>
              <w:rPr>
                <w:b/>
                <w:bCs/>
                <w:color w:val="auto"/>
              </w:rPr>
            </w:pPr>
            <w:r>
              <w:rPr>
                <w:b/>
                <w:bCs/>
                <w:color w:val="auto"/>
              </w:rPr>
              <w:t>排放量t/a</w:t>
            </w:r>
          </w:p>
        </w:tc>
        <w:tc>
          <w:tcPr>
            <w:tcW w:w="2030" w:type="dxa"/>
            <w:tcBorders>
              <w:tl2br w:val="nil"/>
              <w:tr2bl w:val="nil"/>
            </w:tcBorders>
            <w:noWrap w:val="0"/>
            <w:tcMar>
              <w:top w:w="15" w:type="dxa"/>
              <w:left w:w="15" w:type="dxa"/>
              <w:right w:w="15" w:type="dxa"/>
            </w:tcMar>
            <w:vAlign w:val="center"/>
          </w:tcPr>
          <w:p w14:paraId="70061180">
            <w:pPr>
              <w:pStyle w:val="44"/>
              <w:bidi w:val="0"/>
              <w:rPr>
                <w:b/>
                <w:bCs/>
                <w:color w:val="auto"/>
              </w:rPr>
            </w:pPr>
            <w:r>
              <w:rPr>
                <w:b/>
                <w:bCs/>
                <w:color w:val="auto"/>
              </w:rPr>
              <w:t>经纬度</w:t>
            </w:r>
          </w:p>
        </w:tc>
        <w:tc>
          <w:tcPr>
            <w:tcW w:w="706" w:type="dxa"/>
            <w:tcBorders>
              <w:tl2br w:val="nil"/>
              <w:tr2bl w:val="nil"/>
            </w:tcBorders>
            <w:noWrap w:val="0"/>
            <w:tcMar>
              <w:top w:w="15" w:type="dxa"/>
              <w:left w:w="15" w:type="dxa"/>
              <w:right w:w="15" w:type="dxa"/>
            </w:tcMar>
            <w:vAlign w:val="center"/>
          </w:tcPr>
          <w:p w14:paraId="725DAF63">
            <w:pPr>
              <w:pStyle w:val="44"/>
              <w:bidi w:val="0"/>
              <w:rPr>
                <w:b/>
                <w:bCs/>
                <w:color w:val="auto"/>
              </w:rPr>
            </w:pPr>
            <w:r>
              <w:rPr>
                <w:b/>
                <w:bCs/>
                <w:color w:val="auto"/>
              </w:rPr>
              <w:t>高度</w:t>
            </w:r>
          </w:p>
        </w:tc>
        <w:tc>
          <w:tcPr>
            <w:tcW w:w="558" w:type="dxa"/>
            <w:tcBorders>
              <w:tl2br w:val="nil"/>
              <w:tr2bl w:val="nil"/>
            </w:tcBorders>
            <w:noWrap w:val="0"/>
            <w:tcMar>
              <w:top w:w="15" w:type="dxa"/>
              <w:left w:w="15" w:type="dxa"/>
              <w:right w:w="15" w:type="dxa"/>
            </w:tcMar>
            <w:vAlign w:val="center"/>
          </w:tcPr>
          <w:p w14:paraId="73155F42">
            <w:pPr>
              <w:pStyle w:val="44"/>
              <w:bidi w:val="0"/>
              <w:rPr>
                <w:b/>
                <w:bCs/>
                <w:color w:val="auto"/>
              </w:rPr>
            </w:pPr>
            <w:r>
              <w:rPr>
                <w:b/>
                <w:bCs/>
                <w:color w:val="auto"/>
              </w:rPr>
              <w:t>内径</w:t>
            </w:r>
          </w:p>
        </w:tc>
        <w:tc>
          <w:tcPr>
            <w:tcW w:w="632" w:type="dxa"/>
            <w:tcBorders>
              <w:tl2br w:val="nil"/>
              <w:tr2bl w:val="nil"/>
            </w:tcBorders>
            <w:noWrap w:val="0"/>
            <w:tcMar>
              <w:top w:w="15" w:type="dxa"/>
              <w:left w:w="15" w:type="dxa"/>
              <w:right w:w="15" w:type="dxa"/>
            </w:tcMar>
            <w:vAlign w:val="center"/>
          </w:tcPr>
          <w:p w14:paraId="3C3F0271">
            <w:pPr>
              <w:pStyle w:val="44"/>
              <w:bidi w:val="0"/>
              <w:rPr>
                <w:b/>
                <w:bCs/>
                <w:color w:val="auto"/>
              </w:rPr>
            </w:pPr>
            <w:r>
              <w:rPr>
                <w:b/>
                <w:bCs/>
                <w:color w:val="auto"/>
              </w:rPr>
              <w:t>温度</w:t>
            </w:r>
          </w:p>
        </w:tc>
        <w:tc>
          <w:tcPr>
            <w:tcW w:w="637" w:type="dxa"/>
            <w:tcBorders>
              <w:tl2br w:val="nil"/>
              <w:tr2bl w:val="nil"/>
            </w:tcBorders>
            <w:noWrap w:val="0"/>
            <w:tcMar>
              <w:top w:w="15" w:type="dxa"/>
              <w:left w:w="15" w:type="dxa"/>
              <w:right w:w="15" w:type="dxa"/>
            </w:tcMar>
            <w:vAlign w:val="center"/>
          </w:tcPr>
          <w:p w14:paraId="12AB2937">
            <w:pPr>
              <w:pStyle w:val="44"/>
              <w:bidi w:val="0"/>
              <w:rPr>
                <w:b/>
                <w:bCs/>
                <w:color w:val="auto"/>
              </w:rPr>
            </w:pPr>
            <w:r>
              <w:rPr>
                <w:b/>
                <w:bCs/>
                <w:color w:val="auto"/>
              </w:rPr>
              <w:t>类型</w:t>
            </w:r>
          </w:p>
        </w:tc>
        <w:tc>
          <w:tcPr>
            <w:tcW w:w="724" w:type="dxa"/>
            <w:tcBorders>
              <w:tl2br w:val="nil"/>
              <w:tr2bl w:val="nil"/>
            </w:tcBorders>
            <w:noWrap w:val="0"/>
            <w:tcMar>
              <w:top w:w="15" w:type="dxa"/>
              <w:left w:w="15" w:type="dxa"/>
              <w:right w:w="15" w:type="dxa"/>
            </w:tcMar>
            <w:vAlign w:val="center"/>
          </w:tcPr>
          <w:p w14:paraId="18FCE739">
            <w:pPr>
              <w:pStyle w:val="44"/>
              <w:bidi w:val="0"/>
              <w:rPr>
                <w:b/>
                <w:bCs/>
                <w:color w:val="auto"/>
              </w:rPr>
            </w:pPr>
            <w:r>
              <w:rPr>
                <w:b/>
                <w:bCs/>
                <w:color w:val="auto"/>
              </w:rPr>
              <w:t>浓度mg/m³</w:t>
            </w:r>
          </w:p>
        </w:tc>
        <w:tc>
          <w:tcPr>
            <w:tcW w:w="545" w:type="dxa"/>
            <w:tcBorders>
              <w:tl2br w:val="nil"/>
              <w:tr2bl w:val="nil"/>
            </w:tcBorders>
            <w:noWrap w:val="0"/>
            <w:tcMar>
              <w:top w:w="15" w:type="dxa"/>
              <w:left w:w="15" w:type="dxa"/>
              <w:right w:w="15" w:type="dxa"/>
            </w:tcMar>
            <w:vAlign w:val="center"/>
          </w:tcPr>
          <w:p w14:paraId="434C7C0B">
            <w:pPr>
              <w:pStyle w:val="44"/>
              <w:bidi w:val="0"/>
              <w:rPr>
                <w:b/>
                <w:bCs/>
                <w:color w:val="auto"/>
              </w:rPr>
            </w:pPr>
            <w:r>
              <w:rPr>
                <w:b/>
                <w:bCs/>
                <w:color w:val="auto"/>
              </w:rPr>
              <w:t>速率kg/h</w:t>
            </w:r>
          </w:p>
        </w:tc>
      </w:tr>
      <w:tr w14:paraId="6D6790D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03" w:hRule="atLeast"/>
        </w:trPr>
        <w:tc>
          <w:tcPr>
            <w:tcW w:w="757" w:type="dxa"/>
            <w:tcBorders>
              <w:tl2br w:val="nil"/>
              <w:tr2bl w:val="nil"/>
            </w:tcBorders>
            <w:noWrap w:val="0"/>
            <w:tcMar>
              <w:top w:w="15" w:type="dxa"/>
              <w:left w:w="15" w:type="dxa"/>
              <w:right w:w="15" w:type="dxa"/>
            </w:tcMar>
            <w:vAlign w:val="center"/>
          </w:tcPr>
          <w:p w14:paraId="654EF3CD">
            <w:pPr>
              <w:pStyle w:val="44"/>
              <w:bidi w:val="0"/>
              <w:rPr>
                <w:color w:val="auto"/>
              </w:rPr>
            </w:pPr>
            <w:r>
              <w:rPr>
                <w:color w:val="auto"/>
              </w:rPr>
              <w:t>DA001</w:t>
            </w:r>
          </w:p>
        </w:tc>
        <w:tc>
          <w:tcPr>
            <w:tcW w:w="1154" w:type="dxa"/>
            <w:tcBorders>
              <w:tl2br w:val="nil"/>
              <w:tr2bl w:val="nil"/>
            </w:tcBorders>
            <w:noWrap w:val="0"/>
            <w:tcMar>
              <w:top w:w="15" w:type="dxa"/>
              <w:left w:w="15" w:type="dxa"/>
              <w:right w:w="15" w:type="dxa"/>
            </w:tcMar>
            <w:vAlign w:val="center"/>
          </w:tcPr>
          <w:p w14:paraId="42EB7B60">
            <w:pPr>
              <w:pStyle w:val="44"/>
              <w:bidi w:val="0"/>
              <w:rPr>
                <w:color w:val="auto"/>
              </w:rPr>
            </w:pPr>
            <w:r>
              <w:rPr>
                <w:color w:val="auto"/>
              </w:rPr>
              <w:t>粉尘</w:t>
            </w:r>
            <w:r>
              <w:rPr>
                <w:color w:val="auto"/>
                <w:lang w:val="zh-CN"/>
              </w:rPr>
              <w:t>废气</w:t>
            </w:r>
            <w:r>
              <w:rPr>
                <w:color w:val="auto"/>
              </w:rPr>
              <w:t>排放口</w:t>
            </w:r>
          </w:p>
        </w:tc>
        <w:tc>
          <w:tcPr>
            <w:tcW w:w="681" w:type="dxa"/>
            <w:tcBorders>
              <w:tl2br w:val="nil"/>
              <w:tr2bl w:val="nil"/>
            </w:tcBorders>
            <w:noWrap w:val="0"/>
            <w:tcMar>
              <w:top w:w="15" w:type="dxa"/>
              <w:left w:w="15" w:type="dxa"/>
              <w:right w:w="15" w:type="dxa"/>
            </w:tcMar>
            <w:vAlign w:val="center"/>
          </w:tcPr>
          <w:p w14:paraId="2B7EC2FF">
            <w:pPr>
              <w:pStyle w:val="44"/>
              <w:bidi w:val="0"/>
              <w:rPr>
                <w:color w:val="auto"/>
              </w:rPr>
            </w:pPr>
            <w:r>
              <w:rPr>
                <w:color w:val="auto"/>
              </w:rPr>
              <w:t>颗粒物</w:t>
            </w:r>
          </w:p>
        </w:tc>
        <w:tc>
          <w:tcPr>
            <w:tcW w:w="760" w:type="dxa"/>
            <w:tcBorders>
              <w:tl2br w:val="nil"/>
              <w:tr2bl w:val="nil"/>
            </w:tcBorders>
            <w:noWrap w:val="0"/>
            <w:tcMar>
              <w:top w:w="15" w:type="dxa"/>
              <w:left w:w="15" w:type="dxa"/>
              <w:right w:w="15" w:type="dxa"/>
            </w:tcMar>
            <w:vAlign w:val="center"/>
          </w:tcPr>
          <w:p w14:paraId="7C681D3D">
            <w:pPr>
              <w:widowControl/>
              <w:spacing w:line="240" w:lineRule="auto"/>
              <w:jc w:val="center"/>
              <w:textAlignment w:val="center"/>
              <w:rPr>
                <w:color w:val="auto"/>
              </w:rPr>
            </w:pPr>
            <w:r>
              <w:rPr>
                <w:color w:val="auto"/>
                <w:kern w:val="0"/>
                <w:sz w:val="21"/>
                <w:szCs w:val="21"/>
                <w:lang w:bidi="ar"/>
              </w:rPr>
              <w:t xml:space="preserve"> </w:t>
            </w:r>
            <w:r>
              <w:rPr>
                <w:rFonts w:hint="eastAsia"/>
                <w:color w:val="auto"/>
                <w:kern w:val="0"/>
                <w:sz w:val="21"/>
                <w:szCs w:val="21"/>
                <w:lang w:val="en-US" w:eastAsia="zh-CN" w:bidi="ar"/>
              </w:rPr>
              <w:t>1020</w:t>
            </w:r>
          </w:p>
        </w:tc>
        <w:tc>
          <w:tcPr>
            <w:tcW w:w="655" w:type="dxa"/>
            <w:tcBorders>
              <w:tl2br w:val="nil"/>
              <w:tr2bl w:val="nil"/>
            </w:tcBorders>
            <w:noWrap w:val="0"/>
            <w:tcMar>
              <w:top w:w="15" w:type="dxa"/>
              <w:left w:w="15" w:type="dxa"/>
              <w:right w:w="15" w:type="dxa"/>
            </w:tcMar>
            <w:vAlign w:val="center"/>
          </w:tcPr>
          <w:p w14:paraId="475F9D95">
            <w:pPr>
              <w:widowControl/>
              <w:spacing w:line="240" w:lineRule="auto"/>
              <w:jc w:val="center"/>
              <w:textAlignment w:val="center"/>
              <w:rPr>
                <w:color w:val="auto"/>
              </w:rPr>
            </w:pPr>
            <w:r>
              <w:rPr>
                <w:rFonts w:hint="eastAsia"/>
                <w:color w:val="auto"/>
                <w:kern w:val="0"/>
                <w:sz w:val="21"/>
                <w:szCs w:val="21"/>
                <w:lang w:val="en-US" w:eastAsia="zh-CN" w:bidi="ar"/>
              </w:rPr>
              <w:t>10.2</w:t>
            </w:r>
          </w:p>
        </w:tc>
        <w:tc>
          <w:tcPr>
            <w:tcW w:w="760" w:type="dxa"/>
            <w:tcBorders>
              <w:tl2br w:val="nil"/>
              <w:tr2bl w:val="nil"/>
            </w:tcBorders>
            <w:noWrap w:val="0"/>
            <w:tcMar>
              <w:top w:w="15" w:type="dxa"/>
              <w:left w:w="15" w:type="dxa"/>
              <w:right w:w="15" w:type="dxa"/>
            </w:tcMar>
            <w:vAlign w:val="center"/>
          </w:tcPr>
          <w:p w14:paraId="6A2DC23A">
            <w:pPr>
              <w:widowControl/>
              <w:spacing w:line="240" w:lineRule="auto"/>
              <w:jc w:val="center"/>
              <w:textAlignment w:val="center"/>
              <w:rPr>
                <w:color w:val="auto"/>
              </w:rPr>
            </w:pPr>
            <w:r>
              <w:rPr>
                <w:rFonts w:hint="eastAsia"/>
                <w:color w:val="auto"/>
                <w:kern w:val="0"/>
                <w:sz w:val="21"/>
                <w:szCs w:val="21"/>
                <w:lang w:val="en-US" w:eastAsia="zh-CN" w:bidi="ar"/>
              </w:rPr>
              <w:t>9.18</w:t>
            </w:r>
            <w:r>
              <w:rPr>
                <w:color w:val="auto"/>
                <w:kern w:val="0"/>
                <w:sz w:val="21"/>
                <w:szCs w:val="21"/>
                <w:lang w:bidi="ar"/>
              </w:rPr>
              <w:t xml:space="preserve"> </w:t>
            </w:r>
          </w:p>
        </w:tc>
        <w:tc>
          <w:tcPr>
            <w:tcW w:w="688" w:type="dxa"/>
            <w:tcBorders>
              <w:tl2br w:val="nil"/>
              <w:tr2bl w:val="nil"/>
            </w:tcBorders>
            <w:noWrap w:val="0"/>
            <w:tcMar>
              <w:top w:w="15" w:type="dxa"/>
              <w:left w:w="15" w:type="dxa"/>
              <w:right w:w="15" w:type="dxa"/>
            </w:tcMar>
            <w:vAlign w:val="center"/>
          </w:tcPr>
          <w:p w14:paraId="0F924E4D">
            <w:pPr>
              <w:pStyle w:val="44"/>
              <w:bidi w:val="0"/>
              <w:ind w:firstLine="0" w:firstLineChars="0"/>
              <w:rPr>
                <w:color w:val="auto"/>
              </w:rPr>
            </w:pPr>
            <w:r>
              <w:rPr>
                <w:rFonts w:hint="eastAsia"/>
                <w:color w:val="auto"/>
                <w:lang w:val="en-US" w:eastAsia="zh-CN"/>
              </w:rPr>
              <w:t>10.2</w:t>
            </w:r>
          </w:p>
        </w:tc>
        <w:tc>
          <w:tcPr>
            <w:tcW w:w="556" w:type="dxa"/>
            <w:tcBorders>
              <w:tl2br w:val="nil"/>
              <w:tr2bl w:val="nil"/>
            </w:tcBorders>
            <w:noWrap w:val="0"/>
            <w:tcMar>
              <w:top w:w="15" w:type="dxa"/>
              <w:left w:w="15" w:type="dxa"/>
              <w:right w:w="15" w:type="dxa"/>
            </w:tcMar>
            <w:vAlign w:val="center"/>
          </w:tcPr>
          <w:p w14:paraId="14988356">
            <w:pPr>
              <w:pStyle w:val="44"/>
              <w:bidi w:val="0"/>
              <w:ind w:firstLine="0" w:firstLineChars="0"/>
              <w:rPr>
                <w:color w:val="auto"/>
              </w:rPr>
            </w:pPr>
            <w:r>
              <w:rPr>
                <w:rFonts w:hint="eastAsia"/>
                <w:color w:val="auto"/>
                <w:lang w:val="en-US" w:eastAsia="zh-CN"/>
              </w:rPr>
              <w:t>0.102</w:t>
            </w:r>
          </w:p>
        </w:tc>
        <w:tc>
          <w:tcPr>
            <w:tcW w:w="684" w:type="dxa"/>
            <w:tcBorders>
              <w:tl2br w:val="nil"/>
              <w:tr2bl w:val="nil"/>
            </w:tcBorders>
            <w:noWrap w:val="0"/>
            <w:tcMar>
              <w:top w:w="15" w:type="dxa"/>
              <w:left w:w="15" w:type="dxa"/>
              <w:right w:w="15" w:type="dxa"/>
            </w:tcMar>
            <w:vAlign w:val="center"/>
          </w:tcPr>
          <w:p w14:paraId="48C68A22">
            <w:pPr>
              <w:pStyle w:val="44"/>
              <w:bidi w:val="0"/>
              <w:ind w:firstLine="0" w:firstLineChars="0"/>
              <w:rPr>
                <w:color w:val="auto"/>
              </w:rPr>
            </w:pPr>
            <w:r>
              <w:rPr>
                <w:rFonts w:hint="eastAsia"/>
                <w:color w:val="auto"/>
                <w:lang w:val="en-US" w:eastAsia="zh-CN"/>
              </w:rPr>
              <w:t>0.092</w:t>
            </w:r>
            <w:r>
              <w:rPr>
                <w:color w:val="auto"/>
              </w:rPr>
              <w:t xml:space="preserve"> </w:t>
            </w:r>
          </w:p>
        </w:tc>
        <w:tc>
          <w:tcPr>
            <w:tcW w:w="2030" w:type="dxa"/>
            <w:tcBorders>
              <w:tl2br w:val="nil"/>
              <w:tr2bl w:val="nil"/>
            </w:tcBorders>
            <w:noWrap w:val="0"/>
            <w:tcMar>
              <w:top w:w="15" w:type="dxa"/>
              <w:left w:w="15" w:type="dxa"/>
              <w:right w:w="15" w:type="dxa"/>
            </w:tcMar>
            <w:vAlign w:val="center"/>
          </w:tcPr>
          <w:p w14:paraId="12C4A8F4">
            <w:pPr>
              <w:pStyle w:val="44"/>
              <w:bidi w:val="0"/>
              <w:rPr>
                <w:color w:val="auto"/>
              </w:rPr>
            </w:pPr>
            <w:r>
              <w:rPr>
                <w:color w:val="auto"/>
              </w:rPr>
              <w:t>E：11</w:t>
            </w:r>
            <w:r>
              <w:rPr>
                <w:rFonts w:hint="eastAsia"/>
                <w:color w:val="auto"/>
                <w:lang w:val="en-US" w:eastAsia="zh-CN"/>
              </w:rPr>
              <w:t>7</w:t>
            </w:r>
            <w:r>
              <w:rPr>
                <w:color w:val="auto"/>
              </w:rPr>
              <w:t>°8'</w:t>
            </w:r>
            <w:r>
              <w:rPr>
                <w:rFonts w:hint="eastAsia"/>
                <w:color w:val="auto"/>
                <w:lang w:val="en-US" w:eastAsia="zh-CN"/>
              </w:rPr>
              <w:t>19.983</w:t>
            </w:r>
            <w:r>
              <w:rPr>
                <w:color w:val="auto"/>
              </w:rPr>
              <w:t>"</w:t>
            </w:r>
          </w:p>
          <w:p w14:paraId="0FDF9E06">
            <w:pPr>
              <w:pStyle w:val="44"/>
              <w:bidi w:val="0"/>
              <w:rPr>
                <w:color w:val="auto"/>
              </w:rPr>
            </w:pPr>
            <w:r>
              <w:rPr>
                <w:color w:val="auto"/>
              </w:rPr>
              <w:t>N：</w:t>
            </w:r>
            <w:r>
              <w:rPr>
                <w:rFonts w:hint="eastAsia"/>
                <w:color w:val="auto"/>
                <w:lang w:val="en-US" w:eastAsia="zh-CN"/>
              </w:rPr>
              <w:t>35</w:t>
            </w:r>
            <w:r>
              <w:rPr>
                <w:color w:val="auto"/>
              </w:rPr>
              <w:t>°</w:t>
            </w:r>
            <w:r>
              <w:rPr>
                <w:rFonts w:hint="eastAsia"/>
                <w:color w:val="auto"/>
                <w:lang w:val="en-US" w:eastAsia="zh-CN"/>
              </w:rPr>
              <w:t>37</w:t>
            </w:r>
            <w:r>
              <w:rPr>
                <w:color w:val="auto"/>
              </w:rPr>
              <w:t>'</w:t>
            </w:r>
            <w:r>
              <w:rPr>
                <w:rFonts w:hint="eastAsia"/>
                <w:color w:val="auto"/>
                <w:lang w:val="en-US" w:eastAsia="zh-CN"/>
              </w:rPr>
              <w:t>21.036</w:t>
            </w:r>
            <w:r>
              <w:rPr>
                <w:color w:val="auto"/>
              </w:rPr>
              <w:t>"</w:t>
            </w:r>
          </w:p>
        </w:tc>
        <w:tc>
          <w:tcPr>
            <w:tcW w:w="706" w:type="dxa"/>
            <w:tcBorders>
              <w:tl2br w:val="nil"/>
              <w:tr2bl w:val="nil"/>
            </w:tcBorders>
            <w:noWrap w:val="0"/>
            <w:tcMar>
              <w:top w:w="15" w:type="dxa"/>
              <w:left w:w="15" w:type="dxa"/>
              <w:right w:w="15" w:type="dxa"/>
            </w:tcMar>
            <w:vAlign w:val="center"/>
          </w:tcPr>
          <w:p w14:paraId="409B282E">
            <w:pPr>
              <w:pStyle w:val="44"/>
              <w:bidi w:val="0"/>
              <w:rPr>
                <w:rFonts w:hint="default"/>
                <w:color w:val="auto"/>
                <w:lang w:val="en-US"/>
              </w:rPr>
            </w:pPr>
            <w:r>
              <w:rPr>
                <w:rFonts w:hint="eastAsia"/>
                <w:color w:val="auto"/>
                <w:lang w:val="en-US" w:eastAsia="zh-CN"/>
              </w:rPr>
              <w:t>15</w:t>
            </w:r>
          </w:p>
        </w:tc>
        <w:tc>
          <w:tcPr>
            <w:tcW w:w="558" w:type="dxa"/>
            <w:tcBorders>
              <w:tl2br w:val="nil"/>
              <w:tr2bl w:val="nil"/>
            </w:tcBorders>
            <w:noWrap w:val="0"/>
            <w:tcMar>
              <w:top w:w="15" w:type="dxa"/>
              <w:left w:w="15" w:type="dxa"/>
              <w:right w:w="15" w:type="dxa"/>
            </w:tcMar>
            <w:vAlign w:val="center"/>
          </w:tcPr>
          <w:p w14:paraId="0E9615B8">
            <w:pPr>
              <w:pStyle w:val="44"/>
              <w:bidi w:val="0"/>
              <w:rPr>
                <w:color w:val="auto"/>
              </w:rPr>
            </w:pPr>
            <w:r>
              <w:rPr>
                <w:color w:val="auto"/>
              </w:rPr>
              <w:t>0.5</w:t>
            </w:r>
          </w:p>
        </w:tc>
        <w:tc>
          <w:tcPr>
            <w:tcW w:w="632" w:type="dxa"/>
            <w:tcBorders>
              <w:tl2br w:val="nil"/>
              <w:tr2bl w:val="nil"/>
            </w:tcBorders>
            <w:noWrap w:val="0"/>
            <w:tcMar>
              <w:top w:w="15" w:type="dxa"/>
              <w:left w:w="15" w:type="dxa"/>
              <w:right w:w="15" w:type="dxa"/>
            </w:tcMar>
            <w:vAlign w:val="center"/>
          </w:tcPr>
          <w:p w14:paraId="4F2BB12D">
            <w:pPr>
              <w:pStyle w:val="44"/>
              <w:bidi w:val="0"/>
              <w:rPr>
                <w:color w:val="auto"/>
              </w:rPr>
            </w:pPr>
            <w:r>
              <w:rPr>
                <w:rFonts w:hint="eastAsia"/>
                <w:color w:val="auto"/>
                <w:lang w:val="en-US" w:eastAsia="zh-CN"/>
              </w:rPr>
              <w:t>2</w:t>
            </w:r>
            <w:r>
              <w:rPr>
                <w:color w:val="auto"/>
              </w:rPr>
              <w:t>0</w:t>
            </w:r>
          </w:p>
        </w:tc>
        <w:tc>
          <w:tcPr>
            <w:tcW w:w="637" w:type="dxa"/>
            <w:tcBorders>
              <w:tl2br w:val="nil"/>
              <w:tr2bl w:val="nil"/>
            </w:tcBorders>
            <w:noWrap w:val="0"/>
            <w:tcMar>
              <w:top w:w="15" w:type="dxa"/>
              <w:left w:w="15" w:type="dxa"/>
              <w:right w:w="15" w:type="dxa"/>
            </w:tcMar>
            <w:vAlign w:val="center"/>
          </w:tcPr>
          <w:p w14:paraId="24BF9641">
            <w:pPr>
              <w:pStyle w:val="44"/>
              <w:bidi w:val="0"/>
              <w:rPr>
                <w:color w:val="auto"/>
              </w:rPr>
            </w:pPr>
            <w:r>
              <w:rPr>
                <w:color w:val="auto"/>
              </w:rPr>
              <w:t>一般排放口</w:t>
            </w:r>
          </w:p>
        </w:tc>
        <w:tc>
          <w:tcPr>
            <w:tcW w:w="724" w:type="dxa"/>
            <w:tcBorders>
              <w:tl2br w:val="nil"/>
              <w:tr2bl w:val="nil"/>
            </w:tcBorders>
            <w:noWrap w:val="0"/>
            <w:tcMar>
              <w:top w:w="15" w:type="dxa"/>
              <w:left w:w="15" w:type="dxa"/>
              <w:right w:w="15" w:type="dxa"/>
            </w:tcMar>
            <w:vAlign w:val="center"/>
          </w:tcPr>
          <w:p w14:paraId="57497904">
            <w:pPr>
              <w:pStyle w:val="44"/>
              <w:bidi w:val="0"/>
              <w:rPr>
                <w:color w:val="auto"/>
              </w:rPr>
            </w:pPr>
            <w:r>
              <w:rPr>
                <w:rFonts w:hint="eastAsia"/>
                <w:color w:val="auto"/>
                <w:lang w:val="en-US" w:eastAsia="zh-CN"/>
              </w:rPr>
              <w:t>2</w:t>
            </w:r>
            <w:r>
              <w:rPr>
                <w:color w:val="auto"/>
              </w:rPr>
              <w:t>0</w:t>
            </w:r>
          </w:p>
        </w:tc>
        <w:tc>
          <w:tcPr>
            <w:tcW w:w="545" w:type="dxa"/>
            <w:tcBorders>
              <w:tl2br w:val="nil"/>
              <w:tr2bl w:val="nil"/>
            </w:tcBorders>
            <w:noWrap w:val="0"/>
            <w:tcMar>
              <w:top w:w="15" w:type="dxa"/>
              <w:left w:w="15" w:type="dxa"/>
              <w:right w:w="15" w:type="dxa"/>
            </w:tcMar>
            <w:vAlign w:val="center"/>
          </w:tcPr>
          <w:p w14:paraId="07CE6421">
            <w:pPr>
              <w:pStyle w:val="44"/>
              <w:bidi w:val="0"/>
              <w:rPr>
                <w:rFonts w:hint="default" w:eastAsia="宋体"/>
                <w:color w:val="auto"/>
                <w:lang w:val="en-US" w:eastAsia="zh-CN"/>
              </w:rPr>
            </w:pPr>
            <w:r>
              <w:rPr>
                <w:rFonts w:hint="eastAsia"/>
                <w:color w:val="auto"/>
                <w:lang w:val="en-US" w:eastAsia="zh-CN"/>
              </w:rPr>
              <w:t>3.5</w:t>
            </w:r>
          </w:p>
        </w:tc>
      </w:tr>
      <w:tr w14:paraId="5BC129B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757" w:type="dxa"/>
            <w:tcBorders>
              <w:tl2br w:val="nil"/>
              <w:tr2bl w:val="nil"/>
            </w:tcBorders>
            <w:noWrap w:val="0"/>
            <w:tcMar>
              <w:top w:w="15" w:type="dxa"/>
              <w:left w:w="15" w:type="dxa"/>
              <w:right w:w="15" w:type="dxa"/>
            </w:tcMar>
            <w:vAlign w:val="center"/>
          </w:tcPr>
          <w:p w14:paraId="73B4AEC9">
            <w:pPr>
              <w:pStyle w:val="44"/>
              <w:bidi w:val="0"/>
              <w:rPr>
                <w:color w:val="auto"/>
              </w:rPr>
            </w:pPr>
            <w:r>
              <w:rPr>
                <w:color w:val="auto"/>
              </w:rPr>
              <w:t>DA002</w:t>
            </w:r>
          </w:p>
        </w:tc>
        <w:tc>
          <w:tcPr>
            <w:tcW w:w="1154" w:type="dxa"/>
            <w:tcBorders>
              <w:tl2br w:val="nil"/>
              <w:tr2bl w:val="nil"/>
            </w:tcBorders>
            <w:noWrap w:val="0"/>
            <w:tcMar>
              <w:top w:w="15" w:type="dxa"/>
              <w:left w:w="15" w:type="dxa"/>
              <w:right w:w="15" w:type="dxa"/>
            </w:tcMar>
            <w:vAlign w:val="center"/>
          </w:tcPr>
          <w:p w14:paraId="01A09969">
            <w:pPr>
              <w:pStyle w:val="44"/>
              <w:bidi w:val="0"/>
              <w:rPr>
                <w:color w:val="auto"/>
              </w:rPr>
            </w:pPr>
            <w:r>
              <w:rPr>
                <w:color w:val="auto"/>
              </w:rPr>
              <w:t>有机废气排放口</w:t>
            </w:r>
          </w:p>
        </w:tc>
        <w:tc>
          <w:tcPr>
            <w:tcW w:w="681" w:type="dxa"/>
            <w:tcBorders>
              <w:tl2br w:val="nil"/>
              <w:tr2bl w:val="nil"/>
            </w:tcBorders>
            <w:noWrap w:val="0"/>
            <w:tcMar>
              <w:top w:w="15" w:type="dxa"/>
              <w:left w:w="15" w:type="dxa"/>
              <w:right w:w="15" w:type="dxa"/>
            </w:tcMar>
            <w:vAlign w:val="center"/>
          </w:tcPr>
          <w:p w14:paraId="57175E18">
            <w:pPr>
              <w:pStyle w:val="44"/>
              <w:bidi w:val="0"/>
              <w:rPr>
                <w:color w:val="auto"/>
              </w:rPr>
            </w:pPr>
            <w:r>
              <w:rPr>
                <w:rFonts w:hint="eastAsia"/>
                <w:color w:val="auto"/>
              </w:rPr>
              <w:t>VOCs</w:t>
            </w:r>
          </w:p>
        </w:tc>
        <w:tc>
          <w:tcPr>
            <w:tcW w:w="760" w:type="dxa"/>
            <w:tcBorders>
              <w:tl2br w:val="nil"/>
              <w:tr2bl w:val="nil"/>
            </w:tcBorders>
            <w:noWrap w:val="0"/>
            <w:tcMar>
              <w:top w:w="15" w:type="dxa"/>
              <w:left w:w="15" w:type="dxa"/>
              <w:right w:w="15" w:type="dxa"/>
            </w:tcMar>
            <w:vAlign w:val="center"/>
          </w:tcPr>
          <w:p w14:paraId="4AE38798">
            <w:pPr>
              <w:widowControl/>
              <w:spacing w:line="240" w:lineRule="auto"/>
              <w:jc w:val="center"/>
              <w:textAlignment w:val="center"/>
              <w:rPr>
                <w:color w:val="auto"/>
              </w:rPr>
            </w:pPr>
            <w:r>
              <w:rPr>
                <w:rFonts w:hint="eastAsia"/>
                <w:color w:val="auto"/>
                <w:kern w:val="0"/>
                <w:sz w:val="21"/>
                <w:szCs w:val="21"/>
                <w:lang w:val="en-US" w:eastAsia="zh-CN" w:bidi="ar"/>
              </w:rPr>
              <w:t>215</w:t>
            </w:r>
          </w:p>
        </w:tc>
        <w:tc>
          <w:tcPr>
            <w:tcW w:w="655" w:type="dxa"/>
            <w:tcBorders>
              <w:tl2br w:val="nil"/>
              <w:tr2bl w:val="nil"/>
            </w:tcBorders>
            <w:noWrap w:val="0"/>
            <w:tcMar>
              <w:top w:w="15" w:type="dxa"/>
              <w:left w:w="15" w:type="dxa"/>
              <w:right w:w="15" w:type="dxa"/>
            </w:tcMar>
            <w:vAlign w:val="center"/>
          </w:tcPr>
          <w:p w14:paraId="4D2A21B0">
            <w:pPr>
              <w:widowControl/>
              <w:spacing w:line="240" w:lineRule="auto"/>
              <w:jc w:val="center"/>
              <w:textAlignment w:val="center"/>
              <w:rPr>
                <w:color w:val="auto"/>
              </w:rPr>
            </w:pPr>
            <w:r>
              <w:rPr>
                <w:rFonts w:hint="eastAsia"/>
                <w:color w:val="auto"/>
                <w:kern w:val="0"/>
                <w:sz w:val="21"/>
                <w:szCs w:val="21"/>
                <w:lang w:val="en-US" w:eastAsia="zh-CN" w:bidi="ar"/>
              </w:rPr>
              <w:t>3.225</w:t>
            </w:r>
          </w:p>
        </w:tc>
        <w:tc>
          <w:tcPr>
            <w:tcW w:w="760" w:type="dxa"/>
            <w:tcBorders>
              <w:tl2br w:val="nil"/>
              <w:tr2bl w:val="nil"/>
            </w:tcBorders>
            <w:noWrap w:val="0"/>
            <w:tcMar>
              <w:top w:w="15" w:type="dxa"/>
              <w:left w:w="15" w:type="dxa"/>
              <w:right w:w="15" w:type="dxa"/>
            </w:tcMar>
            <w:vAlign w:val="center"/>
          </w:tcPr>
          <w:p w14:paraId="513254BC">
            <w:pPr>
              <w:widowControl/>
              <w:spacing w:line="240" w:lineRule="auto"/>
              <w:jc w:val="center"/>
              <w:textAlignment w:val="center"/>
              <w:rPr>
                <w:color w:val="auto"/>
              </w:rPr>
            </w:pPr>
            <w:r>
              <w:rPr>
                <w:rFonts w:hint="eastAsia"/>
                <w:color w:val="auto"/>
                <w:kern w:val="0"/>
                <w:sz w:val="21"/>
                <w:szCs w:val="21"/>
                <w:lang w:val="en-US" w:eastAsia="zh-CN" w:bidi="ar"/>
              </w:rPr>
              <w:t>7.74</w:t>
            </w:r>
            <w:r>
              <w:rPr>
                <w:color w:val="auto"/>
                <w:kern w:val="0"/>
                <w:sz w:val="21"/>
                <w:szCs w:val="21"/>
                <w:lang w:bidi="ar"/>
              </w:rPr>
              <w:t xml:space="preserve"> </w:t>
            </w:r>
          </w:p>
        </w:tc>
        <w:tc>
          <w:tcPr>
            <w:tcW w:w="688" w:type="dxa"/>
            <w:tcBorders>
              <w:tl2br w:val="nil"/>
              <w:tr2bl w:val="nil"/>
            </w:tcBorders>
            <w:noWrap w:val="0"/>
            <w:tcMar>
              <w:top w:w="15" w:type="dxa"/>
              <w:left w:w="15" w:type="dxa"/>
              <w:right w:w="15" w:type="dxa"/>
            </w:tcMar>
            <w:vAlign w:val="center"/>
          </w:tcPr>
          <w:p w14:paraId="4C3FA6E0">
            <w:pPr>
              <w:pStyle w:val="44"/>
              <w:bidi w:val="0"/>
              <w:rPr>
                <w:color w:val="auto"/>
              </w:rPr>
            </w:pPr>
            <w:r>
              <w:rPr>
                <w:color w:val="auto"/>
              </w:rPr>
              <w:t xml:space="preserve"> </w:t>
            </w:r>
            <w:r>
              <w:rPr>
                <w:rFonts w:hint="eastAsia"/>
                <w:color w:val="auto"/>
                <w:lang w:val="en-US" w:eastAsia="zh-CN"/>
              </w:rPr>
              <w:t>21.5</w:t>
            </w:r>
          </w:p>
        </w:tc>
        <w:tc>
          <w:tcPr>
            <w:tcW w:w="556" w:type="dxa"/>
            <w:tcBorders>
              <w:tl2br w:val="nil"/>
              <w:tr2bl w:val="nil"/>
            </w:tcBorders>
            <w:noWrap w:val="0"/>
            <w:tcMar>
              <w:top w:w="15" w:type="dxa"/>
              <w:left w:w="15" w:type="dxa"/>
              <w:right w:w="15" w:type="dxa"/>
            </w:tcMar>
            <w:vAlign w:val="center"/>
          </w:tcPr>
          <w:p w14:paraId="5961178F">
            <w:pPr>
              <w:pStyle w:val="44"/>
              <w:bidi w:val="0"/>
              <w:rPr>
                <w:color w:val="auto"/>
              </w:rPr>
            </w:pPr>
            <w:r>
              <w:rPr>
                <w:rFonts w:hint="eastAsia"/>
                <w:color w:val="auto"/>
                <w:lang w:val="en-US" w:eastAsia="zh-CN"/>
              </w:rPr>
              <w:t>0.323</w:t>
            </w:r>
          </w:p>
        </w:tc>
        <w:tc>
          <w:tcPr>
            <w:tcW w:w="684" w:type="dxa"/>
            <w:tcBorders>
              <w:tl2br w:val="nil"/>
              <w:tr2bl w:val="nil"/>
            </w:tcBorders>
            <w:noWrap w:val="0"/>
            <w:tcMar>
              <w:top w:w="15" w:type="dxa"/>
              <w:left w:w="15" w:type="dxa"/>
              <w:right w:w="15" w:type="dxa"/>
            </w:tcMar>
            <w:vAlign w:val="center"/>
          </w:tcPr>
          <w:p w14:paraId="2415BB3D">
            <w:pPr>
              <w:pStyle w:val="44"/>
              <w:bidi w:val="0"/>
              <w:rPr>
                <w:color w:val="auto"/>
              </w:rPr>
            </w:pPr>
            <w:r>
              <w:rPr>
                <w:rFonts w:hint="eastAsia"/>
                <w:color w:val="auto"/>
                <w:lang w:val="en-US" w:eastAsia="zh-CN"/>
              </w:rPr>
              <w:t>0.774</w:t>
            </w:r>
            <w:r>
              <w:rPr>
                <w:color w:val="auto"/>
              </w:rPr>
              <w:t xml:space="preserve"> </w:t>
            </w:r>
          </w:p>
        </w:tc>
        <w:tc>
          <w:tcPr>
            <w:tcW w:w="2030" w:type="dxa"/>
            <w:tcBorders>
              <w:tl2br w:val="nil"/>
              <w:tr2bl w:val="nil"/>
            </w:tcBorders>
            <w:noWrap w:val="0"/>
            <w:tcMar>
              <w:top w:w="15" w:type="dxa"/>
              <w:left w:w="15" w:type="dxa"/>
              <w:right w:w="15" w:type="dxa"/>
            </w:tcMar>
            <w:vAlign w:val="center"/>
          </w:tcPr>
          <w:p w14:paraId="1762838D">
            <w:pPr>
              <w:pStyle w:val="44"/>
              <w:bidi w:val="0"/>
              <w:rPr>
                <w:color w:val="auto"/>
              </w:rPr>
            </w:pPr>
            <w:r>
              <w:rPr>
                <w:color w:val="auto"/>
              </w:rPr>
              <w:t>E：11</w:t>
            </w:r>
            <w:r>
              <w:rPr>
                <w:rFonts w:hint="eastAsia"/>
                <w:color w:val="auto"/>
                <w:lang w:val="en-US" w:eastAsia="zh-CN"/>
              </w:rPr>
              <w:t>7</w:t>
            </w:r>
            <w:r>
              <w:rPr>
                <w:color w:val="auto"/>
              </w:rPr>
              <w:t>°8'</w:t>
            </w:r>
            <w:r>
              <w:rPr>
                <w:rFonts w:hint="eastAsia"/>
                <w:color w:val="auto"/>
                <w:lang w:val="en-US" w:eastAsia="zh-CN"/>
              </w:rPr>
              <w:t>21.934</w:t>
            </w:r>
            <w:r>
              <w:rPr>
                <w:color w:val="auto"/>
              </w:rPr>
              <w:t>"</w:t>
            </w:r>
          </w:p>
          <w:p w14:paraId="17D5E09A">
            <w:pPr>
              <w:pStyle w:val="44"/>
              <w:bidi w:val="0"/>
              <w:rPr>
                <w:color w:val="auto"/>
              </w:rPr>
            </w:pPr>
            <w:r>
              <w:rPr>
                <w:color w:val="auto"/>
              </w:rPr>
              <w:t>N：</w:t>
            </w:r>
            <w:r>
              <w:rPr>
                <w:rFonts w:hint="eastAsia"/>
                <w:color w:val="auto"/>
                <w:lang w:val="en-US" w:eastAsia="zh-CN"/>
              </w:rPr>
              <w:t>35</w:t>
            </w:r>
            <w:r>
              <w:rPr>
                <w:color w:val="auto"/>
              </w:rPr>
              <w:t>°</w:t>
            </w:r>
            <w:r>
              <w:rPr>
                <w:rFonts w:hint="eastAsia"/>
                <w:color w:val="auto"/>
                <w:lang w:val="en-US" w:eastAsia="zh-CN"/>
              </w:rPr>
              <w:t>37</w:t>
            </w:r>
            <w:r>
              <w:rPr>
                <w:color w:val="auto"/>
              </w:rPr>
              <w:t>'</w:t>
            </w:r>
            <w:r>
              <w:rPr>
                <w:rFonts w:hint="eastAsia"/>
                <w:color w:val="auto"/>
                <w:lang w:val="en-US" w:eastAsia="zh-CN"/>
              </w:rPr>
              <w:t>20.862</w:t>
            </w:r>
            <w:r>
              <w:rPr>
                <w:color w:val="auto"/>
              </w:rPr>
              <w:t>"</w:t>
            </w:r>
          </w:p>
        </w:tc>
        <w:tc>
          <w:tcPr>
            <w:tcW w:w="706" w:type="dxa"/>
            <w:tcBorders>
              <w:tl2br w:val="nil"/>
              <w:tr2bl w:val="nil"/>
            </w:tcBorders>
            <w:noWrap w:val="0"/>
            <w:tcMar>
              <w:top w:w="15" w:type="dxa"/>
              <w:left w:w="15" w:type="dxa"/>
              <w:right w:w="15" w:type="dxa"/>
            </w:tcMar>
            <w:vAlign w:val="center"/>
          </w:tcPr>
          <w:p w14:paraId="60C1F9CE">
            <w:pPr>
              <w:pStyle w:val="44"/>
              <w:bidi w:val="0"/>
              <w:ind w:firstLine="0" w:firstLineChars="0"/>
              <w:rPr>
                <w:color w:val="auto"/>
              </w:rPr>
            </w:pPr>
            <w:r>
              <w:rPr>
                <w:rFonts w:hint="eastAsia"/>
                <w:color w:val="auto"/>
                <w:lang w:val="en-US" w:eastAsia="zh-CN"/>
              </w:rPr>
              <w:t>15</w:t>
            </w:r>
          </w:p>
        </w:tc>
        <w:tc>
          <w:tcPr>
            <w:tcW w:w="558" w:type="dxa"/>
            <w:tcBorders>
              <w:tl2br w:val="nil"/>
              <w:tr2bl w:val="nil"/>
            </w:tcBorders>
            <w:noWrap w:val="0"/>
            <w:tcMar>
              <w:top w:w="15" w:type="dxa"/>
              <w:left w:w="15" w:type="dxa"/>
              <w:right w:w="15" w:type="dxa"/>
            </w:tcMar>
            <w:vAlign w:val="center"/>
          </w:tcPr>
          <w:p w14:paraId="3273E285">
            <w:pPr>
              <w:pStyle w:val="44"/>
              <w:bidi w:val="0"/>
              <w:ind w:firstLine="0" w:firstLineChars="0"/>
              <w:rPr>
                <w:color w:val="auto"/>
              </w:rPr>
            </w:pPr>
            <w:r>
              <w:rPr>
                <w:color w:val="auto"/>
              </w:rPr>
              <w:t>0.5</w:t>
            </w:r>
          </w:p>
        </w:tc>
        <w:tc>
          <w:tcPr>
            <w:tcW w:w="632" w:type="dxa"/>
            <w:tcBorders>
              <w:tl2br w:val="nil"/>
              <w:tr2bl w:val="nil"/>
            </w:tcBorders>
            <w:noWrap w:val="0"/>
            <w:tcMar>
              <w:top w:w="15" w:type="dxa"/>
              <w:left w:w="15" w:type="dxa"/>
              <w:right w:w="15" w:type="dxa"/>
            </w:tcMar>
            <w:vAlign w:val="center"/>
          </w:tcPr>
          <w:p w14:paraId="5DA8A8C9">
            <w:pPr>
              <w:pStyle w:val="44"/>
              <w:bidi w:val="0"/>
              <w:ind w:firstLine="0" w:firstLineChars="0"/>
              <w:rPr>
                <w:color w:val="auto"/>
              </w:rPr>
            </w:pPr>
            <w:r>
              <w:rPr>
                <w:rFonts w:hint="eastAsia"/>
                <w:color w:val="auto"/>
                <w:lang w:val="en-US" w:eastAsia="zh-CN"/>
              </w:rPr>
              <w:t>2</w:t>
            </w:r>
            <w:r>
              <w:rPr>
                <w:color w:val="auto"/>
              </w:rPr>
              <w:t>0</w:t>
            </w:r>
          </w:p>
        </w:tc>
        <w:tc>
          <w:tcPr>
            <w:tcW w:w="637" w:type="dxa"/>
            <w:tcBorders>
              <w:tl2br w:val="nil"/>
              <w:tr2bl w:val="nil"/>
            </w:tcBorders>
            <w:noWrap w:val="0"/>
            <w:tcMar>
              <w:top w:w="15" w:type="dxa"/>
              <w:left w:w="15" w:type="dxa"/>
              <w:right w:w="15" w:type="dxa"/>
            </w:tcMar>
            <w:vAlign w:val="center"/>
          </w:tcPr>
          <w:p w14:paraId="7B217057">
            <w:pPr>
              <w:pStyle w:val="44"/>
              <w:bidi w:val="0"/>
              <w:rPr>
                <w:color w:val="auto"/>
              </w:rPr>
            </w:pPr>
            <w:r>
              <w:rPr>
                <w:color w:val="auto"/>
              </w:rPr>
              <w:t>一般排放口</w:t>
            </w:r>
          </w:p>
        </w:tc>
        <w:tc>
          <w:tcPr>
            <w:tcW w:w="724" w:type="dxa"/>
            <w:tcBorders>
              <w:tl2br w:val="nil"/>
              <w:tr2bl w:val="nil"/>
            </w:tcBorders>
            <w:noWrap w:val="0"/>
            <w:tcMar>
              <w:top w:w="15" w:type="dxa"/>
              <w:left w:w="15" w:type="dxa"/>
              <w:right w:w="15" w:type="dxa"/>
            </w:tcMar>
            <w:vAlign w:val="center"/>
          </w:tcPr>
          <w:p w14:paraId="669C5DBA">
            <w:pPr>
              <w:pStyle w:val="44"/>
              <w:bidi w:val="0"/>
              <w:rPr>
                <w:rFonts w:hint="default" w:eastAsia="宋体"/>
                <w:color w:val="auto"/>
                <w:lang w:val="en-US" w:eastAsia="zh-CN"/>
              </w:rPr>
            </w:pPr>
            <w:r>
              <w:rPr>
                <w:rFonts w:hint="eastAsia"/>
                <w:color w:val="auto"/>
                <w:lang w:val="en-US" w:eastAsia="zh-CN"/>
              </w:rPr>
              <w:t>50</w:t>
            </w:r>
          </w:p>
        </w:tc>
        <w:tc>
          <w:tcPr>
            <w:tcW w:w="545" w:type="dxa"/>
            <w:tcBorders>
              <w:tl2br w:val="nil"/>
              <w:tr2bl w:val="nil"/>
            </w:tcBorders>
            <w:noWrap w:val="0"/>
            <w:tcMar>
              <w:top w:w="15" w:type="dxa"/>
              <w:left w:w="15" w:type="dxa"/>
              <w:right w:w="15" w:type="dxa"/>
            </w:tcMar>
            <w:vAlign w:val="center"/>
          </w:tcPr>
          <w:p w14:paraId="5FF300FF">
            <w:pPr>
              <w:pStyle w:val="44"/>
              <w:bidi w:val="0"/>
              <w:rPr>
                <w:rFonts w:hint="default" w:eastAsia="宋体"/>
                <w:color w:val="auto"/>
                <w:lang w:val="en-US" w:eastAsia="zh-CN"/>
              </w:rPr>
            </w:pPr>
            <w:r>
              <w:rPr>
                <w:rFonts w:hint="eastAsia"/>
                <w:color w:val="auto"/>
                <w:lang w:val="en-US" w:eastAsia="zh-CN"/>
              </w:rPr>
              <w:t>3.0</w:t>
            </w:r>
          </w:p>
        </w:tc>
      </w:tr>
    </w:tbl>
    <w:p w14:paraId="4A63F7E6">
      <w:pPr>
        <w:rPr>
          <w:rFonts w:hint="eastAsia"/>
          <w:color w:val="auto"/>
        </w:rPr>
        <w:sectPr>
          <w:pgSz w:w="16840" w:h="11907" w:orient="landscape"/>
          <w:pgMar w:top="1531" w:right="1701" w:bottom="1531" w:left="2127" w:header="851" w:footer="851" w:gutter="0"/>
          <w:pgBorders>
            <w:top w:val="none" w:sz="0" w:space="0"/>
            <w:left w:val="none" w:sz="0" w:space="0"/>
            <w:bottom w:val="none" w:sz="0" w:space="0"/>
            <w:right w:val="none" w:sz="0" w:space="0"/>
          </w:pgBorders>
          <w:cols w:space="720" w:num="1"/>
          <w:docGrid w:linePitch="312" w:charSpace="0"/>
        </w:sectPr>
      </w:pPr>
    </w:p>
    <w:tbl>
      <w:tblPr>
        <w:tblStyle w:val="33"/>
        <w:tblW w:w="898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46"/>
        <w:gridCol w:w="8235"/>
      </w:tblGrid>
      <w:tr w14:paraId="43FC2F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46" w:type="dxa"/>
            <w:noWrap w:val="0"/>
            <w:tcMar>
              <w:left w:w="28" w:type="dxa"/>
              <w:right w:w="28" w:type="dxa"/>
            </w:tcMar>
            <w:vAlign w:val="center"/>
          </w:tcPr>
          <w:p w14:paraId="3452C1B8">
            <w:pPr>
              <w:pStyle w:val="28"/>
              <w:adjustRightInd w:val="0"/>
              <w:snapToGrid w:val="0"/>
              <w:spacing w:before="0" w:beforeAutospacing="0" w:after="0" w:afterAutospacing="0"/>
              <w:jc w:val="center"/>
              <w:rPr>
                <w:rFonts w:hint="default" w:ascii="Times New Roman" w:hAnsi="Times New Roman" w:cs="Times New Roman"/>
                <w:color w:val="auto"/>
                <w:kern w:val="2"/>
                <w:szCs w:val="24"/>
                <w:lang w:val="en-US" w:eastAsia="zh-CN"/>
              </w:rPr>
            </w:pPr>
          </w:p>
        </w:tc>
        <w:tc>
          <w:tcPr>
            <w:tcW w:w="8235" w:type="dxa"/>
            <w:noWrap w:val="0"/>
            <w:vAlign w:val="top"/>
          </w:tcPr>
          <w:p w14:paraId="5C02F6CF">
            <w:pPr>
              <w:bidi w:val="0"/>
              <w:spacing w:line="360" w:lineRule="auto"/>
              <w:ind w:firstLine="480" w:firstLineChars="200"/>
              <w:rPr>
                <w:rFonts w:hint="default" w:ascii="Times New Roman" w:hAnsi="Times New Roman" w:cs="Times New Roman"/>
                <w:color w:val="auto"/>
                <w:sz w:val="24"/>
                <w:szCs w:val="24"/>
                <w:lang w:val="en-US" w:eastAsia="zh-CN"/>
              </w:rPr>
            </w:pPr>
            <w:r>
              <w:rPr>
                <w:rStyle w:val="51"/>
                <w:rFonts w:hint="eastAsia" w:ascii="Times New Roman" w:hAnsi="Times New Roman" w:cs="Times New Roman"/>
                <w:color w:val="auto"/>
                <w:lang w:val="en-US" w:eastAsia="zh-CN"/>
              </w:rPr>
              <w:t>2</w:t>
            </w:r>
            <w:r>
              <w:rPr>
                <w:rStyle w:val="51"/>
                <w:rFonts w:hint="default" w:ascii="Times New Roman" w:hAnsi="Times New Roman" w:cs="Times New Roman"/>
                <w:color w:val="auto"/>
                <w:lang w:val="en-US" w:eastAsia="zh-CN"/>
              </w:rPr>
              <w:t>、大气污染物排放量核算</w:t>
            </w:r>
          </w:p>
          <w:p w14:paraId="552B0DD2">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lang w:eastAsia="zh-CN"/>
              </w:rPr>
              <w:t>项目</w:t>
            </w:r>
            <w:r>
              <w:rPr>
                <w:rFonts w:hint="default" w:ascii="Times New Roman" w:hAnsi="Times New Roman" w:cs="Times New Roman"/>
                <w:color w:val="auto"/>
                <w:sz w:val="24"/>
                <w:szCs w:val="24"/>
              </w:rPr>
              <w:t>大气污染物排放量核算见</w:t>
            </w:r>
            <w:r>
              <w:rPr>
                <w:rFonts w:hint="default" w:ascii="Times New Roman" w:hAnsi="Times New Roman" w:cs="Times New Roman"/>
                <w:color w:val="auto"/>
                <w:sz w:val="24"/>
                <w:szCs w:val="24"/>
                <w:lang w:val="en-US" w:eastAsia="zh-CN"/>
              </w:rPr>
              <w:t>下</w:t>
            </w:r>
            <w:r>
              <w:rPr>
                <w:rFonts w:hint="default" w:ascii="Times New Roman" w:hAnsi="Times New Roman" w:cs="Times New Roman"/>
                <w:color w:val="auto"/>
                <w:sz w:val="24"/>
                <w:szCs w:val="24"/>
              </w:rPr>
              <w:t>表。</w:t>
            </w:r>
          </w:p>
          <w:p w14:paraId="3EBC5159">
            <w:pPr>
              <w:pStyle w:val="47"/>
              <w:bidi w:val="0"/>
              <w:rPr>
                <w:rFonts w:hint="default" w:ascii="Times New Roman" w:hAnsi="Times New Roman" w:cs="Times New Roman"/>
                <w:b/>
                <w:snapToGrid w:val="0"/>
                <w:color w:val="auto"/>
                <w:kern w:val="0"/>
                <w:szCs w:val="22"/>
              </w:rPr>
            </w:pPr>
            <w:r>
              <w:rPr>
                <w:rFonts w:hint="default" w:ascii="Times New Roman" w:hAnsi="Times New Roman" w:cs="Times New Roman"/>
                <w:color w:val="auto"/>
              </w:rPr>
              <w:t>表</w:t>
            </w:r>
            <w:r>
              <w:rPr>
                <w:rFonts w:hint="default" w:ascii="Times New Roman" w:hAnsi="Times New Roman" w:cs="Times New Roman"/>
                <w:color w:val="auto"/>
                <w:lang w:val="en-US" w:eastAsia="zh-CN"/>
              </w:rPr>
              <w:t>4-</w:t>
            </w:r>
            <w:r>
              <w:rPr>
                <w:rFonts w:hint="eastAsia" w:cs="Times New Roman"/>
                <w:color w:val="auto"/>
                <w:lang w:val="en-US" w:eastAsia="zh-CN"/>
              </w:rPr>
              <w:t>5</w:t>
            </w:r>
            <w:r>
              <w:rPr>
                <w:rFonts w:hint="default" w:ascii="Times New Roman" w:hAnsi="Times New Roman" w:cs="Times New Roman"/>
                <w:color w:val="auto"/>
                <w:lang w:val="en-US" w:eastAsia="zh-CN"/>
              </w:rPr>
              <w:t xml:space="preserve"> </w:t>
            </w:r>
            <w:r>
              <w:rPr>
                <w:rFonts w:hint="default" w:ascii="Times New Roman" w:hAnsi="Times New Roman" w:cs="Times New Roman"/>
                <w:color w:val="auto"/>
              </w:rPr>
              <w:t>大气污染物有组织排放量核算表</w:t>
            </w:r>
          </w:p>
          <w:tbl>
            <w:tblPr>
              <w:tblStyle w:val="33"/>
              <w:tblW w:w="4996"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46"/>
              <w:gridCol w:w="988"/>
              <w:gridCol w:w="1489"/>
              <w:gridCol w:w="1854"/>
              <w:gridCol w:w="1729"/>
              <w:gridCol w:w="1208"/>
            </w:tblGrid>
            <w:tr w14:paraId="6DEB6C7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65" w:type="pct"/>
                  <w:tcBorders>
                    <w:tl2br w:val="nil"/>
                    <w:tr2bl w:val="nil"/>
                  </w:tcBorders>
                  <w:noWrap w:val="0"/>
                  <w:vAlign w:val="center"/>
                </w:tcPr>
                <w:p w14:paraId="1987D67E">
                  <w:pPr>
                    <w:pStyle w:val="44"/>
                    <w:bidi w:val="0"/>
                    <w:rPr>
                      <w:rFonts w:hint="default"/>
                      <w:b/>
                      <w:bCs/>
                      <w:color w:val="auto"/>
                    </w:rPr>
                  </w:pPr>
                  <w:r>
                    <w:rPr>
                      <w:rFonts w:hint="default"/>
                      <w:b/>
                      <w:bCs/>
                      <w:color w:val="auto"/>
                    </w:rPr>
                    <w:t>序号</w:t>
                  </w:r>
                </w:p>
              </w:tc>
              <w:tc>
                <w:tcPr>
                  <w:tcW w:w="616" w:type="pct"/>
                  <w:tcBorders>
                    <w:tl2br w:val="nil"/>
                    <w:tr2bl w:val="nil"/>
                  </w:tcBorders>
                  <w:noWrap w:val="0"/>
                  <w:vAlign w:val="center"/>
                </w:tcPr>
                <w:p w14:paraId="26316A77">
                  <w:pPr>
                    <w:pStyle w:val="44"/>
                    <w:bidi w:val="0"/>
                    <w:rPr>
                      <w:rFonts w:hint="default"/>
                      <w:b/>
                      <w:bCs/>
                      <w:color w:val="auto"/>
                    </w:rPr>
                  </w:pPr>
                  <w:r>
                    <w:rPr>
                      <w:rFonts w:hint="default"/>
                      <w:b/>
                      <w:bCs/>
                      <w:color w:val="auto"/>
                    </w:rPr>
                    <w:t>排放口编号</w:t>
                  </w:r>
                </w:p>
              </w:tc>
              <w:tc>
                <w:tcPr>
                  <w:tcW w:w="928" w:type="pct"/>
                  <w:tcBorders>
                    <w:tl2br w:val="nil"/>
                    <w:tr2bl w:val="nil"/>
                  </w:tcBorders>
                  <w:noWrap w:val="0"/>
                  <w:vAlign w:val="center"/>
                </w:tcPr>
                <w:p w14:paraId="57FD3123">
                  <w:pPr>
                    <w:pStyle w:val="44"/>
                    <w:bidi w:val="0"/>
                    <w:rPr>
                      <w:rFonts w:hint="default"/>
                      <w:b/>
                      <w:bCs/>
                      <w:color w:val="auto"/>
                    </w:rPr>
                  </w:pPr>
                  <w:r>
                    <w:rPr>
                      <w:rFonts w:hint="default"/>
                      <w:b/>
                      <w:bCs/>
                      <w:color w:val="auto"/>
                    </w:rPr>
                    <w:t>污染物</w:t>
                  </w:r>
                </w:p>
              </w:tc>
              <w:tc>
                <w:tcPr>
                  <w:tcW w:w="1156" w:type="pct"/>
                  <w:tcBorders>
                    <w:tl2br w:val="nil"/>
                    <w:tr2bl w:val="nil"/>
                  </w:tcBorders>
                  <w:noWrap w:val="0"/>
                  <w:vAlign w:val="center"/>
                </w:tcPr>
                <w:p w14:paraId="643DD07E">
                  <w:pPr>
                    <w:pStyle w:val="44"/>
                    <w:bidi w:val="0"/>
                    <w:rPr>
                      <w:rFonts w:hint="default"/>
                      <w:b/>
                      <w:bCs/>
                      <w:color w:val="auto"/>
                    </w:rPr>
                  </w:pPr>
                  <w:r>
                    <w:rPr>
                      <w:rFonts w:hint="default"/>
                      <w:b/>
                      <w:bCs/>
                      <w:color w:val="auto"/>
                    </w:rPr>
                    <w:t>核算排放浓度/（mg/m</w:t>
                  </w:r>
                  <w:r>
                    <w:rPr>
                      <w:rFonts w:hint="default"/>
                      <w:b/>
                      <w:bCs/>
                      <w:color w:val="auto"/>
                      <w:vertAlign w:val="superscript"/>
                    </w:rPr>
                    <w:t>3</w:t>
                  </w:r>
                  <w:r>
                    <w:rPr>
                      <w:rFonts w:hint="default"/>
                      <w:b/>
                      <w:bCs/>
                      <w:color w:val="auto"/>
                    </w:rPr>
                    <w:t>）</w:t>
                  </w:r>
                </w:p>
              </w:tc>
              <w:tc>
                <w:tcPr>
                  <w:tcW w:w="1078" w:type="pct"/>
                  <w:tcBorders>
                    <w:tl2br w:val="nil"/>
                    <w:tr2bl w:val="nil"/>
                  </w:tcBorders>
                  <w:noWrap w:val="0"/>
                  <w:vAlign w:val="center"/>
                </w:tcPr>
                <w:p w14:paraId="2DF5DA0A">
                  <w:pPr>
                    <w:pStyle w:val="44"/>
                    <w:bidi w:val="0"/>
                    <w:rPr>
                      <w:rFonts w:hint="default"/>
                      <w:b/>
                      <w:bCs/>
                      <w:color w:val="auto"/>
                    </w:rPr>
                  </w:pPr>
                  <w:r>
                    <w:rPr>
                      <w:rFonts w:hint="default"/>
                      <w:b/>
                      <w:bCs/>
                      <w:color w:val="auto"/>
                    </w:rPr>
                    <w:t>核算排放速率/（kg/h）</w:t>
                  </w:r>
                </w:p>
              </w:tc>
              <w:tc>
                <w:tcPr>
                  <w:tcW w:w="753" w:type="pct"/>
                  <w:tcBorders>
                    <w:tl2br w:val="nil"/>
                    <w:tr2bl w:val="nil"/>
                  </w:tcBorders>
                  <w:noWrap w:val="0"/>
                  <w:vAlign w:val="center"/>
                </w:tcPr>
                <w:p w14:paraId="537C35F9">
                  <w:pPr>
                    <w:pStyle w:val="44"/>
                    <w:bidi w:val="0"/>
                    <w:rPr>
                      <w:rFonts w:hint="default"/>
                      <w:b/>
                      <w:bCs/>
                      <w:color w:val="auto"/>
                    </w:rPr>
                  </w:pPr>
                  <w:r>
                    <w:rPr>
                      <w:rFonts w:hint="default"/>
                      <w:b/>
                      <w:bCs/>
                      <w:color w:val="auto"/>
                    </w:rPr>
                    <w:t>核算年排放量/（t/a）</w:t>
                  </w:r>
                </w:p>
              </w:tc>
            </w:tr>
            <w:tr w14:paraId="7F05063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000" w:type="pct"/>
                  <w:gridSpan w:val="6"/>
                  <w:tcBorders>
                    <w:tl2br w:val="nil"/>
                    <w:tr2bl w:val="nil"/>
                  </w:tcBorders>
                  <w:noWrap w:val="0"/>
                  <w:vAlign w:val="center"/>
                </w:tcPr>
                <w:p w14:paraId="1A1C557A">
                  <w:pPr>
                    <w:pStyle w:val="44"/>
                    <w:bidi w:val="0"/>
                    <w:rPr>
                      <w:rFonts w:hint="default"/>
                      <w:color w:val="auto"/>
                    </w:rPr>
                  </w:pPr>
                  <w:r>
                    <w:rPr>
                      <w:rFonts w:hint="default"/>
                      <w:color w:val="auto"/>
                    </w:rPr>
                    <w:t>一般排放口</w:t>
                  </w:r>
                </w:p>
              </w:tc>
            </w:tr>
            <w:tr w14:paraId="4B6B8CB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65" w:type="pct"/>
                  <w:tcBorders>
                    <w:tl2br w:val="nil"/>
                    <w:tr2bl w:val="nil"/>
                  </w:tcBorders>
                  <w:noWrap w:val="0"/>
                  <w:vAlign w:val="center"/>
                </w:tcPr>
                <w:p w14:paraId="038F59A2">
                  <w:pPr>
                    <w:pStyle w:val="44"/>
                    <w:bidi w:val="0"/>
                    <w:rPr>
                      <w:rFonts w:hint="default"/>
                      <w:color w:val="auto"/>
                      <w:lang w:val="en-US" w:eastAsia="zh-CN"/>
                    </w:rPr>
                  </w:pPr>
                  <w:r>
                    <w:rPr>
                      <w:rFonts w:hint="eastAsia"/>
                      <w:color w:val="auto"/>
                      <w:lang w:val="en-US" w:eastAsia="zh-CN"/>
                    </w:rPr>
                    <w:t>1</w:t>
                  </w:r>
                </w:p>
              </w:tc>
              <w:tc>
                <w:tcPr>
                  <w:tcW w:w="616" w:type="pct"/>
                  <w:tcBorders>
                    <w:tl2br w:val="nil"/>
                    <w:tr2bl w:val="nil"/>
                  </w:tcBorders>
                  <w:noWrap w:val="0"/>
                  <w:vAlign w:val="center"/>
                </w:tcPr>
                <w:p w14:paraId="2167AFE4">
                  <w:pPr>
                    <w:pStyle w:val="44"/>
                    <w:bidi w:val="0"/>
                    <w:rPr>
                      <w:rFonts w:hint="default"/>
                      <w:color w:val="auto"/>
                      <w:lang w:val="en-US" w:eastAsia="zh-CN"/>
                    </w:rPr>
                  </w:pPr>
                  <w:r>
                    <w:rPr>
                      <w:rFonts w:hint="default"/>
                      <w:color w:val="auto"/>
                    </w:rPr>
                    <w:t>DA00</w:t>
                  </w:r>
                  <w:r>
                    <w:rPr>
                      <w:rFonts w:hint="eastAsia"/>
                      <w:color w:val="auto"/>
                      <w:lang w:val="en-US" w:eastAsia="zh-CN"/>
                    </w:rPr>
                    <w:t>1</w:t>
                  </w:r>
                </w:p>
              </w:tc>
              <w:tc>
                <w:tcPr>
                  <w:tcW w:w="928" w:type="pct"/>
                  <w:tcBorders>
                    <w:tl2br w:val="nil"/>
                    <w:tr2bl w:val="nil"/>
                  </w:tcBorders>
                  <w:noWrap w:val="0"/>
                  <w:vAlign w:val="center"/>
                </w:tcPr>
                <w:p w14:paraId="15B33C3F">
                  <w:pPr>
                    <w:pStyle w:val="44"/>
                    <w:bidi w:val="0"/>
                    <w:rPr>
                      <w:rFonts w:hint="default"/>
                      <w:color w:val="auto"/>
                      <w:lang w:val="en-US" w:eastAsia="zh-CN"/>
                    </w:rPr>
                  </w:pPr>
                  <w:r>
                    <w:rPr>
                      <w:rFonts w:hint="eastAsia"/>
                      <w:color w:val="auto"/>
                      <w:lang w:val="en-US" w:eastAsia="zh-CN"/>
                    </w:rPr>
                    <w:t>颗粒物</w:t>
                  </w:r>
                </w:p>
              </w:tc>
              <w:tc>
                <w:tcPr>
                  <w:tcW w:w="1854" w:type="dxa"/>
                  <w:tcBorders>
                    <w:tl2br w:val="nil"/>
                    <w:tr2bl w:val="nil"/>
                  </w:tcBorders>
                  <w:noWrap w:val="0"/>
                  <w:vAlign w:val="center"/>
                </w:tcPr>
                <w:p w14:paraId="733EA5C7">
                  <w:pPr>
                    <w:pStyle w:val="44"/>
                    <w:bidi w:val="0"/>
                    <w:rPr>
                      <w:rFonts w:hint="default"/>
                      <w:color w:val="auto"/>
                      <w:lang w:val="en-US" w:eastAsia="zh-CN"/>
                    </w:rPr>
                  </w:pPr>
                  <w:r>
                    <w:rPr>
                      <w:rFonts w:hint="eastAsia"/>
                      <w:color w:val="auto"/>
                      <w:lang w:val="en-US" w:eastAsia="zh-CN"/>
                    </w:rPr>
                    <w:t>10.2</w:t>
                  </w:r>
                </w:p>
              </w:tc>
              <w:tc>
                <w:tcPr>
                  <w:tcW w:w="1729" w:type="dxa"/>
                  <w:tcBorders>
                    <w:tl2br w:val="nil"/>
                    <w:tr2bl w:val="nil"/>
                  </w:tcBorders>
                  <w:noWrap w:val="0"/>
                  <w:vAlign w:val="center"/>
                </w:tcPr>
                <w:p w14:paraId="48301D64">
                  <w:pPr>
                    <w:pStyle w:val="44"/>
                    <w:bidi w:val="0"/>
                    <w:rPr>
                      <w:rFonts w:hint="default"/>
                      <w:color w:val="auto"/>
                      <w:lang w:val="en-US" w:eastAsia="zh-CN"/>
                    </w:rPr>
                  </w:pPr>
                  <w:r>
                    <w:rPr>
                      <w:rFonts w:hint="eastAsia"/>
                      <w:color w:val="auto"/>
                      <w:lang w:val="en-US" w:eastAsia="zh-CN"/>
                    </w:rPr>
                    <w:t>0.102</w:t>
                  </w:r>
                </w:p>
              </w:tc>
              <w:tc>
                <w:tcPr>
                  <w:tcW w:w="753" w:type="pct"/>
                  <w:tcBorders>
                    <w:tl2br w:val="nil"/>
                    <w:tr2bl w:val="nil"/>
                  </w:tcBorders>
                  <w:noWrap w:val="0"/>
                  <w:vAlign w:val="center"/>
                </w:tcPr>
                <w:p w14:paraId="1048AD20">
                  <w:pPr>
                    <w:pStyle w:val="44"/>
                    <w:bidi w:val="0"/>
                    <w:rPr>
                      <w:rFonts w:hint="default"/>
                      <w:color w:val="auto"/>
                      <w:lang w:val="en-US" w:eastAsia="zh-CN"/>
                    </w:rPr>
                  </w:pPr>
                  <w:r>
                    <w:rPr>
                      <w:rFonts w:hint="eastAsia"/>
                      <w:color w:val="auto"/>
                      <w:lang w:val="en-US" w:eastAsia="zh-CN"/>
                    </w:rPr>
                    <w:t>0.092</w:t>
                  </w:r>
                </w:p>
              </w:tc>
            </w:tr>
            <w:tr w14:paraId="0927A2F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65" w:type="pct"/>
                  <w:tcBorders>
                    <w:tl2br w:val="nil"/>
                    <w:tr2bl w:val="nil"/>
                  </w:tcBorders>
                  <w:noWrap w:val="0"/>
                  <w:vAlign w:val="center"/>
                </w:tcPr>
                <w:p w14:paraId="5F56C4EB">
                  <w:pPr>
                    <w:pStyle w:val="44"/>
                    <w:bidi w:val="0"/>
                    <w:rPr>
                      <w:rFonts w:hint="default"/>
                      <w:color w:val="auto"/>
                      <w:lang w:val="en-US" w:eastAsia="zh-CN"/>
                    </w:rPr>
                  </w:pPr>
                  <w:r>
                    <w:rPr>
                      <w:rFonts w:hint="eastAsia"/>
                      <w:color w:val="auto"/>
                      <w:lang w:val="en-US" w:eastAsia="zh-CN"/>
                    </w:rPr>
                    <w:t>2</w:t>
                  </w:r>
                </w:p>
              </w:tc>
              <w:tc>
                <w:tcPr>
                  <w:tcW w:w="616" w:type="pct"/>
                  <w:tcBorders>
                    <w:tl2br w:val="nil"/>
                    <w:tr2bl w:val="nil"/>
                  </w:tcBorders>
                  <w:noWrap w:val="0"/>
                  <w:vAlign w:val="center"/>
                </w:tcPr>
                <w:p w14:paraId="6EDD6147">
                  <w:pPr>
                    <w:pStyle w:val="44"/>
                    <w:bidi w:val="0"/>
                    <w:rPr>
                      <w:rFonts w:hint="eastAsia" w:eastAsia="宋体"/>
                      <w:color w:val="auto"/>
                      <w:lang w:val="en-US" w:eastAsia="zh-CN"/>
                    </w:rPr>
                  </w:pPr>
                  <w:r>
                    <w:rPr>
                      <w:rFonts w:hint="default"/>
                      <w:color w:val="auto"/>
                    </w:rPr>
                    <w:t>DA00</w:t>
                  </w:r>
                  <w:r>
                    <w:rPr>
                      <w:rFonts w:hint="eastAsia"/>
                      <w:color w:val="auto"/>
                      <w:lang w:val="en-US" w:eastAsia="zh-CN"/>
                    </w:rPr>
                    <w:t>2</w:t>
                  </w:r>
                </w:p>
              </w:tc>
              <w:tc>
                <w:tcPr>
                  <w:tcW w:w="928" w:type="pct"/>
                  <w:tcBorders>
                    <w:tl2br w:val="nil"/>
                    <w:tr2bl w:val="nil"/>
                  </w:tcBorders>
                  <w:noWrap w:val="0"/>
                  <w:vAlign w:val="center"/>
                </w:tcPr>
                <w:p w14:paraId="6D0E20C8">
                  <w:pPr>
                    <w:pStyle w:val="44"/>
                    <w:bidi w:val="0"/>
                    <w:rPr>
                      <w:rFonts w:hint="default"/>
                      <w:color w:val="auto"/>
                      <w:lang w:eastAsia="zh-CN"/>
                    </w:rPr>
                  </w:pPr>
                  <w:r>
                    <w:rPr>
                      <w:rFonts w:hint="default"/>
                      <w:color w:val="auto"/>
                      <w:lang w:eastAsia="zh-CN"/>
                    </w:rPr>
                    <w:t>VOCs</w:t>
                  </w:r>
                </w:p>
              </w:tc>
              <w:tc>
                <w:tcPr>
                  <w:tcW w:w="1854" w:type="dxa"/>
                  <w:tcBorders>
                    <w:tl2br w:val="nil"/>
                    <w:tr2bl w:val="nil"/>
                  </w:tcBorders>
                  <w:noWrap w:val="0"/>
                  <w:vAlign w:val="center"/>
                </w:tcPr>
                <w:p w14:paraId="17616A2C">
                  <w:pPr>
                    <w:pStyle w:val="44"/>
                    <w:bidi w:val="0"/>
                    <w:rPr>
                      <w:rFonts w:hint="default"/>
                      <w:color w:val="auto"/>
                      <w:lang w:val="en-US" w:eastAsia="zh-CN"/>
                    </w:rPr>
                  </w:pPr>
                  <w:r>
                    <w:rPr>
                      <w:color w:val="auto"/>
                    </w:rPr>
                    <w:t xml:space="preserve"> </w:t>
                  </w:r>
                  <w:r>
                    <w:rPr>
                      <w:rFonts w:hint="eastAsia"/>
                      <w:color w:val="auto"/>
                      <w:lang w:val="en-US" w:eastAsia="zh-CN"/>
                    </w:rPr>
                    <w:t>21.5</w:t>
                  </w:r>
                </w:p>
              </w:tc>
              <w:tc>
                <w:tcPr>
                  <w:tcW w:w="1729" w:type="dxa"/>
                  <w:tcBorders>
                    <w:tl2br w:val="nil"/>
                    <w:tr2bl w:val="nil"/>
                  </w:tcBorders>
                  <w:noWrap w:val="0"/>
                  <w:vAlign w:val="center"/>
                </w:tcPr>
                <w:p w14:paraId="2F816D48">
                  <w:pPr>
                    <w:pStyle w:val="44"/>
                    <w:bidi w:val="0"/>
                    <w:rPr>
                      <w:rFonts w:hint="eastAsia"/>
                      <w:color w:val="auto"/>
                      <w:lang w:val="en-US" w:eastAsia="zh-CN"/>
                    </w:rPr>
                  </w:pPr>
                  <w:r>
                    <w:rPr>
                      <w:rFonts w:hint="eastAsia"/>
                      <w:color w:val="auto"/>
                      <w:lang w:val="en-US" w:eastAsia="zh-CN"/>
                    </w:rPr>
                    <w:t>0.323</w:t>
                  </w:r>
                </w:p>
              </w:tc>
              <w:tc>
                <w:tcPr>
                  <w:tcW w:w="753" w:type="pct"/>
                  <w:tcBorders>
                    <w:tl2br w:val="nil"/>
                    <w:tr2bl w:val="nil"/>
                  </w:tcBorders>
                  <w:noWrap w:val="0"/>
                  <w:vAlign w:val="center"/>
                </w:tcPr>
                <w:p w14:paraId="621959BD">
                  <w:pPr>
                    <w:pStyle w:val="44"/>
                    <w:bidi w:val="0"/>
                    <w:rPr>
                      <w:rFonts w:hint="default"/>
                      <w:color w:val="auto"/>
                      <w:lang w:val="en-US" w:eastAsia="zh-CN"/>
                    </w:rPr>
                  </w:pPr>
                  <w:r>
                    <w:rPr>
                      <w:rFonts w:hint="eastAsia"/>
                      <w:color w:val="auto"/>
                      <w:lang w:val="en-US" w:eastAsia="zh-CN"/>
                    </w:rPr>
                    <w:t>0.774</w:t>
                  </w:r>
                </w:p>
              </w:tc>
            </w:tr>
            <w:tr w14:paraId="74D698F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000" w:type="pct"/>
                  <w:gridSpan w:val="6"/>
                  <w:tcBorders>
                    <w:tl2br w:val="nil"/>
                    <w:tr2bl w:val="nil"/>
                  </w:tcBorders>
                  <w:noWrap w:val="0"/>
                  <w:vAlign w:val="center"/>
                </w:tcPr>
                <w:p w14:paraId="2D049449">
                  <w:pPr>
                    <w:pStyle w:val="44"/>
                    <w:bidi w:val="0"/>
                    <w:rPr>
                      <w:rFonts w:hint="default"/>
                      <w:color w:val="auto"/>
                    </w:rPr>
                  </w:pPr>
                  <w:r>
                    <w:rPr>
                      <w:rFonts w:hint="default"/>
                      <w:color w:val="auto"/>
                    </w:rPr>
                    <w:t xml:space="preserve">   有组织排放口合计</w:t>
                  </w:r>
                </w:p>
              </w:tc>
            </w:tr>
            <w:tr w14:paraId="281180C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081" w:type="pct"/>
                  <w:gridSpan w:val="2"/>
                  <w:vMerge w:val="restart"/>
                  <w:tcBorders>
                    <w:tl2br w:val="nil"/>
                    <w:tr2bl w:val="nil"/>
                  </w:tcBorders>
                  <w:noWrap w:val="0"/>
                  <w:vAlign w:val="center"/>
                </w:tcPr>
                <w:p w14:paraId="08E83B14">
                  <w:pPr>
                    <w:pStyle w:val="44"/>
                    <w:bidi w:val="0"/>
                    <w:rPr>
                      <w:rFonts w:hint="default"/>
                      <w:color w:val="auto"/>
                    </w:rPr>
                  </w:pPr>
                  <w:r>
                    <w:rPr>
                      <w:rFonts w:hint="default"/>
                      <w:color w:val="auto"/>
                    </w:rPr>
                    <w:t>有组织排放总计</w:t>
                  </w:r>
                </w:p>
              </w:tc>
              <w:tc>
                <w:tcPr>
                  <w:tcW w:w="3164" w:type="pct"/>
                  <w:gridSpan w:val="3"/>
                  <w:tcBorders>
                    <w:tl2br w:val="nil"/>
                    <w:tr2bl w:val="nil"/>
                  </w:tcBorders>
                  <w:noWrap w:val="0"/>
                  <w:vAlign w:val="center"/>
                </w:tcPr>
                <w:p w14:paraId="3466EF9E">
                  <w:pPr>
                    <w:pStyle w:val="44"/>
                    <w:bidi w:val="0"/>
                    <w:rPr>
                      <w:rFonts w:hint="default"/>
                      <w:color w:val="auto"/>
                    </w:rPr>
                  </w:pPr>
                  <w:r>
                    <w:rPr>
                      <w:rFonts w:hint="eastAsia"/>
                      <w:color w:val="auto"/>
                      <w:lang w:val="en-US" w:eastAsia="zh-CN"/>
                    </w:rPr>
                    <w:t>颗粒物</w:t>
                  </w:r>
                </w:p>
              </w:tc>
              <w:tc>
                <w:tcPr>
                  <w:tcW w:w="1208" w:type="dxa"/>
                  <w:tcBorders>
                    <w:tl2br w:val="nil"/>
                    <w:tr2bl w:val="nil"/>
                  </w:tcBorders>
                  <w:noWrap w:val="0"/>
                  <w:vAlign w:val="center"/>
                </w:tcPr>
                <w:p w14:paraId="5E12FB21">
                  <w:pPr>
                    <w:pStyle w:val="44"/>
                    <w:bidi w:val="0"/>
                    <w:rPr>
                      <w:rFonts w:hint="default"/>
                      <w:color w:val="auto"/>
                      <w:lang w:val="en-US" w:eastAsia="zh-CN"/>
                    </w:rPr>
                  </w:pPr>
                  <w:r>
                    <w:rPr>
                      <w:rFonts w:hint="eastAsia"/>
                      <w:color w:val="auto"/>
                      <w:lang w:val="en-US" w:eastAsia="zh-CN"/>
                    </w:rPr>
                    <w:t>0.092</w:t>
                  </w:r>
                </w:p>
              </w:tc>
            </w:tr>
            <w:tr w14:paraId="3391962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081" w:type="pct"/>
                  <w:gridSpan w:val="2"/>
                  <w:vMerge w:val="continue"/>
                  <w:tcBorders>
                    <w:tl2br w:val="nil"/>
                    <w:tr2bl w:val="nil"/>
                  </w:tcBorders>
                  <w:noWrap w:val="0"/>
                  <w:vAlign w:val="center"/>
                </w:tcPr>
                <w:p w14:paraId="53456086">
                  <w:pPr>
                    <w:pStyle w:val="44"/>
                    <w:bidi w:val="0"/>
                    <w:rPr>
                      <w:rFonts w:hint="default"/>
                      <w:color w:val="auto"/>
                    </w:rPr>
                  </w:pPr>
                </w:p>
              </w:tc>
              <w:tc>
                <w:tcPr>
                  <w:tcW w:w="3164" w:type="pct"/>
                  <w:gridSpan w:val="3"/>
                  <w:tcBorders>
                    <w:tl2br w:val="nil"/>
                    <w:tr2bl w:val="nil"/>
                  </w:tcBorders>
                  <w:noWrap w:val="0"/>
                  <w:vAlign w:val="center"/>
                </w:tcPr>
                <w:p w14:paraId="7838DD85">
                  <w:pPr>
                    <w:pStyle w:val="44"/>
                    <w:bidi w:val="0"/>
                    <w:rPr>
                      <w:rFonts w:hint="default" w:ascii="Times New Roman" w:hAnsi="Times New Roman" w:eastAsia="宋体"/>
                      <w:color w:val="auto"/>
                      <w:kern w:val="2"/>
                      <w:sz w:val="21"/>
                      <w:szCs w:val="21"/>
                      <w:lang w:val="en-US" w:eastAsia="zh-CN" w:bidi="ar-SA"/>
                    </w:rPr>
                  </w:pPr>
                  <w:r>
                    <w:rPr>
                      <w:rFonts w:hint="default"/>
                      <w:color w:val="auto"/>
                      <w:lang w:eastAsia="zh-CN"/>
                    </w:rPr>
                    <w:t>VOCs</w:t>
                  </w:r>
                </w:p>
              </w:tc>
              <w:tc>
                <w:tcPr>
                  <w:tcW w:w="1208" w:type="dxa"/>
                  <w:tcBorders>
                    <w:tl2br w:val="nil"/>
                    <w:tr2bl w:val="nil"/>
                  </w:tcBorders>
                  <w:noWrap w:val="0"/>
                  <w:vAlign w:val="center"/>
                </w:tcPr>
                <w:p w14:paraId="5C7BC4C0">
                  <w:pPr>
                    <w:pStyle w:val="44"/>
                    <w:bidi w:val="0"/>
                    <w:rPr>
                      <w:rFonts w:hint="eastAsia" w:ascii="Times New Roman" w:hAnsi="Times New Roman" w:eastAsia="宋体"/>
                      <w:color w:val="auto"/>
                      <w:kern w:val="2"/>
                      <w:sz w:val="21"/>
                      <w:szCs w:val="21"/>
                      <w:lang w:val="en-US" w:eastAsia="zh-CN" w:bidi="ar-SA"/>
                    </w:rPr>
                  </w:pPr>
                  <w:r>
                    <w:rPr>
                      <w:rFonts w:hint="eastAsia"/>
                      <w:color w:val="auto"/>
                      <w:lang w:val="en-US" w:eastAsia="zh-CN"/>
                    </w:rPr>
                    <w:t>0.774</w:t>
                  </w:r>
                </w:p>
              </w:tc>
            </w:tr>
          </w:tbl>
          <w:p w14:paraId="7BEEDA9C">
            <w:pPr>
              <w:pStyle w:val="45"/>
              <w:bidi w:val="0"/>
              <w:rPr>
                <w:rFonts w:hint="default" w:ascii="Times New Roman" w:hAnsi="Times New Roman" w:cs="Times New Roman"/>
                <w:color w:val="auto"/>
              </w:rPr>
            </w:pPr>
            <w:r>
              <w:rPr>
                <w:rFonts w:hint="default" w:ascii="Times New Roman" w:hAnsi="Times New Roman" w:cs="Times New Roman"/>
                <w:color w:val="auto"/>
              </w:rPr>
              <w:t>表</w:t>
            </w:r>
            <w:r>
              <w:rPr>
                <w:rFonts w:hint="default" w:ascii="Times New Roman" w:hAnsi="Times New Roman" w:cs="Times New Roman"/>
                <w:color w:val="auto"/>
                <w:lang w:val="en-US" w:eastAsia="zh-CN"/>
              </w:rPr>
              <w:t>4-</w:t>
            </w:r>
            <w:r>
              <w:rPr>
                <w:rFonts w:hint="eastAsia" w:ascii="Times New Roman" w:hAnsi="Times New Roman" w:cs="Times New Roman"/>
                <w:color w:val="auto"/>
                <w:lang w:val="en-US" w:eastAsia="zh-CN"/>
              </w:rPr>
              <w:t xml:space="preserve">6 </w:t>
            </w:r>
            <w:r>
              <w:rPr>
                <w:rFonts w:hint="default" w:ascii="Times New Roman" w:hAnsi="Times New Roman" w:cs="Times New Roman"/>
                <w:color w:val="auto"/>
              </w:rPr>
              <w:t>大气污染物无组织排放量核算表</w:t>
            </w:r>
          </w:p>
          <w:tbl>
            <w:tblPr>
              <w:tblStyle w:val="33"/>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30"/>
              <w:gridCol w:w="690"/>
              <w:gridCol w:w="898"/>
              <w:gridCol w:w="805"/>
              <w:gridCol w:w="994"/>
              <w:gridCol w:w="1928"/>
              <w:gridCol w:w="1283"/>
              <w:gridCol w:w="987"/>
            </w:tblGrid>
            <w:tr w14:paraId="4796E2F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68" w:type="pct"/>
                  <w:vMerge w:val="restart"/>
                  <w:tcBorders>
                    <w:tl2br w:val="nil"/>
                    <w:tr2bl w:val="nil"/>
                  </w:tcBorders>
                  <w:noWrap w:val="0"/>
                  <w:vAlign w:val="center"/>
                </w:tcPr>
                <w:p w14:paraId="0EDDB644">
                  <w:pPr>
                    <w:pStyle w:val="44"/>
                    <w:bidi w:val="0"/>
                    <w:rPr>
                      <w:rFonts w:hint="default" w:ascii="Times New Roman" w:hAnsi="Times New Roman" w:cs="Times New Roman"/>
                      <w:b/>
                      <w:bCs/>
                      <w:color w:val="auto"/>
                    </w:rPr>
                  </w:pPr>
                  <w:r>
                    <w:rPr>
                      <w:rFonts w:hint="default" w:ascii="Times New Roman" w:hAnsi="Times New Roman" w:cs="Times New Roman"/>
                      <w:b/>
                      <w:bCs/>
                      <w:color w:val="auto"/>
                    </w:rPr>
                    <w:t>序号</w:t>
                  </w:r>
                </w:p>
              </w:tc>
              <w:tc>
                <w:tcPr>
                  <w:tcW w:w="430" w:type="pct"/>
                  <w:vMerge w:val="restart"/>
                  <w:tcBorders>
                    <w:tl2br w:val="nil"/>
                    <w:tr2bl w:val="nil"/>
                  </w:tcBorders>
                  <w:noWrap w:val="0"/>
                  <w:vAlign w:val="center"/>
                </w:tcPr>
                <w:p w14:paraId="0C8238BB">
                  <w:pPr>
                    <w:pStyle w:val="44"/>
                    <w:bidi w:val="0"/>
                    <w:jc w:val="both"/>
                    <w:rPr>
                      <w:rFonts w:hint="default" w:ascii="Times New Roman" w:hAnsi="Times New Roman" w:eastAsia="宋体" w:cs="Times New Roman"/>
                      <w:b/>
                      <w:bCs/>
                      <w:color w:val="auto"/>
                      <w:lang w:val="en-US" w:eastAsia="zh-CN"/>
                    </w:rPr>
                  </w:pPr>
                  <w:r>
                    <w:rPr>
                      <w:rFonts w:hint="eastAsia" w:cs="Times New Roman"/>
                      <w:b/>
                      <w:bCs/>
                      <w:color w:val="auto"/>
                      <w:lang w:val="en-US" w:eastAsia="zh-CN"/>
                    </w:rPr>
                    <w:t>污染源</w:t>
                  </w:r>
                </w:p>
              </w:tc>
              <w:tc>
                <w:tcPr>
                  <w:tcW w:w="560" w:type="pct"/>
                  <w:vMerge w:val="restart"/>
                  <w:tcBorders>
                    <w:tl2br w:val="nil"/>
                    <w:tr2bl w:val="nil"/>
                  </w:tcBorders>
                  <w:noWrap w:val="0"/>
                  <w:vAlign w:val="center"/>
                </w:tcPr>
                <w:p w14:paraId="51EF2BDC">
                  <w:pPr>
                    <w:pStyle w:val="44"/>
                    <w:bidi w:val="0"/>
                    <w:rPr>
                      <w:rFonts w:hint="default" w:ascii="Times New Roman" w:hAnsi="Times New Roman" w:cs="Times New Roman"/>
                      <w:b/>
                      <w:bCs/>
                      <w:color w:val="auto"/>
                    </w:rPr>
                  </w:pPr>
                  <w:r>
                    <w:rPr>
                      <w:rFonts w:hint="default" w:ascii="Times New Roman" w:hAnsi="Times New Roman" w:cs="Times New Roman"/>
                      <w:b/>
                      <w:bCs/>
                      <w:color w:val="auto"/>
                    </w:rPr>
                    <w:t>污染物</w:t>
                  </w:r>
                </w:p>
              </w:tc>
              <w:tc>
                <w:tcPr>
                  <w:tcW w:w="502" w:type="pct"/>
                  <w:vMerge w:val="restart"/>
                  <w:tcBorders>
                    <w:tl2br w:val="nil"/>
                    <w:tr2bl w:val="nil"/>
                  </w:tcBorders>
                  <w:noWrap w:val="0"/>
                  <w:vAlign w:val="center"/>
                </w:tcPr>
                <w:p w14:paraId="3E83D29C">
                  <w:pPr>
                    <w:pStyle w:val="44"/>
                    <w:bidi w:val="0"/>
                    <w:rPr>
                      <w:rFonts w:hint="default" w:ascii="Times New Roman" w:hAnsi="Times New Roman" w:cs="Times New Roman"/>
                      <w:b/>
                      <w:bCs/>
                      <w:color w:val="auto"/>
                    </w:rPr>
                  </w:pPr>
                  <w:r>
                    <w:rPr>
                      <w:rFonts w:hint="default" w:ascii="Times New Roman" w:hAnsi="Times New Roman" w:cs="Times New Roman"/>
                      <w:b/>
                      <w:bCs/>
                      <w:color w:val="auto"/>
                    </w:rPr>
                    <w:t>产污环节</w:t>
                  </w:r>
                </w:p>
              </w:tc>
              <w:tc>
                <w:tcPr>
                  <w:tcW w:w="620" w:type="pct"/>
                  <w:vMerge w:val="restart"/>
                  <w:tcBorders>
                    <w:tl2br w:val="nil"/>
                    <w:tr2bl w:val="nil"/>
                  </w:tcBorders>
                  <w:noWrap w:val="0"/>
                  <w:vAlign w:val="center"/>
                </w:tcPr>
                <w:p w14:paraId="4B99D5FB">
                  <w:pPr>
                    <w:pStyle w:val="44"/>
                    <w:bidi w:val="0"/>
                    <w:rPr>
                      <w:rFonts w:hint="default" w:ascii="Times New Roman" w:hAnsi="Times New Roman" w:cs="Times New Roman"/>
                      <w:b/>
                      <w:bCs/>
                      <w:color w:val="auto"/>
                    </w:rPr>
                  </w:pPr>
                  <w:r>
                    <w:rPr>
                      <w:rFonts w:hint="default" w:ascii="Times New Roman" w:hAnsi="Times New Roman" w:cs="Times New Roman"/>
                      <w:b/>
                      <w:bCs/>
                      <w:color w:val="auto"/>
                    </w:rPr>
                    <w:t>主要污染防治措施</w:t>
                  </w:r>
                </w:p>
              </w:tc>
              <w:tc>
                <w:tcPr>
                  <w:tcW w:w="2003" w:type="pct"/>
                  <w:gridSpan w:val="2"/>
                  <w:tcBorders>
                    <w:tl2br w:val="nil"/>
                    <w:tr2bl w:val="nil"/>
                  </w:tcBorders>
                  <w:noWrap w:val="0"/>
                  <w:vAlign w:val="center"/>
                </w:tcPr>
                <w:p w14:paraId="07A1BCE1">
                  <w:pPr>
                    <w:pStyle w:val="44"/>
                    <w:bidi w:val="0"/>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国家或地方污染物排放标准</w:t>
                  </w:r>
                </w:p>
              </w:tc>
              <w:tc>
                <w:tcPr>
                  <w:tcW w:w="615" w:type="pct"/>
                  <w:vMerge w:val="restart"/>
                  <w:tcBorders>
                    <w:tl2br w:val="nil"/>
                    <w:tr2bl w:val="nil"/>
                  </w:tcBorders>
                  <w:noWrap w:val="0"/>
                  <w:vAlign w:val="center"/>
                </w:tcPr>
                <w:p w14:paraId="7BAA6460">
                  <w:pPr>
                    <w:pStyle w:val="44"/>
                    <w:bidi w:val="0"/>
                    <w:rPr>
                      <w:rFonts w:hint="default" w:ascii="Times New Roman" w:hAnsi="Times New Roman" w:cs="Times New Roman"/>
                      <w:b/>
                      <w:bCs/>
                      <w:color w:val="auto"/>
                    </w:rPr>
                  </w:pPr>
                  <w:r>
                    <w:rPr>
                      <w:rFonts w:hint="default" w:ascii="Times New Roman" w:hAnsi="Times New Roman" w:cs="Times New Roman"/>
                      <w:b/>
                      <w:bCs/>
                      <w:color w:val="auto"/>
                    </w:rPr>
                    <w:t>核算排放量t/a</w:t>
                  </w:r>
                </w:p>
              </w:tc>
            </w:tr>
            <w:tr w14:paraId="761057A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68" w:type="pct"/>
                  <w:vMerge w:val="continue"/>
                  <w:tcBorders>
                    <w:tl2br w:val="nil"/>
                    <w:tr2bl w:val="nil"/>
                  </w:tcBorders>
                  <w:noWrap w:val="0"/>
                  <w:vAlign w:val="center"/>
                </w:tcPr>
                <w:p w14:paraId="7A61E948">
                  <w:pPr>
                    <w:pStyle w:val="44"/>
                    <w:bidi w:val="0"/>
                    <w:rPr>
                      <w:rFonts w:hint="default" w:ascii="Times New Roman" w:hAnsi="Times New Roman" w:cs="Times New Roman"/>
                      <w:color w:val="auto"/>
                    </w:rPr>
                  </w:pPr>
                </w:p>
              </w:tc>
              <w:tc>
                <w:tcPr>
                  <w:tcW w:w="430" w:type="pct"/>
                  <w:vMerge w:val="continue"/>
                  <w:tcBorders>
                    <w:tl2br w:val="nil"/>
                    <w:tr2bl w:val="nil"/>
                  </w:tcBorders>
                  <w:noWrap w:val="0"/>
                  <w:vAlign w:val="center"/>
                </w:tcPr>
                <w:p w14:paraId="7E59E838">
                  <w:pPr>
                    <w:pStyle w:val="44"/>
                    <w:bidi w:val="0"/>
                    <w:rPr>
                      <w:rFonts w:hint="default" w:ascii="Times New Roman" w:hAnsi="Times New Roman" w:cs="Times New Roman"/>
                      <w:color w:val="auto"/>
                    </w:rPr>
                  </w:pPr>
                </w:p>
              </w:tc>
              <w:tc>
                <w:tcPr>
                  <w:tcW w:w="560" w:type="pct"/>
                  <w:vMerge w:val="continue"/>
                  <w:tcBorders>
                    <w:tl2br w:val="nil"/>
                    <w:tr2bl w:val="nil"/>
                  </w:tcBorders>
                  <w:noWrap w:val="0"/>
                  <w:vAlign w:val="center"/>
                </w:tcPr>
                <w:p w14:paraId="01B8C727">
                  <w:pPr>
                    <w:pStyle w:val="44"/>
                    <w:bidi w:val="0"/>
                    <w:rPr>
                      <w:rFonts w:hint="default" w:ascii="Times New Roman" w:hAnsi="Times New Roman" w:cs="Times New Roman"/>
                      <w:color w:val="auto"/>
                    </w:rPr>
                  </w:pPr>
                </w:p>
              </w:tc>
              <w:tc>
                <w:tcPr>
                  <w:tcW w:w="502" w:type="pct"/>
                  <w:vMerge w:val="continue"/>
                  <w:tcBorders>
                    <w:tl2br w:val="nil"/>
                    <w:tr2bl w:val="nil"/>
                  </w:tcBorders>
                  <w:noWrap w:val="0"/>
                  <w:vAlign w:val="center"/>
                </w:tcPr>
                <w:p w14:paraId="4888F212">
                  <w:pPr>
                    <w:pStyle w:val="44"/>
                    <w:bidi w:val="0"/>
                    <w:rPr>
                      <w:rFonts w:hint="default" w:ascii="Times New Roman" w:hAnsi="Times New Roman" w:cs="Times New Roman"/>
                      <w:color w:val="auto"/>
                    </w:rPr>
                  </w:pPr>
                </w:p>
              </w:tc>
              <w:tc>
                <w:tcPr>
                  <w:tcW w:w="620" w:type="pct"/>
                  <w:vMerge w:val="continue"/>
                  <w:tcBorders>
                    <w:tl2br w:val="nil"/>
                    <w:tr2bl w:val="nil"/>
                  </w:tcBorders>
                  <w:noWrap w:val="0"/>
                  <w:vAlign w:val="center"/>
                </w:tcPr>
                <w:p w14:paraId="76982AA7">
                  <w:pPr>
                    <w:pStyle w:val="44"/>
                    <w:bidi w:val="0"/>
                    <w:rPr>
                      <w:rFonts w:hint="default" w:ascii="Times New Roman" w:hAnsi="Times New Roman" w:cs="Times New Roman"/>
                      <w:color w:val="auto"/>
                    </w:rPr>
                  </w:pPr>
                </w:p>
              </w:tc>
              <w:tc>
                <w:tcPr>
                  <w:tcW w:w="1202" w:type="pct"/>
                  <w:tcBorders>
                    <w:tl2br w:val="nil"/>
                    <w:tr2bl w:val="nil"/>
                  </w:tcBorders>
                  <w:noWrap w:val="0"/>
                  <w:vAlign w:val="center"/>
                </w:tcPr>
                <w:p w14:paraId="3158F955">
                  <w:pPr>
                    <w:pStyle w:val="44"/>
                    <w:bidi w:val="0"/>
                    <w:rPr>
                      <w:rFonts w:hint="default" w:ascii="Times New Roman" w:hAnsi="Times New Roman" w:cs="Times New Roman"/>
                      <w:b/>
                      <w:bCs/>
                      <w:color w:val="auto"/>
                    </w:rPr>
                  </w:pPr>
                  <w:r>
                    <w:rPr>
                      <w:rFonts w:hint="default" w:ascii="Times New Roman" w:hAnsi="Times New Roman" w:cs="Times New Roman"/>
                      <w:b/>
                      <w:bCs/>
                      <w:color w:val="auto"/>
                    </w:rPr>
                    <w:t>标准名称</w:t>
                  </w:r>
                </w:p>
              </w:tc>
              <w:tc>
                <w:tcPr>
                  <w:tcW w:w="800" w:type="pct"/>
                  <w:tcBorders>
                    <w:tl2br w:val="nil"/>
                    <w:tr2bl w:val="nil"/>
                  </w:tcBorders>
                  <w:noWrap w:val="0"/>
                  <w:vAlign w:val="center"/>
                </w:tcPr>
                <w:p w14:paraId="042D3EAB">
                  <w:pPr>
                    <w:pStyle w:val="44"/>
                    <w:bidi w:val="0"/>
                    <w:spacing w:line="240" w:lineRule="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浓度限值</w:t>
                  </w:r>
                  <w:r>
                    <w:rPr>
                      <w:rFonts w:hint="default" w:ascii="Times New Roman" w:hAnsi="Times New Roman" w:cs="Times New Roman"/>
                      <w:b/>
                      <w:bCs/>
                      <w:color w:val="auto"/>
                    </w:rPr>
                    <w:t>mg/m</w:t>
                  </w:r>
                  <w:r>
                    <w:rPr>
                      <w:rFonts w:hint="default" w:ascii="Times New Roman" w:hAnsi="Times New Roman" w:cs="Times New Roman"/>
                      <w:b/>
                      <w:bCs/>
                      <w:color w:val="auto"/>
                      <w:vertAlign w:val="superscript"/>
                    </w:rPr>
                    <w:t>3</w:t>
                  </w:r>
                </w:p>
              </w:tc>
              <w:tc>
                <w:tcPr>
                  <w:tcW w:w="615" w:type="pct"/>
                  <w:vMerge w:val="continue"/>
                  <w:tcBorders>
                    <w:tl2br w:val="nil"/>
                    <w:tr2bl w:val="nil"/>
                  </w:tcBorders>
                  <w:noWrap w:val="0"/>
                  <w:vAlign w:val="center"/>
                </w:tcPr>
                <w:p w14:paraId="277EE805">
                  <w:pPr>
                    <w:pStyle w:val="44"/>
                    <w:bidi w:val="0"/>
                    <w:rPr>
                      <w:rFonts w:hint="default" w:ascii="Times New Roman" w:hAnsi="Times New Roman" w:cs="Times New Roman"/>
                      <w:color w:val="auto"/>
                    </w:rPr>
                  </w:pPr>
                </w:p>
              </w:tc>
            </w:tr>
            <w:tr w14:paraId="7EC53CF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68" w:type="pct"/>
                  <w:vMerge w:val="restart"/>
                  <w:tcBorders>
                    <w:tl2br w:val="nil"/>
                    <w:tr2bl w:val="nil"/>
                  </w:tcBorders>
                  <w:noWrap w:val="0"/>
                  <w:vAlign w:val="center"/>
                </w:tcPr>
                <w:p w14:paraId="07423DAE">
                  <w:pPr>
                    <w:pStyle w:val="44"/>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w:t>
                  </w:r>
                </w:p>
              </w:tc>
              <w:tc>
                <w:tcPr>
                  <w:tcW w:w="430" w:type="pct"/>
                  <w:vMerge w:val="restart"/>
                  <w:tcBorders>
                    <w:tl2br w:val="nil"/>
                    <w:tr2bl w:val="nil"/>
                  </w:tcBorders>
                  <w:noWrap w:val="0"/>
                  <w:vAlign w:val="center"/>
                </w:tcPr>
                <w:p w14:paraId="39150013">
                  <w:pPr>
                    <w:pStyle w:val="44"/>
                    <w:bidi w:val="0"/>
                    <w:rPr>
                      <w:rFonts w:hint="default" w:ascii="Times New Roman" w:hAnsi="Times New Roman" w:cs="Times New Roman"/>
                      <w:color w:val="auto"/>
                      <w:lang w:val="en-US" w:eastAsia="zh-CN"/>
                    </w:rPr>
                  </w:pPr>
                  <w:r>
                    <w:rPr>
                      <w:rFonts w:hint="eastAsia"/>
                      <w:color w:val="auto"/>
                      <w:sz w:val="21"/>
                      <w:szCs w:val="21"/>
                      <w:lang w:val="en-US" w:eastAsia="zh-CN"/>
                    </w:rPr>
                    <w:t>生产车间</w:t>
                  </w:r>
                </w:p>
              </w:tc>
              <w:tc>
                <w:tcPr>
                  <w:tcW w:w="560" w:type="pct"/>
                  <w:tcBorders>
                    <w:tl2br w:val="nil"/>
                    <w:tr2bl w:val="nil"/>
                  </w:tcBorders>
                  <w:noWrap w:val="0"/>
                  <w:vAlign w:val="center"/>
                </w:tcPr>
                <w:p w14:paraId="29F643A8">
                  <w:pPr>
                    <w:pStyle w:val="44"/>
                    <w:bidi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颗粒物</w:t>
                  </w:r>
                </w:p>
              </w:tc>
              <w:tc>
                <w:tcPr>
                  <w:tcW w:w="502" w:type="pct"/>
                  <w:tcBorders>
                    <w:tl2br w:val="nil"/>
                    <w:tr2bl w:val="nil"/>
                  </w:tcBorders>
                  <w:noWrap w:val="0"/>
                  <w:vAlign w:val="center"/>
                </w:tcPr>
                <w:p w14:paraId="2EC06CF6">
                  <w:pPr>
                    <w:pStyle w:val="44"/>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投料</w:t>
                  </w:r>
                </w:p>
              </w:tc>
              <w:tc>
                <w:tcPr>
                  <w:tcW w:w="620" w:type="pct"/>
                  <w:tcBorders>
                    <w:tl2br w:val="nil"/>
                    <w:tr2bl w:val="nil"/>
                  </w:tcBorders>
                  <w:noWrap w:val="0"/>
                  <w:vAlign w:val="center"/>
                </w:tcPr>
                <w:p w14:paraId="397D2BF4">
                  <w:pPr>
                    <w:pStyle w:val="44"/>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加强车间密闭</w:t>
                  </w:r>
                </w:p>
              </w:tc>
              <w:tc>
                <w:tcPr>
                  <w:tcW w:w="1202" w:type="pct"/>
                  <w:tcBorders>
                    <w:tl2br w:val="nil"/>
                    <w:tr2bl w:val="nil"/>
                  </w:tcBorders>
                  <w:noWrap w:val="0"/>
                  <w:vAlign w:val="center"/>
                </w:tcPr>
                <w:p w14:paraId="6A6E59BF">
                  <w:pPr>
                    <w:pStyle w:val="44"/>
                    <w:bidi w:val="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GB16297-1996</w:t>
                  </w:r>
                </w:p>
              </w:tc>
              <w:tc>
                <w:tcPr>
                  <w:tcW w:w="800" w:type="pct"/>
                  <w:tcBorders>
                    <w:tl2br w:val="nil"/>
                    <w:tr2bl w:val="nil"/>
                  </w:tcBorders>
                  <w:noWrap w:val="0"/>
                  <w:vAlign w:val="center"/>
                </w:tcPr>
                <w:p w14:paraId="12DAD20D">
                  <w:pPr>
                    <w:pStyle w:val="44"/>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1.0</w:t>
                  </w:r>
                </w:p>
              </w:tc>
              <w:tc>
                <w:tcPr>
                  <w:tcW w:w="615" w:type="pct"/>
                  <w:tcBorders>
                    <w:tl2br w:val="nil"/>
                    <w:tr2bl w:val="nil"/>
                  </w:tcBorders>
                  <w:noWrap w:val="0"/>
                  <w:vAlign w:val="center"/>
                </w:tcPr>
                <w:p w14:paraId="02BD53F9">
                  <w:pPr>
                    <w:pStyle w:val="44"/>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0.408</w:t>
                  </w:r>
                </w:p>
              </w:tc>
            </w:tr>
            <w:tr w14:paraId="2A6DD7D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68" w:type="pct"/>
                  <w:vMerge w:val="continue"/>
                  <w:tcBorders>
                    <w:tl2br w:val="nil"/>
                    <w:tr2bl w:val="nil"/>
                  </w:tcBorders>
                  <w:noWrap w:val="0"/>
                  <w:vAlign w:val="center"/>
                </w:tcPr>
                <w:p w14:paraId="7A60705B">
                  <w:pPr>
                    <w:pStyle w:val="44"/>
                    <w:bidi w:val="0"/>
                    <w:rPr>
                      <w:rFonts w:hint="default" w:ascii="Times New Roman" w:hAnsi="Times New Roman" w:cs="Times New Roman"/>
                      <w:color w:val="auto"/>
                      <w:lang w:val="en-US" w:eastAsia="zh-CN"/>
                    </w:rPr>
                  </w:pPr>
                </w:p>
              </w:tc>
              <w:tc>
                <w:tcPr>
                  <w:tcW w:w="430" w:type="pct"/>
                  <w:vMerge w:val="continue"/>
                  <w:tcBorders>
                    <w:tl2br w:val="nil"/>
                    <w:tr2bl w:val="nil"/>
                  </w:tcBorders>
                  <w:noWrap w:val="0"/>
                  <w:vAlign w:val="center"/>
                </w:tcPr>
                <w:p w14:paraId="740DCB80">
                  <w:pPr>
                    <w:pStyle w:val="44"/>
                    <w:bidi w:val="0"/>
                    <w:rPr>
                      <w:rFonts w:hint="eastAsia"/>
                      <w:color w:val="auto"/>
                      <w:sz w:val="21"/>
                      <w:szCs w:val="21"/>
                      <w:lang w:val="en-US" w:eastAsia="zh-CN"/>
                    </w:rPr>
                  </w:pPr>
                </w:p>
              </w:tc>
              <w:tc>
                <w:tcPr>
                  <w:tcW w:w="560" w:type="pct"/>
                  <w:tcBorders>
                    <w:tl2br w:val="nil"/>
                    <w:tr2bl w:val="nil"/>
                  </w:tcBorders>
                  <w:noWrap w:val="0"/>
                  <w:vAlign w:val="center"/>
                </w:tcPr>
                <w:p w14:paraId="6FCB86B6">
                  <w:pPr>
                    <w:pStyle w:val="44"/>
                    <w:bidi w:val="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VOCs</w:t>
                  </w:r>
                </w:p>
              </w:tc>
              <w:tc>
                <w:tcPr>
                  <w:tcW w:w="502" w:type="pct"/>
                  <w:tcBorders>
                    <w:tl2br w:val="nil"/>
                    <w:tr2bl w:val="nil"/>
                  </w:tcBorders>
                  <w:noWrap w:val="0"/>
                  <w:vAlign w:val="center"/>
                </w:tcPr>
                <w:p w14:paraId="29765C7E">
                  <w:pPr>
                    <w:pStyle w:val="44"/>
                    <w:bidi w:val="0"/>
                    <w:rPr>
                      <w:rFonts w:hint="default" w:cs="Times New Roman"/>
                      <w:color w:val="auto"/>
                      <w:lang w:val="en-US" w:eastAsia="zh-CN"/>
                    </w:rPr>
                  </w:pPr>
                  <w:r>
                    <w:rPr>
                      <w:rFonts w:hint="eastAsia" w:cs="Times New Roman"/>
                      <w:color w:val="auto"/>
                      <w:lang w:val="en-US" w:eastAsia="zh-CN"/>
                    </w:rPr>
                    <w:t>搅拌、抽真空、出料等</w:t>
                  </w:r>
                </w:p>
              </w:tc>
              <w:tc>
                <w:tcPr>
                  <w:tcW w:w="620" w:type="pct"/>
                  <w:tcBorders>
                    <w:tl2br w:val="nil"/>
                    <w:tr2bl w:val="nil"/>
                  </w:tcBorders>
                  <w:noWrap w:val="0"/>
                  <w:vAlign w:val="center"/>
                </w:tcPr>
                <w:p w14:paraId="20DF5DE5">
                  <w:pPr>
                    <w:pStyle w:val="44"/>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辅料密闭储存、</w:t>
                  </w:r>
                  <w:r>
                    <w:rPr>
                      <w:rFonts w:hint="eastAsia" w:ascii="Times New Roman" w:hAnsi="Times New Roman" w:cs="Times New Roman"/>
                      <w:color w:val="auto"/>
                      <w:lang w:val="en-US" w:eastAsia="zh-CN"/>
                    </w:rPr>
                    <w:t>加强车间密闭</w:t>
                  </w:r>
                </w:p>
              </w:tc>
              <w:tc>
                <w:tcPr>
                  <w:tcW w:w="1202" w:type="pct"/>
                  <w:tcBorders>
                    <w:tl2br w:val="nil"/>
                    <w:tr2bl w:val="nil"/>
                  </w:tcBorders>
                  <w:noWrap w:val="0"/>
                  <w:vAlign w:val="center"/>
                </w:tcPr>
                <w:p w14:paraId="76BE6A38">
                  <w:pPr>
                    <w:pStyle w:val="44"/>
                    <w:bidi w:val="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DB37/2801.6-2018</w:t>
                  </w:r>
                </w:p>
              </w:tc>
              <w:tc>
                <w:tcPr>
                  <w:tcW w:w="800" w:type="pct"/>
                  <w:tcBorders>
                    <w:tl2br w:val="nil"/>
                    <w:tr2bl w:val="nil"/>
                  </w:tcBorders>
                  <w:noWrap w:val="0"/>
                  <w:vAlign w:val="center"/>
                </w:tcPr>
                <w:p w14:paraId="2D10A44F">
                  <w:pPr>
                    <w:pStyle w:val="44"/>
                    <w:bidi w:val="0"/>
                    <w:rPr>
                      <w:rFonts w:hint="eastAsia" w:cs="Times New Roman"/>
                      <w:color w:val="auto"/>
                      <w:lang w:val="en-US" w:eastAsia="zh-CN"/>
                    </w:rPr>
                  </w:pPr>
                  <w:r>
                    <w:rPr>
                      <w:rFonts w:hint="eastAsia" w:cs="Times New Roman"/>
                      <w:color w:val="auto"/>
                      <w:lang w:val="en-US" w:eastAsia="zh-CN"/>
                    </w:rPr>
                    <w:t>2.0</w:t>
                  </w:r>
                </w:p>
              </w:tc>
              <w:tc>
                <w:tcPr>
                  <w:tcW w:w="615" w:type="pct"/>
                  <w:tcBorders>
                    <w:tl2br w:val="nil"/>
                    <w:tr2bl w:val="nil"/>
                  </w:tcBorders>
                  <w:noWrap w:val="0"/>
                  <w:vAlign w:val="center"/>
                </w:tcPr>
                <w:p w14:paraId="27212BAF">
                  <w:pPr>
                    <w:pStyle w:val="44"/>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0.86</w:t>
                  </w:r>
                </w:p>
              </w:tc>
            </w:tr>
            <w:tr w14:paraId="6B89409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381" w:type="pct"/>
                  <w:gridSpan w:val="5"/>
                  <w:vMerge w:val="restart"/>
                  <w:tcBorders>
                    <w:tl2br w:val="nil"/>
                    <w:tr2bl w:val="nil"/>
                  </w:tcBorders>
                  <w:noWrap w:val="0"/>
                  <w:vAlign w:val="center"/>
                </w:tcPr>
                <w:p w14:paraId="54EFD3D9">
                  <w:pPr>
                    <w:pStyle w:val="44"/>
                    <w:bidi w:val="0"/>
                    <w:rPr>
                      <w:rFonts w:hint="default" w:ascii="Times New Roman" w:hAnsi="Times New Roman" w:cs="Times New Roman"/>
                      <w:color w:val="auto"/>
                    </w:rPr>
                  </w:pPr>
                  <w:r>
                    <w:rPr>
                      <w:rFonts w:hint="default" w:ascii="Times New Roman" w:hAnsi="Times New Roman" w:cs="Times New Roman"/>
                      <w:color w:val="auto"/>
                    </w:rPr>
                    <w:t>无组织排放总计</w:t>
                  </w:r>
                </w:p>
              </w:tc>
              <w:tc>
                <w:tcPr>
                  <w:tcW w:w="2003" w:type="pct"/>
                  <w:gridSpan w:val="2"/>
                  <w:tcBorders>
                    <w:tl2br w:val="nil"/>
                    <w:tr2bl w:val="nil"/>
                  </w:tcBorders>
                  <w:noWrap w:val="0"/>
                  <w:vAlign w:val="center"/>
                </w:tcPr>
                <w:p w14:paraId="616EB333">
                  <w:pPr>
                    <w:pStyle w:val="44"/>
                    <w:bidi w:val="0"/>
                    <w:rPr>
                      <w:rFonts w:hint="eastAsia" w:ascii="Times New Roman" w:hAnsi="Times New Roman" w:cs="Times New Roman"/>
                      <w:color w:val="auto"/>
                      <w:lang w:val="en-US" w:eastAsia="zh-CN"/>
                    </w:rPr>
                  </w:pPr>
                  <w:r>
                    <w:rPr>
                      <w:rFonts w:hint="eastAsia" w:ascii="Times New Roman" w:hAnsi="Times New Roman" w:eastAsia="宋体" w:cs="Times New Roman"/>
                      <w:color w:val="auto"/>
                      <w:lang w:val="en-US" w:eastAsia="zh-CN"/>
                    </w:rPr>
                    <w:t>颗粒物</w:t>
                  </w:r>
                </w:p>
              </w:tc>
              <w:tc>
                <w:tcPr>
                  <w:tcW w:w="615" w:type="pct"/>
                  <w:tcBorders>
                    <w:tl2br w:val="nil"/>
                    <w:tr2bl w:val="nil"/>
                  </w:tcBorders>
                  <w:noWrap w:val="0"/>
                  <w:vAlign w:val="center"/>
                </w:tcPr>
                <w:p w14:paraId="48B8726D">
                  <w:pPr>
                    <w:pStyle w:val="44"/>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0.408</w:t>
                  </w:r>
                </w:p>
              </w:tc>
            </w:tr>
            <w:tr w14:paraId="4C273CC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381" w:type="pct"/>
                  <w:gridSpan w:val="5"/>
                  <w:vMerge w:val="continue"/>
                  <w:tcBorders>
                    <w:tl2br w:val="nil"/>
                    <w:tr2bl w:val="nil"/>
                  </w:tcBorders>
                  <w:noWrap w:val="0"/>
                  <w:vAlign w:val="center"/>
                </w:tcPr>
                <w:p w14:paraId="6D370B46">
                  <w:pPr>
                    <w:pStyle w:val="44"/>
                    <w:bidi w:val="0"/>
                    <w:rPr>
                      <w:rFonts w:hint="default" w:ascii="Times New Roman" w:hAnsi="Times New Roman" w:cs="Times New Roman"/>
                      <w:color w:val="auto"/>
                    </w:rPr>
                  </w:pPr>
                </w:p>
              </w:tc>
              <w:tc>
                <w:tcPr>
                  <w:tcW w:w="2003" w:type="pct"/>
                  <w:gridSpan w:val="2"/>
                  <w:tcBorders>
                    <w:tl2br w:val="nil"/>
                    <w:tr2bl w:val="nil"/>
                  </w:tcBorders>
                  <w:noWrap w:val="0"/>
                  <w:vAlign w:val="center"/>
                </w:tcPr>
                <w:p w14:paraId="12C54413">
                  <w:pPr>
                    <w:pStyle w:val="44"/>
                    <w:bidi w:val="0"/>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VOCs</w:t>
                  </w:r>
                </w:p>
              </w:tc>
              <w:tc>
                <w:tcPr>
                  <w:tcW w:w="615" w:type="pct"/>
                  <w:tcBorders>
                    <w:tl2br w:val="nil"/>
                    <w:tr2bl w:val="nil"/>
                  </w:tcBorders>
                  <w:noWrap w:val="0"/>
                  <w:vAlign w:val="center"/>
                </w:tcPr>
                <w:p w14:paraId="56D01382">
                  <w:pPr>
                    <w:pStyle w:val="44"/>
                    <w:bidi w:val="0"/>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0.86</w:t>
                  </w:r>
                </w:p>
              </w:tc>
            </w:tr>
          </w:tbl>
          <w:p w14:paraId="5E124BE1">
            <w:pPr>
              <w:pStyle w:val="5"/>
              <w:numPr>
                <w:ilvl w:val="0"/>
                <w:numId w:val="0"/>
              </w:numPr>
              <w:bidi w:val="0"/>
              <w:ind w:leftChars="20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3</w:t>
            </w:r>
            <w:r>
              <w:rPr>
                <w:rFonts w:hint="default" w:ascii="Times New Roman" w:hAnsi="Times New Roman" w:cs="Times New Roman"/>
                <w:color w:val="auto"/>
                <w:lang w:val="en-US" w:eastAsia="zh-CN"/>
              </w:rPr>
              <w:t>、废气治理设施可行性分析</w:t>
            </w:r>
          </w:p>
          <w:p w14:paraId="12589435">
            <w:pPr>
              <w:ind w:firstLine="480" w:firstLineChars="200"/>
              <w:rPr>
                <w:rFonts w:hint="default" w:ascii="Times New Roman" w:hAnsi="Times New Roman" w:cs="Times New Roman"/>
                <w:color w:val="auto"/>
                <w:szCs w:val="24"/>
              </w:rPr>
            </w:pPr>
            <w:r>
              <w:rPr>
                <w:rFonts w:hint="eastAsia" w:ascii="Times New Roman" w:hAnsi="Times New Roman" w:eastAsia="宋体" w:cs="Times New Roman"/>
                <w:color w:val="auto"/>
                <w:sz w:val="24"/>
                <w:szCs w:val="24"/>
                <w:lang w:val="en-US" w:eastAsia="zh-CN"/>
              </w:rPr>
              <w:t>本项目属于“密封用填料及类似品制造业”，根据《排污许可证申请与核发技术规范 涂料、油墨、颜料及类似产品制造业》（HJ1116-2020）中附录A“表A3排污单位废气治理可行技术参照表-D密封用填料及类似品”，</w:t>
            </w:r>
            <w:r>
              <w:rPr>
                <w:rFonts w:hint="default" w:ascii="Times New Roman" w:hAnsi="Times New Roman" w:eastAsia="宋体" w:cs="Times New Roman"/>
                <w:color w:val="auto"/>
                <w:sz w:val="24"/>
                <w:szCs w:val="24"/>
                <w:lang w:eastAsia="zh-CN"/>
              </w:rPr>
              <w:t>项目废气防治可行性技术参考见</w:t>
            </w:r>
            <w:r>
              <w:rPr>
                <w:rFonts w:hint="default" w:ascii="Times New Roman" w:hAnsi="Times New Roman" w:eastAsia="宋体" w:cs="Times New Roman"/>
                <w:color w:val="auto"/>
                <w:sz w:val="24"/>
                <w:szCs w:val="24"/>
                <w:lang w:val="en-US" w:eastAsia="zh-CN"/>
              </w:rPr>
              <w:t>下</w:t>
            </w:r>
            <w:r>
              <w:rPr>
                <w:rFonts w:hint="default" w:ascii="Times New Roman" w:hAnsi="Times New Roman" w:eastAsia="宋体" w:cs="Times New Roman"/>
                <w:color w:val="auto"/>
                <w:sz w:val="24"/>
                <w:szCs w:val="24"/>
                <w:lang w:eastAsia="zh-CN"/>
              </w:rPr>
              <w:t>表。</w:t>
            </w:r>
          </w:p>
          <w:p w14:paraId="07355FD3">
            <w:pPr>
              <w:rPr>
                <w:rFonts w:hint="eastAsia" w:ascii="Times New Roman" w:hAnsi="Times New Roman" w:eastAsia="宋体" w:cs="Times New Roman"/>
                <w:color w:val="auto"/>
                <w:sz w:val="24"/>
                <w:szCs w:val="24"/>
                <w:lang w:val="en-US" w:eastAsia="zh-CN"/>
              </w:rPr>
            </w:pPr>
            <w:r>
              <w:rPr>
                <w:color w:val="auto"/>
              </w:rPr>
              <w:drawing>
                <wp:inline distT="0" distB="0" distL="114300" distR="114300">
                  <wp:extent cx="5144770" cy="1303655"/>
                  <wp:effectExtent l="0" t="0" r="17780" b="10795"/>
                  <wp:docPr id="8" name="图片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60"/>
                          <pic:cNvPicPr>
                            <a:picLocks noChangeAspect="1"/>
                          </pic:cNvPicPr>
                        </pic:nvPicPr>
                        <pic:blipFill>
                          <a:blip r:embed="rId14"/>
                          <a:stretch>
                            <a:fillRect/>
                          </a:stretch>
                        </pic:blipFill>
                        <pic:spPr>
                          <a:xfrm>
                            <a:off x="0" y="0"/>
                            <a:ext cx="5144770" cy="1303655"/>
                          </a:xfrm>
                          <a:prstGeom prst="rect">
                            <a:avLst/>
                          </a:prstGeom>
                          <a:noFill/>
                          <a:ln>
                            <a:noFill/>
                          </a:ln>
                        </pic:spPr>
                      </pic:pic>
                    </a:graphicData>
                  </a:graphic>
                </wp:inline>
              </w:drawing>
            </w:r>
          </w:p>
          <w:p w14:paraId="1A71FBC7">
            <w:pPr>
              <w:ind w:firstLine="480" w:firstLineChars="20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1）粉尘废气处理可行性：袋式除尘器是一种干式除尘装置,它适用于捕集细小、干燥非纤维性粉尘。滤袋采用纺织的滤布或非纺织的毡制成，利用纤维织物的过滤作用对含尘气体进行过滤，当含尘气体进入布袋除尘器，颗粒大、比重大的粉尘，由于重力的作用沉降下来，落入灰斗，含有较细小粉尘的气体在通过滤料时，粉尘被阻留，使气体得到净化。除尘效率以99%计。</w:t>
            </w:r>
          </w:p>
          <w:p w14:paraId="511E171A">
            <w:pPr>
              <w:ind w:firstLine="480" w:firstLineChars="20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（2）有机废气处理可行性：</w:t>
            </w:r>
          </w:p>
          <w:p w14:paraId="0D9BA58B">
            <w:pPr>
              <w:ind w:firstLine="480" w:firstLineChars="20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①冷凝：冷凝是利用物质在不同温度下具有不同的饱和蒸汽压的性质，采用降低系统温度或提高系统压力，使处于蒸汽状态的污染物冷凝从废气中分离出来的过程。冷凝工艺是废气处理中相对成熟的工艺，也是简单的回收工艺技术。有关污染技术政策要求，有机溶剂废气优先采用冷凝、吸附一冷凝、离子液吸收等工艺进行回收，不能回收的应采用燃烧法等进行处理。项目冷凝装置主要是使项目废气温度下降，使废气流速降低，从而处理部分有机废气以减少活性炭使用量，并减少废气中水蒸气的比例，从而增加后续二级活性炭吸附装置中活性炭吸附的效率。本项目采用冷冻水系统/常温水循环系统进行冷凝（均为水冷凝），冷凝温度与冷凝压力的大小主要取决于冷却水温、水质、水量和周围介质的温度等，本项目一般夏季温度较高时采用常温水循环系统，冬季温度较低时采用冷冻水系统，结合实际项目冷凝效率以50%计。</w:t>
            </w:r>
          </w:p>
          <w:p w14:paraId="43293990">
            <w:pPr>
              <w:ind w:firstLine="480" w:firstLineChars="20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②活性炭吸附：活性炭吸附现象是发生在两个不同的相界面的现象，吸附过程就是在界面上的扩散过程，是发生在固体表面的吸附，这是由于固体表面存在着剩余的吸引而引起的。吸附可分为物理吸附和化学吸附；物理吸附亦称范德华吸附，是由于吸附剂与吸附质分子之间的静电力或范德华引力导致物理吸附引起的，当固体和气体之间的分子引力大于气体分子之间的引力时，即使气体的压力低于操作温度相对应和饱和蒸气压，气体分子也会冷凝在固体表面上，物理吸附是一种吸热过程。化学吸附亦称活性吸附，是由于吸附剂表面与吸附质分子间的化学反应力导致化学吸附，它涉及分子中化学键的破坏和重新结合，因此，化学吸附过程的吸附热较物理吸附过程大。在吸附过程中，物理吸附和化学吸附之间没有严格的界限，同一物质在较低温度下往往是化学吸附。活性炭纤维吸附以物理吸附为主，但由于表面活性剂的存在，也有一定的化学吸附作用。</w:t>
            </w:r>
            <w:r>
              <w:rPr>
                <w:rFonts w:hint="default" w:ascii="Times New Roman" w:hAnsi="Times New Roman" w:cs="Times New Roman"/>
                <w:color w:val="auto"/>
                <w:szCs w:val="24"/>
                <w:lang w:val="en-US" w:eastAsia="zh-CN"/>
              </w:rPr>
              <w:t>参照《简明通风设计手册》，以1t活性炭可吸附0.24t的VOCs来估算废活性炭产生量</w:t>
            </w:r>
            <w:r>
              <w:rPr>
                <w:rFonts w:hint="eastAsia" w:ascii="Times New Roman" w:hAnsi="Times New Roman" w:eastAsia="宋体" w:cs="Times New Roman"/>
                <w:color w:val="auto"/>
                <w:sz w:val="24"/>
                <w:szCs w:val="24"/>
                <w:lang w:val="en-US" w:eastAsia="zh-CN"/>
              </w:rPr>
              <w:t>。根据项目工程分析，项目活性炭吸附</w:t>
            </w:r>
            <w:r>
              <w:rPr>
                <w:rFonts w:hint="default" w:ascii="Times New Roman" w:hAnsi="Times New Roman" w:cs="Times New Roman"/>
                <w:color w:val="auto"/>
                <w:sz w:val="24"/>
                <w:szCs w:val="24"/>
                <w:lang w:val="en-US" w:eastAsia="zh-CN"/>
              </w:rPr>
              <w:t>VOCs</w:t>
            </w:r>
            <w:r>
              <w:rPr>
                <w:rFonts w:hint="eastAsia" w:ascii="Times New Roman" w:hAnsi="Times New Roman" w:eastAsia="宋体" w:cs="Times New Roman"/>
                <w:color w:val="auto"/>
                <w:sz w:val="24"/>
                <w:szCs w:val="24"/>
                <w:lang w:val="en-US" w:eastAsia="zh-CN"/>
              </w:rPr>
              <w:t>约为3.096t/a，据此估算活性炭用量约为12.9t/a。为保证活性炭吸附装置的处理效果，</w:t>
            </w:r>
            <w:r>
              <w:rPr>
                <w:rFonts w:hint="default" w:ascii="Times New Roman" w:hAnsi="Times New Roman" w:cs="Times New Roman"/>
                <w:color w:val="auto"/>
                <w:szCs w:val="24"/>
                <w:lang w:val="en-US" w:eastAsia="zh-CN"/>
              </w:rPr>
              <w:t>活性炭每两个月更换一次，每次更换的第一道活性炭作为危废，第二道转移至第一道活性炭箱，向第二道活性炭箱填装新的活性炭</w:t>
            </w:r>
            <w:r>
              <w:rPr>
                <w:rFonts w:hint="eastAsia" w:ascii="Times New Roman" w:hAnsi="Times New Roman" w:eastAsia="宋体" w:cs="Times New Roman"/>
                <w:color w:val="auto"/>
                <w:sz w:val="24"/>
                <w:szCs w:val="24"/>
                <w:lang w:val="en-US" w:eastAsia="zh-CN"/>
              </w:rPr>
              <w:t>，更换下来的活性炭作为危废，交由有资质单位处理。</w:t>
            </w:r>
          </w:p>
          <w:p w14:paraId="1B0E2E5E">
            <w:pPr>
              <w:bidi w:val="0"/>
              <w:ind w:firstLine="480" w:firstLineChars="200"/>
              <w:rPr>
                <w:rFonts w:hint="default"/>
                <w:color w:val="auto"/>
                <w:lang w:val="en-US" w:eastAsia="zh-CN"/>
              </w:rPr>
            </w:pPr>
            <w:r>
              <w:rPr>
                <w:rFonts w:hint="eastAsia"/>
                <w:color w:val="auto"/>
                <w:lang w:val="en-US" w:eastAsia="zh-CN"/>
              </w:rPr>
              <w:t>（3）无组织废气治理措施</w:t>
            </w:r>
          </w:p>
          <w:p w14:paraId="29E2F08C">
            <w:pPr>
              <w:bidi w:val="0"/>
              <w:spacing w:line="360" w:lineRule="auto"/>
              <w:ind w:firstLine="480" w:firstLineChars="200"/>
              <w:rPr>
                <w:rFonts w:hint="eastAsia" w:cs="Times New Roman"/>
                <w:color w:val="auto"/>
                <w:sz w:val="24"/>
                <w:szCs w:val="24"/>
                <w:lang w:val="en-US" w:eastAsia="zh-CN"/>
              </w:rPr>
            </w:pPr>
            <w:r>
              <w:rPr>
                <w:rFonts w:hint="default" w:ascii="Times New Roman" w:hAnsi="Times New Roman" w:cs="Times New Roman"/>
                <w:color w:val="auto"/>
                <w:sz w:val="24"/>
                <w:szCs w:val="24"/>
                <w:lang w:val="en-US" w:eastAsia="zh-CN"/>
              </w:rPr>
              <w:t>针对项目排放的无组织VOCs，根据《挥发性有机物无组织排放控制标准》(GB37822—2019)，建设单位应做好如下措施，减少项目无组织废气产生：</w:t>
            </w:r>
            <w:r>
              <w:rPr>
                <w:rFonts w:hint="eastAsia" w:cs="Times New Roman"/>
                <w:color w:val="auto"/>
                <w:sz w:val="24"/>
                <w:szCs w:val="24"/>
                <w:lang w:val="en-US" w:eastAsia="zh-CN"/>
              </w:rPr>
              <w:t xml:space="preserve"> </w:t>
            </w:r>
          </w:p>
          <w:p w14:paraId="03B3DE0A">
            <w:pPr>
              <w:bidi w:val="0"/>
              <w:spacing w:line="360" w:lineRule="auto"/>
              <w:ind w:firstLine="480" w:firstLineChars="200"/>
              <w:rPr>
                <w:rFonts w:hint="default" w:ascii="Times New Roman" w:hAnsi="Times New Roman" w:cs="Times New Roman"/>
                <w:color w:val="auto"/>
                <w:sz w:val="24"/>
                <w:szCs w:val="24"/>
                <w:lang w:val="en-US" w:eastAsia="zh-CN"/>
              </w:rPr>
            </w:pPr>
            <w:r>
              <w:rPr>
                <w:rFonts w:hint="eastAsia" w:cs="Times New Roman"/>
                <w:color w:val="auto"/>
                <w:sz w:val="24"/>
                <w:szCs w:val="24"/>
                <w:lang w:val="en-US" w:eastAsia="zh-CN"/>
              </w:rPr>
              <w:t xml:space="preserve"> </w:t>
            </w:r>
            <w:r>
              <w:rPr>
                <w:rFonts w:hint="default" w:ascii="Times New Roman" w:hAnsi="Times New Roman" w:cs="Times New Roman"/>
                <w:color w:val="auto"/>
                <w:sz w:val="24"/>
                <w:szCs w:val="24"/>
                <w:lang w:val="en-US" w:eastAsia="zh-CN"/>
              </w:rPr>
              <w:t>①</w:t>
            </w:r>
            <w:r>
              <w:rPr>
                <w:rFonts w:hint="eastAsia" w:ascii="Times New Roman" w:hAnsi="Times New Roman" w:cs="Times New Roman"/>
                <w:color w:val="auto"/>
                <w:sz w:val="24"/>
                <w:szCs w:val="24"/>
                <w:lang w:val="en-US" w:eastAsia="zh-CN"/>
              </w:rPr>
              <w:t>加强车间密闭</w:t>
            </w:r>
            <w:r>
              <w:rPr>
                <w:rFonts w:hint="default" w:ascii="Times New Roman" w:hAnsi="Times New Roman" w:cs="Times New Roman"/>
                <w:color w:val="auto"/>
                <w:sz w:val="24"/>
                <w:szCs w:val="24"/>
                <w:lang w:val="en-US" w:eastAsia="zh-CN"/>
              </w:rPr>
              <w:t>，加强生产管理和设备管理，定期对设备进行检查，保持设备的完好率，减少设备的</w:t>
            </w:r>
            <w:r>
              <w:rPr>
                <w:rFonts w:hint="eastAsia" w:ascii="Times New Roman" w:hAnsi="Times New Roman" w:cs="Times New Roman"/>
                <w:color w:val="auto"/>
                <w:sz w:val="24"/>
                <w:szCs w:val="24"/>
                <w:lang w:val="en-US" w:eastAsia="zh-CN"/>
              </w:rPr>
              <w:t>“</w:t>
            </w:r>
            <w:r>
              <w:rPr>
                <w:rFonts w:hint="default" w:ascii="Times New Roman" w:hAnsi="Times New Roman" w:cs="Times New Roman"/>
                <w:color w:val="auto"/>
                <w:sz w:val="24"/>
                <w:szCs w:val="24"/>
                <w:lang w:val="en-US" w:eastAsia="zh-CN"/>
              </w:rPr>
              <w:t>跑、冒、滴、漏</w:t>
            </w:r>
            <w:r>
              <w:rPr>
                <w:rFonts w:hint="eastAsia" w:ascii="Times New Roman" w:hAnsi="Times New Roman" w:cs="Times New Roman"/>
                <w:color w:val="auto"/>
                <w:sz w:val="24"/>
                <w:szCs w:val="24"/>
                <w:lang w:val="en-US" w:eastAsia="zh-CN"/>
              </w:rPr>
              <w:t>”</w:t>
            </w:r>
            <w:r>
              <w:rPr>
                <w:rFonts w:hint="default" w:ascii="Times New Roman" w:hAnsi="Times New Roman" w:cs="Times New Roman"/>
                <w:color w:val="auto"/>
                <w:sz w:val="24"/>
                <w:szCs w:val="24"/>
                <w:lang w:val="en-US" w:eastAsia="zh-CN"/>
              </w:rPr>
              <w:t>现象。②企业建立台账，记录含VOCs原辅材料和含VOCs产品的名称、使用量、回收量、废弃量、去向以及VOCs含量等信息。台账保存期限不少于5年。</w:t>
            </w:r>
          </w:p>
          <w:p w14:paraId="5A5DEBD0">
            <w:pPr>
              <w:bidi w:val="0"/>
              <w:spacing w:line="360" w:lineRule="auto"/>
              <w:ind w:firstLine="480" w:firstLineChars="200"/>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建设单位采取车间封闭生产、废气有效收集等措施后，无组织VOCs到充分扩散稀释，预计厂界下风向VOCs排放浓度</w:t>
            </w:r>
            <w:r>
              <w:rPr>
                <w:rFonts w:hint="eastAsia" w:cs="Times New Roman"/>
                <w:color w:val="auto"/>
                <w:sz w:val="24"/>
                <w:szCs w:val="24"/>
                <w:lang w:val="en-US" w:eastAsia="zh-CN"/>
              </w:rPr>
              <w:t>低于2.0</w:t>
            </w:r>
            <w:r>
              <w:rPr>
                <w:rFonts w:hint="default" w:ascii="Times New Roman" w:hAnsi="Times New Roman" w:cs="Times New Roman"/>
                <w:b w:val="0"/>
                <w:bCs w:val="0"/>
                <w:color w:val="auto"/>
                <w:sz w:val="24"/>
                <w:szCs w:val="24"/>
              </w:rPr>
              <w:t>mg/m</w:t>
            </w:r>
            <w:r>
              <w:rPr>
                <w:rFonts w:hint="default" w:ascii="Times New Roman" w:hAnsi="Times New Roman" w:cs="Times New Roman"/>
                <w:b w:val="0"/>
                <w:bCs w:val="0"/>
                <w:color w:val="auto"/>
                <w:sz w:val="24"/>
                <w:szCs w:val="24"/>
                <w:vertAlign w:val="superscript"/>
              </w:rPr>
              <w:t>3</w:t>
            </w:r>
            <w:r>
              <w:rPr>
                <w:rFonts w:hint="eastAsia" w:ascii="Times New Roman" w:hAnsi="Times New Roman" w:cs="Times New Roman"/>
                <w:b w:val="0"/>
                <w:bCs w:val="0"/>
                <w:color w:val="auto"/>
                <w:sz w:val="24"/>
                <w:szCs w:val="24"/>
                <w:vertAlign w:val="baseline"/>
                <w:lang w:eastAsia="zh-CN"/>
              </w:rPr>
              <w:t>，</w:t>
            </w:r>
            <w:r>
              <w:rPr>
                <w:rFonts w:hint="eastAsia" w:ascii="Times New Roman" w:hAnsi="Times New Roman" w:cs="Times New Roman"/>
                <w:b w:val="0"/>
                <w:bCs w:val="0"/>
                <w:color w:val="auto"/>
                <w:sz w:val="24"/>
                <w:szCs w:val="24"/>
                <w:vertAlign w:val="baseline"/>
                <w:lang w:val="en-US" w:eastAsia="zh-CN"/>
              </w:rPr>
              <w:t>可</w:t>
            </w:r>
            <w:r>
              <w:rPr>
                <w:rFonts w:hint="default" w:ascii="Times New Roman" w:hAnsi="Times New Roman" w:cs="Times New Roman"/>
                <w:color w:val="auto"/>
                <w:sz w:val="24"/>
                <w:szCs w:val="24"/>
                <w:lang w:val="en-US" w:eastAsia="zh-CN"/>
              </w:rPr>
              <w:t>满足《挥发性有机物排放标准 第6部分：有机化工》（DB37/2801.6-2018）表3厂界监控点浓度限值要求</w:t>
            </w:r>
            <w:r>
              <w:rPr>
                <w:rFonts w:hint="eastAsia" w:cs="Times New Roman"/>
                <w:color w:val="auto"/>
                <w:sz w:val="24"/>
                <w:szCs w:val="24"/>
                <w:lang w:val="en-US" w:eastAsia="zh-CN"/>
              </w:rPr>
              <w:t>（2.0</w:t>
            </w:r>
            <w:r>
              <w:rPr>
                <w:rFonts w:hint="default" w:ascii="Times New Roman" w:hAnsi="Times New Roman" w:cs="Times New Roman"/>
                <w:b w:val="0"/>
                <w:bCs w:val="0"/>
                <w:color w:val="auto"/>
                <w:sz w:val="24"/>
                <w:szCs w:val="24"/>
              </w:rPr>
              <w:t>mg/m</w:t>
            </w:r>
            <w:r>
              <w:rPr>
                <w:rFonts w:hint="default" w:ascii="Times New Roman" w:hAnsi="Times New Roman" w:cs="Times New Roman"/>
                <w:b w:val="0"/>
                <w:bCs w:val="0"/>
                <w:color w:val="auto"/>
                <w:sz w:val="24"/>
                <w:szCs w:val="24"/>
                <w:vertAlign w:val="superscript"/>
              </w:rPr>
              <w:t>3</w:t>
            </w:r>
            <w:r>
              <w:rPr>
                <w:rFonts w:hint="eastAsia" w:cs="Times New Roman"/>
                <w:color w:val="auto"/>
                <w:sz w:val="24"/>
                <w:szCs w:val="24"/>
                <w:lang w:val="en-US" w:eastAsia="zh-CN"/>
              </w:rPr>
              <w:t>）</w:t>
            </w:r>
            <w:r>
              <w:rPr>
                <w:rFonts w:hint="default" w:ascii="Times New Roman" w:hAnsi="Times New Roman" w:cs="Times New Roman"/>
                <w:color w:val="auto"/>
                <w:sz w:val="24"/>
                <w:szCs w:val="24"/>
                <w:lang w:val="en-US" w:eastAsia="zh-CN"/>
              </w:rPr>
              <w:t>。</w:t>
            </w:r>
          </w:p>
          <w:p w14:paraId="1F6D9388">
            <w:pPr>
              <w:pStyle w:val="5"/>
              <w:numPr>
                <w:ilvl w:val="0"/>
                <w:numId w:val="0"/>
              </w:numPr>
              <w:bidi w:val="0"/>
              <w:ind w:leftChars="200"/>
              <w:rPr>
                <w:rFonts w:hint="default" w:ascii="Times New Roman" w:hAnsi="Times New Roman" w:cs="Times New Roman"/>
                <w:color w:val="auto"/>
              </w:rPr>
            </w:pPr>
            <w:r>
              <w:rPr>
                <w:rFonts w:hint="default" w:ascii="Times New Roman" w:hAnsi="Times New Roman" w:cs="Times New Roman"/>
                <w:color w:val="auto"/>
                <w:lang w:val="en-US" w:eastAsia="zh-CN"/>
              </w:rPr>
              <w:t>5</w:t>
            </w:r>
            <w:r>
              <w:rPr>
                <w:rFonts w:hint="default" w:ascii="Times New Roman" w:hAnsi="Times New Roman" w:cs="Times New Roman"/>
                <w:color w:val="auto"/>
              </w:rPr>
              <w:t>、非正常工况</w:t>
            </w:r>
          </w:p>
          <w:p w14:paraId="2F1446B6">
            <w:pPr>
              <w:ind w:firstLine="480" w:firstLineChars="200"/>
              <w:rPr>
                <w:rFonts w:hint="eastAsia" w:eastAsia="宋体"/>
                <w:color w:val="auto"/>
                <w:szCs w:val="24"/>
                <w:lang w:eastAsia="zh-CN"/>
              </w:rPr>
            </w:pPr>
            <w:r>
              <w:rPr>
                <w:rFonts w:hint="default" w:ascii="Times New Roman" w:hAnsi="Times New Roman" w:cs="Times New Roman"/>
                <w:color w:val="auto"/>
                <w:szCs w:val="24"/>
              </w:rPr>
              <w:t>非正常排放指生产过程中开停车（工、炉）、设备检修、工艺设备运转异常等非正常工况下的污染物排放。</w:t>
            </w:r>
            <w:r>
              <w:rPr>
                <w:rFonts w:hint="eastAsia" w:ascii="Times New Roman" w:hAnsi="Times New Roman" w:cs="Times New Roman"/>
                <w:color w:val="auto"/>
                <w:szCs w:val="24"/>
                <w:lang w:val="en-US" w:eastAsia="zh-CN"/>
              </w:rPr>
              <w:t>本</w:t>
            </w:r>
            <w:r>
              <w:rPr>
                <w:rFonts w:hint="default" w:ascii="Times New Roman" w:hAnsi="Times New Roman" w:cs="Times New Roman"/>
                <w:color w:val="auto"/>
                <w:szCs w:val="24"/>
              </w:rPr>
              <w:t>项目非正常排放考虑生产设施开停机、环保设施故障时，废气直接排放</w:t>
            </w:r>
            <w:r>
              <w:rPr>
                <w:color w:val="auto"/>
                <w:szCs w:val="24"/>
              </w:rPr>
              <w:t>。</w:t>
            </w:r>
            <w:r>
              <w:rPr>
                <w:rFonts w:hint="eastAsia"/>
                <w:color w:val="auto"/>
                <w:szCs w:val="24"/>
              </w:rPr>
              <w:t>非正常工况下，废气排放情况见下表</w:t>
            </w:r>
            <w:r>
              <w:rPr>
                <w:rFonts w:hint="eastAsia"/>
                <w:color w:val="auto"/>
                <w:szCs w:val="24"/>
                <w:lang w:eastAsia="zh-CN"/>
              </w:rPr>
              <w:t>。</w:t>
            </w:r>
          </w:p>
          <w:p w14:paraId="3DE0354F">
            <w:pPr>
              <w:pStyle w:val="45"/>
              <w:bidi w:val="0"/>
              <w:rPr>
                <w:rFonts w:hint="default" w:ascii="Times New Roman" w:hAnsi="Times New Roman" w:cs="Times New Roman"/>
                <w:color w:val="auto"/>
              </w:rPr>
            </w:pPr>
            <w:r>
              <w:rPr>
                <w:rFonts w:hint="default" w:ascii="Times New Roman" w:hAnsi="Times New Roman" w:cs="Times New Roman"/>
                <w:color w:val="auto"/>
              </w:rPr>
              <w:t>表4-</w:t>
            </w:r>
            <w:r>
              <w:rPr>
                <w:rFonts w:hint="default" w:ascii="Times New Roman" w:hAnsi="Times New Roman" w:cs="Times New Roman"/>
                <w:color w:val="auto"/>
                <w:lang w:val="en-US" w:eastAsia="zh-CN"/>
              </w:rPr>
              <w:t>7</w:t>
            </w:r>
            <w:r>
              <w:rPr>
                <w:rFonts w:hint="default" w:ascii="Times New Roman" w:hAnsi="Times New Roman" w:cs="Times New Roman"/>
                <w:color w:val="auto"/>
              </w:rPr>
              <w:t xml:space="preserve"> 项目非正常工况污染物排放预测结果</w:t>
            </w:r>
          </w:p>
          <w:tbl>
            <w:tblPr>
              <w:tblStyle w:val="33"/>
              <w:tblW w:w="4998"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797"/>
              <w:gridCol w:w="842"/>
              <w:gridCol w:w="1207"/>
              <w:gridCol w:w="1161"/>
              <w:gridCol w:w="887"/>
              <w:gridCol w:w="854"/>
              <w:gridCol w:w="948"/>
              <w:gridCol w:w="1321"/>
            </w:tblGrid>
            <w:tr w14:paraId="30E1789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97" w:type="pct"/>
                  <w:tcBorders>
                    <w:tl2br w:val="nil"/>
                    <w:tr2bl w:val="nil"/>
                  </w:tcBorders>
                  <w:noWrap w:val="0"/>
                  <w:tcMar>
                    <w:top w:w="15" w:type="dxa"/>
                    <w:left w:w="15" w:type="dxa"/>
                    <w:right w:w="15" w:type="dxa"/>
                  </w:tcMar>
                  <w:vAlign w:val="center"/>
                </w:tcPr>
                <w:p w14:paraId="21D4DCB3">
                  <w:pPr>
                    <w:pStyle w:val="44"/>
                    <w:bidi w:val="0"/>
                    <w:rPr>
                      <w:rFonts w:hint="default" w:ascii="Times New Roman" w:hAnsi="Times New Roman" w:cs="Times New Roman"/>
                      <w:b/>
                      <w:bCs/>
                      <w:color w:val="auto"/>
                    </w:rPr>
                  </w:pPr>
                  <w:r>
                    <w:rPr>
                      <w:rFonts w:hint="default" w:ascii="Times New Roman" w:hAnsi="Times New Roman" w:cs="Times New Roman"/>
                      <w:b/>
                      <w:bCs/>
                      <w:color w:val="auto"/>
                    </w:rPr>
                    <w:t>污染源</w:t>
                  </w:r>
                </w:p>
              </w:tc>
              <w:tc>
                <w:tcPr>
                  <w:tcW w:w="525" w:type="pct"/>
                  <w:tcBorders>
                    <w:tl2br w:val="nil"/>
                    <w:tr2bl w:val="nil"/>
                  </w:tcBorders>
                  <w:noWrap w:val="0"/>
                  <w:tcMar>
                    <w:top w:w="15" w:type="dxa"/>
                    <w:left w:w="15" w:type="dxa"/>
                    <w:right w:w="15" w:type="dxa"/>
                  </w:tcMar>
                  <w:vAlign w:val="center"/>
                </w:tcPr>
                <w:p w14:paraId="21298845">
                  <w:pPr>
                    <w:pStyle w:val="44"/>
                    <w:bidi w:val="0"/>
                    <w:rPr>
                      <w:rFonts w:hint="default" w:ascii="Times New Roman" w:hAnsi="Times New Roman" w:cs="Times New Roman"/>
                      <w:b/>
                      <w:bCs/>
                      <w:color w:val="auto"/>
                    </w:rPr>
                  </w:pPr>
                  <w:r>
                    <w:rPr>
                      <w:rFonts w:hint="default" w:ascii="Times New Roman" w:hAnsi="Times New Roman" w:cs="Times New Roman"/>
                      <w:b/>
                      <w:bCs/>
                      <w:color w:val="auto"/>
                    </w:rPr>
                    <w:t>污染物</w:t>
                  </w:r>
                </w:p>
              </w:tc>
              <w:tc>
                <w:tcPr>
                  <w:tcW w:w="752" w:type="pct"/>
                  <w:tcBorders>
                    <w:tl2br w:val="nil"/>
                    <w:tr2bl w:val="nil"/>
                  </w:tcBorders>
                  <w:noWrap w:val="0"/>
                  <w:tcMar>
                    <w:top w:w="15" w:type="dxa"/>
                    <w:left w:w="15" w:type="dxa"/>
                    <w:right w:w="15" w:type="dxa"/>
                  </w:tcMar>
                  <w:vAlign w:val="center"/>
                </w:tcPr>
                <w:p w14:paraId="4E616CEA">
                  <w:pPr>
                    <w:pStyle w:val="44"/>
                    <w:bidi w:val="0"/>
                    <w:rPr>
                      <w:rFonts w:hint="default" w:ascii="Times New Roman" w:hAnsi="Times New Roman" w:cs="Times New Roman"/>
                      <w:b/>
                      <w:bCs/>
                      <w:color w:val="auto"/>
                    </w:rPr>
                  </w:pPr>
                  <w:r>
                    <w:rPr>
                      <w:rFonts w:hint="default" w:ascii="Times New Roman" w:hAnsi="Times New Roman" w:cs="Times New Roman"/>
                      <w:b/>
                      <w:bCs/>
                      <w:color w:val="auto"/>
                    </w:rPr>
                    <w:t>非正常排放浓度</w:t>
                  </w:r>
                  <w:r>
                    <w:rPr>
                      <w:rFonts w:hint="default" w:ascii="Times New Roman" w:hAnsi="Times New Roman" w:cs="Times New Roman"/>
                      <w:b/>
                      <w:bCs/>
                      <w:color w:val="auto"/>
                      <w:lang w:eastAsia="zh-CN"/>
                    </w:rPr>
                    <w:t>（</w:t>
                  </w:r>
                  <w:r>
                    <w:rPr>
                      <w:rFonts w:hint="default" w:ascii="Times New Roman" w:hAnsi="Times New Roman" w:cs="Times New Roman"/>
                      <w:b/>
                      <w:bCs/>
                      <w:color w:val="auto"/>
                    </w:rPr>
                    <w:t>mg/m</w:t>
                  </w:r>
                  <w:r>
                    <w:rPr>
                      <w:rFonts w:hint="default" w:ascii="Times New Roman" w:hAnsi="Times New Roman" w:cs="Times New Roman"/>
                      <w:b/>
                      <w:bCs/>
                      <w:color w:val="auto"/>
                      <w:vertAlign w:val="superscript"/>
                    </w:rPr>
                    <w:t>3</w:t>
                  </w:r>
                  <w:r>
                    <w:rPr>
                      <w:rFonts w:hint="default" w:ascii="Times New Roman" w:hAnsi="Times New Roman" w:cs="Times New Roman"/>
                      <w:b/>
                      <w:bCs/>
                      <w:color w:val="auto"/>
                      <w:lang w:eastAsia="zh-CN"/>
                    </w:rPr>
                    <w:t>）</w:t>
                  </w:r>
                </w:p>
              </w:tc>
              <w:tc>
                <w:tcPr>
                  <w:tcW w:w="724" w:type="pct"/>
                  <w:tcBorders>
                    <w:tl2br w:val="nil"/>
                    <w:tr2bl w:val="nil"/>
                  </w:tcBorders>
                  <w:noWrap w:val="0"/>
                  <w:tcMar>
                    <w:top w:w="15" w:type="dxa"/>
                    <w:left w:w="15" w:type="dxa"/>
                    <w:right w:w="15" w:type="dxa"/>
                  </w:tcMar>
                  <w:vAlign w:val="center"/>
                </w:tcPr>
                <w:p w14:paraId="35DDAF0C">
                  <w:pPr>
                    <w:pStyle w:val="44"/>
                    <w:bidi w:val="0"/>
                    <w:rPr>
                      <w:rFonts w:hint="default" w:ascii="Times New Roman" w:hAnsi="Times New Roman" w:cs="Times New Roman"/>
                      <w:b/>
                      <w:bCs/>
                      <w:color w:val="auto"/>
                    </w:rPr>
                  </w:pPr>
                  <w:r>
                    <w:rPr>
                      <w:rFonts w:hint="default" w:ascii="Times New Roman" w:hAnsi="Times New Roman" w:cs="Times New Roman"/>
                      <w:b/>
                      <w:bCs/>
                      <w:color w:val="auto"/>
                    </w:rPr>
                    <w:t>非正常排放速率</w:t>
                  </w:r>
                  <w:r>
                    <w:rPr>
                      <w:rFonts w:hint="default" w:ascii="Times New Roman" w:hAnsi="Times New Roman" w:cs="Times New Roman"/>
                      <w:b/>
                      <w:bCs/>
                      <w:color w:val="auto"/>
                      <w:lang w:eastAsia="zh-CN"/>
                    </w:rPr>
                    <w:t>（</w:t>
                  </w:r>
                  <w:r>
                    <w:rPr>
                      <w:rFonts w:hint="default" w:ascii="Times New Roman" w:hAnsi="Times New Roman" w:cs="Times New Roman"/>
                      <w:b/>
                      <w:bCs/>
                      <w:color w:val="auto"/>
                    </w:rPr>
                    <w:t>kg/h</w:t>
                  </w:r>
                  <w:r>
                    <w:rPr>
                      <w:rFonts w:hint="default" w:ascii="Times New Roman" w:hAnsi="Times New Roman" w:cs="Times New Roman"/>
                      <w:b/>
                      <w:bCs/>
                      <w:color w:val="auto"/>
                      <w:lang w:eastAsia="zh-CN"/>
                    </w:rPr>
                    <w:t>）</w:t>
                  </w:r>
                </w:p>
              </w:tc>
              <w:tc>
                <w:tcPr>
                  <w:tcW w:w="553" w:type="pct"/>
                  <w:tcBorders>
                    <w:tl2br w:val="nil"/>
                    <w:tr2bl w:val="nil"/>
                  </w:tcBorders>
                  <w:noWrap w:val="0"/>
                  <w:tcMar>
                    <w:top w:w="15" w:type="dxa"/>
                    <w:left w:w="15" w:type="dxa"/>
                    <w:right w:w="15" w:type="dxa"/>
                  </w:tcMar>
                  <w:vAlign w:val="center"/>
                </w:tcPr>
                <w:p w14:paraId="4A709AB9">
                  <w:pPr>
                    <w:pStyle w:val="44"/>
                    <w:bidi w:val="0"/>
                    <w:rPr>
                      <w:rFonts w:hint="default" w:ascii="Times New Roman" w:hAnsi="Times New Roman" w:cs="Times New Roman"/>
                      <w:b/>
                      <w:bCs/>
                      <w:color w:val="auto"/>
                    </w:rPr>
                  </w:pPr>
                  <w:r>
                    <w:rPr>
                      <w:rFonts w:hint="default" w:ascii="Times New Roman" w:hAnsi="Times New Roman" w:cs="Times New Roman"/>
                      <w:b/>
                      <w:bCs/>
                      <w:color w:val="auto"/>
                    </w:rPr>
                    <w:t>单次持续时间</w:t>
                  </w:r>
                </w:p>
              </w:tc>
              <w:tc>
                <w:tcPr>
                  <w:tcW w:w="532" w:type="pct"/>
                  <w:tcBorders>
                    <w:tl2br w:val="nil"/>
                    <w:tr2bl w:val="nil"/>
                  </w:tcBorders>
                  <w:noWrap w:val="0"/>
                  <w:tcMar>
                    <w:top w:w="15" w:type="dxa"/>
                    <w:left w:w="15" w:type="dxa"/>
                    <w:right w:w="15" w:type="dxa"/>
                  </w:tcMar>
                  <w:vAlign w:val="center"/>
                </w:tcPr>
                <w:p w14:paraId="4E0B3F11">
                  <w:pPr>
                    <w:pStyle w:val="44"/>
                    <w:bidi w:val="0"/>
                    <w:rPr>
                      <w:rFonts w:hint="default" w:ascii="Times New Roman" w:hAnsi="Times New Roman" w:cs="Times New Roman"/>
                      <w:b/>
                      <w:bCs/>
                      <w:color w:val="auto"/>
                    </w:rPr>
                  </w:pPr>
                  <w:r>
                    <w:rPr>
                      <w:rFonts w:hint="default" w:ascii="Times New Roman" w:hAnsi="Times New Roman" w:cs="Times New Roman"/>
                      <w:b/>
                      <w:bCs/>
                      <w:color w:val="auto"/>
                    </w:rPr>
                    <w:t>年发生频次</w:t>
                  </w:r>
                </w:p>
              </w:tc>
              <w:tc>
                <w:tcPr>
                  <w:tcW w:w="591" w:type="pct"/>
                  <w:tcBorders>
                    <w:tl2br w:val="nil"/>
                    <w:tr2bl w:val="nil"/>
                  </w:tcBorders>
                  <w:noWrap w:val="0"/>
                  <w:tcMar>
                    <w:top w:w="15" w:type="dxa"/>
                    <w:left w:w="15" w:type="dxa"/>
                    <w:right w:w="15" w:type="dxa"/>
                  </w:tcMar>
                  <w:vAlign w:val="center"/>
                </w:tcPr>
                <w:p w14:paraId="50236171">
                  <w:pPr>
                    <w:pStyle w:val="44"/>
                    <w:bidi w:val="0"/>
                    <w:rPr>
                      <w:rFonts w:hint="default" w:ascii="Times New Roman" w:hAnsi="Times New Roman" w:cs="Times New Roman"/>
                      <w:b/>
                      <w:bCs/>
                      <w:color w:val="auto"/>
                    </w:rPr>
                  </w:pPr>
                  <w:r>
                    <w:rPr>
                      <w:rFonts w:hint="default" w:ascii="Times New Roman" w:hAnsi="Times New Roman" w:cs="Times New Roman"/>
                      <w:b/>
                      <w:bCs/>
                      <w:color w:val="auto"/>
                    </w:rPr>
                    <w:t>非正常排放原因</w:t>
                  </w:r>
                </w:p>
              </w:tc>
              <w:tc>
                <w:tcPr>
                  <w:tcW w:w="823" w:type="pct"/>
                  <w:tcBorders>
                    <w:tl2br w:val="nil"/>
                    <w:tr2bl w:val="nil"/>
                  </w:tcBorders>
                  <w:noWrap w:val="0"/>
                  <w:tcMar>
                    <w:top w:w="15" w:type="dxa"/>
                    <w:left w:w="15" w:type="dxa"/>
                    <w:right w:w="15" w:type="dxa"/>
                  </w:tcMar>
                  <w:vAlign w:val="center"/>
                </w:tcPr>
                <w:p w14:paraId="21B57231">
                  <w:pPr>
                    <w:pStyle w:val="44"/>
                    <w:bidi w:val="0"/>
                    <w:rPr>
                      <w:rFonts w:hint="default" w:ascii="Times New Roman" w:hAnsi="Times New Roman" w:cs="Times New Roman"/>
                      <w:b/>
                      <w:bCs/>
                      <w:color w:val="auto"/>
                    </w:rPr>
                  </w:pPr>
                  <w:r>
                    <w:rPr>
                      <w:rFonts w:hint="default" w:ascii="Times New Roman" w:hAnsi="Times New Roman" w:cs="Times New Roman"/>
                      <w:b/>
                      <w:bCs/>
                      <w:color w:val="auto"/>
                    </w:rPr>
                    <w:t>应对措施</w:t>
                  </w:r>
                </w:p>
              </w:tc>
            </w:tr>
            <w:tr w14:paraId="6604C84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65" w:hRule="atLeast"/>
                <w:jc w:val="center"/>
              </w:trPr>
              <w:tc>
                <w:tcPr>
                  <w:tcW w:w="497" w:type="pct"/>
                  <w:tcBorders>
                    <w:tl2br w:val="nil"/>
                    <w:tr2bl w:val="nil"/>
                  </w:tcBorders>
                  <w:noWrap w:val="0"/>
                  <w:tcMar>
                    <w:top w:w="15" w:type="dxa"/>
                    <w:left w:w="15" w:type="dxa"/>
                    <w:right w:w="15" w:type="dxa"/>
                  </w:tcMar>
                  <w:vAlign w:val="center"/>
                </w:tcPr>
                <w:p w14:paraId="2422E2D9">
                  <w:pPr>
                    <w:pStyle w:val="44"/>
                    <w:bidi w:val="0"/>
                    <w:rPr>
                      <w:rFonts w:hint="default" w:ascii="Times New Roman" w:hAnsi="Times New Roman" w:cs="Times New Roman"/>
                      <w:color w:val="auto"/>
                    </w:rPr>
                  </w:pPr>
                  <w:r>
                    <w:rPr>
                      <w:rFonts w:hint="default" w:ascii="Times New Roman" w:hAnsi="Times New Roman" w:cs="Times New Roman"/>
                      <w:color w:val="auto"/>
                    </w:rPr>
                    <w:t>DA001</w:t>
                  </w:r>
                </w:p>
              </w:tc>
              <w:tc>
                <w:tcPr>
                  <w:tcW w:w="525" w:type="pct"/>
                  <w:tcBorders>
                    <w:tl2br w:val="nil"/>
                    <w:tr2bl w:val="nil"/>
                  </w:tcBorders>
                  <w:noWrap w:val="0"/>
                  <w:tcMar>
                    <w:top w:w="15" w:type="dxa"/>
                    <w:left w:w="15" w:type="dxa"/>
                    <w:right w:w="15" w:type="dxa"/>
                  </w:tcMar>
                  <w:vAlign w:val="center"/>
                </w:tcPr>
                <w:p w14:paraId="7F5D90BC">
                  <w:pPr>
                    <w:pStyle w:val="44"/>
                    <w:bidi w:val="0"/>
                    <w:rPr>
                      <w:rFonts w:hint="eastAsia"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颗粒物</w:t>
                  </w:r>
                </w:p>
              </w:tc>
              <w:tc>
                <w:tcPr>
                  <w:tcW w:w="1207" w:type="dxa"/>
                  <w:tcBorders>
                    <w:tl2br w:val="nil"/>
                    <w:tr2bl w:val="nil"/>
                  </w:tcBorders>
                  <w:noWrap w:val="0"/>
                  <w:tcMar>
                    <w:top w:w="15" w:type="dxa"/>
                    <w:left w:w="15" w:type="dxa"/>
                    <w:right w:w="15" w:type="dxa"/>
                  </w:tcMar>
                  <w:vAlign w:val="center"/>
                </w:tcPr>
                <w:p w14:paraId="1E79F2B2">
                  <w:pPr>
                    <w:widowControl/>
                    <w:spacing w:line="240" w:lineRule="auto"/>
                    <w:jc w:val="center"/>
                    <w:textAlignment w:val="center"/>
                    <w:rPr>
                      <w:rFonts w:hint="default" w:ascii="Times New Roman" w:hAnsi="Times New Roman" w:eastAsia="宋体" w:cs="Times New Roman"/>
                      <w:color w:val="auto"/>
                      <w:sz w:val="21"/>
                      <w:szCs w:val="21"/>
                      <w:lang w:val="en-US" w:eastAsia="zh-CN"/>
                    </w:rPr>
                  </w:pPr>
                  <w:r>
                    <w:rPr>
                      <w:color w:val="auto"/>
                      <w:kern w:val="0"/>
                      <w:sz w:val="21"/>
                      <w:szCs w:val="21"/>
                      <w:lang w:bidi="ar"/>
                    </w:rPr>
                    <w:t xml:space="preserve"> </w:t>
                  </w:r>
                  <w:r>
                    <w:rPr>
                      <w:rFonts w:hint="eastAsia"/>
                      <w:color w:val="auto"/>
                      <w:kern w:val="0"/>
                      <w:sz w:val="21"/>
                      <w:szCs w:val="21"/>
                      <w:lang w:val="en-US" w:eastAsia="zh-CN" w:bidi="ar"/>
                    </w:rPr>
                    <w:t>1020</w:t>
                  </w:r>
                </w:p>
              </w:tc>
              <w:tc>
                <w:tcPr>
                  <w:tcW w:w="1161" w:type="dxa"/>
                  <w:tcBorders>
                    <w:tl2br w:val="nil"/>
                    <w:tr2bl w:val="nil"/>
                  </w:tcBorders>
                  <w:noWrap w:val="0"/>
                  <w:tcMar>
                    <w:top w:w="15" w:type="dxa"/>
                    <w:left w:w="15" w:type="dxa"/>
                    <w:right w:w="15" w:type="dxa"/>
                  </w:tcMar>
                  <w:vAlign w:val="center"/>
                </w:tcPr>
                <w:p w14:paraId="6CC220F4">
                  <w:pPr>
                    <w:widowControl/>
                    <w:spacing w:line="240" w:lineRule="auto"/>
                    <w:jc w:val="center"/>
                    <w:textAlignment w:val="center"/>
                    <w:rPr>
                      <w:rFonts w:hint="default" w:ascii="Times New Roman" w:hAnsi="Times New Roman" w:cs="Times New Roman"/>
                      <w:color w:val="auto"/>
                      <w:sz w:val="21"/>
                      <w:szCs w:val="21"/>
                      <w:lang w:val="en-US" w:eastAsia="zh-CN"/>
                    </w:rPr>
                  </w:pPr>
                  <w:r>
                    <w:rPr>
                      <w:rFonts w:hint="eastAsia"/>
                      <w:color w:val="auto"/>
                      <w:kern w:val="0"/>
                      <w:sz w:val="21"/>
                      <w:szCs w:val="21"/>
                      <w:lang w:val="en-US" w:eastAsia="zh-CN" w:bidi="ar"/>
                    </w:rPr>
                    <w:t>10.2</w:t>
                  </w:r>
                </w:p>
              </w:tc>
              <w:tc>
                <w:tcPr>
                  <w:tcW w:w="553" w:type="pct"/>
                  <w:tcBorders>
                    <w:tl2br w:val="nil"/>
                    <w:tr2bl w:val="nil"/>
                  </w:tcBorders>
                  <w:noWrap w:val="0"/>
                  <w:tcMar>
                    <w:top w:w="15" w:type="dxa"/>
                    <w:left w:w="15" w:type="dxa"/>
                    <w:right w:w="15" w:type="dxa"/>
                  </w:tcMar>
                  <w:vAlign w:val="center"/>
                </w:tcPr>
                <w:p w14:paraId="54445BBB">
                  <w:pPr>
                    <w:pStyle w:val="44"/>
                    <w:bidi w:val="0"/>
                    <w:rPr>
                      <w:rFonts w:hint="default" w:ascii="Times New Roman" w:hAnsi="Times New Roman" w:cs="Times New Roman"/>
                      <w:color w:val="auto"/>
                    </w:rPr>
                  </w:pPr>
                  <w:r>
                    <w:rPr>
                      <w:rFonts w:hint="default" w:ascii="Times New Roman" w:hAnsi="Times New Roman" w:cs="Times New Roman"/>
                      <w:color w:val="auto"/>
                    </w:rPr>
                    <w:t>＜10min</w:t>
                  </w:r>
                </w:p>
              </w:tc>
              <w:tc>
                <w:tcPr>
                  <w:tcW w:w="532" w:type="pct"/>
                  <w:tcBorders>
                    <w:tl2br w:val="nil"/>
                    <w:tr2bl w:val="nil"/>
                  </w:tcBorders>
                  <w:noWrap w:val="0"/>
                  <w:tcMar>
                    <w:top w:w="15" w:type="dxa"/>
                    <w:left w:w="15" w:type="dxa"/>
                    <w:right w:w="15" w:type="dxa"/>
                  </w:tcMar>
                  <w:vAlign w:val="center"/>
                </w:tcPr>
                <w:p w14:paraId="5C7C178B">
                  <w:pPr>
                    <w:pStyle w:val="44"/>
                    <w:bidi w:val="0"/>
                    <w:rPr>
                      <w:rFonts w:hint="default" w:ascii="Times New Roman" w:hAnsi="Times New Roman" w:cs="Times New Roman"/>
                      <w:color w:val="auto"/>
                    </w:rPr>
                  </w:pPr>
                  <w:r>
                    <w:rPr>
                      <w:rFonts w:hint="default" w:ascii="Times New Roman" w:hAnsi="Times New Roman" w:cs="Times New Roman"/>
                      <w:color w:val="auto"/>
                    </w:rPr>
                    <w:t>＜1次</w:t>
                  </w:r>
                </w:p>
              </w:tc>
              <w:tc>
                <w:tcPr>
                  <w:tcW w:w="591" w:type="pct"/>
                  <w:vMerge w:val="restart"/>
                  <w:tcBorders>
                    <w:tl2br w:val="nil"/>
                    <w:tr2bl w:val="nil"/>
                  </w:tcBorders>
                  <w:noWrap w:val="0"/>
                  <w:tcMar>
                    <w:top w:w="15" w:type="dxa"/>
                    <w:left w:w="15" w:type="dxa"/>
                    <w:right w:w="15" w:type="dxa"/>
                  </w:tcMar>
                  <w:vAlign w:val="center"/>
                </w:tcPr>
                <w:p w14:paraId="5CD03000">
                  <w:pPr>
                    <w:pStyle w:val="44"/>
                    <w:bidi w:val="0"/>
                    <w:rPr>
                      <w:rFonts w:hint="default" w:ascii="Times New Roman" w:hAnsi="Times New Roman" w:cs="Times New Roman"/>
                      <w:color w:val="auto"/>
                    </w:rPr>
                  </w:pPr>
                  <w:r>
                    <w:rPr>
                      <w:rFonts w:hint="default" w:ascii="Times New Roman" w:hAnsi="Times New Roman" w:cs="Times New Roman"/>
                      <w:color w:val="auto"/>
                    </w:rPr>
                    <w:t>废气处理装置故障</w:t>
                  </w:r>
                </w:p>
              </w:tc>
              <w:tc>
                <w:tcPr>
                  <w:tcW w:w="823" w:type="pct"/>
                  <w:vMerge w:val="restart"/>
                  <w:tcBorders>
                    <w:tl2br w:val="nil"/>
                    <w:tr2bl w:val="nil"/>
                  </w:tcBorders>
                  <w:noWrap w:val="0"/>
                  <w:tcMar>
                    <w:top w:w="15" w:type="dxa"/>
                    <w:left w:w="15" w:type="dxa"/>
                    <w:right w:w="15" w:type="dxa"/>
                  </w:tcMar>
                  <w:vAlign w:val="center"/>
                </w:tcPr>
                <w:p w14:paraId="61D5FED1">
                  <w:pPr>
                    <w:pStyle w:val="44"/>
                    <w:bidi w:val="0"/>
                    <w:rPr>
                      <w:rFonts w:hint="default" w:ascii="Times New Roman" w:hAnsi="Times New Roman" w:cs="Times New Roman"/>
                      <w:color w:val="auto"/>
                    </w:rPr>
                  </w:pPr>
                  <w:r>
                    <w:rPr>
                      <w:rFonts w:hint="default" w:ascii="Times New Roman" w:hAnsi="Times New Roman" w:cs="Times New Roman"/>
                      <w:color w:val="auto"/>
                    </w:rPr>
                    <w:t>专人负责，定期检查；发现故障立即停止工作检修</w:t>
                  </w:r>
                </w:p>
              </w:tc>
            </w:tr>
            <w:tr w14:paraId="19E83A4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97" w:type="pct"/>
                  <w:tcBorders>
                    <w:tl2br w:val="nil"/>
                    <w:tr2bl w:val="nil"/>
                  </w:tcBorders>
                  <w:noWrap w:val="0"/>
                  <w:tcMar>
                    <w:top w:w="15" w:type="dxa"/>
                    <w:left w:w="15" w:type="dxa"/>
                    <w:right w:w="15" w:type="dxa"/>
                  </w:tcMar>
                  <w:vAlign w:val="center"/>
                </w:tcPr>
                <w:p w14:paraId="45EEBFC3">
                  <w:pPr>
                    <w:pStyle w:val="44"/>
                    <w:bidi w:val="0"/>
                    <w:rPr>
                      <w:rFonts w:hint="eastAsia" w:ascii="Times New Roman" w:hAnsi="Times New Roman" w:eastAsia="宋体" w:cs="Times New Roman"/>
                      <w:color w:val="auto"/>
                      <w:lang w:val="en-US" w:eastAsia="zh-CN"/>
                    </w:rPr>
                  </w:pPr>
                  <w:r>
                    <w:rPr>
                      <w:rFonts w:hint="default" w:ascii="Times New Roman" w:hAnsi="Times New Roman" w:cs="Times New Roman"/>
                      <w:color w:val="auto"/>
                    </w:rPr>
                    <w:t>DA00</w:t>
                  </w:r>
                  <w:r>
                    <w:rPr>
                      <w:rFonts w:hint="eastAsia" w:ascii="Times New Roman" w:hAnsi="Times New Roman" w:cs="Times New Roman"/>
                      <w:color w:val="auto"/>
                      <w:lang w:val="en-US" w:eastAsia="zh-CN"/>
                    </w:rPr>
                    <w:t>2</w:t>
                  </w:r>
                </w:p>
              </w:tc>
              <w:tc>
                <w:tcPr>
                  <w:tcW w:w="525" w:type="pct"/>
                  <w:tcBorders>
                    <w:tl2br w:val="nil"/>
                    <w:tr2bl w:val="nil"/>
                  </w:tcBorders>
                  <w:noWrap w:val="0"/>
                  <w:tcMar>
                    <w:top w:w="15" w:type="dxa"/>
                    <w:left w:w="15" w:type="dxa"/>
                    <w:right w:w="15" w:type="dxa"/>
                  </w:tcMar>
                  <w:vAlign w:val="center"/>
                </w:tcPr>
                <w:p w14:paraId="3DB55BDD">
                  <w:pPr>
                    <w:pStyle w:val="44"/>
                    <w:bidi w:val="0"/>
                    <w:rPr>
                      <w:rFonts w:hint="default" w:ascii="Times New Roman" w:hAnsi="Times New Roman" w:cs="Times New Roman"/>
                      <w:color w:val="auto"/>
                    </w:rPr>
                  </w:pPr>
                  <w:r>
                    <w:rPr>
                      <w:rFonts w:hint="default" w:ascii="Times New Roman" w:hAnsi="Times New Roman" w:cs="Times New Roman"/>
                      <w:color w:val="auto"/>
                    </w:rPr>
                    <w:t>VOCs</w:t>
                  </w:r>
                </w:p>
              </w:tc>
              <w:tc>
                <w:tcPr>
                  <w:tcW w:w="1207" w:type="dxa"/>
                  <w:tcBorders>
                    <w:tl2br w:val="nil"/>
                    <w:tr2bl w:val="nil"/>
                  </w:tcBorders>
                  <w:noWrap w:val="0"/>
                  <w:tcMar>
                    <w:top w:w="15" w:type="dxa"/>
                    <w:left w:w="15" w:type="dxa"/>
                    <w:right w:w="15" w:type="dxa"/>
                  </w:tcMar>
                  <w:vAlign w:val="center"/>
                </w:tcPr>
                <w:p w14:paraId="23CE8A94">
                  <w:pPr>
                    <w:widowControl/>
                    <w:spacing w:line="240" w:lineRule="auto"/>
                    <w:jc w:val="center"/>
                    <w:textAlignment w:val="center"/>
                    <w:rPr>
                      <w:rFonts w:hint="default" w:ascii="Times New Roman" w:hAnsi="Times New Roman" w:eastAsia="宋体" w:cs="Times New Roman"/>
                      <w:color w:val="auto"/>
                      <w:sz w:val="21"/>
                      <w:szCs w:val="21"/>
                      <w:lang w:val="en-US" w:eastAsia="zh-CN"/>
                    </w:rPr>
                  </w:pPr>
                  <w:r>
                    <w:rPr>
                      <w:rFonts w:hint="eastAsia"/>
                      <w:color w:val="auto"/>
                      <w:kern w:val="0"/>
                      <w:sz w:val="21"/>
                      <w:szCs w:val="21"/>
                      <w:lang w:val="en-US" w:eastAsia="zh-CN" w:bidi="ar"/>
                    </w:rPr>
                    <w:t>215</w:t>
                  </w:r>
                </w:p>
              </w:tc>
              <w:tc>
                <w:tcPr>
                  <w:tcW w:w="1161" w:type="dxa"/>
                  <w:tcBorders>
                    <w:tl2br w:val="nil"/>
                    <w:tr2bl w:val="nil"/>
                  </w:tcBorders>
                  <w:noWrap w:val="0"/>
                  <w:tcMar>
                    <w:top w:w="15" w:type="dxa"/>
                    <w:left w:w="15" w:type="dxa"/>
                    <w:right w:w="15" w:type="dxa"/>
                  </w:tcMar>
                  <w:vAlign w:val="center"/>
                </w:tcPr>
                <w:p w14:paraId="7DFF2AA1">
                  <w:pPr>
                    <w:widowControl/>
                    <w:spacing w:line="240" w:lineRule="auto"/>
                    <w:jc w:val="center"/>
                    <w:textAlignment w:val="center"/>
                    <w:rPr>
                      <w:rFonts w:hint="default" w:ascii="Times New Roman" w:hAnsi="Times New Roman" w:cs="Times New Roman"/>
                      <w:color w:val="auto"/>
                      <w:sz w:val="21"/>
                      <w:szCs w:val="21"/>
                      <w:lang w:val="en-US" w:eastAsia="zh-CN"/>
                    </w:rPr>
                  </w:pPr>
                  <w:r>
                    <w:rPr>
                      <w:rFonts w:hint="eastAsia"/>
                      <w:color w:val="auto"/>
                      <w:kern w:val="0"/>
                      <w:sz w:val="21"/>
                      <w:szCs w:val="21"/>
                      <w:lang w:val="en-US" w:eastAsia="zh-CN" w:bidi="ar"/>
                    </w:rPr>
                    <w:t>3.225</w:t>
                  </w:r>
                </w:p>
              </w:tc>
              <w:tc>
                <w:tcPr>
                  <w:tcW w:w="553" w:type="pct"/>
                  <w:tcBorders>
                    <w:tl2br w:val="nil"/>
                    <w:tr2bl w:val="nil"/>
                  </w:tcBorders>
                  <w:shd w:val="clear" w:color="auto" w:fill="auto"/>
                  <w:noWrap w:val="0"/>
                  <w:tcMar>
                    <w:top w:w="15" w:type="dxa"/>
                    <w:left w:w="15" w:type="dxa"/>
                    <w:right w:w="15" w:type="dxa"/>
                  </w:tcMar>
                  <w:vAlign w:val="center"/>
                </w:tcPr>
                <w:p w14:paraId="77280CF4">
                  <w:pPr>
                    <w:pStyle w:val="44"/>
                    <w:bidi w:val="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rPr>
                    <w:t>＜10min</w:t>
                  </w:r>
                </w:p>
              </w:tc>
              <w:tc>
                <w:tcPr>
                  <w:tcW w:w="532" w:type="pct"/>
                  <w:tcBorders>
                    <w:tl2br w:val="nil"/>
                    <w:tr2bl w:val="nil"/>
                  </w:tcBorders>
                  <w:shd w:val="clear" w:color="auto" w:fill="auto"/>
                  <w:noWrap w:val="0"/>
                  <w:tcMar>
                    <w:top w:w="15" w:type="dxa"/>
                    <w:left w:w="15" w:type="dxa"/>
                    <w:right w:w="15" w:type="dxa"/>
                  </w:tcMar>
                  <w:vAlign w:val="center"/>
                </w:tcPr>
                <w:p w14:paraId="3EF8AD1E">
                  <w:pPr>
                    <w:pStyle w:val="44"/>
                    <w:bidi w:val="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rPr>
                    <w:t>＜1次</w:t>
                  </w:r>
                </w:p>
              </w:tc>
              <w:tc>
                <w:tcPr>
                  <w:tcW w:w="591" w:type="pct"/>
                  <w:vMerge w:val="continue"/>
                  <w:tcBorders>
                    <w:tl2br w:val="nil"/>
                    <w:tr2bl w:val="nil"/>
                  </w:tcBorders>
                  <w:noWrap w:val="0"/>
                  <w:tcMar>
                    <w:top w:w="15" w:type="dxa"/>
                    <w:left w:w="15" w:type="dxa"/>
                    <w:right w:w="15" w:type="dxa"/>
                  </w:tcMar>
                  <w:vAlign w:val="center"/>
                </w:tcPr>
                <w:p w14:paraId="66186618">
                  <w:pPr>
                    <w:pStyle w:val="44"/>
                    <w:bidi w:val="0"/>
                    <w:rPr>
                      <w:rFonts w:hint="default" w:ascii="Times New Roman" w:hAnsi="Times New Roman" w:cs="Times New Roman"/>
                      <w:color w:val="auto"/>
                    </w:rPr>
                  </w:pPr>
                </w:p>
              </w:tc>
              <w:tc>
                <w:tcPr>
                  <w:tcW w:w="823" w:type="pct"/>
                  <w:vMerge w:val="continue"/>
                  <w:tcBorders>
                    <w:tl2br w:val="nil"/>
                    <w:tr2bl w:val="nil"/>
                  </w:tcBorders>
                  <w:noWrap w:val="0"/>
                  <w:tcMar>
                    <w:top w:w="15" w:type="dxa"/>
                    <w:left w:w="15" w:type="dxa"/>
                    <w:right w:w="15" w:type="dxa"/>
                  </w:tcMar>
                  <w:vAlign w:val="center"/>
                </w:tcPr>
                <w:p w14:paraId="165054AE">
                  <w:pPr>
                    <w:pStyle w:val="44"/>
                    <w:bidi w:val="0"/>
                    <w:rPr>
                      <w:rFonts w:hint="default" w:ascii="Times New Roman" w:hAnsi="Times New Roman" w:cs="Times New Roman"/>
                      <w:color w:val="auto"/>
                    </w:rPr>
                  </w:pPr>
                </w:p>
              </w:tc>
            </w:tr>
          </w:tbl>
          <w:p w14:paraId="57749DD0">
            <w:pPr>
              <w:ind w:firstLine="480" w:firstLineChars="200"/>
              <w:rPr>
                <w:color w:val="auto"/>
                <w:szCs w:val="24"/>
              </w:rPr>
            </w:pPr>
            <w:r>
              <w:rPr>
                <w:color w:val="auto"/>
                <w:szCs w:val="24"/>
              </w:rPr>
              <w:t>企业应加强环保设备的日常维护和管理，建立企业环保设施运行记录台账，确保废气处理措施能够正常运行，尽可能减少因废气处理装置失效而引起的非正常工况发生。</w:t>
            </w:r>
          </w:p>
          <w:p w14:paraId="00D88FF8">
            <w:pPr>
              <w:ind w:firstLine="480" w:firstLineChars="200"/>
              <w:rPr>
                <w:rFonts w:hint="default" w:ascii="Times New Roman" w:hAnsi="Times New Roman" w:cs="Times New Roman"/>
                <w:b/>
                <w:bCs/>
                <w:color w:val="auto"/>
                <w:szCs w:val="24"/>
              </w:rPr>
            </w:pPr>
            <w:r>
              <w:rPr>
                <w:rFonts w:hint="eastAsia"/>
                <w:color w:val="auto"/>
                <w:szCs w:val="24"/>
              </w:rPr>
              <w:t>本次</w:t>
            </w:r>
            <w:r>
              <w:rPr>
                <w:color w:val="auto"/>
                <w:szCs w:val="24"/>
              </w:rPr>
              <w:t>评价要求企业应建立和完善安全巡视制度，安排巡视工作人员，每班次至少巡视一次，对废气治理措施进行检查，以利于掌握废气治理设施的运行情况，发现问题可及时处理</w:t>
            </w:r>
            <w:r>
              <w:rPr>
                <w:rFonts w:hint="default" w:ascii="Times New Roman" w:hAnsi="Times New Roman" w:cs="Times New Roman"/>
                <w:color w:val="auto"/>
                <w:szCs w:val="24"/>
              </w:rPr>
              <w:t>。</w:t>
            </w:r>
          </w:p>
          <w:p w14:paraId="181ECE71">
            <w:pPr>
              <w:pStyle w:val="5"/>
              <w:numPr>
                <w:ilvl w:val="0"/>
                <w:numId w:val="0"/>
              </w:numPr>
              <w:bidi w:val="0"/>
              <w:ind w:leftChars="20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6、大气环境影响分析</w:t>
            </w:r>
          </w:p>
          <w:p w14:paraId="5A6BC0C9">
            <w:pPr>
              <w:adjustRightInd w:val="0"/>
              <w:snapToGrid w:val="0"/>
              <w:spacing w:line="360" w:lineRule="auto"/>
              <w:ind w:firstLine="480" w:firstLineChars="200"/>
              <w:rPr>
                <w:rFonts w:hint="default" w:ascii="Times New Roman" w:hAnsi="Times New Roman" w:cs="Times New Roman"/>
                <w:color w:val="auto"/>
              </w:rPr>
            </w:pPr>
            <w:r>
              <w:rPr>
                <w:rFonts w:hint="default" w:ascii="Times New Roman" w:hAnsi="Times New Roman" w:cs="Times New Roman"/>
                <w:color w:val="auto"/>
                <w:szCs w:val="24"/>
              </w:rPr>
              <w:t>本项目所在地为不达标区，PM</w:t>
            </w:r>
            <w:r>
              <w:rPr>
                <w:rFonts w:hint="default" w:ascii="Times New Roman" w:hAnsi="Times New Roman" w:cs="Times New Roman"/>
                <w:color w:val="auto"/>
                <w:szCs w:val="24"/>
                <w:vertAlign w:val="subscript"/>
              </w:rPr>
              <w:t>10</w:t>
            </w:r>
            <w:r>
              <w:rPr>
                <w:rFonts w:hint="default" w:ascii="Times New Roman" w:hAnsi="Times New Roman" w:cs="Times New Roman"/>
                <w:color w:val="auto"/>
                <w:szCs w:val="24"/>
              </w:rPr>
              <w:t>和PM</w:t>
            </w:r>
            <w:r>
              <w:rPr>
                <w:rFonts w:hint="default" w:ascii="Times New Roman" w:hAnsi="Times New Roman" w:cs="Times New Roman"/>
                <w:color w:val="auto"/>
                <w:szCs w:val="24"/>
                <w:vertAlign w:val="subscript"/>
              </w:rPr>
              <w:t>2.5</w:t>
            </w:r>
            <w:r>
              <w:rPr>
                <w:rFonts w:hint="default" w:ascii="Times New Roman" w:hAnsi="Times New Roman" w:cs="Times New Roman"/>
                <w:color w:val="auto"/>
                <w:szCs w:val="24"/>
              </w:rPr>
              <w:t>年均值超标。</w:t>
            </w:r>
            <w:r>
              <w:rPr>
                <w:rFonts w:hint="eastAsia" w:cs="Times New Roman"/>
                <w:color w:val="auto"/>
                <w:lang w:val="en-US" w:eastAsia="zh-CN"/>
              </w:rPr>
              <w:t>泗水县</w:t>
            </w:r>
            <w:r>
              <w:rPr>
                <w:rFonts w:hint="default" w:ascii="Times New Roman" w:hAnsi="Times New Roman" w:cs="Times New Roman"/>
                <w:color w:val="auto"/>
              </w:rPr>
              <w:t>人民政府正积极落实《山东省深入打好蓝天保卫战行动计划》</w:t>
            </w:r>
            <w:r>
              <w:rPr>
                <w:rFonts w:hint="eastAsia" w:ascii="Times New Roman" w:hAnsi="Times New Roman" w:cs="Times New Roman"/>
                <w:color w:val="auto"/>
                <w:lang w:eastAsia="zh-CN"/>
              </w:rPr>
              <w:t>（</w:t>
            </w:r>
            <w:r>
              <w:rPr>
                <w:rFonts w:hint="default" w:ascii="Times New Roman" w:hAnsi="Times New Roman" w:cs="Times New Roman"/>
                <w:color w:val="auto"/>
              </w:rPr>
              <w:t>2021-2025年</w:t>
            </w:r>
            <w:r>
              <w:rPr>
                <w:rFonts w:hint="eastAsia" w:ascii="Times New Roman" w:hAnsi="Times New Roman" w:cs="Times New Roman"/>
                <w:color w:val="auto"/>
                <w:lang w:eastAsia="zh-CN"/>
              </w:rPr>
              <w:t>）</w:t>
            </w:r>
            <w:r>
              <w:rPr>
                <w:rFonts w:hint="default" w:ascii="Times New Roman" w:hAnsi="Times New Roman" w:cs="Times New Roman"/>
                <w:color w:val="auto"/>
              </w:rPr>
              <w:t>， 通过优化产业结构与布局，减少煤炭消费，推进工业污染源提标改造，强化工业企业无组织排放控制管理，加强颗粒物专项整治，控制机动车污染，实施秋冬季重点行业错峰生产等方面的行动，加快以细颗粒物为重点的大气污染治理，项目所在区域环境空气质量将会逐步得到改善。</w:t>
            </w:r>
          </w:p>
          <w:p w14:paraId="72947AA0">
            <w:pPr>
              <w:ind w:firstLine="480" w:firstLineChars="200"/>
              <w:rPr>
                <w:rFonts w:hint="default" w:ascii="Times New Roman" w:hAnsi="Times New Roman" w:cs="Times New Roman"/>
                <w:color w:val="auto"/>
                <w:szCs w:val="24"/>
              </w:rPr>
            </w:pPr>
            <w:r>
              <w:rPr>
                <w:rFonts w:hint="default" w:ascii="Times New Roman" w:hAnsi="Times New Roman" w:cs="Times New Roman"/>
                <w:color w:val="auto"/>
                <w:szCs w:val="24"/>
                <w:lang w:val="en-US" w:eastAsia="zh-CN"/>
              </w:rPr>
              <w:t>本</w:t>
            </w:r>
            <w:r>
              <w:rPr>
                <w:rFonts w:hint="default" w:ascii="Times New Roman" w:hAnsi="Times New Roman" w:cs="Times New Roman"/>
                <w:color w:val="auto"/>
                <w:szCs w:val="24"/>
              </w:rPr>
              <w:t>项目运营期有机废气VOCs采用“</w:t>
            </w:r>
            <w:r>
              <w:rPr>
                <w:rFonts w:hint="eastAsia" w:ascii="Times New Roman" w:hAnsi="Times New Roman" w:cs="Times New Roman"/>
                <w:color w:val="auto"/>
                <w:szCs w:val="24"/>
                <w:lang w:val="en-US" w:eastAsia="zh-CN"/>
              </w:rPr>
              <w:t>冷凝</w:t>
            </w:r>
            <w:r>
              <w:rPr>
                <w:rFonts w:hint="default" w:ascii="Times New Roman" w:hAnsi="Times New Roman" w:cs="Times New Roman"/>
                <w:color w:val="auto"/>
                <w:szCs w:val="24"/>
              </w:rPr>
              <w:t>+活性炭吸附装置”处理后，VOCs可达标排放</w:t>
            </w:r>
            <w:r>
              <w:rPr>
                <w:rFonts w:hint="eastAsia" w:ascii="Times New Roman" w:hAnsi="Times New Roman" w:cs="Times New Roman"/>
                <w:color w:val="auto"/>
                <w:szCs w:val="24"/>
                <w:lang w:eastAsia="zh-CN"/>
              </w:rPr>
              <w:t>，</w:t>
            </w:r>
            <w:r>
              <w:rPr>
                <w:rFonts w:hint="default" w:ascii="Times New Roman" w:hAnsi="Times New Roman" w:cs="Times New Roman"/>
                <w:color w:val="auto"/>
              </w:rPr>
              <w:t>项目建成后对区域环境质量影响不大，不会影响环境空气质量改善目标的完成</w:t>
            </w:r>
            <w:r>
              <w:rPr>
                <w:rFonts w:hint="default" w:ascii="Times New Roman" w:hAnsi="Times New Roman" w:cs="Times New Roman"/>
                <w:color w:val="auto"/>
                <w:szCs w:val="24"/>
              </w:rPr>
              <w:t>。企业应加强环保设备的日常维护和管理，建立企业环保设施运行记录台账，确保废气处理措施能够正常运行，尽可能减少因废气处理装置失效而引起的非正常工况发生。</w:t>
            </w:r>
          </w:p>
          <w:p w14:paraId="012248F8">
            <w:pPr>
              <w:pStyle w:val="5"/>
              <w:numPr>
                <w:ilvl w:val="0"/>
                <w:numId w:val="0"/>
              </w:numPr>
              <w:bidi w:val="0"/>
              <w:ind w:leftChars="200"/>
              <w:rPr>
                <w:rFonts w:hint="default" w:ascii="Times New Roman" w:hAnsi="Times New Roman" w:cs="Times New Roman"/>
                <w:color w:val="auto"/>
              </w:rPr>
            </w:pPr>
            <w:r>
              <w:rPr>
                <w:rFonts w:hint="default" w:ascii="Times New Roman" w:hAnsi="Times New Roman" w:cs="Times New Roman"/>
                <w:color w:val="auto"/>
                <w:lang w:val="en-US" w:eastAsia="zh-CN"/>
              </w:rPr>
              <w:t>7</w:t>
            </w:r>
            <w:r>
              <w:rPr>
                <w:rFonts w:hint="default" w:ascii="Times New Roman" w:hAnsi="Times New Roman" w:cs="Times New Roman"/>
                <w:color w:val="auto"/>
              </w:rPr>
              <w:t>、监测计划</w:t>
            </w:r>
          </w:p>
          <w:p w14:paraId="2E380989">
            <w:pPr>
              <w:ind w:firstLine="480" w:firstLineChars="200"/>
              <w:rPr>
                <w:rFonts w:hint="default" w:ascii="Times New Roman" w:hAnsi="Times New Roman" w:cs="Times New Roman"/>
                <w:color w:val="auto"/>
                <w:szCs w:val="24"/>
              </w:rPr>
            </w:pPr>
            <w:r>
              <w:rPr>
                <w:rFonts w:hint="default" w:ascii="Times New Roman" w:hAnsi="Times New Roman" w:cs="Times New Roman"/>
                <w:color w:val="auto"/>
                <w:szCs w:val="24"/>
              </w:rPr>
              <w:t>参照</w:t>
            </w:r>
            <w:r>
              <w:rPr>
                <w:color w:val="auto"/>
                <w:sz w:val="24"/>
              </w:rPr>
              <w:t>《排污许可证申请与核发技术规范 涂料、油墨、颜料及类似产品制造业》（HJ1116-2020）</w:t>
            </w:r>
            <w:r>
              <w:rPr>
                <w:rFonts w:hint="eastAsia" w:ascii="Times New Roman" w:hAnsi="Times New Roman" w:cs="Times New Roman"/>
                <w:color w:val="auto"/>
                <w:szCs w:val="24"/>
                <w:lang w:eastAsia="zh-CN"/>
              </w:rPr>
              <w:t>，</w:t>
            </w:r>
            <w:r>
              <w:rPr>
                <w:rFonts w:hint="default" w:ascii="Times New Roman" w:hAnsi="Times New Roman" w:cs="Times New Roman"/>
                <w:color w:val="auto"/>
                <w:szCs w:val="24"/>
              </w:rPr>
              <w:t>本项目大气污染源监测计划见</w:t>
            </w:r>
            <w:r>
              <w:rPr>
                <w:rFonts w:hint="default" w:ascii="Times New Roman" w:hAnsi="Times New Roman" w:cs="Times New Roman"/>
                <w:color w:val="auto"/>
                <w:szCs w:val="24"/>
                <w:lang w:val="en-US" w:eastAsia="zh-CN"/>
              </w:rPr>
              <w:t>下</w:t>
            </w:r>
            <w:r>
              <w:rPr>
                <w:rFonts w:hint="default" w:ascii="Times New Roman" w:hAnsi="Times New Roman" w:cs="Times New Roman"/>
                <w:color w:val="auto"/>
                <w:szCs w:val="24"/>
              </w:rPr>
              <w:t>表。</w:t>
            </w:r>
          </w:p>
          <w:p w14:paraId="6CC50A98">
            <w:pPr>
              <w:pStyle w:val="47"/>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表4-</w:t>
            </w:r>
            <w:r>
              <w:rPr>
                <w:rFonts w:hint="eastAsia" w:cs="Times New Roman"/>
                <w:color w:val="auto"/>
                <w:lang w:val="en-US" w:eastAsia="zh-CN"/>
              </w:rPr>
              <w:t>8</w:t>
            </w:r>
            <w:r>
              <w:rPr>
                <w:rFonts w:hint="default" w:ascii="Times New Roman" w:hAnsi="Times New Roman" w:cs="Times New Roman"/>
                <w:color w:val="auto"/>
                <w:lang w:val="en-US" w:eastAsia="zh-CN"/>
              </w:rPr>
              <w:t xml:space="preserve"> 大气污染源监测计划一览表</w:t>
            </w:r>
          </w:p>
          <w:tbl>
            <w:tblPr>
              <w:tblStyle w:val="33"/>
              <w:tblW w:w="7978"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1449"/>
              <w:gridCol w:w="1368"/>
              <w:gridCol w:w="3370"/>
              <w:gridCol w:w="1791"/>
            </w:tblGrid>
            <w:tr w14:paraId="31C1999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7" w:hRule="atLeast"/>
                <w:jc w:val="center"/>
              </w:trPr>
              <w:tc>
                <w:tcPr>
                  <w:tcW w:w="908" w:type="pct"/>
                  <w:tcBorders>
                    <w:tl2br w:val="nil"/>
                    <w:tr2bl w:val="nil"/>
                  </w:tcBorders>
                  <w:noWrap w:val="0"/>
                  <w:vAlign w:val="center"/>
                </w:tcPr>
                <w:p w14:paraId="0C5F16B4">
                  <w:pPr>
                    <w:pStyle w:val="48"/>
                    <w:bidi w:val="0"/>
                    <w:rPr>
                      <w:rFonts w:hint="default" w:ascii="Times New Roman" w:hAnsi="Times New Roman" w:cs="Times New Roman"/>
                      <w:b/>
                      <w:bCs/>
                      <w:color w:val="auto"/>
                    </w:rPr>
                  </w:pPr>
                  <w:r>
                    <w:rPr>
                      <w:rFonts w:hint="default" w:ascii="Times New Roman" w:hAnsi="Times New Roman" w:cs="Times New Roman"/>
                      <w:b/>
                      <w:bCs/>
                      <w:color w:val="auto"/>
                    </w:rPr>
                    <w:t>污染源名称</w:t>
                  </w:r>
                </w:p>
              </w:tc>
              <w:tc>
                <w:tcPr>
                  <w:tcW w:w="857" w:type="pct"/>
                  <w:tcBorders>
                    <w:tl2br w:val="nil"/>
                    <w:tr2bl w:val="nil"/>
                  </w:tcBorders>
                  <w:noWrap w:val="0"/>
                  <w:vAlign w:val="center"/>
                </w:tcPr>
                <w:p w14:paraId="5E9A6082">
                  <w:pPr>
                    <w:pStyle w:val="48"/>
                    <w:bidi w:val="0"/>
                    <w:rPr>
                      <w:rFonts w:hint="default" w:ascii="Times New Roman" w:hAnsi="Times New Roman" w:cs="Times New Roman"/>
                      <w:b/>
                      <w:bCs/>
                      <w:color w:val="auto"/>
                    </w:rPr>
                  </w:pPr>
                  <w:r>
                    <w:rPr>
                      <w:rFonts w:hint="default" w:ascii="Times New Roman" w:hAnsi="Times New Roman" w:cs="Times New Roman"/>
                      <w:b/>
                      <w:bCs/>
                      <w:color w:val="auto"/>
                    </w:rPr>
                    <w:t>监测位置</w:t>
                  </w:r>
                </w:p>
              </w:tc>
              <w:tc>
                <w:tcPr>
                  <w:tcW w:w="2112" w:type="pct"/>
                  <w:tcBorders>
                    <w:tl2br w:val="nil"/>
                    <w:tr2bl w:val="nil"/>
                  </w:tcBorders>
                  <w:noWrap w:val="0"/>
                  <w:vAlign w:val="center"/>
                </w:tcPr>
                <w:p w14:paraId="7F0A03C6">
                  <w:pPr>
                    <w:pStyle w:val="48"/>
                    <w:bidi w:val="0"/>
                    <w:rPr>
                      <w:rFonts w:hint="default" w:ascii="Times New Roman" w:hAnsi="Times New Roman" w:cs="Times New Roman"/>
                      <w:b/>
                      <w:bCs/>
                      <w:color w:val="auto"/>
                    </w:rPr>
                  </w:pPr>
                  <w:r>
                    <w:rPr>
                      <w:rFonts w:hint="default" w:ascii="Times New Roman" w:hAnsi="Times New Roman" w:cs="Times New Roman"/>
                      <w:b/>
                      <w:bCs/>
                      <w:color w:val="auto"/>
                    </w:rPr>
                    <w:t>污染物名称</w:t>
                  </w:r>
                </w:p>
              </w:tc>
              <w:tc>
                <w:tcPr>
                  <w:tcW w:w="1122" w:type="pct"/>
                  <w:tcBorders>
                    <w:tl2br w:val="nil"/>
                    <w:tr2bl w:val="nil"/>
                  </w:tcBorders>
                  <w:noWrap w:val="0"/>
                  <w:vAlign w:val="center"/>
                </w:tcPr>
                <w:p w14:paraId="525BBDA3">
                  <w:pPr>
                    <w:pStyle w:val="48"/>
                    <w:bidi w:val="0"/>
                    <w:rPr>
                      <w:rFonts w:hint="default" w:ascii="Times New Roman" w:hAnsi="Times New Roman" w:cs="Times New Roman"/>
                      <w:b/>
                      <w:bCs/>
                      <w:color w:val="auto"/>
                    </w:rPr>
                  </w:pPr>
                  <w:r>
                    <w:rPr>
                      <w:rFonts w:hint="default" w:ascii="Times New Roman" w:hAnsi="Times New Roman" w:cs="Times New Roman"/>
                      <w:b/>
                      <w:bCs/>
                      <w:color w:val="auto"/>
                    </w:rPr>
                    <w:t>监测频次</w:t>
                  </w:r>
                </w:p>
              </w:tc>
            </w:tr>
            <w:tr w14:paraId="5DCCF09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7" w:hRule="atLeast"/>
                <w:jc w:val="center"/>
              </w:trPr>
              <w:tc>
                <w:tcPr>
                  <w:tcW w:w="908" w:type="pct"/>
                  <w:vMerge w:val="restart"/>
                  <w:tcBorders>
                    <w:tl2br w:val="nil"/>
                    <w:tr2bl w:val="nil"/>
                  </w:tcBorders>
                  <w:noWrap w:val="0"/>
                  <w:vAlign w:val="center"/>
                </w:tcPr>
                <w:p w14:paraId="6BBE2C98">
                  <w:pPr>
                    <w:pStyle w:val="44"/>
                    <w:bidi w:val="0"/>
                    <w:rPr>
                      <w:rFonts w:hint="default"/>
                      <w:color w:val="auto"/>
                    </w:rPr>
                  </w:pPr>
                  <w:r>
                    <w:rPr>
                      <w:rFonts w:hint="default"/>
                      <w:color w:val="auto"/>
                      <w:lang w:val="en-US" w:eastAsia="zh-CN"/>
                    </w:rPr>
                    <w:t>有组织</w:t>
                  </w:r>
                  <w:r>
                    <w:rPr>
                      <w:rFonts w:hint="default"/>
                      <w:color w:val="auto"/>
                    </w:rPr>
                    <w:t>废气</w:t>
                  </w:r>
                </w:p>
              </w:tc>
              <w:tc>
                <w:tcPr>
                  <w:tcW w:w="857" w:type="pct"/>
                  <w:tcBorders>
                    <w:tl2br w:val="nil"/>
                    <w:tr2bl w:val="nil"/>
                  </w:tcBorders>
                  <w:noWrap w:val="0"/>
                  <w:vAlign w:val="center"/>
                </w:tcPr>
                <w:p w14:paraId="0112DEA2">
                  <w:pPr>
                    <w:pStyle w:val="44"/>
                    <w:bidi w:val="0"/>
                    <w:rPr>
                      <w:rFonts w:hint="default"/>
                      <w:color w:val="auto"/>
                      <w:lang w:val="en-US" w:eastAsia="zh-CN"/>
                    </w:rPr>
                  </w:pPr>
                  <w:r>
                    <w:rPr>
                      <w:rFonts w:hint="eastAsia"/>
                      <w:color w:val="auto"/>
                      <w:lang w:val="en-US" w:eastAsia="zh-CN"/>
                    </w:rPr>
                    <w:t>DA001</w:t>
                  </w:r>
                </w:p>
              </w:tc>
              <w:tc>
                <w:tcPr>
                  <w:tcW w:w="2112" w:type="pct"/>
                  <w:tcBorders>
                    <w:tl2br w:val="nil"/>
                    <w:tr2bl w:val="nil"/>
                  </w:tcBorders>
                  <w:noWrap w:val="0"/>
                  <w:vAlign w:val="center"/>
                </w:tcPr>
                <w:p w14:paraId="2A76A939">
                  <w:pPr>
                    <w:pStyle w:val="44"/>
                    <w:bidi w:val="0"/>
                    <w:rPr>
                      <w:rFonts w:hint="default"/>
                      <w:color w:val="auto"/>
                      <w:lang w:val="en-US" w:eastAsia="zh-CN"/>
                    </w:rPr>
                  </w:pPr>
                  <w:r>
                    <w:rPr>
                      <w:rFonts w:hint="eastAsia"/>
                      <w:color w:val="auto"/>
                      <w:lang w:val="en-US" w:eastAsia="zh-CN"/>
                    </w:rPr>
                    <w:t>颗粒物</w:t>
                  </w:r>
                </w:p>
              </w:tc>
              <w:tc>
                <w:tcPr>
                  <w:tcW w:w="1122" w:type="pct"/>
                  <w:tcBorders>
                    <w:tl2br w:val="nil"/>
                    <w:tr2bl w:val="nil"/>
                  </w:tcBorders>
                  <w:noWrap w:val="0"/>
                  <w:vAlign w:val="center"/>
                </w:tcPr>
                <w:p w14:paraId="0DE84125">
                  <w:pPr>
                    <w:pStyle w:val="44"/>
                    <w:bidi w:val="0"/>
                    <w:rPr>
                      <w:rFonts w:hint="default"/>
                      <w:color w:val="auto"/>
                      <w:lang w:val="en-US" w:eastAsia="zh-CN"/>
                    </w:rPr>
                  </w:pPr>
                  <w:r>
                    <w:rPr>
                      <w:rFonts w:hint="eastAsia"/>
                      <w:color w:val="auto"/>
                    </w:rPr>
                    <w:t>1次/</w:t>
                  </w:r>
                  <w:r>
                    <w:rPr>
                      <w:rFonts w:hint="eastAsia"/>
                      <w:color w:val="auto"/>
                      <w:lang w:val="en-US" w:eastAsia="zh-CN"/>
                    </w:rPr>
                    <w:t>半</w:t>
                  </w:r>
                  <w:r>
                    <w:rPr>
                      <w:rFonts w:hint="eastAsia"/>
                      <w:color w:val="auto"/>
                    </w:rPr>
                    <w:t>年</w:t>
                  </w:r>
                </w:p>
              </w:tc>
            </w:tr>
            <w:tr w14:paraId="2B70A4F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7" w:hRule="atLeast"/>
                <w:jc w:val="center"/>
              </w:trPr>
              <w:tc>
                <w:tcPr>
                  <w:tcW w:w="908" w:type="pct"/>
                  <w:vMerge w:val="continue"/>
                  <w:tcBorders>
                    <w:tl2br w:val="nil"/>
                    <w:tr2bl w:val="nil"/>
                  </w:tcBorders>
                  <w:noWrap w:val="0"/>
                  <w:vAlign w:val="center"/>
                </w:tcPr>
                <w:p w14:paraId="70050C92">
                  <w:pPr>
                    <w:pStyle w:val="44"/>
                    <w:bidi w:val="0"/>
                    <w:rPr>
                      <w:rFonts w:hint="default"/>
                      <w:color w:val="auto"/>
                      <w:lang w:val="en-US" w:eastAsia="zh-CN"/>
                    </w:rPr>
                  </w:pPr>
                </w:p>
              </w:tc>
              <w:tc>
                <w:tcPr>
                  <w:tcW w:w="857" w:type="pct"/>
                  <w:tcBorders>
                    <w:tl2br w:val="nil"/>
                    <w:tr2bl w:val="nil"/>
                  </w:tcBorders>
                  <w:noWrap w:val="0"/>
                  <w:vAlign w:val="center"/>
                </w:tcPr>
                <w:p w14:paraId="2C0365F4">
                  <w:pPr>
                    <w:pStyle w:val="44"/>
                    <w:bidi w:val="0"/>
                    <w:rPr>
                      <w:rFonts w:hint="default"/>
                      <w:color w:val="auto"/>
                      <w:lang w:val="en-US" w:eastAsia="zh-CN"/>
                    </w:rPr>
                  </w:pPr>
                  <w:r>
                    <w:rPr>
                      <w:rFonts w:hint="eastAsia"/>
                      <w:color w:val="auto"/>
                      <w:lang w:val="en-US" w:eastAsia="zh-CN"/>
                    </w:rPr>
                    <w:t>DA002</w:t>
                  </w:r>
                </w:p>
              </w:tc>
              <w:tc>
                <w:tcPr>
                  <w:tcW w:w="2112" w:type="pct"/>
                  <w:tcBorders>
                    <w:tl2br w:val="nil"/>
                    <w:tr2bl w:val="nil"/>
                  </w:tcBorders>
                  <w:noWrap w:val="0"/>
                  <w:vAlign w:val="center"/>
                </w:tcPr>
                <w:p w14:paraId="04E9ADB6">
                  <w:pPr>
                    <w:pStyle w:val="44"/>
                    <w:bidi w:val="0"/>
                    <w:rPr>
                      <w:rFonts w:hint="default"/>
                      <w:color w:val="auto"/>
                      <w:lang w:val="en-US" w:eastAsia="zh-CN"/>
                    </w:rPr>
                  </w:pPr>
                  <w:r>
                    <w:rPr>
                      <w:rFonts w:hint="default"/>
                      <w:color w:val="auto"/>
                      <w:lang w:val="en-US" w:eastAsia="zh-CN"/>
                    </w:rPr>
                    <w:t>VOCs</w:t>
                  </w:r>
                  <w:r>
                    <w:rPr>
                      <w:rFonts w:hint="eastAsia"/>
                      <w:color w:val="auto"/>
                      <w:lang w:val="en-US" w:eastAsia="zh-CN"/>
                    </w:rPr>
                    <w:t>、臭气浓度</w:t>
                  </w:r>
                </w:p>
              </w:tc>
              <w:tc>
                <w:tcPr>
                  <w:tcW w:w="1122" w:type="pct"/>
                  <w:tcBorders>
                    <w:tl2br w:val="nil"/>
                    <w:tr2bl w:val="nil"/>
                  </w:tcBorders>
                  <w:noWrap w:val="0"/>
                  <w:vAlign w:val="center"/>
                </w:tcPr>
                <w:p w14:paraId="6B1172A2">
                  <w:pPr>
                    <w:pStyle w:val="44"/>
                    <w:bidi w:val="0"/>
                    <w:rPr>
                      <w:rFonts w:hint="eastAsia"/>
                      <w:color w:val="auto"/>
                    </w:rPr>
                  </w:pPr>
                  <w:r>
                    <w:rPr>
                      <w:rFonts w:hint="eastAsia"/>
                      <w:color w:val="auto"/>
                    </w:rPr>
                    <w:t>1次/</w:t>
                  </w:r>
                  <w:r>
                    <w:rPr>
                      <w:rFonts w:hint="eastAsia"/>
                      <w:color w:val="auto"/>
                      <w:lang w:val="en-US" w:eastAsia="zh-CN"/>
                    </w:rPr>
                    <w:t>半</w:t>
                  </w:r>
                  <w:r>
                    <w:rPr>
                      <w:rFonts w:hint="eastAsia"/>
                      <w:color w:val="auto"/>
                    </w:rPr>
                    <w:t>年</w:t>
                  </w:r>
                </w:p>
              </w:tc>
            </w:tr>
            <w:tr w14:paraId="5D6EB9B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7" w:hRule="atLeast"/>
                <w:jc w:val="center"/>
              </w:trPr>
              <w:tc>
                <w:tcPr>
                  <w:tcW w:w="908" w:type="pct"/>
                  <w:vMerge w:val="restart"/>
                  <w:tcBorders>
                    <w:tl2br w:val="nil"/>
                    <w:tr2bl w:val="nil"/>
                  </w:tcBorders>
                  <w:noWrap w:val="0"/>
                  <w:vAlign w:val="center"/>
                </w:tcPr>
                <w:p w14:paraId="345A6089">
                  <w:pPr>
                    <w:pStyle w:val="44"/>
                    <w:bidi w:val="0"/>
                    <w:rPr>
                      <w:rFonts w:hint="default"/>
                      <w:color w:val="auto"/>
                      <w:lang w:val="en-US" w:eastAsia="zh-CN"/>
                    </w:rPr>
                  </w:pPr>
                  <w:r>
                    <w:rPr>
                      <w:rFonts w:hint="default"/>
                      <w:color w:val="auto"/>
                      <w:lang w:val="en-US" w:eastAsia="zh-CN"/>
                    </w:rPr>
                    <w:t>无组织废气</w:t>
                  </w:r>
                </w:p>
              </w:tc>
              <w:tc>
                <w:tcPr>
                  <w:tcW w:w="857" w:type="pct"/>
                  <w:tcBorders>
                    <w:tl2br w:val="nil"/>
                    <w:tr2bl w:val="nil"/>
                  </w:tcBorders>
                  <w:noWrap w:val="0"/>
                  <w:vAlign w:val="center"/>
                </w:tcPr>
                <w:p w14:paraId="1A01417A">
                  <w:pPr>
                    <w:pStyle w:val="44"/>
                    <w:bidi w:val="0"/>
                    <w:rPr>
                      <w:rFonts w:hint="default"/>
                      <w:color w:val="auto"/>
                      <w:lang w:val="en-US" w:eastAsia="zh-CN"/>
                    </w:rPr>
                  </w:pPr>
                  <w:r>
                    <w:rPr>
                      <w:rFonts w:hint="default"/>
                      <w:color w:val="auto"/>
                      <w:lang w:val="en-US" w:eastAsia="zh-CN"/>
                    </w:rPr>
                    <w:t>厂界</w:t>
                  </w:r>
                </w:p>
              </w:tc>
              <w:tc>
                <w:tcPr>
                  <w:tcW w:w="2112" w:type="pct"/>
                  <w:tcBorders>
                    <w:tl2br w:val="nil"/>
                    <w:tr2bl w:val="nil"/>
                  </w:tcBorders>
                  <w:noWrap w:val="0"/>
                  <w:vAlign w:val="center"/>
                </w:tcPr>
                <w:p w14:paraId="44E0AF01">
                  <w:pPr>
                    <w:pStyle w:val="44"/>
                    <w:bidi w:val="0"/>
                    <w:rPr>
                      <w:rFonts w:hint="eastAsia" w:eastAsia="宋体"/>
                      <w:color w:val="auto"/>
                      <w:lang w:eastAsia="zh-CN"/>
                    </w:rPr>
                  </w:pPr>
                  <w:r>
                    <w:rPr>
                      <w:rFonts w:hint="default"/>
                      <w:color w:val="auto"/>
                    </w:rPr>
                    <w:t>VOCs</w:t>
                  </w:r>
                  <w:r>
                    <w:rPr>
                      <w:rFonts w:hint="eastAsia"/>
                      <w:color w:val="auto"/>
                      <w:lang w:eastAsia="zh-CN"/>
                    </w:rPr>
                    <w:t>、</w:t>
                  </w:r>
                  <w:r>
                    <w:rPr>
                      <w:rFonts w:hint="eastAsia"/>
                      <w:color w:val="auto"/>
                      <w:lang w:val="en-US" w:eastAsia="zh-CN"/>
                    </w:rPr>
                    <w:t>颗粒物、臭气浓度</w:t>
                  </w:r>
                </w:p>
              </w:tc>
              <w:tc>
                <w:tcPr>
                  <w:tcW w:w="1122" w:type="pct"/>
                  <w:tcBorders>
                    <w:tl2br w:val="nil"/>
                    <w:tr2bl w:val="nil"/>
                  </w:tcBorders>
                  <w:noWrap w:val="0"/>
                  <w:vAlign w:val="center"/>
                </w:tcPr>
                <w:p w14:paraId="171DD38E">
                  <w:pPr>
                    <w:pStyle w:val="44"/>
                    <w:bidi w:val="0"/>
                    <w:rPr>
                      <w:rFonts w:hint="default"/>
                      <w:color w:val="auto"/>
                      <w:lang w:val="en-US" w:eastAsia="zh-CN"/>
                    </w:rPr>
                  </w:pPr>
                  <w:r>
                    <w:rPr>
                      <w:rFonts w:hint="default"/>
                      <w:color w:val="auto"/>
                      <w:lang w:val="en-US" w:eastAsia="zh-CN"/>
                    </w:rPr>
                    <w:t>1次/</w:t>
                  </w:r>
                  <w:r>
                    <w:rPr>
                      <w:rFonts w:hint="eastAsia"/>
                      <w:color w:val="auto"/>
                      <w:lang w:val="en-US" w:eastAsia="zh-CN"/>
                    </w:rPr>
                    <w:t>半</w:t>
                  </w:r>
                  <w:r>
                    <w:rPr>
                      <w:rFonts w:hint="default"/>
                      <w:color w:val="auto"/>
                      <w:lang w:val="en-US" w:eastAsia="zh-CN"/>
                    </w:rPr>
                    <w:t>年</w:t>
                  </w:r>
                </w:p>
              </w:tc>
            </w:tr>
            <w:tr w14:paraId="6CBE4AE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7" w:hRule="atLeast"/>
                <w:jc w:val="center"/>
              </w:trPr>
              <w:tc>
                <w:tcPr>
                  <w:tcW w:w="908" w:type="pct"/>
                  <w:vMerge w:val="continue"/>
                  <w:tcBorders>
                    <w:tl2br w:val="nil"/>
                    <w:tr2bl w:val="nil"/>
                  </w:tcBorders>
                  <w:noWrap w:val="0"/>
                  <w:vAlign w:val="center"/>
                </w:tcPr>
                <w:p w14:paraId="21AF816C">
                  <w:pPr>
                    <w:pStyle w:val="44"/>
                    <w:bidi w:val="0"/>
                    <w:rPr>
                      <w:rFonts w:hint="default"/>
                      <w:color w:val="auto"/>
                      <w:lang w:val="en-US" w:eastAsia="zh-CN"/>
                    </w:rPr>
                  </w:pPr>
                </w:p>
              </w:tc>
              <w:tc>
                <w:tcPr>
                  <w:tcW w:w="857" w:type="pct"/>
                  <w:tcBorders>
                    <w:tl2br w:val="nil"/>
                    <w:tr2bl w:val="nil"/>
                  </w:tcBorders>
                  <w:noWrap w:val="0"/>
                  <w:vAlign w:val="center"/>
                </w:tcPr>
                <w:p w14:paraId="56DCA180">
                  <w:pPr>
                    <w:pStyle w:val="44"/>
                    <w:bidi w:val="0"/>
                    <w:rPr>
                      <w:rFonts w:hint="default"/>
                      <w:color w:val="auto"/>
                      <w:lang w:val="en-US" w:eastAsia="zh-CN"/>
                    </w:rPr>
                  </w:pPr>
                  <w:r>
                    <w:rPr>
                      <w:rFonts w:hint="eastAsia"/>
                      <w:color w:val="auto"/>
                      <w:lang w:val="en-US" w:eastAsia="zh-CN"/>
                    </w:rPr>
                    <w:t>厂区内</w:t>
                  </w:r>
                </w:p>
              </w:tc>
              <w:tc>
                <w:tcPr>
                  <w:tcW w:w="2112" w:type="pct"/>
                  <w:tcBorders>
                    <w:tl2br w:val="nil"/>
                    <w:tr2bl w:val="nil"/>
                  </w:tcBorders>
                  <w:noWrap w:val="0"/>
                  <w:vAlign w:val="center"/>
                </w:tcPr>
                <w:p w14:paraId="44A73501">
                  <w:pPr>
                    <w:pStyle w:val="44"/>
                    <w:bidi w:val="0"/>
                    <w:rPr>
                      <w:rFonts w:hint="default"/>
                      <w:color w:val="auto"/>
                    </w:rPr>
                  </w:pPr>
                  <w:r>
                    <w:rPr>
                      <w:rFonts w:hint="default"/>
                      <w:color w:val="auto"/>
                    </w:rPr>
                    <w:t>VOCs</w:t>
                  </w:r>
                </w:p>
              </w:tc>
              <w:tc>
                <w:tcPr>
                  <w:tcW w:w="1122" w:type="pct"/>
                  <w:tcBorders>
                    <w:tl2br w:val="nil"/>
                    <w:tr2bl w:val="nil"/>
                  </w:tcBorders>
                  <w:noWrap w:val="0"/>
                  <w:vAlign w:val="center"/>
                </w:tcPr>
                <w:p w14:paraId="667D14B5">
                  <w:pPr>
                    <w:pStyle w:val="44"/>
                    <w:bidi w:val="0"/>
                    <w:rPr>
                      <w:rFonts w:hint="default"/>
                      <w:color w:val="auto"/>
                      <w:lang w:val="en-US" w:eastAsia="zh-CN"/>
                    </w:rPr>
                  </w:pPr>
                  <w:r>
                    <w:rPr>
                      <w:rFonts w:hint="default"/>
                      <w:color w:val="auto"/>
                      <w:lang w:val="en-US" w:eastAsia="zh-CN"/>
                    </w:rPr>
                    <w:t>1次/</w:t>
                  </w:r>
                  <w:r>
                    <w:rPr>
                      <w:rFonts w:hint="eastAsia"/>
                      <w:color w:val="auto"/>
                      <w:lang w:val="en-US" w:eastAsia="zh-CN"/>
                    </w:rPr>
                    <w:t>半</w:t>
                  </w:r>
                  <w:r>
                    <w:rPr>
                      <w:rFonts w:hint="default"/>
                      <w:color w:val="auto"/>
                      <w:lang w:val="en-US" w:eastAsia="zh-CN"/>
                    </w:rPr>
                    <w:t>年</w:t>
                  </w:r>
                </w:p>
              </w:tc>
            </w:tr>
          </w:tbl>
          <w:p w14:paraId="308D75A8">
            <w:pPr>
              <w:pStyle w:val="5"/>
              <w:numPr>
                <w:ilvl w:val="0"/>
                <w:numId w:val="0"/>
              </w:numPr>
              <w:bidi w:val="0"/>
              <w:ind w:leftChars="200"/>
              <w:rPr>
                <w:rFonts w:hint="default" w:ascii="Times New Roman" w:hAnsi="Times New Roman" w:cs="Times New Roman"/>
                <w:color w:val="auto"/>
              </w:rPr>
            </w:pPr>
            <w:r>
              <w:rPr>
                <w:rFonts w:hint="default" w:ascii="Times New Roman" w:hAnsi="Times New Roman" w:cs="Times New Roman"/>
                <w:color w:val="auto"/>
              </w:rPr>
              <w:t>二、废水</w:t>
            </w:r>
          </w:p>
          <w:p w14:paraId="5B90BA9E">
            <w:pPr>
              <w:pStyle w:val="5"/>
              <w:numPr>
                <w:ilvl w:val="0"/>
                <w:numId w:val="0"/>
              </w:numPr>
              <w:bidi w:val="0"/>
              <w:ind w:leftChars="0" w:firstLine="480" w:firstLineChars="200"/>
              <w:rPr>
                <w:rFonts w:hint="default"/>
                <w:color w:val="auto"/>
                <w:lang w:val="en-US" w:eastAsia="zh-CN"/>
              </w:rPr>
            </w:pPr>
            <w:r>
              <w:rPr>
                <w:rFonts w:hint="eastAsia"/>
                <w:color w:val="auto"/>
                <w:lang w:val="en-US" w:eastAsia="zh-CN"/>
              </w:rPr>
              <w:t>1、废水产生及排放情况</w:t>
            </w:r>
          </w:p>
          <w:p w14:paraId="5C0D589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szCs w:val="28"/>
              </w:rPr>
            </w:pPr>
            <w:r>
              <w:rPr>
                <w:rFonts w:hint="default" w:ascii="Times New Roman" w:hAnsi="Times New Roman" w:cs="Times New Roman"/>
                <w:color w:val="auto"/>
                <w:sz w:val="24"/>
                <w:szCs w:val="28"/>
              </w:rPr>
              <w:t>本项目无废水外排：生活污水经化粪池处理后委托环卫部门清运；</w:t>
            </w:r>
            <w:r>
              <w:rPr>
                <w:rFonts w:hint="eastAsia" w:cs="Times New Roman"/>
                <w:color w:val="FF0000"/>
                <w:szCs w:val="32"/>
                <w:lang w:val="en-US" w:eastAsia="zh-CN"/>
              </w:rPr>
              <w:t>设备冷却水、冷凝冷却水循环使用</w:t>
            </w:r>
            <w:r>
              <w:rPr>
                <w:rFonts w:hint="eastAsia" w:cs="Times New Roman"/>
                <w:color w:val="auto"/>
                <w:sz w:val="24"/>
                <w:szCs w:val="28"/>
                <w:lang w:val="en-US" w:eastAsia="zh-CN"/>
              </w:rPr>
              <w:t>，</w:t>
            </w:r>
            <w:r>
              <w:rPr>
                <w:rFonts w:hint="default" w:ascii="Times New Roman" w:hAnsi="Times New Roman" w:cs="Times New Roman"/>
                <w:color w:val="auto"/>
                <w:sz w:val="24"/>
                <w:szCs w:val="28"/>
                <w:lang w:val="en-US" w:eastAsia="zh-CN"/>
              </w:rPr>
              <w:t>定期补充损耗不外排</w:t>
            </w:r>
            <w:r>
              <w:rPr>
                <w:rFonts w:hint="default" w:ascii="Times New Roman" w:hAnsi="Times New Roman" w:cs="Times New Roman"/>
                <w:color w:val="auto"/>
                <w:sz w:val="24"/>
                <w:szCs w:val="28"/>
              </w:rPr>
              <w:t>。</w:t>
            </w:r>
          </w:p>
          <w:p w14:paraId="1E36F3AC">
            <w:pPr>
              <w:pStyle w:val="46"/>
              <w:bidi w:val="0"/>
              <w:rPr>
                <w:rFonts w:hint="default"/>
                <w:color w:val="auto"/>
                <w:lang w:val="en-US" w:eastAsia="en-US"/>
              </w:rPr>
            </w:pPr>
            <w:r>
              <w:rPr>
                <w:rFonts w:hint="eastAsia"/>
                <w:color w:val="auto"/>
                <w:lang w:val="en-US" w:eastAsia="zh-CN"/>
              </w:rPr>
              <w:t>表4-9</w:t>
            </w:r>
            <w:r>
              <w:rPr>
                <w:rFonts w:hint="default"/>
                <w:color w:val="auto"/>
                <w:lang w:val="en-US" w:eastAsia="en-US"/>
              </w:rPr>
              <w:t>项目废水产生及处理措施一览表</w:t>
            </w:r>
          </w:p>
          <w:tbl>
            <w:tblPr>
              <w:tblStyle w:val="33"/>
              <w:tblW w:w="5011"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24"/>
              <w:gridCol w:w="834"/>
              <w:gridCol w:w="877"/>
              <w:gridCol w:w="811"/>
              <w:gridCol w:w="893"/>
              <w:gridCol w:w="559"/>
              <w:gridCol w:w="855"/>
              <w:gridCol w:w="799"/>
              <w:gridCol w:w="856"/>
              <w:gridCol w:w="929"/>
            </w:tblGrid>
            <w:tr w14:paraId="587293A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8" w:type="pct"/>
                  <w:vMerge w:val="restart"/>
                  <w:tcBorders>
                    <w:tl2br w:val="nil"/>
                    <w:tr2bl w:val="nil"/>
                  </w:tcBorders>
                  <w:noWrap w:val="0"/>
                  <w:vAlign w:val="center"/>
                </w:tcPr>
                <w:p w14:paraId="4E7E8A2E">
                  <w:pPr>
                    <w:pStyle w:val="44"/>
                    <w:bidi w:val="0"/>
                    <w:rPr>
                      <w:rFonts w:hint="default"/>
                      <w:color w:val="auto"/>
                    </w:rPr>
                  </w:pPr>
                  <w:r>
                    <w:rPr>
                      <w:rFonts w:hint="default"/>
                      <w:color w:val="auto"/>
                    </w:rPr>
                    <w:t>种类</w:t>
                  </w:r>
                </w:p>
              </w:tc>
              <w:tc>
                <w:tcPr>
                  <w:tcW w:w="519" w:type="pct"/>
                  <w:vMerge w:val="restart"/>
                  <w:tcBorders>
                    <w:tl2br w:val="nil"/>
                    <w:tr2bl w:val="nil"/>
                  </w:tcBorders>
                  <w:noWrap w:val="0"/>
                  <w:vAlign w:val="center"/>
                </w:tcPr>
                <w:p w14:paraId="49F1FB27">
                  <w:pPr>
                    <w:pStyle w:val="44"/>
                    <w:bidi w:val="0"/>
                    <w:rPr>
                      <w:rFonts w:hint="default"/>
                      <w:color w:val="auto"/>
                    </w:rPr>
                  </w:pPr>
                  <w:r>
                    <w:rPr>
                      <w:rFonts w:hint="default"/>
                      <w:color w:val="auto"/>
                    </w:rPr>
                    <w:t>废水量</w:t>
                  </w:r>
                </w:p>
                <w:p w14:paraId="167E0DFD">
                  <w:pPr>
                    <w:pStyle w:val="44"/>
                    <w:bidi w:val="0"/>
                    <w:rPr>
                      <w:rFonts w:hint="default"/>
                      <w:color w:val="auto"/>
                    </w:rPr>
                  </w:pPr>
                  <w:r>
                    <w:rPr>
                      <w:rFonts w:hint="default"/>
                      <w:color w:val="auto"/>
                    </w:rPr>
                    <w:t>m</w:t>
                  </w:r>
                  <w:r>
                    <w:rPr>
                      <w:rFonts w:hint="default"/>
                      <w:color w:val="auto"/>
                      <w:vertAlign w:val="superscript"/>
                    </w:rPr>
                    <w:t>3</w:t>
                  </w:r>
                  <w:r>
                    <w:rPr>
                      <w:rFonts w:hint="default"/>
                      <w:color w:val="auto"/>
                    </w:rPr>
                    <w:t>/a</w:t>
                  </w:r>
                </w:p>
              </w:tc>
              <w:tc>
                <w:tcPr>
                  <w:tcW w:w="545" w:type="pct"/>
                  <w:vMerge w:val="restart"/>
                  <w:tcBorders>
                    <w:tl2br w:val="nil"/>
                    <w:tr2bl w:val="nil"/>
                  </w:tcBorders>
                  <w:noWrap w:val="0"/>
                  <w:vAlign w:val="center"/>
                </w:tcPr>
                <w:p w14:paraId="305165C1">
                  <w:pPr>
                    <w:pStyle w:val="44"/>
                    <w:bidi w:val="0"/>
                    <w:rPr>
                      <w:rFonts w:hint="default"/>
                      <w:color w:val="auto"/>
                    </w:rPr>
                  </w:pPr>
                  <w:r>
                    <w:rPr>
                      <w:rFonts w:hint="default"/>
                      <w:color w:val="auto"/>
                    </w:rPr>
                    <w:t>污染物</w:t>
                  </w:r>
                </w:p>
                <w:p w14:paraId="6B9D6FD5">
                  <w:pPr>
                    <w:pStyle w:val="44"/>
                    <w:bidi w:val="0"/>
                    <w:rPr>
                      <w:rFonts w:hint="default"/>
                      <w:color w:val="auto"/>
                    </w:rPr>
                  </w:pPr>
                  <w:r>
                    <w:rPr>
                      <w:rFonts w:hint="default"/>
                      <w:color w:val="auto"/>
                    </w:rPr>
                    <w:t>名称</w:t>
                  </w:r>
                </w:p>
              </w:tc>
              <w:tc>
                <w:tcPr>
                  <w:tcW w:w="1059" w:type="pct"/>
                  <w:gridSpan w:val="2"/>
                  <w:tcBorders>
                    <w:tl2br w:val="nil"/>
                    <w:tr2bl w:val="nil"/>
                  </w:tcBorders>
                  <w:noWrap w:val="0"/>
                  <w:vAlign w:val="center"/>
                </w:tcPr>
                <w:p w14:paraId="13E71618">
                  <w:pPr>
                    <w:pStyle w:val="44"/>
                    <w:bidi w:val="0"/>
                    <w:rPr>
                      <w:rFonts w:hint="default"/>
                      <w:color w:val="auto"/>
                    </w:rPr>
                  </w:pPr>
                  <w:r>
                    <w:rPr>
                      <w:rFonts w:hint="default"/>
                      <w:color w:val="auto"/>
                    </w:rPr>
                    <w:t>产生情况</w:t>
                  </w:r>
                </w:p>
              </w:tc>
              <w:tc>
                <w:tcPr>
                  <w:tcW w:w="348" w:type="pct"/>
                  <w:vMerge w:val="restart"/>
                  <w:tcBorders>
                    <w:tl2br w:val="nil"/>
                    <w:tr2bl w:val="nil"/>
                  </w:tcBorders>
                  <w:noWrap w:val="0"/>
                  <w:vAlign w:val="center"/>
                </w:tcPr>
                <w:p w14:paraId="2051ABC8">
                  <w:pPr>
                    <w:pStyle w:val="44"/>
                    <w:bidi w:val="0"/>
                    <w:rPr>
                      <w:rFonts w:hint="default"/>
                      <w:color w:val="auto"/>
                    </w:rPr>
                  </w:pPr>
                  <w:r>
                    <w:rPr>
                      <w:rFonts w:hint="default"/>
                      <w:color w:val="auto"/>
                    </w:rPr>
                    <w:t>治理</w:t>
                  </w:r>
                </w:p>
                <w:p w14:paraId="346B638F">
                  <w:pPr>
                    <w:pStyle w:val="44"/>
                    <w:bidi w:val="0"/>
                    <w:rPr>
                      <w:rFonts w:hint="default"/>
                      <w:color w:val="auto"/>
                    </w:rPr>
                  </w:pPr>
                  <w:r>
                    <w:rPr>
                      <w:rFonts w:hint="default"/>
                      <w:color w:val="auto"/>
                    </w:rPr>
                    <w:t>措施</w:t>
                  </w:r>
                </w:p>
              </w:tc>
              <w:tc>
                <w:tcPr>
                  <w:tcW w:w="531" w:type="pct"/>
                  <w:vMerge w:val="restart"/>
                  <w:tcBorders>
                    <w:tl2br w:val="nil"/>
                    <w:tr2bl w:val="nil"/>
                  </w:tcBorders>
                  <w:noWrap w:val="0"/>
                  <w:vAlign w:val="center"/>
                </w:tcPr>
                <w:p w14:paraId="69E18F6C">
                  <w:pPr>
                    <w:pStyle w:val="44"/>
                    <w:bidi w:val="0"/>
                    <w:rPr>
                      <w:rFonts w:hint="default"/>
                      <w:color w:val="auto"/>
                    </w:rPr>
                  </w:pPr>
                  <w:r>
                    <w:rPr>
                      <w:rFonts w:hint="default"/>
                      <w:color w:val="auto"/>
                    </w:rPr>
                    <w:t>处理</w:t>
                  </w:r>
                </w:p>
                <w:p w14:paraId="333761E6">
                  <w:pPr>
                    <w:pStyle w:val="44"/>
                    <w:bidi w:val="0"/>
                    <w:rPr>
                      <w:rFonts w:hint="default"/>
                      <w:color w:val="auto"/>
                    </w:rPr>
                  </w:pPr>
                  <w:r>
                    <w:rPr>
                      <w:rFonts w:hint="default"/>
                      <w:color w:val="auto"/>
                    </w:rPr>
                    <w:t>效率</w:t>
                  </w:r>
                </w:p>
              </w:tc>
              <w:tc>
                <w:tcPr>
                  <w:tcW w:w="1029" w:type="pct"/>
                  <w:gridSpan w:val="2"/>
                  <w:tcBorders>
                    <w:tl2br w:val="nil"/>
                    <w:tr2bl w:val="nil"/>
                  </w:tcBorders>
                  <w:noWrap w:val="0"/>
                  <w:vAlign w:val="center"/>
                </w:tcPr>
                <w:p w14:paraId="1D92B150">
                  <w:pPr>
                    <w:pStyle w:val="44"/>
                    <w:bidi w:val="0"/>
                    <w:rPr>
                      <w:rFonts w:hint="default"/>
                      <w:color w:val="auto"/>
                    </w:rPr>
                  </w:pPr>
                  <w:r>
                    <w:rPr>
                      <w:rFonts w:hint="eastAsia"/>
                      <w:color w:val="auto"/>
                      <w:lang w:val="en-US" w:eastAsia="zh-CN"/>
                    </w:rPr>
                    <w:t>处理后</w:t>
                  </w:r>
                  <w:r>
                    <w:rPr>
                      <w:rFonts w:hint="default"/>
                      <w:color w:val="auto"/>
                    </w:rPr>
                    <w:t>情况</w:t>
                  </w:r>
                </w:p>
              </w:tc>
              <w:tc>
                <w:tcPr>
                  <w:tcW w:w="577" w:type="pct"/>
                  <w:vMerge w:val="restart"/>
                  <w:tcBorders>
                    <w:tl2br w:val="nil"/>
                    <w:tr2bl w:val="nil"/>
                  </w:tcBorders>
                  <w:noWrap w:val="0"/>
                  <w:vAlign w:val="center"/>
                </w:tcPr>
                <w:p w14:paraId="7D3FE209">
                  <w:pPr>
                    <w:pStyle w:val="44"/>
                    <w:bidi w:val="0"/>
                    <w:rPr>
                      <w:rFonts w:hint="default"/>
                      <w:color w:val="auto"/>
                    </w:rPr>
                  </w:pPr>
                  <w:r>
                    <w:rPr>
                      <w:rFonts w:hint="default"/>
                      <w:color w:val="auto"/>
                    </w:rPr>
                    <w:t>排放去向</w:t>
                  </w:r>
                </w:p>
              </w:tc>
            </w:tr>
            <w:tr w14:paraId="26682F7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8" w:type="pct"/>
                  <w:vMerge w:val="continue"/>
                  <w:tcBorders>
                    <w:tl2br w:val="nil"/>
                    <w:tr2bl w:val="nil"/>
                  </w:tcBorders>
                  <w:noWrap w:val="0"/>
                  <w:vAlign w:val="center"/>
                </w:tcPr>
                <w:p w14:paraId="2AAD69E5">
                  <w:pPr>
                    <w:pStyle w:val="44"/>
                    <w:bidi w:val="0"/>
                    <w:rPr>
                      <w:rFonts w:hint="default"/>
                      <w:color w:val="auto"/>
                    </w:rPr>
                  </w:pPr>
                </w:p>
              </w:tc>
              <w:tc>
                <w:tcPr>
                  <w:tcW w:w="519" w:type="pct"/>
                  <w:vMerge w:val="continue"/>
                  <w:tcBorders>
                    <w:tl2br w:val="nil"/>
                    <w:tr2bl w:val="nil"/>
                  </w:tcBorders>
                  <w:noWrap w:val="0"/>
                  <w:vAlign w:val="center"/>
                </w:tcPr>
                <w:p w14:paraId="15FED998">
                  <w:pPr>
                    <w:pStyle w:val="44"/>
                    <w:bidi w:val="0"/>
                    <w:rPr>
                      <w:rFonts w:hint="default"/>
                      <w:color w:val="auto"/>
                    </w:rPr>
                  </w:pPr>
                </w:p>
              </w:tc>
              <w:tc>
                <w:tcPr>
                  <w:tcW w:w="545" w:type="pct"/>
                  <w:vMerge w:val="continue"/>
                  <w:tcBorders>
                    <w:tl2br w:val="nil"/>
                    <w:tr2bl w:val="nil"/>
                  </w:tcBorders>
                  <w:noWrap w:val="0"/>
                  <w:vAlign w:val="center"/>
                </w:tcPr>
                <w:p w14:paraId="12ADFE34">
                  <w:pPr>
                    <w:pStyle w:val="44"/>
                    <w:bidi w:val="0"/>
                    <w:rPr>
                      <w:rFonts w:hint="default"/>
                      <w:color w:val="auto"/>
                    </w:rPr>
                  </w:pPr>
                </w:p>
              </w:tc>
              <w:tc>
                <w:tcPr>
                  <w:tcW w:w="504" w:type="pct"/>
                  <w:tcBorders>
                    <w:tl2br w:val="nil"/>
                    <w:tr2bl w:val="nil"/>
                  </w:tcBorders>
                  <w:noWrap w:val="0"/>
                  <w:vAlign w:val="center"/>
                </w:tcPr>
                <w:p w14:paraId="56A770D7">
                  <w:pPr>
                    <w:pStyle w:val="44"/>
                    <w:bidi w:val="0"/>
                    <w:rPr>
                      <w:rFonts w:hint="default"/>
                      <w:color w:val="auto"/>
                    </w:rPr>
                  </w:pPr>
                  <w:r>
                    <w:rPr>
                      <w:rFonts w:hint="default"/>
                      <w:color w:val="auto"/>
                    </w:rPr>
                    <w:t>浓度mg/L</w:t>
                  </w:r>
                </w:p>
              </w:tc>
              <w:tc>
                <w:tcPr>
                  <w:tcW w:w="555" w:type="pct"/>
                  <w:tcBorders>
                    <w:tl2br w:val="nil"/>
                    <w:tr2bl w:val="nil"/>
                  </w:tcBorders>
                  <w:noWrap w:val="0"/>
                  <w:vAlign w:val="center"/>
                </w:tcPr>
                <w:p w14:paraId="5B6B04A0">
                  <w:pPr>
                    <w:pStyle w:val="44"/>
                    <w:bidi w:val="0"/>
                    <w:rPr>
                      <w:rFonts w:hint="default"/>
                      <w:color w:val="auto"/>
                    </w:rPr>
                  </w:pPr>
                  <w:r>
                    <w:rPr>
                      <w:rFonts w:hint="default"/>
                      <w:color w:val="auto"/>
                    </w:rPr>
                    <w:t>产生量t/a</w:t>
                  </w:r>
                </w:p>
              </w:tc>
              <w:tc>
                <w:tcPr>
                  <w:tcW w:w="348" w:type="pct"/>
                  <w:vMerge w:val="continue"/>
                  <w:tcBorders>
                    <w:tl2br w:val="nil"/>
                    <w:tr2bl w:val="nil"/>
                  </w:tcBorders>
                  <w:noWrap w:val="0"/>
                  <w:vAlign w:val="top"/>
                </w:tcPr>
                <w:p w14:paraId="2369F056">
                  <w:pPr>
                    <w:pStyle w:val="44"/>
                    <w:bidi w:val="0"/>
                    <w:rPr>
                      <w:rFonts w:hint="default"/>
                      <w:color w:val="auto"/>
                    </w:rPr>
                  </w:pPr>
                </w:p>
              </w:tc>
              <w:tc>
                <w:tcPr>
                  <w:tcW w:w="531" w:type="pct"/>
                  <w:vMerge w:val="continue"/>
                  <w:tcBorders>
                    <w:tl2br w:val="nil"/>
                    <w:tr2bl w:val="nil"/>
                  </w:tcBorders>
                  <w:noWrap w:val="0"/>
                  <w:vAlign w:val="center"/>
                </w:tcPr>
                <w:p w14:paraId="47DD3D41">
                  <w:pPr>
                    <w:pStyle w:val="44"/>
                    <w:bidi w:val="0"/>
                    <w:rPr>
                      <w:rFonts w:hint="default"/>
                      <w:color w:val="auto"/>
                    </w:rPr>
                  </w:pPr>
                </w:p>
              </w:tc>
              <w:tc>
                <w:tcPr>
                  <w:tcW w:w="497" w:type="pct"/>
                  <w:tcBorders>
                    <w:tl2br w:val="nil"/>
                    <w:tr2bl w:val="nil"/>
                  </w:tcBorders>
                  <w:noWrap w:val="0"/>
                  <w:vAlign w:val="center"/>
                </w:tcPr>
                <w:p w14:paraId="583FDB87">
                  <w:pPr>
                    <w:pStyle w:val="44"/>
                    <w:bidi w:val="0"/>
                    <w:rPr>
                      <w:rFonts w:hint="default"/>
                      <w:color w:val="auto"/>
                    </w:rPr>
                  </w:pPr>
                  <w:r>
                    <w:rPr>
                      <w:rFonts w:hint="default"/>
                      <w:color w:val="auto"/>
                    </w:rPr>
                    <w:t>浓度mg/L</w:t>
                  </w:r>
                </w:p>
              </w:tc>
              <w:tc>
                <w:tcPr>
                  <w:tcW w:w="532" w:type="pct"/>
                  <w:tcBorders>
                    <w:tl2br w:val="nil"/>
                    <w:tr2bl w:val="nil"/>
                  </w:tcBorders>
                  <w:noWrap w:val="0"/>
                  <w:vAlign w:val="center"/>
                </w:tcPr>
                <w:p w14:paraId="491E6782">
                  <w:pPr>
                    <w:pStyle w:val="44"/>
                    <w:bidi w:val="0"/>
                    <w:rPr>
                      <w:rFonts w:hint="default"/>
                      <w:color w:val="auto"/>
                    </w:rPr>
                  </w:pPr>
                  <w:r>
                    <w:rPr>
                      <w:rFonts w:hint="default"/>
                      <w:color w:val="auto"/>
                    </w:rPr>
                    <w:t>排放量t/a</w:t>
                  </w:r>
                </w:p>
              </w:tc>
              <w:tc>
                <w:tcPr>
                  <w:tcW w:w="577" w:type="pct"/>
                  <w:vMerge w:val="continue"/>
                  <w:tcBorders>
                    <w:tl2br w:val="nil"/>
                    <w:tr2bl w:val="nil"/>
                  </w:tcBorders>
                  <w:noWrap w:val="0"/>
                  <w:vAlign w:val="center"/>
                </w:tcPr>
                <w:p w14:paraId="6E9E5DE8">
                  <w:pPr>
                    <w:pStyle w:val="44"/>
                    <w:bidi w:val="0"/>
                    <w:rPr>
                      <w:rFonts w:hint="default"/>
                      <w:color w:val="auto"/>
                    </w:rPr>
                  </w:pPr>
                </w:p>
              </w:tc>
            </w:tr>
            <w:tr w14:paraId="044B682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88" w:type="pct"/>
                  <w:vMerge w:val="restart"/>
                  <w:tcBorders>
                    <w:tl2br w:val="nil"/>
                    <w:tr2bl w:val="nil"/>
                  </w:tcBorders>
                  <w:noWrap w:val="0"/>
                  <w:vAlign w:val="center"/>
                </w:tcPr>
                <w:p w14:paraId="43085B32">
                  <w:pPr>
                    <w:pStyle w:val="44"/>
                    <w:bidi w:val="0"/>
                    <w:rPr>
                      <w:rFonts w:hint="default"/>
                      <w:color w:val="auto"/>
                    </w:rPr>
                  </w:pPr>
                  <w:r>
                    <w:rPr>
                      <w:rFonts w:hint="default"/>
                      <w:color w:val="auto"/>
                    </w:rPr>
                    <w:t>生活污水</w:t>
                  </w:r>
                </w:p>
              </w:tc>
              <w:tc>
                <w:tcPr>
                  <w:tcW w:w="519" w:type="pct"/>
                  <w:vMerge w:val="restart"/>
                  <w:tcBorders>
                    <w:tl2br w:val="nil"/>
                    <w:tr2bl w:val="nil"/>
                  </w:tcBorders>
                  <w:noWrap w:val="0"/>
                  <w:vAlign w:val="center"/>
                </w:tcPr>
                <w:p w14:paraId="516DBA11">
                  <w:pPr>
                    <w:pStyle w:val="44"/>
                    <w:bidi w:val="0"/>
                    <w:rPr>
                      <w:rFonts w:hint="default"/>
                      <w:color w:val="auto"/>
                      <w:lang w:val="en-US"/>
                    </w:rPr>
                  </w:pPr>
                  <w:r>
                    <w:rPr>
                      <w:rFonts w:hint="eastAsia"/>
                      <w:color w:val="auto"/>
                      <w:lang w:val="en-US" w:eastAsia="zh-CN"/>
                    </w:rPr>
                    <w:t>600</w:t>
                  </w:r>
                </w:p>
              </w:tc>
              <w:tc>
                <w:tcPr>
                  <w:tcW w:w="545" w:type="pct"/>
                  <w:tcBorders>
                    <w:tl2br w:val="nil"/>
                    <w:tr2bl w:val="nil"/>
                  </w:tcBorders>
                  <w:noWrap w:val="0"/>
                  <w:vAlign w:val="center"/>
                </w:tcPr>
                <w:p w14:paraId="2A6BE7D5">
                  <w:pPr>
                    <w:pStyle w:val="44"/>
                    <w:bidi w:val="0"/>
                    <w:rPr>
                      <w:rFonts w:hint="default"/>
                      <w:color w:val="auto"/>
                    </w:rPr>
                  </w:pPr>
                  <w:r>
                    <w:rPr>
                      <w:rFonts w:hint="default"/>
                      <w:color w:val="auto"/>
                    </w:rPr>
                    <w:t>COD</w:t>
                  </w:r>
                  <w:r>
                    <w:rPr>
                      <w:rFonts w:hint="default"/>
                      <w:color w:val="auto"/>
                      <w:vertAlign w:val="subscript"/>
                    </w:rPr>
                    <w:t>Cr</w:t>
                  </w:r>
                </w:p>
              </w:tc>
              <w:tc>
                <w:tcPr>
                  <w:tcW w:w="504" w:type="pct"/>
                  <w:tcBorders>
                    <w:tl2br w:val="nil"/>
                    <w:tr2bl w:val="nil"/>
                  </w:tcBorders>
                  <w:noWrap w:val="0"/>
                  <w:vAlign w:val="center"/>
                </w:tcPr>
                <w:p w14:paraId="2050AE15">
                  <w:pPr>
                    <w:pStyle w:val="44"/>
                    <w:bidi w:val="0"/>
                    <w:rPr>
                      <w:rFonts w:hint="default"/>
                      <w:color w:val="auto"/>
                    </w:rPr>
                  </w:pPr>
                  <w:r>
                    <w:rPr>
                      <w:rFonts w:hint="default"/>
                      <w:color w:val="auto"/>
                    </w:rPr>
                    <w:t>300</w:t>
                  </w:r>
                </w:p>
              </w:tc>
              <w:tc>
                <w:tcPr>
                  <w:tcW w:w="555" w:type="pct"/>
                  <w:tcBorders>
                    <w:tl2br w:val="nil"/>
                    <w:tr2bl w:val="nil"/>
                  </w:tcBorders>
                  <w:noWrap w:val="0"/>
                  <w:vAlign w:val="center"/>
                </w:tcPr>
                <w:p w14:paraId="4439E006">
                  <w:pPr>
                    <w:pStyle w:val="44"/>
                    <w:bidi w:val="0"/>
                    <w:rPr>
                      <w:rFonts w:hint="default"/>
                      <w:color w:val="auto"/>
                      <w:lang w:val="en-US" w:eastAsia="zh-CN"/>
                    </w:rPr>
                  </w:pPr>
                  <w:r>
                    <w:rPr>
                      <w:rFonts w:hint="eastAsia"/>
                      <w:color w:val="auto"/>
                      <w:lang w:val="en-US" w:eastAsia="zh-CN"/>
                    </w:rPr>
                    <w:t>0.18</w:t>
                  </w:r>
                </w:p>
              </w:tc>
              <w:tc>
                <w:tcPr>
                  <w:tcW w:w="348" w:type="pct"/>
                  <w:vMerge w:val="restart"/>
                  <w:tcBorders>
                    <w:tl2br w:val="nil"/>
                    <w:tr2bl w:val="nil"/>
                  </w:tcBorders>
                  <w:noWrap w:val="0"/>
                  <w:vAlign w:val="center"/>
                </w:tcPr>
                <w:p w14:paraId="01704FF9">
                  <w:pPr>
                    <w:pStyle w:val="44"/>
                    <w:bidi w:val="0"/>
                    <w:rPr>
                      <w:rFonts w:hint="default"/>
                      <w:color w:val="auto"/>
                    </w:rPr>
                  </w:pPr>
                  <w:r>
                    <w:rPr>
                      <w:rFonts w:hint="default"/>
                      <w:color w:val="auto"/>
                    </w:rPr>
                    <w:t>化粪池</w:t>
                  </w:r>
                </w:p>
              </w:tc>
              <w:tc>
                <w:tcPr>
                  <w:tcW w:w="531" w:type="pct"/>
                  <w:tcBorders>
                    <w:tl2br w:val="nil"/>
                    <w:tr2bl w:val="nil"/>
                  </w:tcBorders>
                  <w:noWrap w:val="0"/>
                  <w:vAlign w:val="center"/>
                </w:tcPr>
                <w:p w14:paraId="4EB99ED0">
                  <w:pPr>
                    <w:pStyle w:val="44"/>
                    <w:bidi w:val="0"/>
                    <w:rPr>
                      <w:rFonts w:hint="default"/>
                      <w:color w:val="auto"/>
                    </w:rPr>
                  </w:pPr>
                  <w:r>
                    <w:rPr>
                      <w:rFonts w:hint="default"/>
                      <w:color w:val="auto"/>
                    </w:rPr>
                    <w:t>0%</w:t>
                  </w:r>
                </w:p>
              </w:tc>
              <w:tc>
                <w:tcPr>
                  <w:tcW w:w="497" w:type="pct"/>
                  <w:tcBorders>
                    <w:tl2br w:val="nil"/>
                    <w:tr2bl w:val="nil"/>
                  </w:tcBorders>
                  <w:noWrap w:val="0"/>
                  <w:vAlign w:val="center"/>
                </w:tcPr>
                <w:p w14:paraId="1C689E20">
                  <w:pPr>
                    <w:pStyle w:val="44"/>
                    <w:bidi w:val="0"/>
                    <w:rPr>
                      <w:rFonts w:hint="default"/>
                      <w:color w:val="auto"/>
                    </w:rPr>
                  </w:pPr>
                  <w:r>
                    <w:rPr>
                      <w:rFonts w:hint="default"/>
                      <w:color w:val="auto"/>
                    </w:rPr>
                    <w:t>300</w:t>
                  </w:r>
                </w:p>
              </w:tc>
              <w:tc>
                <w:tcPr>
                  <w:tcW w:w="856" w:type="dxa"/>
                  <w:tcBorders>
                    <w:tl2br w:val="nil"/>
                    <w:tr2bl w:val="nil"/>
                  </w:tcBorders>
                  <w:noWrap w:val="0"/>
                  <w:vAlign w:val="center"/>
                </w:tcPr>
                <w:p w14:paraId="49E5758D">
                  <w:pPr>
                    <w:pStyle w:val="44"/>
                    <w:bidi w:val="0"/>
                    <w:rPr>
                      <w:rFonts w:hint="default" w:ascii="Times New Roman" w:hAnsi="Times New Roman" w:eastAsia="宋体"/>
                      <w:color w:val="auto"/>
                      <w:kern w:val="2"/>
                      <w:sz w:val="21"/>
                      <w:szCs w:val="21"/>
                      <w:lang w:val="en-US" w:eastAsia="zh-CN" w:bidi="ar-SA"/>
                    </w:rPr>
                  </w:pPr>
                  <w:r>
                    <w:rPr>
                      <w:rFonts w:hint="eastAsia"/>
                      <w:color w:val="auto"/>
                      <w:lang w:val="en-US" w:eastAsia="zh-CN"/>
                    </w:rPr>
                    <w:t>0.18</w:t>
                  </w:r>
                </w:p>
              </w:tc>
              <w:tc>
                <w:tcPr>
                  <w:tcW w:w="577" w:type="pct"/>
                  <w:vMerge w:val="restart"/>
                  <w:tcBorders>
                    <w:tl2br w:val="nil"/>
                    <w:tr2bl w:val="nil"/>
                  </w:tcBorders>
                  <w:noWrap w:val="0"/>
                  <w:vAlign w:val="center"/>
                </w:tcPr>
                <w:p w14:paraId="53B23065">
                  <w:pPr>
                    <w:pStyle w:val="44"/>
                    <w:bidi w:val="0"/>
                    <w:rPr>
                      <w:rFonts w:hint="default"/>
                      <w:color w:val="auto"/>
                      <w:lang w:val="en-US" w:eastAsia="zh-CN"/>
                    </w:rPr>
                  </w:pPr>
                  <w:r>
                    <w:rPr>
                      <w:rFonts w:hint="default"/>
                      <w:color w:val="auto"/>
                      <w:lang w:val="en-US" w:eastAsia="zh-CN"/>
                    </w:rPr>
                    <w:t>经化粪池</w:t>
                  </w:r>
                  <w:r>
                    <w:rPr>
                      <w:rFonts w:hint="eastAsia"/>
                      <w:color w:val="auto"/>
                      <w:lang w:val="en-US" w:eastAsia="zh-CN"/>
                    </w:rPr>
                    <w:t>暂存</w:t>
                  </w:r>
                  <w:r>
                    <w:rPr>
                      <w:rFonts w:hint="default"/>
                      <w:color w:val="auto"/>
                      <w:lang w:val="en-US" w:eastAsia="zh-CN"/>
                    </w:rPr>
                    <w:t>后委托环卫部门清运</w:t>
                  </w:r>
                </w:p>
              </w:tc>
            </w:tr>
            <w:tr w14:paraId="488608E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88" w:type="pct"/>
                  <w:vMerge w:val="continue"/>
                  <w:tcBorders>
                    <w:tl2br w:val="nil"/>
                    <w:tr2bl w:val="nil"/>
                  </w:tcBorders>
                  <w:noWrap w:val="0"/>
                  <w:vAlign w:val="center"/>
                </w:tcPr>
                <w:p w14:paraId="0B97CF67">
                  <w:pPr>
                    <w:pStyle w:val="44"/>
                    <w:bidi w:val="0"/>
                    <w:rPr>
                      <w:rFonts w:hint="default"/>
                      <w:color w:val="auto"/>
                    </w:rPr>
                  </w:pPr>
                </w:p>
              </w:tc>
              <w:tc>
                <w:tcPr>
                  <w:tcW w:w="519" w:type="pct"/>
                  <w:vMerge w:val="continue"/>
                  <w:tcBorders>
                    <w:tl2br w:val="nil"/>
                    <w:tr2bl w:val="nil"/>
                  </w:tcBorders>
                  <w:noWrap w:val="0"/>
                  <w:vAlign w:val="center"/>
                </w:tcPr>
                <w:p w14:paraId="209A3789">
                  <w:pPr>
                    <w:pStyle w:val="44"/>
                    <w:bidi w:val="0"/>
                    <w:rPr>
                      <w:rFonts w:hint="default"/>
                      <w:color w:val="auto"/>
                    </w:rPr>
                  </w:pPr>
                </w:p>
              </w:tc>
              <w:tc>
                <w:tcPr>
                  <w:tcW w:w="545" w:type="pct"/>
                  <w:tcBorders>
                    <w:tl2br w:val="nil"/>
                    <w:tr2bl w:val="nil"/>
                  </w:tcBorders>
                  <w:noWrap w:val="0"/>
                  <w:vAlign w:val="center"/>
                </w:tcPr>
                <w:p w14:paraId="783E7B9E">
                  <w:pPr>
                    <w:pStyle w:val="44"/>
                    <w:bidi w:val="0"/>
                    <w:rPr>
                      <w:rFonts w:hint="default"/>
                      <w:color w:val="auto"/>
                    </w:rPr>
                  </w:pPr>
                  <w:r>
                    <w:rPr>
                      <w:rFonts w:hint="default"/>
                      <w:color w:val="auto"/>
                    </w:rPr>
                    <w:t>BOD</w:t>
                  </w:r>
                  <w:r>
                    <w:rPr>
                      <w:rFonts w:hint="default"/>
                      <w:color w:val="auto"/>
                      <w:vertAlign w:val="subscript"/>
                    </w:rPr>
                    <w:t>5</w:t>
                  </w:r>
                </w:p>
              </w:tc>
              <w:tc>
                <w:tcPr>
                  <w:tcW w:w="504" w:type="pct"/>
                  <w:tcBorders>
                    <w:tl2br w:val="nil"/>
                    <w:tr2bl w:val="nil"/>
                  </w:tcBorders>
                  <w:noWrap w:val="0"/>
                  <w:vAlign w:val="center"/>
                </w:tcPr>
                <w:p w14:paraId="3A207996">
                  <w:pPr>
                    <w:pStyle w:val="44"/>
                    <w:bidi w:val="0"/>
                    <w:rPr>
                      <w:rFonts w:hint="default"/>
                      <w:color w:val="auto"/>
                    </w:rPr>
                  </w:pPr>
                  <w:r>
                    <w:rPr>
                      <w:rFonts w:hint="default"/>
                      <w:color w:val="auto"/>
                    </w:rPr>
                    <w:t>180</w:t>
                  </w:r>
                </w:p>
              </w:tc>
              <w:tc>
                <w:tcPr>
                  <w:tcW w:w="555" w:type="pct"/>
                  <w:tcBorders>
                    <w:tl2br w:val="nil"/>
                    <w:tr2bl w:val="nil"/>
                  </w:tcBorders>
                  <w:noWrap w:val="0"/>
                  <w:vAlign w:val="center"/>
                </w:tcPr>
                <w:p w14:paraId="11BDCFDE">
                  <w:pPr>
                    <w:pStyle w:val="44"/>
                    <w:bidi w:val="0"/>
                    <w:rPr>
                      <w:rFonts w:hint="default"/>
                      <w:color w:val="auto"/>
                      <w:lang w:val="en-US" w:eastAsia="zh-CN"/>
                    </w:rPr>
                  </w:pPr>
                  <w:r>
                    <w:rPr>
                      <w:rFonts w:hint="eastAsia"/>
                      <w:color w:val="auto"/>
                      <w:lang w:val="en-US" w:eastAsia="zh-CN"/>
                    </w:rPr>
                    <w:t>0.108</w:t>
                  </w:r>
                </w:p>
              </w:tc>
              <w:tc>
                <w:tcPr>
                  <w:tcW w:w="348" w:type="pct"/>
                  <w:vMerge w:val="continue"/>
                  <w:tcBorders>
                    <w:tl2br w:val="nil"/>
                    <w:tr2bl w:val="nil"/>
                  </w:tcBorders>
                  <w:noWrap w:val="0"/>
                  <w:vAlign w:val="top"/>
                </w:tcPr>
                <w:p w14:paraId="7D68A8BF">
                  <w:pPr>
                    <w:pStyle w:val="44"/>
                    <w:bidi w:val="0"/>
                    <w:rPr>
                      <w:rFonts w:hint="default"/>
                      <w:color w:val="auto"/>
                    </w:rPr>
                  </w:pPr>
                </w:p>
              </w:tc>
              <w:tc>
                <w:tcPr>
                  <w:tcW w:w="531" w:type="pct"/>
                  <w:tcBorders>
                    <w:tl2br w:val="nil"/>
                    <w:tr2bl w:val="nil"/>
                  </w:tcBorders>
                  <w:noWrap w:val="0"/>
                  <w:vAlign w:val="center"/>
                </w:tcPr>
                <w:p w14:paraId="0D261D78">
                  <w:pPr>
                    <w:pStyle w:val="44"/>
                    <w:bidi w:val="0"/>
                    <w:rPr>
                      <w:rFonts w:hint="default"/>
                      <w:color w:val="auto"/>
                    </w:rPr>
                  </w:pPr>
                  <w:r>
                    <w:rPr>
                      <w:rFonts w:hint="default"/>
                      <w:color w:val="auto"/>
                    </w:rPr>
                    <w:t>0%</w:t>
                  </w:r>
                </w:p>
              </w:tc>
              <w:tc>
                <w:tcPr>
                  <w:tcW w:w="497" w:type="pct"/>
                  <w:tcBorders>
                    <w:tl2br w:val="nil"/>
                    <w:tr2bl w:val="nil"/>
                  </w:tcBorders>
                  <w:noWrap w:val="0"/>
                  <w:vAlign w:val="center"/>
                </w:tcPr>
                <w:p w14:paraId="07034070">
                  <w:pPr>
                    <w:pStyle w:val="44"/>
                    <w:bidi w:val="0"/>
                    <w:rPr>
                      <w:rFonts w:hint="default"/>
                      <w:color w:val="auto"/>
                    </w:rPr>
                  </w:pPr>
                  <w:r>
                    <w:rPr>
                      <w:rFonts w:hint="default"/>
                      <w:color w:val="auto"/>
                    </w:rPr>
                    <w:t>180</w:t>
                  </w:r>
                </w:p>
              </w:tc>
              <w:tc>
                <w:tcPr>
                  <w:tcW w:w="856" w:type="dxa"/>
                  <w:tcBorders>
                    <w:tl2br w:val="nil"/>
                    <w:tr2bl w:val="nil"/>
                  </w:tcBorders>
                  <w:noWrap w:val="0"/>
                  <w:vAlign w:val="center"/>
                </w:tcPr>
                <w:p w14:paraId="6CEA8BFF">
                  <w:pPr>
                    <w:pStyle w:val="44"/>
                    <w:bidi w:val="0"/>
                    <w:rPr>
                      <w:rFonts w:hint="default" w:ascii="Times New Roman" w:hAnsi="Times New Roman" w:eastAsia="宋体"/>
                      <w:color w:val="auto"/>
                      <w:kern w:val="2"/>
                      <w:sz w:val="21"/>
                      <w:szCs w:val="21"/>
                      <w:lang w:val="en-US" w:eastAsia="zh-CN" w:bidi="ar-SA"/>
                    </w:rPr>
                  </w:pPr>
                  <w:r>
                    <w:rPr>
                      <w:rFonts w:hint="eastAsia"/>
                      <w:color w:val="auto"/>
                      <w:lang w:val="en-US" w:eastAsia="zh-CN"/>
                    </w:rPr>
                    <w:t>0.108</w:t>
                  </w:r>
                </w:p>
              </w:tc>
              <w:tc>
                <w:tcPr>
                  <w:tcW w:w="577" w:type="pct"/>
                  <w:vMerge w:val="continue"/>
                  <w:tcBorders>
                    <w:tl2br w:val="nil"/>
                    <w:tr2bl w:val="nil"/>
                  </w:tcBorders>
                  <w:noWrap w:val="0"/>
                  <w:vAlign w:val="center"/>
                </w:tcPr>
                <w:p w14:paraId="53C54E4B">
                  <w:pPr>
                    <w:pStyle w:val="44"/>
                    <w:bidi w:val="0"/>
                    <w:rPr>
                      <w:rFonts w:hint="default"/>
                      <w:color w:val="auto"/>
                    </w:rPr>
                  </w:pPr>
                </w:p>
              </w:tc>
            </w:tr>
            <w:tr w14:paraId="6D59EA9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388" w:type="pct"/>
                  <w:vMerge w:val="continue"/>
                  <w:tcBorders>
                    <w:tl2br w:val="nil"/>
                    <w:tr2bl w:val="nil"/>
                  </w:tcBorders>
                  <w:noWrap w:val="0"/>
                  <w:vAlign w:val="center"/>
                </w:tcPr>
                <w:p w14:paraId="6086D1E7">
                  <w:pPr>
                    <w:pStyle w:val="44"/>
                    <w:bidi w:val="0"/>
                    <w:rPr>
                      <w:rFonts w:hint="default"/>
                      <w:color w:val="auto"/>
                    </w:rPr>
                  </w:pPr>
                </w:p>
              </w:tc>
              <w:tc>
                <w:tcPr>
                  <w:tcW w:w="519" w:type="pct"/>
                  <w:vMerge w:val="continue"/>
                  <w:tcBorders>
                    <w:tl2br w:val="nil"/>
                    <w:tr2bl w:val="nil"/>
                  </w:tcBorders>
                  <w:noWrap w:val="0"/>
                  <w:vAlign w:val="center"/>
                </w:tcPr>
                <w:p w14:paraId="1225A22E">
                  <w:pPr>
                    <w:pStyle w:val="44"/>
                    <w:bidi w:val="0"/>
                    <w:rPr>
                      <w:rFonts w:hint="default"/>
                      <w:color w:val="auto"/>
                    </w:rPr>
                  </w:pPr>
                </w:p>
              </w:tc>
              <w:tc>
                <w:tcPr>
                  <w:tcW w:w="545" w:type="pct"/>
                  <w:tcBorders>
                    <w:tl2br w:val="nil"/>
                    <w:tr2bl w:val="nil"/>
                  </w:tcBorders>
                  <w:noWrap w:val="0"/>
                  <w:vAlign w:val="center"/>
                </w:tcPr>
                <w:p w14:paraId="105553D2">
                  <w:pPr>
                    <w:pStyle w:val="44"/>
                    <w:bidi w:val="0"/>
                    <w:rPr>
                      <w:rFonts w:hint="default"/>
                      <w:color w:val="auto"/>
                    </w:rPr>
                  </w:pPr>
                  <w:r>
                    <w:rPr>
                      <w:rFonts w:hint="default"/>
                      <w:color w:val="auto"/>
                    </w:rPr>
                    <w:t>SS</w:t>
                  </w:r>
                </w:p>
              </w:tc>
              <w:tc>
                <w:tcPr>
                  <w:tcW w:w="504" w:type="pct"/>
                  <w:tcBorders>
                    <w:tl2br w:val="nil"/>
                    <w:tr2bl w:val="nil"/>
                  </w:tcBorders>
                  <w:noWrap w:val="0"/>
                  <w:vAlign w:val="center"/>
                </w:tcPr>
                <w:p w14:paraId="1E48FD26">
                  <w:pPr>
                    <w:pStyle w:val="44"/>
                    <w:bidi w:val="0"/>
                    <w:rPr>
                      <w:rFonts w:hint="default"/>
                      <w:color w:val="auto"/>
                    </w:rPr>
                  </w:pPr>
                  <w:r>
                    <w:rPr>
                      <w:rFonts w:hint="default"/>
                      <w:color w:val="auto"/>
                    </w:rPr>
                    <w:t>200</w:t>
                  </w:r>
                </w:p>
              </w:tc>
              <w:tc>
                <w:tcPr>
                  <w:tcW w:w="893" w:type="dxa"/>
                  <w:tcBorders>
                    <w:tl2br w:val="nil"/>
                    <w:tr2bl w:val="nil"/>
                  </w:tcBorders>
                  <w:noWrap w:val="0"/>
                  <w:vAlign w:val="center"/>
                </w:tcPr>
                <w:p w14:paraId="4A95730A">
                  <w:pPr>
                    <w:pStyle w:val="44"/>
                    <w:bidi w:val="0"/>
                    <w:rPr>
                      <w:rFonts w:hint="default"/>
                      <w:color w:val="auto"/>
                      <w:lang w:val="en-US" w:eastAsia="zh-CN"/>
                    </w:rPr>
                  </w:pPr>
                  <w:r>
                    <w:rPr>
                      <w:rFonts w:hint="eastAsia"/>
                      <w:color w:val="auto"/>
                      <w:lang w:val="en-US" w:eastAsia="zh-CN"/>
                    </w:rPr>
                    <w:t>0.12</w:t>
                  </w:r>
                </w:p>
              </w:tc>
              <w:tc>
                <w:tcPr>
                  <w:tcW w:w="348" w:type="pct"/>
                  <w:vMerge w:val="continue"/>
                  <w:tcBorders>
                    <w:tl2br w:val="nil"/>
                    <w:tr2bl w:val="nil"/>
                  </w:tcBorders>
                  <w:noWrap w:val="0"/>
                  <w:vAlign w:val="top"/>
                </w:tcPr>
                <w:p w14:paraId="0E6EC0AD">
                  <w:pPr>
                    <w:pStyle w:val="44"/>
                    <w:bidi w:val="0"/>
                    <w:rPr>
                      <w:rFonts w:hint="default"/>
                      <w:color w:val="auto"/>
                    </w:rPr>
                  </w:pPr>
                </w:p>
              </w:tc>
              <w:tc>
                <w:tcPr>
                  <w:tcW w:w="531" w:type="pct"/>
                  <w:tcBorders>
                    <w:tl2br w:val="nil"/>
                    <w:tr2bl w:val="nil"/>
                  </w:tcBorders>
                  <w:noWrap w:val="0"/>
                  <w:vAlign w:val="center"/>
                </w:tcPr>
                <w:p w14:paraId="1EBFE4BB">
                  <w:pPr>
                    <w:pStyle w:val="44"/>
                    <w:bidi w:val="0"/>
                    <w:rPr>
                      <w:rFonts w:hint="default"/>
                      <w:color w:val="auto"/>
                    </w:rPr>
                  </w:pPr>
                  <w:r>
                    <w:rPr>
                      <w:rFonts w:hint="default"/>
                      <w:color w:val="auto"/>
                    </w:rPr>
                    <w:t>40%</w:t>
                  </w:r>
                </w:p>
              </w:tc>
              <w:tc>
                <w:tcPr>
                  <w:tcW w:w="497" w:type="pct"/>
                  <w:tcBorders>
                    <w:tl2br w:val="nil"/>
                    <w:tr2bl w:val="nil"/>
                  </w:tcBorders>
                  <w:noWrap w:val="0"/>
                  <w:vAlign w:val="center"/>
                </w:tcPr>
                <w:p w14:paraId="33DC8593">
                  <w:pPr>
                    <w:pStyle w:val="44"/>
                    <w:bidi w:val="0"/>
                    <w:rPr>
                      <w:rFonts w:hint="default"/>
                      <w:color w:val="auto"/>
                    </w:rPr>
                  </w:pPr>
                  <w:r>
                    <w:rPr>
                      <w:rFonts w:hint="default"/>
                      <w:color w:val="auto"/>
                    </w:rPr>
                    <w:t>120</w:t>
                  </w:r>
                </w:p>
              </w:tc>
              <w:tc>
                <w:tcPr>
                  <w:tcW w:w="856" w:type="dxa"/>
                  <w:tcBorders>
                    <w:tl2br w:val="nil"/>
                    <w:tr2bl w:val="nil"/>
                  </w:tcBorders>
                  <w:noWrap w:val="0"/>
                  <w:vAlign w:val="center"/>
                </w:tcPr>
                <w:p w14:paraId="6C03A8C8">
                  <w:pPr>
                    <w:pStyle w:val="44"/>
                    <w:bidi w:val="0"/>
                    <w:rPr>
                      <w:rFonts w:hint="default"/>
                      <w:color w:val="auto"/>
                      <w:lang w:val="en-US" w:eastAsia="zh-CN"/>
                    </w:rPr>
                  </w:pPr>
                  <w:r>
                    <w:rPr>
                      <w:rFonts w:hint="eastAsia"/>
                      <w:color w:val="auto"/>
                      <w:lang w:val="en-US" w:eastAsia="zh-CN"/>
                    </w:rPr>
                    <w:t>0.12</w:t>
                  </w:r>
                </w:p>
              </w:tc>
              <w:tc>
                <w:tcPr>
                  <w:tcW w:w="577" w:type="pct"/>
                  <w:vMerge w:val="continue"/>
                  <w:tcBorders>
                    <w:tl2br w:val="nil"/>
                    <w:tr2bl w:val="nil"/>
                  </w:tcBorders>
                  <w:noWrap w:val="0"/>
                  <w:vAlign w:val="center"/>
                </w:tcPr>
                <w:p w14:paraId="6CD9C5D6">
                  <w:pPr>
                    <w:pStyle w:val="44"/>
                    <w:bidi w:val="0"/>
                    <w:rPr>
                      <w:rFonts w:hint="default"/>
                      <w:color w:val="auto"/>
                    </w:rPr>
                  </w:pPr>
                </w:p>
              </w:tc>
            </w:tr>
            <w:tr w14:paraId="4EB5901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88" w:type="pct"/>
                  <w:vMerge w:val="continue"/>
                  <w:tcBorders>
                    <w:tl2br w:val="nil"/>
                    <w:tr2bl w:val="nil"/>
                  </w:tcBorders>
                  <w:noWrap w:val="0"/>
                  <w:vAlign w:val="center"/>
                </w:tcPr>
                <w:p w14:paraId="6C9C3530">
                  <w:pPr>
                    <w:pStyle w:val="44"/>
                    <w:bidi w:val="0"/>
                    <w:rPr>
                      <w:rFonts w:hint="default"/>
                      <w:color w:val="auto"/>
                    </w:rPr>
                  </w:pPr>
                </w:p>
              </w:tc>
              <w:tc>
                <w:tcPr>
                  <w:tcW w:w="519" w:type="pct"/>
                  <w:vMerge w:val="continue"/>
                  <w:tcBorders>
                    <w:tl2br w:val="nil"/>
                    <w:tr2bl w:val="nil"/>
                  </w:tcBorders>
                  <w:noWrap w:val="0"/>
                  <w:vAlign w:val="center"/>
                </w:tcPr>
                <w:p w14:paraId="663AC17E">
                  <w:pPr>
                    <w:pStyle w:val="44"/>
                    <w:bidi w:val="0"/>
                    <w:rPr>
                      <w:rFonts w:hint="default"/>
                      <w:color w:val="auto"/>
                    </w:rPr>
                  </w:pPr>
                </w:p>
              </w:tc>
              <w:tc>
                <w:tcPr>
                  <w:tcW w:w="545" w:type="pct"/>
                  <w:tcBorders>
                    <w:tl2br w:val="nil"/>
                    <w:tr2bl w:val="nil"/>
                  </w:tcBorders>
                  <w:noWrap w:val="0"/>
                  <w:vAlign w:val="center"/>
                </w:tcPr>
                <w:p w14:paraId="071AE4C8">
                  <w:pPr>
                    <w:pStyle w:val="44"/>
                    <w:bidi w:val="0"/>
                    <w:rPr>
                      <w:rFonts w:hint="default"/>
                      <w:color w:val="auto"/>
                    </w:rPr>
                  </w:pPr>
                  <w:r>
                    <w:rPr>
                      <w:rFonts w:hint="default"/>
                      <w:color w:val="auto"/>
                    </w:rPr>
                    <w:t>氨氮</w:t>
                  </w:r>
                </w:p>
              </w:tc>
              <w:tc>
                <w:tcPr>
                  <w:tcW w:w="504" w:type="pct"/>
                  <w:tcBorders>
                    <w:tl2br w:val="nil"/>
                    <w:tr2bl w:val="nil"/>
                  </w:tcBorders>
                  <w:noWrap w:val="0"/>
                  <w:vAlign w:val="center"/>
                </w:tcPr>
                <w:p w14:paraId="69DABCAA">
                  <w:pPr>
                    <w:pStyle w:val="44"/>
                    <w:bidi w:val="0"/>
                    <w:rPr>
                      <w:rFonts w:hint="default"/>
                      <w:color w:val="auto"/>
                    </w:rPr>
                  </w:pPr>
                  <w:r>
                    <w:rPr>
                      <w:rFonts w:hint="default"/>
                      <w:color w:val="auto"/>
                    </w:rPr>
                    <w:t>30</w:t>
                  </w:r>
                </w:p>
              </w:tc>
              <w:tc>
                <w:tcPr>
                  <w:tcW w:w="893" w:type="dxa"/>
                  <w:tcBorders>
                    <w:tl2br w:val="nil"/>
                    <w:tr2bl w:val="nil"/>
                  </w:tcBorders>
                  <w:noWrap w:val="0"/>
                  <w:vAlign w:val="center"/>
                </w:tcPr>
                <w:p w14:paraId="5C505015">
                  <w:pPr>
                    <w:pStyle w:val="44"/>
                    <w:bidi w:val="0"/>
                    <w:rPr>
                      <w:rFonts w:hint="default"/>
                      <w:color w:val="auto"/>
                      <w:lang w:val="en-US" w:eastAsia="zh-CN"/>
                    </w:rPr>
                  </w:pPr>
                  <w:r>
                    <w:rPr>
                      <w:rFonts w:hint="eastAsia"/>
                      <w:color w:val="auto"/>
                      <w:lang w:val="en-US" w:eastAsia="zh-CN"/>
                    </w:rPr>
                    <w:t>0.018</w:t>
                  </w:r>
                </w:p>
              </w:tc>
              <w:tc>
                <w:tcPr>
                  <w:tcW w:w="348" w:type="pct"/>
                  <w:vMerge w:val="continue"/>
                  <w:tcBorders>
                    <w:tl2br w:val="nil"/>
                    <w:tr2bl w:val="nil"/>
                  </w:tcBorders>
                  <w:noWrap w:val="0"/>
                  <w:vAlign w:val="top"/>
                </w:tcPr>
                <w:p w14:paraId="61A6EB07">
                  <w:pPr>
                    <w:pStyle w:val="44"/>
                    <w:bidi w:val="0"/>
                    <w:rPr>
                      <w:rFonts w:hint="default"/>
                      <w:color w:val="auto"/>
                    </w:rPr>
                  </w:pPr>
                </w:p>
              </w:tc>
              <w:tc>
                <w:tcPr>
                  <w:tcW w:w="531" w:type="pct"/>
                  <w:tcBorders>
                    <w:tl2br w:val="nil"/>
                    <w:tr2bl w:val="nil"/>
                  </w:tcBorders>
                  <w:noWrap w:val="0"/>
                  <w:vAlign w:val="center"/>
                </w:tcPr>
                <w:p w14:paraId="194DECB3">
                  <w:pPr>
                    <w:pStyle w:val="44"/>
                    <w:bidi w:val="0"/>
                    <w:rPr>
                      <w:rFonts w:hint="default"/>
                      <w:color w:val="auto"/>
                    </w:rPr>
                  </w:pPr>
                  <w:r>
                    <w:rPr>
                      <w:rFonts w:hint="default"/>
                      <w:color w:val="auto"/>
                    </w:rPr>
                    <w:t>0%</w:t>
                  </w:r>
                </w:p>
              </w:tc>
              <w:tc>
                <w:tcPr>
                  <w:tcW w:w="497" w:type="pct"/>
                  <w:tcBorders>
                    <w:tl2br w:val="nil"/>
                    <w:tr2bl w:val="nil"/>
                  </w:tcBorders>
                  <w:noWrap w:val="0"/>
                  <w:vAlign w:val="center"/>
                </w:tcPr>
                <w:p w14:paraId="395D31CF">
                  <w:pPr>
                    <w:pStyle w:val="44"/>
                    <w:bidi w:val="0"/>
                    <w:rPr>
                      <w:rFonts w:hint="default"/>
                      <w:color w:val="auto"/>
                    </w:rPr>
                  </w:pPr>
                  <w:r>
                    <w:rPr>
                      <w:rFonts w:hint="default"/>
                      <w:color w:val="auto"/>
                    </w:rPr>
                    <w:t>30</w:t>
                  </w:r>
                </w:p>
              </w:tc>
              <w:tc>
                <w:tcPr>
                  <w:tcW w:w="856" w:type="dxa"/>
                  <w:tcBorders>
                    <w:tl2br w:val="nil"/>
                    <w:tr2bl w:val="nil"/>
                  </w:tcBorders>
                  <w:noWrap w:val="0"/>
                  <w:vAlign w:val="center"/>
                </w:tcPr>
                <w:p w14:paraId="45DA4541">
                  <w:pPr>
                    <w:pStyle w:val="44"/>
                    <w:bidi w:val="0"/>
                    <w:rPr>
                      <w:rFonts w:hint="default"/>
                      <w:color w:val="auto"/>
                      <w:lang w:val="en-US" w:eastAsia="zh-CN"/>
                    </w:rPr>
                  </w:pPr>
                  <w:r>
                    <w:rPr>
                      <w:rFonts w:hint="eastAsia"/>
                      <w:color w:val="auto"/>
                      <w:lang w:val="en-US" w:eastAsia="zh-CN"/>
                    </w:rPr>
                    <w:t>0.018</w:t>
                  </w:r>
                </w:p>
              </w:tc>
              <w:tc>
                <w:tcPr>
                  <w:tcW w:w="577" w:type="pct"/>
                  <w:vMerge w:val="continue"/>
                  <w:tcBorders>
                    <w:tl2br w:val="nil"/>
                    <w:tr2bl w:val="nil"/>
                  </w:tcBorders>
                  <w:noWrap w:val="0"/>
                  <w:vAlign w:val="center"/>
                </w:tcPr>
                <w:p w14:paraId="0AD541B6">
                  <w:pPr>
                    <w:pStyle w:val="44"/>
                    <w:bidi w:val="0"/>
                    <w:rPr>
                      <w:rFonts w:hint="default"/>
                      <w:color w:val="auto"/>
                    </w:rPr>
                  </w:pPr>
                </w:p>
              </w:tc>
            </w:tr>
          </w:tbl>
          <w:p w14:paraId="58DB18D7">
            <w:pPr>
              <w:pStyle w:val="5"/>
              <w:numPr>
                <w:ilvl w:val="0"/>
                <w:numId w:val="0"/>
              </w:numPr>
              <w:bidi w:val="0"/>
              <w:ind w:leftChars="0" w:firstLine="480" w:firstLineChars="200"/>
              <w:rPr>
                <w:rFonts w:hint="eastAsia"/>
                <w:color w:val="auto"/>
                <w:lang w:val="en-US" w:eastAsia="zh-CN"/>
              </w:rPr>
            </w:pPr>
            <w:r>
              <w:rPr>
                <w:rFonts w:hint="eastAsia"/>
                <w:color w:val="auto"/>
                <w:lang w:val="en-US" w:eastAsia="zh-CN"/>
              </w:rPr>
              <w:t>2、废水处理可行性分析</w:t>
            </w:r>
          </w:p>
          <w:p w14:paraId="4393F36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color w:val="auto"/>
                <w:sz w:val="24"/>
                <w:szCs w:val="28"/>
                <w:lang w:eastAsia="zh-CN"/>
              </w:rPr>
            </w:pPr>
            <w:r>
              <w:rPr>
                <w:rFonts w:hint="default" w:ascii="Times New Roman" w:hAnsi="Times New Roman" w:cs="Times New Roman"/>
                <w:color w:val="auto"/>
                <w:sz w:val="24"/>
                <w:szCs w:val="28"/>
              </w:rPr>
              <w:t>本项目</w:t>
            </w:r>
            <w:r>
              <w:rPr>
                <w:rFonts w:hint="eastAsia" w:cs="Times New Roman"/>
                <w:color w:val="auto"/>
                <w:sz w:val="24"/>
                <w:szCs w:val="28"/>
                <w:lang w:val="en-US" w:eastAsia="zh-CN"/>
              </w:rPr>
              <w:t>冷却水循环使用不外排；</w:t>
            </w:r>
            <w:r>
              <w:rPr>
                <w:rFonts w:hint="default" w:ascii="Times New Roman" w:hAnsi="Times New Roman" w:cs="Times New Roman"/>
                <w:color w:val="auto"/>
                <w:sz w:val="24"/>
                <w:szCs w:val="28"/>
              </w:rPr>
              <w:t>生活污水主要污染物为CODcr、BOD</w:t>
            </w:r>
            <w:r>
              <w:rPr>
                <w:rFonts w:hint="default" w:ascii="Times New Roman" w:hAnsi="Times New Roman" w:cs="Times New Roman"/>
                <w:color w:val="auto"/>
                <w:sz w:val="24"/>
                <w:szCs w:val="28"/>
                <w:vertAlign w:val="subscript"/>
              </w:rPr>
              <w:t>5</w:t>
            </w:r>
            <w:r>
              <w:rPr>
                <w:rFonts w:hint="default" w:ascii="Times New Roman" w:hAnsi="Times New Roman" w:cs="Times New Roman"/>
                <w:color w:val="auto"/>
                <w:sz w:val="24"/>
                <w:szCs w:val="28"/>
              </w:rPr>
              <w:t>、SS、氨氮，水质较为简单，经化粪池预处理后委托环卫部门清运。污水进入化粪池经过12~24h的沉淀，可去除40%的悬浮物。沉淀下来的污泥经过厌氧发酵分解，使污泥中的有机物分解成稳定的无机物，易腐败的生活污泥转化为稳定的熟污泥，改变了污泥的结构，降低了污泥的含水率。因生活污水水质较简单，经化粪池预处理后不会对环境造成太大污染</w:t>
            </w:r>
            <w:r>
              <w:rPr>
                <w:rFonts w:hint="eastAsia" w:cs="Times New Roman"/>
                <w:color w:val="auto"/>
                <w:sz w:val="24"/>
                <w:szCs w:val="28"/>
                <w:lang w:eastAsia="zh-CN"/>
              </w:rPr>
              <w:t>。</w:t>
            </w:r>
            <w:r>
              <w:rPr>
                <w:rFonts w:hint="eastAsia" w:cs="Times New Roman"/>
                <w:color w:val="auto"/>
                <w:sz w:val="24"/>
                <w:szCs w:val="28"/>
                <w:lang w:val="en-US" w:eastAsia="zh-CN"/>
              </w:rPr>
              <w:t>根据</w:t>
            </w:r>
            <w:r>
              <w:rPr>
                <w:rFonts w:hint="eastAsia" w:ascii="Times New Roman" w:hAnsi="Times New Roman" w:eastAsia="宋体" w:cs="Times New Roman"/>
                <w:color w:val="auto"/>
                <w:sz w:val="24"/>
                <w:szCs w:val="24"/>
                <w:lang w:val="en-US" w:eastAsia="zh-CN"/>
              </w:rPr>
              <w:t>《排污许可证申请与核发技术规范 涂料、油墨、颜料及类似产品制造业》（HJ1116-2020）表A4</w:t>
            </w:r>
            <w:r>
              <w:rPr>
                <w:rFonts w:hint="eastAsia" w:ascii="Times New Roman" w:hAnsi="Times New Roman" w:cs="Times New Roman"/>
                <w:color w:val="auto"/>
                <w:szCs w:val="24"/>
                <w:lang w:val="en-US" w:eastAsia="zh-CN"/>
              </w:rPr>
              <w:t>，生活污水防治工艺为“格栅、沉淀、调节”。本项目生活污水经化粪池预处理，</w:t>
            </w:r>
            <w:r>
              <w:rPr>
                <w:color w:val="auto"/>
                <w:sz w:val="24"/>
              </w:rPr>
              <w:t>化粪池是一种利用沉淀和厌氧发酵的原理，去除生活污水中悬浮性有机物的处理设施，属于初级的过渡性生活处理构筑物，可有效处理生活污水</w:t>
            </w:r>
            <w:r>
              <w:rPr>
                <w:rFonts w:hint="eastAsia"/>
                <w:color w:val="auto"/>
                <w:sz w:val="24"/>
                <w:lang w:eastAsia="zh-CN"/>
              </w:rPr>
              <w:t>。</w:t>
            </w:r>
            <w:r>
              <w:rPr>
                <w:rFonts w:hint="default" w:ascii="Times New Roman" w:hAnsi="Times New Roman" w:cs="Times New Roman"/>
                <w:color w:val="auto"/>
                <w:sz w:val="24"/>
                <w:szCs w:val="28"/>
              </w:rPr>
              <w:t>综上所述，本项目废水处理可行</w:t>
            </w:r>
            <w:r>
              <w:rPr>
                <w:rFonts w:hint="eastAsia" w:cs="Times New Roman"/>
                <w:color w:val="auto"/>
                <w:sz w:val="24"/>
                <w:szCs w:val="28"/>
                <w:lang w:eastAsia="zh-CN"/>
              </w:rPr>
              <w:t>。</w:t>
            </w:r>
          </w:p>
          <w:p w14:paraId="0CA9775A">
            <w:pPr>
              <w:pStyle w:val="5"/>
              <w:numPr>
                <w:ilvl w:val="0"/>
                <w:numId w:val="0"/>
              </w:numPr>
              <w:bidi w:val="0"/>
              <w:ind w:leftChars="0" w:firstLine="480" w:firstLineChars="200"/>
              <w:rPr>
                <w:rFonts w:hint="default"/>
                <w:color w:val="auto"/>
                <w:lang w:val="en-US" w:eastAsia="zh-CN"/>
              </w:rPr>
            </w:pPr>
            <w:r>
              <w:rPr>
                <w:rFonts w:hint="eastAsia"/>
                <w:color w:val="auto"/>
                <w:lang w:val="en-US" w:eastAsia="zh-CN"/>
              </w:rPr>
              <w:t>3、</w:t>
            </w:r>
            <w:r>
              <w:rPr>
                <w:rFonts w:hint="default"/>
                <w:color w:val="auto"/>
                <w:lang w:val="en-US" w:eastAsia="zh-CN"/>
              </w:rPr>
              <w:t>监测计划</w:t>
            </w:r>
          </w:p>
          <w:p w14:paraId="4A830AC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szCs w:val="28"/>
              </w:rPr>
            </w:pPr>
            <w:r>
              <w:rPr>
                <w:rFonts w:hint="default" w:ascii="Times New Roman" w:hAnsi="Times New Roman" w:eastAsia="宋体" w:cs="Times New Roman"/>
                <w:color w:val="auto"/>
                <w:sz w:val="24"/>
                <w:lang w:val="en-US" w:eastAsia="zh-CN"/>
              </w:rPr>
              <w:t>本项目运营期无废水外排，无需进行监测</w:t>
            </w:r>
            <w:r>
              <w:rPr>
                <w:rFonts w:hint="eastAsia" w:ascii="Times New Roman" w:hAnsi="Times New Roman" w:eastAsia="宋体" w:cs="Times New Roman"/>
                <w:color w:val="auto"/>
                <w:sz w:val="24"/>
                <w:lang w:val="en-US" w:eastAsia="zh-CN"/>
              </w:rPr>
              <w:t>。</w:t>
            </w:r>
          </w:p>
          <w:p w14:paraId="56AFA76C">
            <w:pPr>
              <w:pStyle w:val="4"/>
              <w:numPr>
                <w:ilvl w:val="0"/>
                <w:numId w:val="0"/>
              </w:numPr>
              <w:bidi w:val="0"/>
              <w:ind w:leftChars="0" w:firstLine="480" w:firstLineChars="200"/>
              <w:rPr>
                <w:rFonts w:hint="default" w:ascii="Times New Roman" w:hAnsi="Times New Roman" w:cs="Times New Roman"/>
                <w:color w:val="auto"/>
              </w:rPr>
            </w:pPr>
            <w:r>
              <w:rPr>
                <w:rFonts w:hint="default" w:ascii="Times New Roman" w:hAnsi="Times New Roman" w:cs="Times New Roman"/>
                <w:color w:val="auto"/>
              </w:rPr>
              <w:t>三、噪声</w:t>
            </w:r>
          </w:p>
          <w:p w14:paraId="423635B0">
            <w:pPr>
              <w:pStyle w:val="5"/>
              <w:numPr>
                <w:ilvl w:val="0"/>
                <w:numId w:val="0"/>
              </w:numPr>
              <w:bidi w:val="0"/>
              <w:ind w:leftChars="200"/>
              <w:rPr>
                <w:rFonts w:hint="default" w:ascii="Times New Roman" w:hAnsi="Times New Roman" w:cs="Times New Roman"/>
                <w:color w:val="auto"/>
              </w:rPr>
            </w:pPr>
            <w:r>
              <w:rPr>
                <w:rFonts w:hint="default" w:ascii="Times New Roman" w:hAnsi="Times New Roman" w:cs="Times New Roman"/>
                <w:color w:val="auto"/>
              </w:rPr>
              <w:t>1、噪声污染源分析</w:t>
            </w:r>
          </w:p>
          <w:p w14:paraId="5B2F8011">
            <w:pPr>
              <w:bidi w:val="0"/>
              <w:ind w:firstLine="480" w:firstLineChars="200"/>
              <w:rPr>
                <w:rFonts w:hint="eastAsia" w:eastAsia="宋体"/>
                <w:color w:val="auto"/>
                <w:lang w:eastAsia="zh-CN"/>
              </w:rPr>
            </w:pPr>
            <w:r>
              <w:rPr>
                <w:rFonts w:hint="default"/>
                <w:color w:val="auto"/>
              </w:rPr>
              <w:t>本项目运营期间噪声主要来源于</w:t>
            </w:r>
            <w:r>
              <w:rPr>
                <w:rFonts w:hint="eastAsia"/>
                <w:color w:val="auto"/>
                <w:lang w:val="en-US" w:eastAsia="zh-CN"/>
              </w:rPr>
              <w:t>搅拌设备、双螺杆挤出机、真空设备</w:t>
            </w:r>
            <w:r>
              <w:rPr>
                <w:rFonts w:hint="default"/>
                <w:color w:val="auto"/>
                <w:lang w:val="en-US" w:eastAsia="zh-CN"/>
              </w:rPr>
              <w:t>以及风机</w:t>
            </w:r>
            <w:r>
              <w:rPr>
                <w:rFonts w:hint="eastAsia"/>
                <w:color w:val="auto"/>
                <w:lang w:val="en-US" w:eastAsia="zh-CN"/>
              </w:rPr>
              <w:t>、水泵等</w:t>
            </w:r>
            <w:r>
              <w:rPr>
                <w:rFonts w:hint="default"/>
                <w:color w:val="auto"/>
              </w:rPr>
              <w:t>，噪声声级约为</w:t>
            </w:r>
            <w:r>
              <w:rPr>
                <w:rFonts w:hint="eastAsia"/>
                <w:color w:val="auto"/>
                <w:lang w:val="en-US" w:eastAsia="zh-CN"/>
              </w:rPr>
              <w:t>6</w:t>
            </w:r>
            <w:r>
              <w:rPr>
                <w:rFonts w:hint="default"/>
                <w:color w:val="auto"/>
                <w:lang w:val="en-US" w:eastAsia="zh-CN"/>
              </w:rPr>
              <w:t>0</w:t>
            </w:r>
            <w:r>
              <w:rPr>
                <w:rFonts w:hint="default"/>
                <w:color w:val="auto"/>
              </w:rPr>
              <w:t>~</w:t>
            </w:r>
            <w:r>
              <w:rPr>
                <w:rFonts w:hint="eastAsia"/>
                <w:color w:val="auto"/>
                <w:lang w:val="en-US" w:eastAsia="zh-CN"/>
              </w:rPr>
              <w:t>7</w:t>
            </w:r>
            <w:r>
              <w:rPr>
                <w:rFonts w:hint="default"/>
                <w:color w:val="auto"/>
                <w:lang w:val="en-US" w:eastAsia="zh-CN"/>
              </w:rPr>
              <w:t>5</w:t>
            </w:r>
            <w:r>
              <w:rPr>
                <w:rFonts w:hint="default"/>
                <w:color w:val="auto"/>
              </w:rPr>
              <w:t>dB（A）。本项目主要噪声源强及治理效果见</w:t>
            </w:r>
            <w:r>
              <w:rPr>
                <w:rFonts w:hint="default"/>
                <w:color w:val="auto"/>
                <w:lang w:val="en-US" w:eastAsia="zh-CN"/>
              </w:rPr>
              <w:t>下</w:t>
            </w:r>
            <w:r>
              <w:rPr>
                <w:rFonts w:hint="default"/>
                <w:color w:val="auto"/>
              </w:rPr>
              <w:t>表</w:t>
            </w:r>
            <w:r>
              <w:rPr>
                <w:rFonts w:hint="eastAsia"/>
                <w:color w:val="auto"/>
                <w:lang w:eastAsia="zh-CN"/>
              </w:rPr>
              <w:t>。</w:t>
            </w:r>
          </w:p>
          <w:p w14:paraId="3B464102">
            <w:pPr>
              <w:bidi w:val="0"/>
              <w:rPr>
                <w:rFonts w:hint="default"/>
                <w:color w:val="auto"/>
              </w:rPr>
            </w:pPr>
          </w:p>
          <w:p w14:paraId="211D0337">
            <w:pPr>
              <w:pStyle w:val="5"/>
              <w:numPr>
                <w:ilvl w:val="0"/>
                <w:numId w:val="0"/>
              </w:numPr>
              <w:bidi w:val="0"/>
              <w:ind w:leftChars="200"/>
              <w:rPr>
                <w:rFonts w:hint="default" w:ascii="Times New Roman" w:hAnsi="Times New Roman" w:cs="Times New Roman"/>
                <w:color w:val="auto"/>
              </w:rPr>
            </w:pPr>
          </w:p>
          <w:p w14:paraId="201484F9">
            <w:pPr>
              <w:rPr>
                <w:rFonts w:hint="default" w:ascii="Times New Roman" w:hAnsi="Times New Roman" w:eastAsia="宋体" w:cs="Times New Roman"/>
                <w:color w:val="auto"/>
                <w:lang w:eastAsia="zh-CN"/>
              </w:rPr>
            </w:pPr>
          </w:p>
        </w:tc>
      </w:tr>
    </w:tbl>
    <w:p w14:paraId="60BAB33A">
      <w:pPr>
        <w:rPr>
          <w:rFonts w:hint="eastAsia"/>
          <w:color w:val="auto"/>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p w14:paraId="7BD3AD59">
      <w:pPr>
        <w:pStyle w:val="45"/>
        <w:bidi w:val="0"/>
        <w:rPr>
          <w:color w:val="auto"/>
        </w:rPr>
      </w:pPr>
      <w:r>
        <w:rPr>
          <w:color w:val="auto"/>
        </w:rPr>
        <w:t>表</w:t>
      </w:r>
      <w:r>
        <w:rPr>
          <w:rFonts w:hint="eastAsia"/>
          <w:color w:val="auto"/>
          <w:lang w:val="en-US" w:eastAsia="zh-CN"/>
        </w:rPr>
        <w:t>4-10（1）</w:t>
      </w:r>
      <w:r>
        <w:rPr>
          <w:color w:val="auto"/>
          <w:lang w:eastAsia="zh-CN"/>
        </w:rPr>
        <w:t>工业企业噪声源强调查清单（室内声源）</w:t>
      </w:r>
      <w:r>
        <w:rPr>
          <w:color w:val="auto"/>
        </w:rPr>
        <w:t>单位：dB（A）</w:t>
      </w:r>
    </w:p>
    <w:tbl>
      <w:tblPr>
        <w:tblStyle w:val="33"/>
        <w:tblW w:w="4972"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70"/>
        <w:gridCol w:w="341"/>
        <w:gridCol w:w="994"/>
        <w:gridCol w:w="690"/>
        <w:gridCol w:w="611"/>
        <w:gridCol w:w="565"/>
        <w:gridCol w:w="544"/>
        <w:gridCol w:w="487"/>
        <w:gridCol w:w="523"/>
        <w:gridCol w:w="492"/>
        <w:gridCol w:w="447"/>
        <w:gridCol w:w="501"/>
        <w:gridCol w:w="439"/>
        <w:gridCol w:w="439"/>
        <w:gridCol w:w="439"/>
        <w:gridCol w:w="467"/>
        <w:gridCol w:w="547"/>
        <w:gridCol w:w="425"/>
        <w:gridCol w:w="425"/>
        <w:gridCol w:w="425"/>
        <w:gridCol w:w="458"/>
        <w:gridCol w:w="447"/>
        <w:gridCol w:w="447"/>
        <w:gridCol w:w="447"/>
        <w:gridCol w:w="447"/>
        <w:gridCol w:w="639"/>
      </w:tblGrid>
      <w:tr w14:paraId="53F0CB3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5" w:hRule="exact"/>
          <w:jc w:val="center"/>
        </w:trPr>
        <w:tc>
          <w:tcPr>
            <w:tcW w:w="178" w:type="pct"/>
            <w:vMerge w:val="restart"/>
            <w:tcBorders>
              <w:tl2br w:val="nil"/>
              <w:tr2bl w:val="nil"/>
            </w:tcBorders>
            <w:noWrap w:val="0"/>
            <w:vAlign w:val="center"/>
          </w:tcPr>
          <w:p w14:paraId="36C18831">
            <w:pPr>
              <w:pStyle w:val="44"/>
              <w:bidi w:val="0"/>
              <w:rPr>
                <w:rFonts w:hint="default"/>
                <w:color w:val="auto"/>
              </w:rPr>
            </w:pPr>
            <w:r>
              <w:rPr>
                <w:rFonts w:hint="default"/>
                <w:color w:val="auto"/>
              </w:rPr>
              <w:t>序号</w:t>
            </w:r>
          </w:p>
        </w:tc>
        <w:tc>
          <w:tcPr>
            <w:tcW w:w="129" w:type="pct"/>
            <w:vMerge w:val="restart"/>
            <w:tcBorders>
              <w:tl2br w:val="nil"/>
              <w:tr2bl w:val="nil"/>
            </w:tcBorders>
            <w:noWrap w:val="0"/>
            <w:vAlign w:val="center"/>
          </w:tcPr>
          <w:p w14:paraId="1BF607BD">
            <w:pPr>
              <w:pStyle w:val="44"/>
              <w:bidi w:val="0"/>
              <w:rPr>
                <w:rFonts w:hint="default"/>
                <w:color w:val="auto"/>
              </w:rPr>
            </w:pPr>
            <w:r>
              <w:rPr>
                <w:rFonts w:hint="default"/>
                <w:color w:val="auto"/>
              </w:rPr>
              <w:t>建筑物名称</w:t>
            </w:r>
          </w:p>
        </w:tc>
        <w:tc>
          <w:tcPr>
            <w:tcW w:w="377" w:type="pct"/>
            <w:vMerge w:val="restart"/>
            <w:tcBorders>
              <w:tl2br w:val="nil"/>
              <w:tr2bl w:val="nil"/>
            </w:tcBorders>
            <w:noWrap w:val="0"/>
            <w:vAlign w:val="center"/>
          </w:tcPr>
          <w:p w14:paraId="25E4C8B8">
            <w:pPr>
              <w:pStyle w:val="44"/>
              <w:bidi w:val="0"/>
              <w:rPr>
                <w:rFonts w:hint="default"/>
                <w:color w:val="auto"/>
              </w:rPr>
            </w:pPr>
            <w:r>
              <w:rPr>
                <w:rFonts w:hint="default"/>
                <w:color w:val="auto"/>
              </w:rPr>
              <w:t>声源名称</w:t>
            </w:r>
          </w:p>
        </w:tc>
        <w:tc>
          <w:tcPr>
            <w:tcW w:w="262" w:type="pct"/>
            <w:tcBorders>
              <w:tl2br w:val="nil"/>
              <w:tr2bl w:val="nil"/>
            </w:tcBorders>
            <w:noWrap w:val="0"/>
            <w:vAlign w:val="center"/>
          </w:tcPr>
          <w:p w14:paraId="4D018DEE">
            <w:pPr>
              <w:pStyle w:val="44"/>
              <w:bidi w:val="0"/>
              <w:rPr>
                <w:rFonts w:hint="default"/>
                <w:color w:val="auto"/>
                <w:lang w:eastAsia="zh-CN"/>
              </w:rPr>
            </w:pPr>
            <w:r>
              <w:rPr>
                <w:rFonts w:hint="default"/>
                <w:color w:val="auto"/>
                <w:lang w:eastAsia="zh-CN"/>
              </w:rPr>
              <w:t>声源源强</w:t>
            </w:r>
          </w:p>
        </w:tc>
        <w:tc>
          <w:tcPr>
            <w:tcW w:w="232" w:type="pct"/>
            <w:vMerge w:val="restart"/>
            <w:tcBorders>
              <w:tl2br w:val="nil"/>
              <w:tr2bl w:val="nil"/>
            </w:tcBorders>
            <w:noWrap w:val="0"/>
            <w:vAlign w:val="center"/>
          </w:tcPr>
          <w:p w14:paraId="62B06AA4">
            <w:pPr>
              <w:pStyle w:val="44"/>
              <w:bidi w:val="0"/>
              <w:rPr>
                <w:rFonts w:hint="default"/>
                <w:color w:val="auto"/>
              </w:rPr>
            </w:pPr>
            <w:r>
              <w:rPr>
                <w:rFonts w:hint="default"/>
                <w:color w:val="auto"/>
              </w:rPr>
              <w:t>声源控制措施</w:t>
            </w:r>
          </w:p>
        </w:tc>
        <w:tc>
          <w:tcPr>
            <w:tcW w:w="606" w:type="pct"/>
            <w:gridSpan w:val="3"/>
            <w:tcBorders>
              <w:tl2br w:val="nil"/>
              <w:tr2bl w:val="nil"/>
            </w:tcBorders>
            <w:noWrap w:val="0"/>
            <w:vAlign w:val="center"/>
          </w:tcPr>
          <w:p w14:paraId="55275EBB">
            <w:pPr>
              <w:pStyle w:val="44"/>
              <w:bidi w:val="0"/>
              <w:rPr>
                <w:rFonts w:hint="default"/>
                <w:color w:val="auto"/>
              </w:rPr>
            </w:pPr>
            <w:r>
              <w:rPr>
                <w:rFonts w:hint="default"/>
                <w:color w:val="auto"/>
              </w:rPr>
              <w:t>空间相对位置/m</w:t>
            </w:r>
          </w:p>
        </w:tc>
        <w:tc>
          <w:tcPr>
            <w:tcW w:w="746" w:type="pct"/>
            <w:gridSpan w:val="4"/>
            <w:tcBorders>
              <w:tl2br w:val="nil"/>
              <w:tr2bl w:val="nil"/>
            </w:tcBorders>
            <w:noWrap w:val="0"/>
            <w:vAlign w:val="center"/>
          </w:tcPr>
          <w:p w14:paraId="16D4C41B">
            <w:pPr>
              <w:pStyle w:val="44"/>
              <w:bidi w:val="0"/>
              <w:rPr>
                <w:rFonts w:hint="default"/>
                <w:color w:val="auto"/>
              </w:rPr>
            </w:pPr>
            <w:r>
              <w:rPr>
                <w:rFonts w:hint="default"/>
                <w:color w:val="auto"/>
              </w:rPr>
              <w:t>距室内边界距离/m</w:t>
            </w:r>
          </w:p>
        </w:tc>
        <w:tc>
          <w:tcPr>
            <w:tcW w:w="678" w:type="pct"/>
            <w:gridSpan w:val="4"/>
            <w:tcBorders>
              <w:tl2br w:val="nil"/>
              <w:tr2bl w:val="nil"/>
            </w:tcBorders>
            <w:noWrap w:val="0"/>
            <w:vAlign w:val="center"/>
          </w:tcPr>
          <w:p w14:paraId="238B3D13">
            <w:pPr>
              <w:pStyle w:val="44"/>
              <w:bidi w:val="0"/>
              <w:rPr>
                <w:rFonts w:hint="default"/>
                <w:color w:val="auto"/>
              </w:rPr>
            </w:pPr>
            <w:r>
              <w:rPr>
                <w:rFonts w:hint="default"/>
                <w:color w:val="auto"/>
              </w:rPr>
              <w:t>室内边界声级/dB(A)</w:t>
            </w:r>
          </w:p>
        </w:tc>
        <w:tc>
          <w:tcPr>
            <w:tcW w:w="207" w:type="pct"/>
            <w:vMerge w:val="restart"/>
            <w:tcBorders>
              <w:tl2br w:val="nil"/>
              <w:tr2bl w:val="nil"/>
            </w:tcBorders>
            <w:noWrap w:val="0"/>
            <w:vAlign w:val="center"/>
          </w:tcPr>
          <w:p w14:paraId="7EA58FD0">
            <w:pPr>
              <w:pStyle w:val="44"/>
              <w:bidi w:val="0"/>
              <w:rPr>
                <w:rFonts w:hint="default"/>
                <w:color w:val="auto"/>
              </w:rPr>
            </w:pPr>
            <w:r>
              <w:rPr>
                <w:rFonts w:hint="default"/>
                <w:color w:val="auto"/>
              </w:rPr>
              <w:t>运行时段</w:t>
            </w:r>
          </w:p>
        </w:tc>
        <w:tc>
          <w:tcPr>
            <w:tcW w:w="658" w:type="pct"/>
            <w:gridSpan w:val="4"/>
            <w:tcBorders>
              <w:tl2br w:val="nil"/>
              <w:tr2bl w:val="nil"/>
            </w:tcBorders>
            <w:noWrap w:val="0"/>
            <w:vAlign w:val="center"/>
          </w:tcPr>
          <w:p w14:paraId="32FB901A">
            <w:pPr>
              <w:pStyle w:val="44"/>
              <w:bidi w:val="0"/>
              <w:rPr>
                <w:rFonts w:hint="default"/>
                <w:color w:val="auto"/>
              </w:rPr>
            </w:pPr>
            <w:r>
              <w:rPr>
                <w:rFonts w:hint="default"/>
                <w:color w:val="auto"/>
              </w:rPr>
              <w:t>建筑物插入损失 / dB(A)</w:t>
            </w:r>
          </w:p>
        </w:tc>
        <w:tc>
          <w:tcPr>
            <w:tcW w:w="922" w:type="pct"/>
            <w:gridSpan w:val="5"/>
            <w:tcBorders>
              <w:tl2br w:val="nil"/>
              <w:tr2bl w:val="nil"/>
            </w:tcBorders>
            <w:noWrap w:val="0"/>
            <w:vAlign w:val="center"/>
          </w:tcPr>
          <w:p w14:paraId="6879A9E9">
            <w:pPr>
              <w:pStyle w:val="44"/>
              <w:bidi w:val="0"/>
              <w:rPr>
                <w:rFonts w:hint="default"/>
                <w:color w:val="auto"/>
              </w:rPr>
            </w:pPr>
            <w:r>
              <w:rPr>
                <w:rFonts w:hint="default"/>
                <w:color w:val="auto"/>
              </w:rPr>
              <w:t>建筑物外噪声声压级/dB(A)</w:t>
            </w:r>
          </w:p>
        </w:tc>
      </w:tr>
      <w:tr w14:paraId="089701C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78" w:type="pct"/>
            <w:vMerge w:val="continue"/>
            <w:tcBorders>
              <w:tl2br w:val="nil"/>
              <w:tr2bl w:val="nil"/>
            </w:tcBorders>
            <w:noWrap w:val="0"/>
            <w:tcMar>
              <w:top w:w="0" w:type="dxa"/>
              <w:left w:w="0" w:type="dxa"/>
              <w:bottom w:w="0" w:type="dxa"/>
              <w:right w:w="0" w:type="dxa"/>
            </w:tcMar>
            <w:vAlign w:val="center"/>
          </w:tcPr>
          <w:p w14:paraId="268E88C3">
            <w:pPr>
              <w:pStyle w:val="44"/>
              <w:bidi w:val="0"/>
              <w:rPr>
                <w:rFonts w:hint="default"/>
                <w:color w:val="auto"/>
                <w:lang w:val="en-US" w:eastAsia="zh-CN"/>
              </w:rPr>
            </w:pPr>
          </w:p>
        </w:tc>
        <w:tc>
          <w:tcPr>
            <w:tcW w:w="129" w:type="pct"/>
            <w:vMerge w:val="continue"/>
            <w:tcBorders>
              <w:tl2br w:val="nil"/>
              <w:tr2bl w:val="nil"/>
            </w:tcBorders>
            <w:noWrap w:val="0"/>
            <w:tcMar>
              <w:top w:w="0" w:type="dxa"/>
              <w:left w:w="0" w:type="dxa"/>
              <w:bottom w:w="0" w:type="dxa"/>
              <w:right w:w="0" w:type="dxa"/>
            </w:tcMar>
            <w:vAlign w:val="center"/>
          </w:tcPr>
          <w:p w14:paraId="1186EC0A">
            <w:pPr>
              <w:pStyle w:val="44"/>
              <w:bidi w:val="0"/>
              <w:rPr>
                <w:rFonts w:hint="default"/>
                <w:color w:val="auto"/>
              </w:rPr>
            </w:pPr>
          </w:p>
        </w:tc>
        <w:tc>
          <w:tcPr>
            <w:tcW w:w="377" w:type="pct"/>
            <w:vMerge w:val="continue"/>
            <w:tcBorders>
              <w:tl2br w:val="nil"/>
              <w:tr2bl w:val="nil"/>
            </w:tcBorders>
            <w:noWrap w:val="0"/>
            <w:tcMar>
              <w:top w:w="0" w:type="dxa"/>
              <w:left w:w="0" w:type="dxa"/>
              <w:bottom w:w="0" w:type="dxa"/>
              <w:right w:w="0" w:type="dxa"/>
            </w:tcMar>
            <w:vAlign w:val="center"/>
          </w:tcPr>
          <w:p w14:paraId="477EEEEA">
            <w:pPr>
              <w:pStyle w:val="44"/>
              <w:bidi w:val="0"/>
              <w:rPr>
                <w:rFonts w:hint="default"/>
                <w:color w:val="auto"/>
              </w:rPr>
            </w:pPr>
          </w:p>
        </w:tc>
        <w:tc>
          <w:tcPr>
            <w:tcW w:w="262" w:type="pct"/>
            <w:tcBorders>
              <w:tl2br w:val="nil"/>
              <w:tr2bl w:val="nil"/>
            </w:tcBorders>
            <w:noWrap w:val="0"/>
            <w:tcMar>
              <w:top w:w="0" w:type="dxa"/>
              <w:left w:w="0" w:type="dxa"/>
              <w:bottom w:w="0" w:type="dxa"/>
              <w:right w:w="0" w:type="dxa"/>
            </w:tcMar>
            <w:vAlign w:val="center"/>
          </w:tcPr>
          <w:p w14:paraId="3441A352">
            <w:pPr>
              <w:pStyle w:val="44"/>
              <w:bidi w:val="0"/>
              <w:rPr>
                <w:rFonts w:hint="default"/>
                <w:color w:val="auto"/>
              </w:rPr>
            </w:pPr>
            <w:r>
              <w:rPr>
                <w:rFonts w:hint="default"/>
                <w:color w:val="auto"/>
              </w:rPr>
              <w:t>声功率级/dB(A)</w:t>
            </w:r>
          </w:p>
        </w:tc>
        <w:tc>
          <w:tcPr>
            <w:tcW w:w="232" w:type="pct"/>
            <w:vMerge w:val="continue"/>
            <w:tcBorders>
              <w:tl2br w:val="nil"/>
              <w:tr2bl w:val="nil"/>
            </w:tcBorders>
            <w:noWrap w:val="0"/>
            <w:tcMar>
              <w:top w:w="0" w:type="dxa"/>
              <w:left w:w="0" w:type="dxa"/>
              <w:bottom w:w="0" w:type="dxa"/>
              <w:right w:w="0" w:type="dxa"/>
            </w:tcMar>
            <w:vAlign w:val="center"/>
          </w:tcPr>
          <w:p w14:paraId="1DD06A6D">
            <w:pPr>
              <w:pStyle w:val="44"/>
              <w:bidi w:val="0"/>
              <w:rPr>
                <w:rFonts w:hint="default"/>
                <w:color w:val="auto"/>
              </w:rPr>
            </w:pPr>
          </w:p>
        </w:tc>
        <w:tc>
          <w:tcPr>
            <w:tcW w:w="214" w:type="pct"/>
            <w:tcBorders>
              <w:tl2br w:val="nil"/>
              <w:tr2bl w:val="nil"/>
            </w:tcBorders>
            <w:noWrap w:val="0"/>
            <w:tcMar>
              <w:top w:w="0" w:type="dxa"/>
              <w:left w:w="0" w:type="dxa"/>
              <w:bottom w:w="0" w:type="dxa"/>
              <w:right w:w="0" w:type="dxa"/>
            </w:tcMar>
            <w:vAlign w:val="center"/>
          </w:tcPr>
          <w:p w14:paraId="6BC4A6CA">
            <w:pPr>
              <w:pStyle w:val="44"/>
              <w:bidi w:val="0"/>
              <w:rPr>
                <w:rFonts w:hint="default"/>
                <w:color w:val="auto"/>
              </w:rPr>
            </w:pPr>
            <w:r>
              <w:rPr>
                <w:rFonts w:hint="default"/>
                <w:color w:val="auto"/>
              </w:rPr>
              <w:t>X</w:t>
            </w:r>
          </w:p>
        </w:tc>
        <w:tc>
          <w:tcPr>
            <w:tcW w:w="206" w:type="pct"/>
            <w:tcBorders>
              <w:tl2br w:val="nil"/>
              <w:tr2bl w:val="nil"/>
            </w:tcBorders>
            <w:noWrap w:val="0"/>
            <w:tcMar>
              <w:top w:w="0" w:type="dxa"/>
              <w:left w:w="0" w:type="dxa"/>
              <w:bottom w:w="0" w:type="dxa"/>
              <w:right w:w="0" w:type="dxa"/>
            </w:tcMar>
            <w:vAlign w:val="center"/>
          </w:tcPr>
          <w:p w14:paraId="20C44F62">
            <w:pPr>
              <w:pStyle w:val="44"/>
              <w:bidi w:val="0"/>
              <w:rPr>
                <w:rFonts w:hint="default"/>
                <w:color w:val="auto"/>
              </w:rPr>
            </w:pPr>
            <w:r>
              <w:rPr>
                <w:rFonts w:hint="default"/>
                <w:color w:val="auto"/>
              </w:rPr>
              <w:t>Y</w:t>
            </w:r>
          </w:p>
        </w:tc>
        <w:tc>
          <w:tcPr>
            <w:tcW w:w="185" w:type="pct"/>
            <w:tcBorders>
              <w:tl2br w:val="nil"/>
              <w:tr2bl w:val="nil"/>
            </w:tcBorders>
            <w:noWrap w:val="0"/>
            <w:tcMar>
              <w:top w:w="0" w:type="dxa"/>
              <w:left w:w="0" w:type="dxa"/>
              <w:bottom w:w="0" w:type="dxa"/>
              <w:right w:w="0" w:type="dxa"/>
            </w:tcMar>
            <w:vAlign w:val="center"/>
          </w:tcPr>
          <w:p w14:paraId="7514E99D">
            <w:pPr>
              <w:pStyle w:val="44"/>
              <w:bidi w:val="0"/>
              <w:rPr>
                <w:rFonts w:hint="default"/>
                <w:color w:val="auto"/>
              </w:rPr>
            </w:pPr>
            <w:r>
              <w:rPr>
                <w:rFonts w:hint="default"/>
                <w:color w:val="auto"/>
              </w:rPr>
              <w:t>Z</w:t>
            </w:r>
          </w:p>
        </w:tc>
        <w:tc>
          <w:tcPr>
            <w:tcW w:w="198" w:type="pct"/>
            <w:tcBorders>
              <w:tl2br w:val="nil"/>
              <w:tr2bl w:val="nil"/>
            </w:tcBorders>
            <w:noWrap w:val="0"/>
            <w:tcMar>
              <w:top w:w="0" w:type="dxa"/>
              <w:left w:w="0" w:type="dxa"/>
              <w:bottom w:w="0" w:type="dxa"/>
              <w:right w:w="0" w:type="dxa"/>
            </w:tcMar>
            <w:vAlign w:val="center"/>
          </w:tcPr>
          <w:p w14:paraId="7B35E7E2">
            <w:pPr>
              <w:pStyle w:val="44"/>
              <w:bidi w:val="0"/>
              <w:rPr>
                <w:rFonts w:hint="default"/>
                <w:color w:val="auto"/>
              </w:rPr>
            </w:pPr>
            <w:r>
              <w:rPr>
                <w:rFonts w:hint="default"/>
                <w:color w:val="auto"/>
                <w:lang w:val="en-US" w:eastAsia="zh-CN"/>
              </w:rPr>
              <w:t>东</w:t>
            </w:r>
          </w:p>
        </w:tc>
        <w:tc>
          <w:tcPr>
            <w:tcW w:w="186" w:type="pct"/>
            <w:tcBorders>
              <w:tl2br w:val="nil"/>
              <w:tr2bl w:val="nil"/>
            </w:tcBorders>
            <w:noWrap w:val="0"/>
            <w:tcMar>
              <w:top w:w="0" w:type="dxa"/>
              <w:left w:w="0" w:type="dxa"/>
              <w:bottom w:w="0" w:type="dxa"/>
              <w:right w:w="0" w:type="dxa"/>
            </w:tcMar>
            <w:vAlign w:val="center"/>
          </w:tcPr>
          <w:p w14:paraId="667476D3">
            <w:pPr>
              <w:pStyle w:val="44"/>
              <w:bidi w:val="0"/>
              <w:rPr>
                <w:rFonts w:hint="default"/>
                <w:color w:val="auto"/>
              </w:rPr>
            </w:pPr>
            <w:r>
              <w:rPr>
                <w:rFonts w:hint="default"/>
                <w:color w:val="auto"/>
                <w:lang w:val="en-US" w:eastAsia="zh-CN"/>
              </w:rPr>
              <w:t>南</w:t>
            </w:r>
          </w:p>
        </w:tc>
        <w:tc>
          <w:tcPr>
            <w:tcW w:w="169" w:type="pct"/>
            <w:tcBorders>
              <w:tl2br w:val="nil"/>
              <w:tr2bl w:val="nil"/>
            </w:tcBorders>
            <w:noWrap w:val="0"/>
            <w:tcMar>
              <w:top w:w="0" w:type="dxa"/>
              <w:left w:w="0" w:type="dxa"/>
              <w:bottom w:w="0" w:type="dxa"/>
              <w:right w:w="0" w:type="dxa"/>
            </w:tcMar>
            <w:vAlign w:val="center"/>
          </w:tcPr>
          <w:p w14:paraId="4CDA8FFE">
            <w:pPr>
              <w:pStyle w:val="44"/>
              <w:bidi w:val="0"/>
              <w:rPr>
                <w:rFonts w:hint="default"/>
                <w:color w:val="auto"/>
              </w:rPr>
            </w:pPr>
            <w:r>
              <w:rPr>
                <w:rFonts w:hint="default"/>
                <w:color w:val="auto"/>
                <w:lang w:val="en-US" w:eastAsia="zh-CN"/>
              </w:rPr>
              <w:t>西</w:t>
            </w:r>
          </w:p>
        </w:tc>
        <w:tc>
          <w:tcPr>
            <w:tcW w:w="190" w:type="pct"/>
            <w:tcBorders>
              <w:tl2br w:val="nil"/>
              <w:tr2bl w:val="nil"/>
            </w:tcBorders>
            <w:noWrap w:val="0"/>
            <w:tcMar>
              <w:top w:w="0" w:type="dxa"/>
              <w:left w:w="0" w:type="dxa"/>
              <w:bottom w:w="0" w:type="dxa"/>
              <w:right w:w="0" w:type="dxa"/>
            </w:tcMar>
            <w:vAlign w:val="center"/>
          </w:tcPr>
          <w:p w14:paraId="635D429A">
            <w:pPr>
              <w:pStyle w:val="44"/>
              <w:bidi w:val="0"/>
              <w:rPr>
                <w:rFonts w:hint="default"/>
                <w:color w:val="auto"/>
              </w:rPr>
            </w:pPr>
            <w:r>
              <w:rPr>
                <w:rFonts w:hint="default"/>
                <w:color w:val="auto"/>
                <w:lang w:val="en-US" w:eastAsia="zh-CN"/>
              </w:rPr>
              <w:t>北</w:t>
            </w:r>
          </w:p>
        </w:tc>
        <w:tc>
          <w:tcPr>
            <w:tcW w:w="166" w:type="pct"/>
            <w:tcBorders>
              <w:tl2br w:val="nil"/>
              <w:tr2bl w:val="nil"/>
            </w:tcBorders>
            <w:noWrap w:val="0"/>
            <w:tcMar>
              <w:top w:w="0" w:type="dxa"/>
              <w:left w:w="0" w:type="dxa"/>
              <w:bottom w:w="0" w:type="dxa"/>
              <w:right w:w="0" w:type="dxa"/>
            </w:tcMar>
            <w:vAlign w:val="center"/>
          </w:tcPr>
          <w:p w14:paraId="7DF57233">
            <w:pPr>
              <w:pStyle w:val="44"/>
              <w:bidi w:val="0"/>
              <w:rPr>
                <w:rFonts w:hint="default"/>
                <w:color w:val="auto"/>
              </w:rPr>
            </w:pPr>
            <w:r>
              <w:rPr>
                <w:rFonts w:hint="default"/>
                <w:color w:val="auto"/>
                <w:lang w:val="en-US" w:eastAsia="zh-CN"/>
              </w:rPr>
              <w:t>东</w:t>
            </w:r>
          </w:p>
        </w:tc>
        <w:tc>
          <w:tcPr>
            <w:tcW w:w="166" w:type="pct"/>
            <w:tcBorders>
              <w:tl2br w:val="nil"/>
              <w:tr2bl w:val="nil"/>
            </w:tcBorders>
            <w:noWrap w:val="0"/>
            <w:tcMar>
              <w:top w:w="0" w:type="dxa"/>
              <w:left w:w="0" w:type="dxa"/>
              <w:bottom w:w="0" w:type="dxa"/>
              <w:right w:w="0" w:type="dxa"/>
            </w:tcMar>
            <w:vAlign w:val="center"/>
          </w:tcPr>
          <w:p w14:paraId="233DB8B4">
            <w:pPr>
              <w:pStyle w:val="44"/>
              <w:bidi w:val="0"/>
              <w:rPr>
                <w:rFonts w:hint="default"/>
                <w:color w:val="auto"/>
              </w:rPr>
            </w:pPr>
            <w:r>
              <w:rPr>
                <w:rFonts w:hint="default"/>
                <w:color w:val="auto"/>
                <w:lang w:val="en-US" w:eastAsia="zh-CN"/>
              </w:rPr>
              <w:t>南</w:t>
            </w:r>
          </w:p>
        </w:tc>
        <w:tc>
          <w:tcPr>
            <w:tcW w:w="166" w:type="pct"/>
            <w:tcBorders>
              <w:tl2br w:val="nil"/>
              <w:tr2bl w:val="nil"/>
            </w:tcBorders>
            <w:noWrap w:val="0"/>
            <w:tcMar>
              <w:top w:w="0" w:type="dxa"/>
              <w:left w:w="0" w:type="dxa"/>
              <w:bottom w:w="0" w:type="dxa"/>
              <w:right w:w="0" w:type="dxa"/>
            </w:tcMar>
            <w:vAlign w:val="center"/>
          </w:tcPr>
          <w:p w14:paraId="596830E1">
            <w:pPr>
              <w:pStyle w:val="44"/>
              <w:bidi w:val="0"/>
              <w:rPr>
                <w:rFonts w:hint="default"/>
                <w:color w:val="auto"/>
              </w:rPr>
            </w:pPr>
            <w:r>
              <w:rPr>
                <w:rFonts w:hint="default"/>
                <w:color w:val="auto"/>
                <w:lang w:val="en-US" w:eastAsia="zh-CN"/>
              </w:rPr>
              <w:t>西</w:t>
            </w:r>
          </w:p>
        </w:tc>
        <w:tc>
          <w:tcPr>
            <w:tcW w:w="177" w:type="pct"/>
            <w:tcBorders>
              <w:tl2br w:val="nil"/>
              <w:tr2bl w:val="nil"/>
            </w:tcBorders>
            <w:noWrap w:val="0"/>
            <w:tcMar>
              <w:top w:w="0" w:type="dxa"/>
              <w:left w:w="0" w:type="dxa"/>
              <w:bottom w:w="0" w:type="dxa"/>
              <w:right w:w="0" w:type="dxa"/>
            </w:tcMar>
            <w:vAlign w:val="center"/>
          </w:tcPr>
          <w:p w14:paraId="42F9A733">
            <w:pPr>
              <w:pStyle w:val="44"/>
              <w:bidi w:val="0"/>
              <w:rPr>
                <w:rFonts w:hint="default"/>
                <w:color w:val="auto"/>
              </w:rPr>
            </w:pPr>
            <w:r>
              <w:rPr>
                <w:rFonts w:hint="default"/>
                <w:color w:val="auto"/>
                <w:lang w:val="en-US" w:eastAsia="zh-CN"/>
              </w:rPr>
              <w:t>北</w:t>
            </w:r>
          </w:p>
        </w:tc>
        <w:tc>
          <w:tcPr>
            <w:tcW w:w="207" w:type="pct"/>
            <w:vMerge w:val="continue"/>
            <w:tcBorders>
              <w:tl2br w:val="nil"/>
              <w:tr2bl w:val="nil"/>
            </w:tcBorders>
            <w:noWrap w:val="0"/>
            <w:tcMar>
              <w:top w:w="0" w:type="dxa"/>
              <w:left w:w="0" w:type="dxa"/>
              <w:bottom w:w="0" w:type="dxa"/>
              <w:right w:w="0" w:type="dxa"/>
            </w:tcMar>
            <w:vAlign w:val="center"/>
          </w:tcPr>
          <w:p w14:paraId="1EB48EA2">
            <w:pPr>
              <w:pStyle w:val="44"/>
              <w:bidi w:val="0"/>
              <w:rPr>
                <w:rFonts w:hint="default"/>
                <w:color w:val="auto"/>
              </w:rPr>
            </w:pPr>
          </w:p>
        </w:tc>
        <w:tc>
          <w:tcPr>
            <w:tcW w:w="161" w:type="pct"/>
            <w:tcBorders>
              <w:tl2br w:val="nil"/>
              <w:tr2bl w:val="nil"/>
            </w:tcBorders>
            <w:noWrap w:val="0"/>
            <w:tcMar>
              <w:top w:w="0" w:type="dxa"/>
              <w:left w:w="0" w:type="dxa"/>
              <w:bottom w:w="0" w:type="dxa"/>
              <w:right w:w="0" w:type="dxa"/>
            </w:tcMar>
            <w:vAlign w:val="center"/>
          </w:tcPr>
          <w:p w14:paraId="3646174C">
            <w:pPr>
              <w:pStyle w:val="44"/>
              <w:bidi w:val="0"/>
              <w:rPr>
                <w:rFonts w:hint="default"/>
                <w:color w:val="auto"/>
              </w:rPr>
            </w:pPr>
            <w:r>
              <w:rPr>
                <w:rFonts w:hint="default"/>
                <w:color w:val="auto"/>
                <w:lang w:val="en-US" w:eastAsia="zh-CN"/>
              </w:rPr>
              <w:t>东</w:t>
            </w:r>
          </w:p>
        </w:tc>
        <w:tc>
          <w:tcPr>
            <w:tcW w:w="161" w:type="pct"/>
            <w:tcBorders>
              <w:tl2br w:val="nil"/>
              <w:tr2bl w:val="nil"/>
            </w:tcBorders>
            <w:noWrap w:val="0"/>
            <w:tcMar>
              <w:top w:w="0" w:type="dxa"/>
              <w:left w:w="0" w:type="dxa"/>
              <w:bottom w:w="0" w:type="dxa"/>
              <w:right w:w="0" w:type="dxa"/>
            </w:tcMar>
            <w:vAlign w:val="center"/>
          </w:tcPr>
          <w:p w14:paraId="388974B3">
            <w:pPr>
              <w:pStyle w:val="44"/>
              <w:bidi w:val="0"/>
              <w:rPr>
                <w:rFonts w:hint="default"/>
                <w:color w:val="auto"/>
              </w:rPr>
            </w:pPr>
            <w:r>
              <w:rPr>
                <w:rFonts w:hint="default"/>
                <w:color w:val="auto"/>
                <w:lang w:val="en-US" w:eastAsia="zh-CN"/>
              </w:rPr>
              <w:t>南</w:t>
            </w:r>
          </w:p>
        </w:tc>
        <w:tc>
          <w:tcPr>
            <w:tcW w:w="161" w:type="pct"/>
            <w:tcBorders>
              <w:tl2br w:val="nil"/>
              <w:tr2bl w:val="nil"/>
            </w:tcBorders>
            <w:noWrap w:val="0"/>
            <w:tcMar>
              <w:top w:w="0" w:type="dxa"/>
              <w:left w:w="0" w:type="dxa"/>
              <w:bottom w:w="0" w:type="dxa"/>
              <w:right w:w="0" w:type="dxa"/>
            </w:tcMar>
            <w:vAlign w:val="center"/>
          </w:tcPr>
          <w:p w14:paraId="25B2FF35">
            <w:pPr>
              <w:pStyle w:val="44"/>
              <w:bidi w:val="0"/>
              <w:rPr>
                <w:rFonts w:hint="default"/>
                <w:color w:val="auto"/>
              </w:rPr>
            </w:pPr>
            <w:r>
              <w:rPr>
                <w:rFonts w:hint="default"/>
                <w:color w:val="auto"/>
                <w:lang w:val="en-US" w:eastAsia="zh-CN"/>
              </w:rPr>
              <w:t>西</w:t>
            </w:r>
          </w:p>
        </w:tc>
        <w:tc>
          <w:tcPr>
            <w:tcW w:w="174" w:type="pct"/>
            <w:tcBorders>
              <w:tl2br w:val="nil"/>
              <w:tr2bl w:val="nil"/>
            </w:tcBorders>
            <w:noWrap w:val="0"/>
            <w:tcMar>
              <w:top w:w="0" w:type="dxa"/>
              <w:left w:w="0" w:type="dxa"/>
              <w:bottom w:w="0" w:type="dxa"/>
              <w:right w:w="0" w:type="dxa"/>
            </w:tcMar>
            <w:vAlign w:val="center"/>
          </w:tcPr>
          <w:p w14:paraId="48008F27">
            <w:pPr>
              <w:pStyle w:val="44"/>
              <w:bidi w:val="0"/>
              <w:rPr>
                <w:rFonts w:hint="default"/>
                <w:color w:val="auto"/>
              </w:rPr>
            </w:pPr>
            <w:r>
              <w:rPr>
                <w:rFonts w:hint="default"/>
                <w:color w:val="auto"/>
                <w:lang w:val="en-US" w:eastAsia="zh-CN"/>
              </w:rPr>
              <w:t>北</w:t>
            </w:r>
          </w:p>
        </w:tc>
        <w:tc>
          <w:tcPr>
            <w:tcW w:w="169" w:type="pct"/>
            <w:tcBorders>
              <w:tl2br w:val="nil"/>
              <w:tr2bl w:val="nil"/>
            </w:tcBorders>
            <w:noWrap w:val="0"/>
            <w:tcMar>
              <w:top w:w="0" w:type="dxa"/>
              <w:left w:w="0" w:type="dxa"/>
              <w:bottom w:w="0" w:type="dxa"/>
              <w:right w:w="0" w:type="dxa"/>
            </w:tcMar>
            <w:vAlign w:val="center"/>
          </w:tcPr>
          <w:p w14:paraId="734CAC8F">
            <w:pPr>
              <w:pStyle w:val="44"/>
              <w:bidi w:val="0"/>
              <w:rPr>
                <w:rFonts w:hint="default"/>
                <w:color w:val="auto"/>
              </w:rPr>
            </w:pPr>
            <w:r>
              <w:rPr>
                <w:rFonts w:hint="default"/>
                <w:color w:val="auto"/>
                <w:lang w:val="en-US" w:eastAsia="zh-CN"/>
              </w:rPr>
              <w:t>东</w:t>
            </w:r>
          </w:p>
        </w:tc>
        <w:tc>
          <w:tcPr>
            <w:tcW w:w="169" w:type="pct"/>
            <w:tcBorders>
              <w:tl2br w:val="nil"/>
              <w:tr2bl w:val="nil"/>
            </w:tcBorders>
            <w:noWrap w:val="0"/>
            <w:tcMar>
              <w:top w:w="0" w:type="dxa"/>
              <w:left w:w="0" w:type="dxa"/>
              <w:bottom w:w="0" w:type="dxa"/>
              <w:right w:w="0" w:type="dxa"/>
            </w:tcMar>
            <w:vAlign w:val="center"/>
          </w:tcPr>
          <w:p w14:paraId="7B6E4DD8">
            <w:pPr>
              <w:pStyle w:val="44"/>
              <w:bidi w:val="0"/>
              <w:rPr>
                <w:rFonts w:hint="default"/>
                <w:color w:val="auto"/>
              </w:rPr>
            </w:pPr>
            <w:r>
              <w:rPr>
                <w:rFonts w:hint="default"/>
                <w:color w:val="auto"/>
                <w:lang w:val="en-US" w:eastAsia="zh-CN"/>
              </w:rPr>
              <w:t>南</w:t>
            </w:r>
          </w:p>
        </w:tc>
        <w:tc>
          <w:tcPr>
            <w:tcW w:w="169" w:type="pct"/>
            <w:tcBorders>
              <w:tl2br w:val="nil"/>
              <w:tr2bl w:val="nil"/>
            </w:tcBorders>
            <w:noWrap w:val="0"/>
            <w:tcMar>
              <w:top w:w="0" w:type="dxa"/>
              <w:left w:w="0" w:type="dxa"/>
              <w:bottom w:w="0" w:type="dxa"/>
              <w:right w:w="0" w:type="dxa"/>
            </w:tcMar>
            <w:vAlign w:val="center"/>
          </w:tcPr>
          <w:p w14:paraId="52AABADA">
            <w:pPr>
              <w:pStyle w:val="44"/>
              <w:bidi w:val="0"/>
              <w:rPr>
                <w:rFonts w:hint="default"/>
                <w:color w:val="auto"/>
              </w:rPr>
            </w:pPr>
            <w:r>
              <w:rPr>
                <w:rFonts w:hint="default"/>
                <w:color w:val="auto"/>
                <w:lang w:val="en-US" w:eastAsia="zh-CN"/>
              </w:rPr>
              <w:t>西</w:t>
            </w:r>
          </w:p>
        </w:tc>
        <w:tc>
          <w:tcPr>
            <w:tcW w:w="169" w:type="pct"/>
            <w:tcBorders>
              <w:tl2br w:val="nil"/>
              <w:tr2bl w:val="nil"/>
            </w:tcBorders>
            <w:noWrap w:val="0"/>
            <w:tcMar>
              <w:top w:w="0" w:type="dxa"/>
              <w:left w:w="0" w:type="dxa"/>
              <w:bottom w:w="0" w:type="dxa"/>
              <w:right w:w="0" w:type="dxa"/>
            </w:tcMar>
            <w:vAlign w:val="center"/>
          </w:tcPr>
          <w:p w14:paraId="16769F90">
            <w:pPr>
              <w:pStyle w:val="44"/>
              <w:bidi w:val="0"/>
              <w:rPr>
                <w:rFonts w:hint="default"/>
                <w:color w:val="auto"/>
              </w:rPr>
            </w:pPr>
            <w:r>
              <w:rPr>
                <w:rFonts w:hint="default"/>
                <w:color w:val="auto"/>
                <w:lang w:val="en-US" w:eastAsia="zh-CN"/>
              </w:rPr>
              <w:t>北</w:t>
            </w:r>
          </w:p>
        </w:tc>
        <w:tc>
          <w:tcPr>
            <w:tcW w:w="242" w:type="pct"/>
            <w:tcBorders>
              <w:tl2br w:val="nil"/>
              <w:tr2bl w:val="nil"/>
            </w:tcBorders>
            <w:noWrap w:val="0"/>
            <w:tcMar>
              <w:top w:w="0" w:type="dxa"/>
              <w:left w:w="0" w:type="dxa"/>
              <w:bottom w:w="0" w:type="dxa"/>
              <w:right w:w="0" w:type="dxa"/>
            </w:tcMar>
            <w:vAlign w:val="center"/>
          </w:tcPr>
          <w:p w14:paraId="744F79E3">
            <w:pPr>
              <w:pStyle w:val="44"/>
              <w:bidi w:val="0"/>
              <w:rPr>
                <w:rFonts w:hint="default"/>
                <w:color w:val="auto"/>
              </w:rPr>
            </w:pPr>
            <w:r>
              <w:rPr>
                <w:rFonts w:hint="default"/>
                <w:color w:val="auto"/>
              </w:rPr>
              <w:t>建筑物外距离</w:t>
            </w:r>
          </w:p>
        </w:tc>
      </w:tr>
      <w:tr w14:paraId="3665B22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78" w:type="pct"/>
            <w:tcBorders>
              <w:tl2br w:val="nil"/>
              <w:tr2bl w:val="nil"/>
            </w:tcBorders>
            <w:noWrap w:val="0"/>
            <w:tcMar>
              <w:top w:w="0" w:type="dxa"/>
              <w:left w:w="0" w:type="dxa"/>
              <w:bottom w:w="0" w:type="dxa"/>
              <w:right w:w="0" w:type="dxa"/>
            </w:tcMar>
            <w:vAlign w:val="center"/>
          </w:tcPr>
          <w:p w14:paraId="42D81E4E">
            <w:pPr>
              <w:pStyle w:val="44"/>
              <w:bidi w:val="0"/>
              <w:rPr>
                <w:rFonts w:hint="default"/>
                <w:color w:val="auto"/>
              </w:rPr>
            </w:pPr>
            <w:r>
              <w:rPr>
                <w:rFonts w:hint="default"/>
                <w:color w:val="auto"/>
              </w:rPr>
              <w:t>1</w:t>
            </w:r>
          </w:p>
        </w:tc>
        <w:tc>
          <w:tcPr>
            <w:tcW w:w="129" w:type="pct"/>
            <w:vMerge w:val="restart"/>
            <w:tcBorders>
              <w:tl2br w:val="nil"/>
              <w:tr2bl w:val="nil"/>
            </w:tcBorders>
            <w:noWrap w:val="0"/>
            <w:tcMar>
              <w:top w:w="0" w:type="dxa"/>
              <w:left w:w="0" w:type="dxa"/>
              <w:bottom w:w="0" w:type="dxa"/>
              <w:right w:w="0" w:type="dxa"/>
            </w:tcMar>
            <w:vAlign w:val="center"/>
          </w:tcPr>
          <w:p w14:paraId="2B2984DC">
            <w:pPr>
              <w:pStyle w:val="44"/>
              <w:bidi w:val="0"/>
              <w:rPr>
                <w:rFonts w:hint="default"/>
                <w:color w:val="auto"/>
              </w:rPr>
            </w:pPr>
            <w:r>
              <w:rPr>
                <w:rFonts w:hint="eastAsia"/>
                <w:color w:val="auto"/>
                <w:lang w:val="en-US" w:eastAsia="zh-CN"/>
              </w:rPr>
              <w:t>生产</w:t>
            </w:r>
            <w:r>
              <w:rPr>
                <w:rFonts w:hint="default"/>
                <w:color w:val="auto"/>
                <w:lang w:eastAsia="zh-CN"/>
              </w:rPr>
              <w:t>车间</w:t>
            </w:r>
          </w:p>
        </w:tc>
        <w:tc>
          <w:tcPr>
            <w:tcW w:w="377" w:type="pct"/>
            <w:tcBorders>
              <w:tl2br w:val="nil"/>
              <w:tr2bl w:val="nil"/>
            </w:tcBorders>
            <w:noWrap w:val="0"/>
            <w:tcMar>
              <w:top w:w="0" w:type="dxa"/>
              <w:left w:w="0" w:type="dxa"/>
              <w:bottom w:w="0" w:type="dxa"/>
              <w:right w:w="0" w:type="dxa"/>
            </w:tcMar>
            <w:vAlign w:val="center"/>
          </w:tcPr>
          <w:p w14:paraId="5578AC10">
            <w:pPr>
              <w:pStyle w:val="44"/>
              <w:bidi w:val="0"/>
              <w:rPr>
                <w:rFonts w:hint="default"/>
                <w:color w:val="auto"/>
              </w:rPr>
            </w:pPr>
            <w:r>
              <w:rPr>
                <w:color w:val="auto"/>
              </w:rPr>
              <w:t>分散搅拌设备,8台（按点声源组预测）</w:t>
            </w:r>
          </w:p>
        </w:tc>
        <w:tc>
          <w:tcPr>
            <w:tcW w:w="262" w:type="pct"/>
            <w:tcBorders>
              <w:tl2br w:val="nil"/>
              <w:tr2bl w:val="nil"/>
            </w:tcBorders>
            <w:noWrap w:val="0"/>
            <w:tcMar>
              <w:top w:w="0" w:type="dxa"/>
              <w:left w:w="0" w:type="dxa"/>
              <w:bottom w:w="0" w:type="dxa"/>
              <w:right w:w="0" w:type="dxa"/>
            </w:tcMar>
            <w:vAlign w:val="center"/>
          </w:tcPr>
          <w:p w14:paraId="48EC99F2">
            <w:pPr>
              <w:pStyle w:val="44"/>
              <w:bidi w:val="0"/>
              <w:rPr>
                <w:rFonts w:hint="default"/>
                <w:color w:val="auto"/>
              </w:rPr>
            </w:pPr>
            <w:r>
              <w:rPr>
                <w:color w:val="auto"/>
              </w:rPr>
              <w:t>65（等效后：74.0)</w:t>
            </w:r>
          </w:p>
        </w:tc>
        <w:tc>
          <w:tcPr>
            <w:tcW w:w="232" w:type="pct"/>
            <w:vMerge w:val="restart"/>
            <w:tcBorders>
              <w:tl2br w:val="nil"/>
              <w:tr2bl w:val="nil"/>
            </w:tcBorders>
            <w:noWrap w:val="0"/>
            <w:tcMar>
              <w:top w:w="0" w:type="dxa"/>
              <w:left w:w="0" w:type="dxa"/>
              <w:bottom w:w="0" w:type="dxa"/>
              <w:right w:w="0" w:type="dxa"/>
            </w:tcMar>
            <w:vAlign w:val="center"/>
          </w:tcPr>
          <w:p w14:paraId="1FFCC167">
            <w:pPr>
              <w:pStyle w:val="44"/>
              <w:bidi w:val="0"/>
              <w:rPr>
                <w:rFonts w:hint="default"/>
                <w:color w:val="auto"/>
              </w:rPr>
            </w:pPr>
            <w:r>
              <w:rPr>
                <w:rFonts w:hint="default"/>
                <w:color w:val="auto"/>
              </w:rPr>
              <w:t>建筑物隔声、</w:t>
            </w:r>
            <w:r>
              <w:rPr>
                <w:rFonts w:hint="eastAsia"/>
                <w:color w:val="auto"/>
                <w:lang w:val="en-US" w:eastAsia="zh-CN"/>
              </w:rPr>
              <w:t>基础减震、</w:t>
            </w:r>
            <w:r>
              <w:rPr>
                <w:rFonts w:hint="default"/>
                <w:color w:val="auto"/>
              </w:rPr>
              <w:t>合理布局等</w:t>
            </w:r>
          </w:p>
        </w:tc>
        <w:tc>
          <w:tcPr>
            <w:tcW w:w="214" w:type="pct"/>
            <w:tcBorders>
              <w:tl2br w:val="nil"/>
              <w:tr2bl w:val="nil"/>
            </w:tcBorders>
            <w:noWrap w:val="0"/>
            <w:tcMar>
              <w:top w:w="0" w:type="dxa"/>
              <w:left w:w="0" w:type="dxa"/>
              <w:bottom w:w="0" w:type="dxa"/>
              <w:right w:w="0" w:type="dxa"/>
            </w:tcMar>
            <w:vAlign w:val="center"/>
          </w:tcPr>
          <w:p w14:paraId="7EFF6AD0">
            <w:pPr>
              <w:pStyle w:val="44"/>
              <w:bidi w:val="0"/>
              <w:rPr>
                <w:rFonts w:hint="default"/>
                <w:color w:val="auto"/>
              </w:rPr>
            </w:pPr>
            <w:r>
              <w:rPr>
                <w:color w:val="auto"/>
              </w:rPr>
              <w:t>-39.9</w:t>
            </w:r>
          </w:p>
        </w:tc>
        <w:tc>
          <w:tcPr>
            <w:tcW w:w="206" w:type="pct"/>
            <w:tcBorders>
              <w:tl2br w:val="nil"/>
              <w:tr2bl w:val="nil"/>
            </w:tcBorders>
            <w:noWrap w:val="0"/>
            <w:tcMar>
              <w:top w:w="0" w:type="dxa"/>
              <w:left w:w="0" w:type="dxa"/>
              <w:bottom w:w="0" w:type="dxa"/>
              <w:right w:w="0" w:type="dxa"/>
            </w:tcMar>
            <w:vAlign w:val="center"/>
          </w:tcPr>
          <w:p w14:paraId="6D0BB4BD">
            <w:pPr>
              <w:pStyle w:val="44"/>
              <w:bidi w:val="0"/>
              <w:rPr>
                <w:rFonts w:hint="default"/>
                <w:color w:val="auto"/>
              </w:rPr>
            </w:pPr>
            <w:r>
              <w:rPr>
                <w:color w:val="auto"/>
              </w:rPr>
              <w:t>-16.7</w:t>
            </w:r>
          </w:p>
        </w:tc>
        <w:tc>
          <w:tcPr>
            <w:tcW w:w="185" w:type="pct"/>
            <w:tcBorders>
              <w:tl2br w:val="nil"/>
              <w:tr2bl w:val="nil"/>
            </w:tcBorders>
            <w:noWrap w:val="0"/>
            <w:tcMar>
              <w:top w:w="0" w:type="dxa"/>
              <w:left w:w="0" w:type="dxa"/>
              <w:bottom w:w="0" w:type="dxa"/>
              <w:right w:w="0" w:type="dxa"/>
            </w:tcMar>
            <w:vAlign w:val="center"/>
          </w:tcPr>
          <w:p w14:paraId="14A6E52C">
            <w:pPr>
              <w:pStyle w:val="44"/>
              <w:bidi w:val="0"/>
              <w:rPr>
                <w:rFonts w:hint="default"/>
                <w:color w:val="auto"/>
              </w:rPr>
            </w:pPr>
            <w:r>
              <w:rPr>
                <w:color w:val="auto"/>
              </w:rPr>
              <w:t>1.2</w:t>
            </w:r>
          </w:p>
        </w:tc>
        <w:tc>
          <w:tcPr>
            <w:tcW w:w="198" w:type="pct"/>
            <w:tcBorders>
              <w:tl2br w:val="nil"/>
              <w:tr2bl w:val="nil"/>
            </w:tcBorders>
            <w:noWrap w:val="0"/>
            <w:tcMar>
              <w:top w:w="0" w:type="dxa"/>
              <w:left w:w="0" w:type="dxa"/>
              <w:bottom w:w="0" w:type="dxa"/>
              <w:right w:w="0" w:type="dxa"/>
            </w:tcMar>
            <w:vAlign w:val="center"/>
          </w:tcPr>
          <w:p w14:paraId="7B6EC82B">
            <w:pPr>
              <w:pStyle w:val="44"/>
              <w:bidi w:val="0"/>
              <w:rPr>
                <w:rFonts w:hint="default"/>
                <w:color w:val="auto"/>
              </w:rPr>
            </w:pPr>
            <w:r>
              <w:rPr>
                <w:color w:val="auto"/>
              </w:rPr>
              <w:t>100.4</w:t>
            </w:r>
          </w:p>
        </w:tc>
        <w:tc>
          <w:tcPr>
            <w:tcW w:w="186" w:type="pct"/>
            <w:tcBorders>
              <w:tl2br w:val="nil"/>
              <w:tr2bl w:val="nil"/>
            </w:tcBorders>
            <w:noWrap w:val="0"/>
            <w:tcMar>
              <w:top w:w="0" w:type="dxa"/>
              <w:left w:w="0" w:type="dxa"/>
              <w:bottom w:w="0" w:type="dxa"/>
              <w:right w:w="0" w:type="dxa"/>
            </w:tcMar>
            <w:vAlign w:val="center"/>
          </w:tcPr>
          <w:p w14:paraId="23F91E67">
            <w:pPr>
              <w:pStyle w:val="44"/>
              <w:bidi w:val="0"/>
              <w:rPr>
                <w:rFonts w:hint="default"/>
                <w:color w:val="auto"/>
              </w:rPr>
            </w:pPr>
            <w:r>
              <w:rPr>
                <w:color w:val="auto"/>
              </w:rPr>
              <w:t>6.4</w:t>
            </w:r>
          </w:p>
        </w:tc>
        <w:tc>
          <w:tcPr>
            <w:tcW w:w="169" w:type="pct"/>
            <w:tcBorders>
              <w:tl2br w:val="nil"/>
              <w:tr2bl w:val="nil"/>
            </w:tcBorders>
            <w:noWrap w:val="0"/>
            <w:tcMar>
              <w:top w:w="0" w:type="dxa"/>
              <w:left w:w="0" w:type="dxa"/>
              <w:bottom w:w="0" w:type="dxa"/>
              <w:right w:w="0" w:type="dxa"/>
            </w:tcMar>
            <w:vAlign w:val="center"/>
          </w:tcPr>
          <w:p w14:paraId="23AB337F">
            <w:pPr>
              <w:pStyle w:val="44"/>
              <w:bidi w:val="0"/>
              <w:rPr>
                <w:rFonts w:hint="default"/>
                <w:color w:val="auto"/>
              </w:rPr>
            </w:pPr>
            <w:r>
              <w:rPr>
                <w:color w:val="auto"/>
              </w:rPr>
              <w:t>14.1</w:t>
            </w:r>
          </w:p>
        </w:tc>
        <w:tc>
          <w:tcPr>
            <w:tcW w:w="190" w:type="pct"/>
            <w:tcBorders>
              <w:tl2br w:val="nil"/>
              <w:tr2bl w:val="nil"/>
            </w:tcBorders>
            <w:noWrap w:val="0"/>
            <w:tcMar>
              <w:top w:w="0" w:type="dxa"/>
              <w:left w:w="0" w:type="dxa"/>
              <w:bottom w:w="0" w:type="dxa"/>
              <w:right w:w="0" w:type="dxa"/>
            </w:tcMar>
            <w:vAlign w:val="center"/>
          </w:tcPr>
          <w:p w14:paraId="6A4A22C3">
            <w:pPr>
              <w:pStyle w:val="44"/>
              <w:bidi w:val="0"/>
              <w:rPr>
                <w:rFonts w:hint="default"/>
                <w:color w:val="auto"/>
              </w:rPr>
            </w:pPr>
            <w:r>
              <w:rPr>
                <w:color w:val="auto"/>
              </w:rPr>
              <w:t>20.8</w:t>
            </w:r>
          </w:p>
        </w:tc>
        <w:tc>
          <w:tcPr>
            <w:tcW w:w="166" w:type="pct"/>
            <w:tcBorders>
              <w:tl2br w:val="nil"/>
              <w:tr2bl w:val="nil"/>
            </w:tcBorders>
            <w:noWrap w:val="0"/>
            <w:tcMar>
              <w:top w:w="0" w:type="dxa"/>
              <w:left w:w="0" w:type="dxa"/>
              <w:bottom w:w="0" w:type="dxa"/>
              <w:right w:w="0" w:type="dxa"/>
            </w:tcMar>
            <w:vAlign w:val="center"/>
          </w:tcPr>
          <w:p w14:paraId="482A9DF9">
            <w:pPr>
              <w:pStyle w:val="44"/>
              <w:bidi w:val="0"/>
              <w:rPr>
                <w:rFonts w:hint="default"/>
                <w:color w:val="auto"/>
              </w:rPr>
            </w:pPr>
            <w:r>
              <w:rPr>
                <w:color w:val="auto"/>
              </w:rPr>
              <w:t>56.7</w:t>
            </w:r>
          </w:p>
        </w:tc>
        <w:tc>
          <w:tcPr>
            <w:tcW w:w="166" w:type="pct"/>
            <w:tcBorders>
              <w:tl2br w:val="nil"/>
              <w:tr2bl w:val="nil"/>
            </w:tcBorders>
            <w:noWrap w:val="0"/>
            <w:tcMar>
              <w:top w:w="0" w:type="dxa"/>
              <w:left w:w="0" w:type="dxa"/>
              <w:bottom w:w="0" w:type="dxa"/>
              <w:right w:w="0" w:type="dxa"/>
            </w:tcMar>
            <w:vAlign w:val="center"/>
          </w:tcPr>
          <w:p w14:paraId="2872DEE2">
            <w:pPr>
              <w:pStyle w:val="44"/>
              <w:bidi w:val="0"/>
              <w:rPr>
                <w:rFonts w:hint="default"/>
                <w:color w:val="auto"/>
              </w:rPr>
            </w:pPr>
            <w:r>
              <w:rPr>
                <w:color w:val="auto"/>
              </w:rPr>
              <w:t>57.1</w:t>
            </w:r>
          </w:p>
        </w:tc>
        <w:tc>
          <w:tcPr>
            <w:tcW w:w="166" w:type="pct"/>
            <w:tcBorders>
              <w:tl2br w:val="nil"/>
              <w:tr2bl w:val="nil"/>
            </w:tcBorders>
            <w:noWrap w:val="0"/>
            <w:tcMar>
              <w:top w:w="0" w:type="dxa"/>
              <w:left w:w="0" w:type="dxa"/>
              <w:bottom w:w="0" w:type="dxa"/>
              <w:right w:w="0" w:type="dxa"/>
            </w:tcMar>
            <w:vAlign w:val="center"/>
          </w:tcPr>
          <w:p w14:paraId="0D4F1FC9">
            <w:pPr>
              <w:pStyle w:val="44"/>
              <w:bidi w:val="0"/>
              <w:rPr>
                <w:rFonts w:hint="default"/>
                <w:color w:val="auto"/>
              </w:rPr>
            </w:pPr>
            <w:r>
              <w:rPr>
                <w:color w:val="auto"/>
              </w:rPr>
              <w:t>56.7</w:t>
            </w:r>
          </w:p>
        </w:tc>
        <w:tc>
          <w:tcPr>
            <w:tcW w:w="177" w:type="pct"/>
            <w:tcBorders>
              <w:tl2br w:val="nil"/>
              <w:tr2bl w:val="nil"/>
            </w:tcBorders>
            <w:noWrap w:val="0"/>
            <w:tcMar>
              <w:top w:w="0" w:type="dxa"/>
              <w:left w:w="0" w:type="dxa"/>
              <w:bottom w:w="0" w:type="dxa"/>
              <w:right w:w="0" w:type="dxa"/>
            </w:tcMar>
            <w:vAlign w:val="center"/>
          </w:tcPr>
          <w:p w14:paraId="1D8EA138">
            <w:pPr>
              <w:pStyle w:val="44"/>
              <w:bidi w:val="0"/>
              <w:rPr>
                <w:rFonts w:hint="default"/>
                <w:color w:val="auto"/>
              </w:rPr>
            </w:pPr>
            <w:r>
              <w:rPr>
                <w:color w:val="auto"/>
              </w:rPr>
              <w:t>56.7</w:t>
            </w:r>
          </w:p>
        </w:tc>
        <w:tc>
          <w:tcPr>
            <w:tcW w:w="207" w:type="pct"/>
            <w:vMerge w:val="restart"/>
            <w:tcBorders>
              <w:tl2br w:val="nil"/>
              <w:tr2bl w:val="nil"/>
            </w:tcBorders>
            <w:noWrap w:val="0"/>
            <w:tcMar>
              <w:top w:w="0" w:type="dxa"/>
              <w:left w:w="0" w:type="dxa"/>
              <w:bottom w:w="0" w:type="dxa"/>
              <w:right w:w="0" w:type="dxa"/>
            </w:tcMar>
            <w:vAlign w:val="center"/>
          </w:tcPr>
          <w:p w14:paraId="4C443124">
            <w:pPr>
              <w:pStyle w:val="44"/>
              <w:bidi w:val="0"/>
              <w:rPr>
                <w:rFonts w:hint="default"/>
                <w:color w:val="auto"/>
              </w:rPr>
            </w:pPr>
            <w:r>
              <w:rPr>
                <w:rFonts w:hint="default"/>
                <w:color w:val="auto"/>
                <w:lang w:val="en-US" w:eastAsia="zh-CN"/>
              </w:rPr>
              <w:t>昼间：0</w:t>
            </w:r>
            <w:r>
              <w:rPr>
                <w:rFonts w:hint="eastAsia"/>
                <w:color w:val="auto"/>
                <w:lang w:val="en-US" w:eastAsia="zh-CN"/>
              </w:rPr>
              <w:t>9</w:t>
            </w:r>
            <w:r>
              <w:rPr>
                <w:rFonts w:hint="default"/>
                <w:color w:val="auto"/>
                <w:lang w:val="en-US" w:eastAsia="zh-CN"/>
              </w:rPr>
              <w:t>:00-</w:t>
            </w:r>
            <w:r>
              <w:rPr>
                <w:rFonts w:hint="eastAsia"/>
                <w:color w:val="auto"/>
                <w:lang w:val="en-US" w:eastAsia="zh-CN"/>
              </w:rPr>
              <w:t>17</w:t>
            </w:r>
            <w:r>
              <w:rPr>
                <w:rFonts w:hint="default"/>
                <w:color w:val="auto"/>
                <w:lang w:val="en-US" w:eastAsia="zh-CN"/>
              </w:rPr>
              <w:t>:00</w:t>
            </w:r>
          </w:p>
        </w:tc>
        <w:tc>
          <w:tcPr>
            <w:tcW w:w="161" w:type="pct"/>
            <w:tcBorders>
              <w:tl2br w:val="nil"/>
              <w:tr2bl w:val="nil"/>
            </w:tcBorders>
            <w:noWrap w:val="0"/>
            <w:tcMar>
              <w:top w:w="0" w:type="dxa"/>
              <w:left w:w="0" w:type="dxa"/>
              <w:bottom w:w="0" w:type="dxa"/>
              <w:right w:w="0" w:type="dxa"/>
            </w:tcMar>
            <w:vAlign w:val="center"/>
          </w:tcPr>
          <w:p w14:paraId="018CA823">
            <w:pPr>
              <w:pStyle w:val="44"/>
              <w:bidi w:val="0"/>
              <w:rPr>
                <w:rFonts w:hint="default"/>
                <w:color w:val="auto"/>
              </w:rPr>
            </w:pPr>
            <w:r>
              <w:rPr>
                <w:color w:val="auto"/>
              </w:rPr>
              <w:t>26.0</w:t>
            </w:r>
          </w:p>
        </w:tc>
        <w:tc>
          <w:tcPr>
            <w:tcW w:w="161" w:type="pct"/>
            <w:tcBorders>
              <w:tl2br w:val="nil"/>
              <w:tr2bl w:val="nil"/>
            </w:tcBorders>
            <w:noWrap w:val="0"/>
            <w:tcMar>
              <w:top w:w="0" w:type="dxa"/>
              <w:left w:w="0" w:type="dxa"/>
              <w:bottom w:w="0" w:type="dxa"/>
              <w:right w:w="0" w:type="dxa"/>
            </w:tcMar>
            <w:vAlign w:val="center"/>
          </w:tcPr>
          <w:p w14:paraId="709E133D">
            <w:pPr>
              <w:pStyle w:val="44"/>
              <w:bidi w:val="0"/>
              <w:rPr>
                <w:rFonts w:hint="default"/>
                <w:color w:val="auto"/>
              </w:rPr>
            </w:pPr>
            <w:r>
              <w:rPr>
                <w:color w:val="auto"/>
              </w:rPr>
              <w:t>26.0</w:t>
            </w:r>
          </w:p>
        </w:tc>
        <w:tc>
          <w:tcPr>
            <w:tcW w:w="161" w:type="pct"/>
            <w:tcBorders>
              <w:tl2br w:val="nil"/>
              <w:tr2bl w:val="nil"/>
            </w:tcBorders>
            <w:noWrap w:val="0"/>
            <w:tcMar>
              <w:top w:w="0" w:type="dxa"/>
              <w:left w:w="0" w:type="dxa"/>
              <w:bottom w:w="0" w:type="dxa"/>
              <w:right w:w="0" w:type="dxa"/>
            </w:tcMar>
            <w:vAlign w:val="center"/>
          </w:tcPr>
          <w:p w14:paraId="72C484A3">
            <w:pPr>
              <w:pStyle w:val="44"/>
              <w:bidi w:val="0"/>
              <w:rPr>
                <w:rFonts w:hint="default"/>
                <w:color w:val="auto"/>
              </w:rPr>
            </w:pPr>
            <w:r>
              <w:rPr>
                <w:color w:val="auto"/>
              </w:rPr>
              <w:t>26.0</w:t>
            </w:r>
          </w:p>
        </w:tc>
        <w:tc>
          <w:tcPr>
            <w:tcW w:w="174" w:type="pct"/>
            <w:tcBorders>
              <w:tl2br w:val="nil"/>
              <w:tr2bl w:val="nil"/>
            </w:tcBorders>
            <w:noWrap w:val="0"/>
            <w:tcMar>
              <w:top w:w="0" w:type="dxa"/>
              <w:left w:w="0" w:type="dxa"/>
              <w:bottom w:w="0" w:type="dxa"/>
              <w:right w:w="0" w:type="dxa"/>
            </w:tcMar>
            <w:vAlign w:val="center"/>
          </w:tcPr>
          <w:p w14:paraId="73B353C4">
            <w:pPr>
              <w:pStyle w:val="44"/>
              <w:bidi w:val="0"/>
              <w:rPr>
                <w:rFonts w:hint="default"/>
                <w:color w:val="auto"/>
              </w:rPr>
            </w:pPr>
            <w:r>
              <w:rPr>
                <w:color w:val="auto"/>
              </w:rPr>
              <w:t>26.0</w:t>
            </w:r>
          </w:p>
        </w:tc>
        <w:tc>
          <w:tcPr>
            <w:tcW w:w="169" w:type="pct"/>
            <w:tcBorders>
              <w:tl2br w:val="nil"/>
              <w:tr2bl w:val="nil"/>
            </w:tcBorders>
            <w:noWrap w:val="0"/>
            <w:tcMar>
              <w:top w:w="0" w:type="dxa"/>
              <w:left w:w="0" w:type="dxa"/>
              <w:bottom w:w="0" w:type="dxa"/>
              <w:right w:w="0" w:type="dxa"/>
            </w:tcMar>
            <w:vAlign w:val="center"/>
          </w:tcPr>
          <w:p w14:paraId="1D05B43B">
            <w:pPr>
              <w:pStyle w:val="44"/>
              <w:bidi w:val="0"/>
              <w:rPr>
                <w:rFonts w:hint="default"/>
                <w:color w:val="auto"/>
              </w:rPr>
            </w:pPr>
            <w:r>
              <w:rPr>
                <w:color w:val="auto"/>
              </w:rPr>
              <w:t>30.7</w:t>
            </w:r>
          </w:p>
        </w:tc>
        <w:tc>
          <w:tcPr>
            <w:tcW w:w="169" w:type="pct"/>
            <w:tcBorders>
              <w:tl2br w:val="nil"/>
              <w:tr2bl w:val="nil"/>
            </w:tcBorders>
            <w:noWrap w:val="0"/>
            <w:tcMar>
              <w:top w:w="0" w:type="dxa"/>
              <w:left w:w="0" w:type="dxa"/>
              <w:bottom w:w="0" w:type="dxa"/>
              <w:right w:w="0" w:type="dxa"/>
            </w:tcMar>
            <w:vAlign w:val="center"/>
          </w:tcPr>
          <w:p w14:paraId="2D0B0E26">
            <w:pPr>
              <w:pStyle w:val="44"/>
              <w:bidi w:val="0"/>
              <w:rPr>
                <w:rFonts w:hint="default"/>
                <w:color w:val="auto"/>
              </w:rPr>
            </w:pPr>
            <w:r>
              <w:rPr>
                <w:color w:val="auto"/>
              </w:rPr>
              <w:t>31.1</w:t>
            </w:r>
          </w:p>
        </w:tc>
        <w:tc>
          <w:tcPr>
            <w:tcW w:w="169" w:type="pct"/>
            <w:tcBorders>
              <w:tl2br w:val="nil"/>
              <w:tr2bl w:val="nil"/>
            </w:tcBorders>
            <w:noWrap w:val="0"/>
            <w:tcMar>
              <w:top w:w="0" w:type="dxa"/>
              <w:left w:w="0" w:type="dxa"/>
              <w:bottom w:w="0" w:type="dxa"/>
              <w:right w:w="0" w:type="dxa"/>
            </w:tcMar>
            <w:vAlign w:val="center"/>
          </w:tcPr>
          <w:p w14:paraId="48373C8B">
            <w:pPr>
              <w:pStyle w:val="44"/>
              <w:bidi w:val="0"/>
              <w:rPr>
                <w:rFonts w:hint="default"/>
                <w:color w:val="auto"/>
              </w:rPr>
            </w:pPr>
            <w:r>
              <w:rPr>
                <w:color w:val="auto"/>
              </w:rPr>
              <w:t>30.7</w:t>
            </w:r>
          </w:p>
        </w:tc>
        <w:tc>
          <w:tcPr>
            <w:tcW w:w="169" w:type="pct"/>
            <w:tcBorders>
              <w:tl2br w:val="nil"/>
              <w:tr2bl w:val="nil"/>
            </w:tcBorders>
            <w:noWrap w:val="0"/>
            <w:tcMar>
              <w:top w:w="0" w:type="dxa"/>
              <w:left w:w="0" w:type="dxa"/>
              <w:bottom w:w="0" w:type="dxa"/>
              <w:right w:w="0" w:type="dxa"/>
            </w:tcMar>
            <w:vAlign w:val="center"/>
          </w:tcPr>
          <w:p w14:paraId="184E0864">
            <w:pPr>
              <w:pStyle w:val="44"/>
              <w:bidi w:val="0"/>
              <w:rPr>
                <w:rFonts w:hint="default"/>
                <w:color w:val="auto"/>
              </w:rPr>
            </w:pPr>
            <w:r>
              <w:rPr>
                <w:color w:val="auto"/>
              </w:rPr>
              <w:t>30.7</w:t>
            </w:r>
          </w:p>
        </w:tc>
        <w:tc>
          <w:tcPr>
            <w:tcW w:w="242" w:type="pct"/>
            <w:tcBorders>
              <w:tl2br w:val="nil"/>
              <w:tr2bl w:val="nil"/>
            </w:tcBorders>
            <w:noWrap w:val="0"/>
            <w:tcMar>
              <w:top w:w="0" w:type="dxa"/>
              <w:left w:w="0" w:type="dxa"/>
              <w:bottom w:w="0" w:type="dxa"/>
              <w:right w:w="0" w:type="dxa"/>
            </w:tcMar>
            <w:vAlign w:val="center"/>
          </w:tcPr>
          <w:p w14:paraId="52CF169B">
            <w:pPr>
              <w:pStyle w:val="44"/>
              <w:bidi w:val="0"/>
              <w:rPr>
                <w:rFonts w:hint="default"/>
                <w:color w:val="auto"/>
              </w:rPr>
            </w:pPr>
            <w:r>
              <w:rPr>
                <w:color w:val="auto"/>
              </w:rPr>
              <w:t>1</w:t>
            </w:r>
          </w:p>
        </w:tc>
      </w:tr>
      <w:tr w14:paraId="243104A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78" w:type="pct"/>
            <w:tcBorders>
              <w:tl2br w:val="nil"/>
              <w:tr2bl w:val="nil"/>
            </w:tcBorders>
            <w:noWrap w:val="0"/>
            <w:tcMar>
              <w:top w:w="0" w:type="dxa"/>
              <w:left w:w="0" w:type="dxa"/>
              <w:bottom w:w="0" w:type="dxa"/>
              <w:right w:w="0" w:type="dxa"/>
            </w:tcMar>
            <w:vAlign w:val="center"/>
          </w:tcPr>
          <w:p w14:paraId="7A0748DC">
            <w:pPr>
              <w:pStyle w:val="44"/>
              <w:bidi w:val="0"/>
              <w:rPr>
                <w:rFonts w:hint="default"/>
                <w:color w:val="auto"/>
              </w:rPr>
            </w:pPr>
            <w:r>
              <w:rPr>
                <w:rFonts w:hint="default"/>
                <w:color w:val="auto"/>
              </w:rPr>
              <w:t>2</w:t>
            </w:r>
          </w:p>
        </w:tc>
        <w:tc>
          <w:tcPr>
            <w:tcW w:w="129" w:type="pct"/>
            <w:vMerge w:val="continue"/>
            <w:tcBorders>
              <w:tl2br w:val="nil"/>
              <w:tr2bl w:val="nil"/>
            </w:tcBorders>
            <w:noWrap w:val="0"/>
            <w:tcMar>
              <w:top w:w="0" w:type="dxa"/>
              <w:left w:w="0" w:type="dxa"/>
              <w:bottom w:w="0" w:type="dxa"/>
              <w:right w:w="0" w:type="dxa"/>
            </w:tcMar>
            <w:vAlign w:val="center"/>
          </w:tcPr>
          <w:p w14:paraId="311EB070">
            <w:pPr>
              <w:pStyle w:val="44"/>
              <w:bidi w:val="0"/>
              <w:rPr>
                <w:rFonts w:hint="default"/>
                <w:color w:val="auto"/>
              </w:rPr>
            </w:pPr>
          </w:p>
        </w:tc>
        <w:tc>
          <w:tcPr>
            <w:tcW w:w="377" w:type="pct"/>
            <w:tcBorders>
              <w:tl2br w:val="nil"/>
              <w:tr2bl w:val="nil"/>
            </w:tcBorders>
            <w:noWrap w:val="0"/>
            <w:tcMar>
              <w:top w:w="0" w:type="dxa"/>
              <w:left w:w="0" w:type="dxa"/>
              <w:bottom w:w="0" w:type="dxa"/>
              <w:right w:w="0" w:type="dxa"/>
            </w:tcMar>
            <w:vAlign w:val="center"/>
          </w:tcPr>
          <w:p w14:paraId="0ED38B3B">
            <w:pPr>
              <w:pStyle w:val="44"/>
              <w:bidi w:val="0"/>
              <w:rPr>
                <w:rFonts w:hint="default"/>
                <w:color w:val="auto"/>
              </w:rPr>
            </w:pPr>
            <w:r>
              <w:rPr>
                <w:color w:val="auto"/>
              </w:rPr>
              <w:t>基料搅拌设备,4台（按点声源组预测）</w:t>
            </w:r>
          </w:p>
        </w:tc>
        <w:tc>
          <w:tcPr>
            <w:tcW w:w="262" w:type="pct"/>
            <w:tcBorders>
              <w:tl2br w:val="nil"/>
              <w:tr2bl w:val="nil"/>
            </w:tcBorders>
            <w:noWrap w:val="0"/>
            <w:tcMar>
              <w:top w:w="0" w:type="dxa"/>
              <w:left w:w="0" w:type="dxa"/>
              <w:bottom w:w="0" w:type="dxa"/>
              <w:right w:w="0" w:type="dxa"/>
            </w:tcMar>
            <w:vAlign w:val="center"/>
          </w:tcPr>
          <w:p w14:paraId="2B107DE2">
            <w:pPr>
              <w:pStyle w:val="44"/>
              <w:bidi w:val="0"/>
              <w:rPr>
                <w:rFonts w:hint="default"/>
                <w:color w:val="auto"/>
              </w:rPr>
            </w:pPr>
            <w:r>
              <w:rPr>
                <w:color w:val="auto"/>
              </w:rPr>
              <w:t>65（等效后：71.0)</w:t>
            </w:r>
          </w:p>
        </w:tc>
        <w:tc>
          <w:tcPr>
            <w:tcW w:w="232" w:type="pct"/>
            <w:vMerge w:val="continue"/>
            <w:tcBorders>
              <w:tl2br w:val="nil"/>
              <w:tr2bl w:val="nil"/>
            </w:tcBorders>
            <w:noWrap w:val="0"/>
            <w:tcMar>
              <w:top w:w="0" w:type="dxa"/>
              <w:left w:w="0" w:type="dxa"/>
              <w:bottom w:w="0" w:type="dxa"/>
              <w:right w:w="0" w:type="dxa"/>
            </w:tcMar>
            <w:vAlign w:val="center"/>
          </w:tcPr>
          <w:p w14:paraId="65A57AA9">
            <w:pPr>
              <w:pStyle w:val="44"/>
              <w:bidi w:val="0"/>
              <w:rPr>
                <w:rFonts w:hint="default"/>
                <w:color w:val="auto"/>
              </w:rPr>
            </w:pPr>
          </w:p>
        </w:tc>
        <w:tc>
          <w:tcPr>
            <w:tcW w:w="214" w:type="pct"/>
            <w:tcBorders>
              <w:tl2br w:val="nil"/>
              <w:tr2bl w:val="nil"/>
            </w:tcBorders>
            <w:noWrap w:val="0"/>
            <w:tcMar>
              <w:top w:w="0" w:type="dxa"/>
              <w:left w:w="0" w:type="dxa"/>
              <w:bottom w:w="0" w:type="dxa"/>
              <w:right w:w="0" w:type="dxa"/>
            </w:tcMar>
            <w:vAlign w:val="center"/>
          </w:tcPr>
          <w:p w14:paraId="72D48E90">
            <w:pPr>
              <w:pStyle w:val="44"/>
              <w:bidi w:val="0"/>
              <w:rPr>
                <w:rFonts w:hint="default"/>
                <w:color w:val="auto"/>
              </w:rPr>
            </w:pPr>
            <w:r>
              <w:rPr>
                <w:color w:val="auto"/>
              </w:rPr>
              <w:t>-42.8</w:t>
            </w:r>
          </w:p>
        </w:tc>
        <w:tc>
          <w:tcPr>
            <w:tcW w:w="206" w:type="pct"/>
            <w:tcBorders>
              <w:tl2br w:val="nil"/>
              <w:tr2bl w:val="nil"/>
            </w:tcBorders>
            <w:noWrap w:val="0"/>
            <w:tcMar>
              <w:top w:w="0" w:type="dxa"/>
              <w:left w:w="0" w:type="dxa"/>
              <w:bottom w:w="0" w:type="dxa"/>
              <w:right w:w="0" w:type="dxa"/>
            </w:tcMar>
            <w:vAlign w:val="center"/>
          </w:tcPr>
          <w:p w14:paraId="3CB82835">
            <w:pPr>
              <w:pStyle w:val="44"/>
              <w:bidi w:val="0"/>
              <w:rPr>
                <w:rFonts w:hint="default"/>
                <w:color w:val="auto"/>
              </w:rPr>
            </w:pPr>
            <w:r>
              <w:rPr>
                <w:color w:val="auto"/>
              </w:rPr>
              <w:t>-7.8</w:t>
            </w:r>
          </w:p>
        </w:tc>
        <w:tc>
          <w:tcPr>
            <w:tcW w:w="185" w:type="pct"/>
            <w:tcBorders>
              <w:tl2br w:val="nil"/>
              <w:tr2bl w:val="nil"/>
            </w:tcBorders>
            <w:noWrap w:val="0"/>
            <w:tcMar>
              <w:top w:w="0" w:type="dxa"/>
              <w:left w:w="0" w:type="dxa"/>
              <w:bottom w:w="0" w:type="dxa"/>
              <w:right w:w="0" w:type="dxa"/>
            </w:tcMar>
            <w:vAlign w:val="center"/>
          </w:tcPr>
          <w:p w14:paraId="1C0B4FFB">
            <w:pPr>
              <w:pStyle w:val="44"/>
              <w:bidi w:val="0"/>
              <w:rPr>
                <w:rFonts w:hint="default"/>
                <w:color w:val="auto"/>
              </w:rPr>
            </w:pPr>
            <w:r>
              <w:rPr>
                <w:color w:val="auto"/>
              </w:rPr>
              <w:t>1.2</w:t>
            </w:r>
          </w:p>
        </w:tc>
        <w:tc>
          <w:tcPr>
            <w:tcW w:w="198" w:type="pct"/>
            <w:tcBorders>
              <w:tl2br w:val="nil"/>
              <w:tr2bl w:val="nil"/>
            </w:tcBorders>
            <w:noWrap w:val="0"/>
            <w:tcMar>
              <w:top w:w="0" w:type="dxa"/>
              <w:left w:w="0" w:type="dxa"/>
              <w:bottom w:w="0" w:type="dxa"/>
              <w:right w:w="0" w:type="dxa"/>
            </w:tcMar>
            <w:vAlign w:val="center"/>
          </w:tcPr>
          <w:p w14:paraId="58C701E7">
            <w:pPr>
              <w:pStyle w:val="44"/>
              <w:bidi w:val="0"/>
              <w:rPr>
                <w:rFonts w:hint="default"/>
                <w:color w:val="auto"/>
              </w:rPr>
            </w:pPr>
            <w:r>
              <w:rPr>
                <w:color w:val="auto"/>
              </w:rPr>
              <w:t>100.8</w:t>
            </w:r>
          </w:p>
        </w:tc>
        <w:tc>
          <w:tcPr>
            <w:tcW w:w="186" w:type="pct"/>
            <w:tcBorders>
              <w:tl2br w:val="nil"/>
              <w:tr2bl w:val="nil"/>
            </w:tcBorders>
            <w:noWrap w:val="0"/>
            <w:tcMar>
              <w:top w:w="0" w:type="dxa"/>
              <w:left w:w="0" w:type="dxa"/>
              <w:bottom w:w="0" w:type="dxa"/>
              <w:right w:w="0" w:type="dxa"/>
            </w:tcMar>
            <w:vAlign w:val="center"/>
          </w:tcPr>
          <w:p w14:paraId="0E79BE23">
            <w:pPr>
              <w:pStyle w:val="44"/>
              <w:bidi w:val="0"/>
              <w:rPr>
                <w:rFonts w:hint="default"/>
                <w:color w:val="auto"/>
              </w:rPr>
            </w:pPr>
            <w:r>
              <w:rPr>
                <w:color w:val="auto"/>
              </w:rPr>
              <w:t>15.8</w:t>
            </w:r>
          </w:p>
        </w:tc>
        <w:tc>
          <w:tcPr>
            <w:tcW w:w="169" w:type="pct"/>
            <w:tcBorders>
              <w:tl2br w:val="nil"/>
              <w:tr2bl w:val="nil"/>
            </w:tcBorders>
            <w:noWrap w:val="0"/>
            <w:tcMar>
              <w:top w:w="0" w:type="dxa"/>
              <w:left w:w="0" w:type="dxa"/>
              <w:bottom w:w="0" w:type="dxa"/>
              <w:right w:w="0" w:type="dxa"/>
            </w:tcMar>
            <w:vAlign w:val="center"/>
          </w:tcPr>
          <w:p w14:paraId="4549D4D7">
            <w:pPr>
              <w:pStyle w:val="44"/>
              <w:bidi w:val="0"/>
              <w:rPr>
                <w:rFonts w:hint="default"/>
                <w:color w:val="auto"/>
              </w:rPr>
            </w:pPr>
            <w:r>
              <w:rPr>
                <w:color w:val="auto"/>
              </w:rPr>
              <w:t>13.3</w:t>
            </w:r>
          </w:p>
        </w:tc>
        <w:tc>
          <w:tcPr>
            <w:tcW w:w="190" w:type="pct"/>
            <w:tcBorders>
              <w:tl2br w:val="nil"/>
              <w:tr2bl w:val="nil"/>
            </w:tcBorders>
            <w:noWrap w:val="0"/>
            <w:tcMar>
              <w:top w:w="0" w:type="dxa"/>
              <w:left w:w="0" w:type="dxa"/>
              <w:bottom w:w="0" w:type="dxa"/>
              <w:right w:w="0" w:type="dxa"/>
            </w:tcMar>
            <w:vAlign w:val="center"/>
          </w:tcPr>
          <w:p w14:paraId="7723194E">
            <w:pPr>
              <w:pStyle w:val="44"/>
              <w:bidi w:val="0"/>
              <w:rPr>
                <w:rFonts w:hint="default"/>
                <w:color w:val="auto"/>
              </w:rPr>
            </w:pPr>
            <w:r>
              <w:rPr>
                <w:color w:val="auto"/>
              </w:rPr>
              <w:t>11.5</w:t>
            </w:r>
          </w:p>
        </w:tc>
        <w:tc>
          <w:tcPr>
            <w:tcW w:w="166" w:type="pct"/>
            <w:tcBorders>
              <w:tl2br w:val="nil"/>
              <w:tr2bl w:val="nil"/>
            </w:tcBorders>
            <w:noWrap w:val="0"/>
            <w:tcMar>
              <w:top w:w="0" w:type="dxa"/>
              <w:left w:w="0" w:type="dxa"/>
              <w:bottom w:w="0" w:type="dxa"/>
              <w:right w:w="0" w:type="dxa"/>
            </w:tcMar>
            <w:vAlign w:val="center"/>
          </w:tcPr>
          <w:p w14:paraId="7C43E2A3">
            <w:pPr>
              <w:pStyle w:val="44"/>
              <w:bidi w:val="0"/>
              <w:rPr>
                <w:rFonts w:hint="default"/>
                <w:color w:val="auto"/>
              </w:rPr>
            </w:pPr>
            <w:r>
              <w:rPr>
                <w:color w:val="auto"/>
              </w:rPr>
              <w:t>53.7</w:t>
            </w:r>
          </w:p>
        </w:tc>
        <w:tc>
          <w:tcPr>
            <w:tcW w:w="166" w:type="pct"/>
            <w:tcBorders>
              <w:tl2br w:val="nil"/>
              <w:tr2bl w:val="nil"/>
            </w:tcBorders>
            <w:noWrap w:val="0"/>
            <w:tcMar>
              <w:top w:w="0" w:type="dxa"/>
              <w:left w:w="0" w:type="dxa"/>
              <w:bottom w:w="0" w:type="dxa"/>
              <w:right w:w="0" w:type="dxa"/>
            </w:tcMar>
            <w:vAlign w:val="center"/>
          </w:tcPr>
          <w:p w14:paraId="0180A13B">
            <w:pPr>
              <w:pStyle w:val="44"/>
              <w:bidi w:val="0"/>
              <w:rPr>
                <w:rFonts w:hint="default"/>
                <w:color w:val="auto"/>
              </w:rPr>
            </w:pPr>
            <w:r>
              <w:rPr>
                <w:color w:val="auto"/>
              </w:rPr>
              <w:t>53.7</w:t>
            </w:r>
          </w:p>
        </w:tc>
        <w:tc>
          <w:tcPr>
            <w:tcW w:w="166" w:type="pct"/>
            <w:tcBorders>
              <w:tl2br w:val="nil"/>
              <w:tr2bl w:val="nil"/>
            </w:tcBorders>
            <w:noWrap w:val="0"/>
            <w:tcMar>
              <w:top w:w="0" w:type="dxa"/>
              <w:left w:w="0" w:type="dxa"/>
              <w:bottom w:w="0" w:type="dxa"/>
              <w:right w:w="0" w:type="dxa"/>
            </w:tcMar>
            <w:vAlign w:val="center"/>
          </w:tcPr>
          <w:p w14:paraId="7368EC82">
            <w:pPr>
              <w:pStyle w:val="44"/>
              <w:bidi w:val="0"/>
              <w:rPr>
                <w:rFonts w:hint="default"/>
                <w:color w:val="auto"/>
              </w:rPr>
            </w:pPr>
            <w:r>
              <w:rPr>
                <w:color w:val="auto"/>
              </w:rPr>
              <w:t>53.8</w:t>
            </w:r>
          </w:p>
        </w:tc>
        <w:tc>
          <w:tcPr>
            <w:tcW w:w="177" w:type="pct"/>
            <w:tcBorders>
              <w:tl2br w:val="nil"/>
              <w:tr2bl w:val="nil"/>
            </w:tcBorders>
            <w:noWrap w:val="0"/>
            <w:tcMar>
              <w:top w:w="0" w:type="dxa"/>
              <w:left w:w="0" w:type="dxa"/>
              <w:bottom w:w="0" w:type="dxa"/>
              <w:right w:w="0" w:type="dxa"/>
            </w:tcMar>
            <w:vAlign w:val="center"/>
          </w:tcPr>
          <w:p w14:paraId="31DF0D8C">
            <w:pPr>
              <w:pStyle w:val="44"/>
              <w:bidi w:val="0"/>
              <w:rPr>
                <w:rFonts w:hint="default"/>
                <w:color w:val="auto"/>
              </w:rPr>
            </w:pPr>
            <w:r>
              <w:rPr>
                <w:color w:val="auto"/>
              </w:rPr>
              <w:t>53.8</w:t>
            </w:r>
          </w:p>
        </w:tc>
        <w:tc>
          <w:tcPr>
            <w:tcW w:w="207" w:type="pct"/>
            <w:vMerge w:val="continue"/>
            <w:tcBorders>
              <w:tl2br w:val="nil"/>
              <w:tr2bl w:val="nil"/>
            </w:tcBorders>
            <w:noWrap w:val="0"/>
            <w:tcMar>
              <w:top w:w="0" w:type="dxa"/>
              <w:left w:w="0" w:type="dxa"/>
              <w:bottom w:w="0" w:type="dxa"/>
              <w:right w:w="0" w:type="dxa"/>
            </w:tcMar>
            <w:vAlign w:val="center"/>
          </w:tcPr>
          <w:p w14:paraId="5A9D51DE">
            <w:pPr>
              <w:pStyle w:val="44"/>
              <w:bidi w:val="0"/>
              <w:rPr>
                <w:rFonts w:hint="default"/>
                <w:color w:val="auto"/>
              </w:rPr>
            </w:pPr>
          </w:p>
        </w:tc>
        <w:tc>
          <w:tcPr>
            <w:tcW w:w="161" w:type="pct"/>
            <w:tcBorders>
              <w:tl2br w:val="nil"/>
              <w:tr2bl w:val="nil"/>
            </w:tcBorders>
            <w:noWrap w:val="0"/>
            <w:tcMar>
              <w:top w:w="0" w:type="dxa"/>
              <w:left w:w="0" w:type="dxa"/>
              <w:bottom w:w="0" w:type="dxa"/>
              <w:right w:w="0" w:type="dxa"/>
            </w:tcMar>
            <w:vAlign w:val="center"/>
          </w:tcPr>
          <w:p w14:paraId="77F82AD7">
            <w:pPr>
              <w:pStyle w:val="44"/>
              <w:bidi w:val="0"/>
              <w:rPr>
                <w:rFonts w:hint="default"/>
                <w:color w:val="auto"/>
              </w:rPr>
            </w:pPr>
            <w:r>
              <w:rPr>
                <w:color w:val="auto"/>
              </w:rPr>
              <w:t>26.0</w:t>
            </w:r>
          </w:p>
        </w:tc>
        <w:tc>
          <w:tcPr>
            <w:tcW w:w="161" w:type="pct"/>
            <w:tcBorders>
              <w:tl2br w:val="nil"/>
              <w:tr2bl w:val="nil"/>
            </w:tcBorders>
            <w:noWrap w:val="0"/>
            <w:tcMar>
              <w:top w:w="0" w:type="dxa"/>
              <w:left w:w="0" w:type="dxa"/>
              <w:bottom w:w="0" w:type="dxa"/>
              <w:right w:w="0" w:type="dxa"/>
            </w:tcMar>
            <w:vAlign w:val="center"/>
          </w:tcPr>
          <w:p w14:paraId="3B311965">
            <w:pPr>
              <w:pStyle w:val="44"/>
              <w:bidi w:val="0"/>
              <w:rPr>
                <w:rFonts w:hint="default"/>
                <w:color w:val="auto"/>
              </w:rPr>
            </w:pPr>
            <w:r>
              <w:rPr>
                <w:color w:val="auto"/>
              </w:rPr>
              <w:t>26.0</w:t>
            </w:r>
          </w:p>
        </w:tc>
        <w:tc>
          <w:tcPr>
            <w:tcW w:w="161" w:type="pct"/>
            <w:tcBorders>
              <w:tl2br w:val="nil"/>
              <w:tr2bl w:val="nil"/>
            </w:tcBorders>
            <w:noWrap w:val="0"/>
            <w:tcMar>
              <w:top w:w="0" w:type="dxa"/>
              <w:left w:w="0" w:type="dxa"/>
              <w:bottom w:w="0" w:type="dxa"/>
              <w:right w:w="0" w:type="dxa"/>
            </w:tcMar>
            <w:vAlign w:val="center"/>
          </w:tcPr>
          <w:p w14:paraId="1CD8EFB3">
            <w:pPr>
              <w:pStyle w:val="44"/>
              <w:bidi w:val="0"/>
              <w:rPr>
                <w:rFonts w:hint="default"/>
                <w:color w:val="auto"/>
              </w:rPr>
            </w:pPr>
            <w:r>
              <w:rPr>
                <w:color w:val="auto"/>
              </w:rPr>
              <w:t>26.0</w:t>
            </w:r>
          </w:p>
        </w:tc>
        <w:tc>
          <w:tcPr>
            <w:tcW w:w="174" w:type="pct"/>
            <w:tcBorders>
              <w:tl2br w:val="nil"/>
              <w:tr2bl w:val="nil"/>
            </w:tcBorders>
            <w:noWrap w:val="0"/>
            <w:tcMar>
              <w:top w:w="0" w:type="dxa"/>
              <w:left w:w="0" w:type="dxa"/>
              <w:bottom w:w="0" w:type="dxa"/>
              <w:right w:w="0" w:type="dxa"/>
            </w:tcMar>
            <w:vAlign w:val="center"/>
          </w:tcPr>
          <w:p w14:paraId="185A3B9F">
            <w:pPr>
              <w:pStyle w:val="44"/>
              <w:bidi w:val="0"/>
              <w:rPr>
                <w:rFonts w:hint="default"/>
                <w:color w:val="auto"/>
              </w:rPr>
            </w:pPr>
            <w:r>
              <w:rPr>
                <w:color w:val="auto"/>
              </w:rPr>
              <w:t>26.0</w:t>
            </w:r>
          </w:p>
        </w:tc>
        <w:tc>
          <w:tcPr>
            <w:tcW w:w="169" w:type="pct"/>
            <w:tcBorders>
              <w:tl2br w:val="nil"/>
              <w:tr2bl w:val="nil"/>
            </w:tcBorders>
            <w:noWrap w:val="0"/>
            <w:tcMar>
              <w:top w:w="0" w:type="dxa"/>
              <w:left w:w="0" w:type="dxa"/>
              <w:bottom w:w="0" w:type="dxa"/>
              <w:right w:w="0" w:type="dxa"/>
            </w:tcMar>
            <w:vAlign w:val="center"/>
          </w:tcPr>
          <w:p w14:paraId="14B220D7">
            <w:pPr>
              <w:pStyle w:val="44"/>
              <w:bidi w:val="0"/>
              <w:rPr>
                <w:rFonts w:hint="default"/>
                <w:color w:val="auto"/>
              </w:rPr>
            </w:pPr>
            <w:r>
              <w:rPr>
                <w:color w:val="auto"/>
              </w:rPr>
              <w:t>27.7</w:t>
            </w:r>
          </w:p>
        </w:tc>
        <w:tc>
          <w:tcPr>
            <w:tcW w:w="169" w:type="pct"/>
            <w:tcBorders>
              <w:tl2br w:val="nil"/>
              <w:tr2bl w:val="nil"/>
            </w:tcBorders>
            <w:noWrap w:val="0"/>
            <w:tcMar>
              <w:top w:w="0" w:type="dxa"/>
              <w:left w:w="0" w:type="dxa"/>
              <w:bottom w:w="0" w:type="dxa"/>
              <w:right w:w="0" w:type="dxa"/>
            </w:tcMar>
            <w:vAlign w:val="center"/>
          </w:tcPr>
          <w:p w14:paraId="434C1F98">
            <w:pPr>
              <w:pStyle w:val="44"/>
              <w:bidi w:val="0"/>
              <w:rPr>
                <w:rFonts w:hint="default"/>
                <w:color w:val="auto"/>
              </w:rPr>
            </w:pPr>
            <w:r>
              <w:rPr>
                <w:color w:val="auto"/>
              </w:rPr>
              <w:t>27.7</w:t>
            </w:r>
          </w:p>
        </w:tc>
        <w:tc>
          <w:tcPr>
            <w:tcW w:w="169" w:type="pct"/>
            <w:tcBorders>
              <w:tl2br w:val="nil"/>
              <w:tr2bl w:val="nil"/>
            </w:tcBorders>
            <w:noWrap w:val="0"/>
            <w:tcMar>
              <w:top w:w="0" w:type="dxa"/>
              <w:left w:w="0" w:type="dxa"/>
              <w:bottom w:w="0" w:type="dxa"/>
              <w:right w:w="0" w:type="dxa"/>
            </w:tcMar>
            <w:vAlign w:val="center"/>
          </w:tcPr>
          <w:p w14:paraId="550BBDA5">
            <w:pPr>
              <w:pStyle w:val="44"/>
              <w:bidi w:val="0"/>
              <w:rPr>
                <w:rFonts w:hint="default"/>
                <w:color w:val="auto"/>
              </w:rPr>
            </w:pPr>
            <w:r>
              <w:rPr>
                <w:color w:val="auto"/>
              </w:rPr>
              <w:t>27.8</w:t>
            </w:r>
          </w:p>
        </w:tc>
        <w:tc>
          <w:tcPr>
            <w:tcW w:w="169" w:type="pct"/>
            <w:tcBorders>
              <w:tl2br w:val="nil"/>
              <w:tr2bl w:val="nil"/>
            </w:tcBorders>
            <w:noWrap w:val="0"/>
            <w:tcMar>
              <w:top w:w="0" w:type="dxa"/>
              <w:left w:w="0" w:type="dxa"/>
              <w:bottom w:w="0" w:type="dxa"/>
              <w:right w:w="0" w:type="dxa"/>
            </w:tcMar>
            <w:vAlign w:val="center"/>
          </w:tcPr>
          <w:p w14:paraId="1D94FC11">
            <w:pPr>
              <w:pStyle w:val="44"/>
              <w:bidi w:val="0"/>
              <w:rPr>
                <w:rFonts w:hint="default"/>
                <w:color w:val="auto"/>
              </w:rPr>
            </w:pPr>
            <w:r>
              <w:rPr>
                <w:color w:val="auto"/>
              </w:rPr>
              <w:t>27.8</w:t>
            </w:r>
          </w:p>
        </w:tc>
        <w:tc>
          <w:tcPr>
            <w:tcW w:w="242" w:type="pct"/>
            <w:tcBorders>
              <w:tl2br w:val="nil"/>
              <w:tr2bl w:val="nil"/>
            </w:tcBorders>
            <w:noWrap w:val="0"/>
            <w:tcMar>
              <w:top w:w="0" w:type="dxa"/>
              <w:left w:w="0" w:type="dxa"/>
              <w:bottom w:w="0" w:type="dxa"/>
              <w:right w:w="0" w:type="dxa"/>
            </w:tcMar>
            <w:vAlign w:val="center"/>
          </w:tcPr>
          <w:p w14:paraId="3329A965">
            <w:pPr>
              <w:pStyle w:val="44"/>
              <w:bidi w:val="0"/>
              <w:rPr>
                <w:rFonts w:hint="default"/>
                <w:color w:val="auto"/>
              </w:rPr>
            </w:pPr>
            <w:r>
              <w:rPr>
                <w:color w:val="auto"/>
              </w:rPr>
              <w:t>1</w:t>
            </w:r>
          </w:p>
        </w:tc>
      </w:tr>
      <w:tr w14:paraId="5AAC9AF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78" w:type="pct"/>
            <w:tcBorders>
              <w:tl2br w:val="nil"/>
              <w:tr2bl w:val="nil"/>
            </w:tcBorders>
            <w:noWrap w:val="0"/>
            <w:tcMar>
              <w:top w:w="0" w:type="dxa"/>
              <w:left w:w="0" w:type="dxa"/>
              <w:bottom w:w="0" w:type="dxa"/>
              <w:right w:w="0" w:type="dxa"/>
            </w:tcMar>
            <w:vAlign w:val="center"/>
          </w:tcPr>
          <w:p w14:paraId="14C2B517">
            <w:pPr>
              <w:pStyle w:val="44"/>
              <w:bidi w:val="0"/>
              <w:rPr>
                <w:rFonts w:hint="default"/>
                <w:color w:val="auto"/>
              </w:rPr>
            </w:pPr>
            <w:r>
              <w:rPr>
                <w:rFonts w:hint="default"/>
                <w:color w:val="auto"/>
              </w:rPr>
              <w:t>3</w:t>
            </w:r>
          </w:p>
        </w:tc>
        <w:tc>
          <w:tcPr>
            <w:tcW w:w="129" w:type="pct"/>
            <w:vMerge w:val="continue"/>
            <w:tcBorders>
              <w:tl2br w:val="nil"/>
              <w:tr2bl w:val="nil"/>
            </w:tcBorders>
            <w:noWrap w:val="0"/>
            <w:tcMar>
              <w:top w:w="0" w:type="dxa"/>
              <w:left w:w="0" w:type="dxa"/>
              <w:bottom w:w="0" w:type="dxa"/>
              <w:right w:w="0" w:type="dxa"/>
            </w:tcMar>
            <w:vAlign w:val="center"/>
          </w:tcPr>
          <w:p w14:paraId="6FFA3A16">
            <w:pPr>
              <w:pStyle w:val="44"/>
              <w:bidi w:val="0"/>
              <w:rPr>
                <w:rFonts w:hint="default"/>
                <w:color w:val="auto"/>
              </w:rPr>
            </w:pPr>
          </w:p>
        </w:tc>
        <w:tc>
          <w:tcPr>
            <w:tcW w:w="377" w:type="pct"/>
            <w:tcBorders>
              <w:tl2br w:val="nil"/>
              <w:tr2bl w:val="nil"/>
            </w:tcBorders>
            <w:noWrap w:val="0"/>
            <w:tcMar>
              <w:top w:w="0" w:type="dxa"/>
              <w:left w:w="0" w:type="dxa"/>
              <w:bottom w:w="0" w:type="dxa"/>
              <w:right w:w="0" w:type="dxa"/>
            </w:tcMar>
            <w:vAlign w:val="center"/>
          </w:tcPr>
          <w:p w14:paraId="0F1E6798">
            <w:pPr>
              <w:pStyle w:val="44"/>
              <w:bidi w:val="0"/>
              <w:rPr>
                <w:rFonts w:hint="eastAsia"/>
                <w:color w:val="auto"/>
                <w:lang w:val="en-US" w:eastAsia="zh-CN"/>
              </w:rPr>
            </w:pPr>
            <w:r>
              <w:rPr>
                <w:color w:val="auto"/>
              </w:rPr>
              <w:t>无尘投料站</w:t>
            </w:r>
          </w:p>
        </w:tc>
        <w:tc>
          <w:tcPr>
            <w:tcW w:w="262" w:type="pct"/>
            <w:tcBorders>
              <w:tl2br w:val="nil"/>
              <w:tr2bl w:val="nil"/>
            </w:tcBorders>
            <w:noWrap w:val="0"/>
            <w:tcMar>
              <w:top w:w="0" w:type="dxa"/>
              <w:left w:w="0" w:type="dxa"/>
              <w:bottom w:w="0" w:type="dxa"/>
              <w:right w:w="0" w:type="dxa"/>
            </w:tcMar>
            <w:vAlign w:val="center"/>
          </w:tcPr>
          <w:p w14:paraId="51949B96">
            <w:pPr>
              <w:pStyle w:val="44"/>
              <w:bidi w:val="0"/>
              <w:rPr>
                <w:rFonts w:hint="default"/>
                <w:color w:val="auto"/>
                <w:lang w:val="en-US" w:eastAsia="zh-CN"/>
              </w:rPr>
            </w:pPr>
            <w:r>
              <w:rPr>
                <w:color w:val="auto"/>
              </w:rPr>
              <w:t>68.0</w:t>
            </w:r>
          </w:p>
        </w:tc>
        <w:tc>
          <w:tcPr>
            <w:tcW w:w="232" w:type="pct"/>
            <w:vMerge w:val="continue"/>
            <w:tcBorders>
              <w:tl2br w:val="nil"/>
              <w:tr2bl w:val="nil"/>
            </w:tcBorders>
            <w:noWrap w:val="0"/>
            <w:tcMar>
              <w:top w:w="0" w:type="dxa"/>
              <w:left w:w="0" w:type="dxa"/>
              <w:bottom w:w="0" w:type="dxa"/>
              <w:right w:w="0" w:type="dxa"/>
            </w:tcMar>
            <w:vAlign w:val="center"/>
          </w:tcPr>
          <w:p w14:paraId="39BBFEBD">
            <w:pPr>
              <w:pStyle w:val="44"/>
              <w:bidi w:val="0"/>
              <w:rPr>
                <w:rFonts w:hint="default"/>
                <w:color w:val="auto"/>
              </w:rPr>
            </w:pPr>
          </w:p>
        </w:tc>
        <w:tc>
          <w:tcPr>
            <w:tcW w:w="214" w:type="pct"/>
            <w:tcBorders>
              <w:tl2br w:val="nil"/>
              <w:tr2bl w:val="nil"/>
            </w:tcBorders>
            <w:noWrap w:val="0"/>
            <w:tcMar>
              <w:top w:w="0" w:type="dxa"/>
              <w:left w:w="0" w:type="dxa"/>
              <w:bottom w:w="0" w:type="dxa"/>
              <w:right w:w="0" w:type="dxa"/>
            </w:tcMar>
            <w:vAlign w:val="center"/>
          </w:tcPr>
          <w:p w14:paraId="7460D6F9">
            <w:pPr>
              <w:pStyle w:val="44"/>
              <w:bidi w:val="0"/>
              <w:rPr>
                <w:rFonts w:hint="default"/>
                <w:color w:val="auto"/>
              </w:rPr>
            </w:pPr>
            <w:r>
              <w:rPr>
                <w:color w:val="auto"/>
              </w:rPr>
              <w:t>-49.9</w:t>
            </w:r>
          </w:p>
        </w:tc>
        <w:tc>
          <w:tcPr>
            <w:tcW w:w="206" w:type="pct"/>
            <w:tcBorders>
              <w:tl2br w:val="nil"/>
              <w:tr2bl w:val="nil"/>
            </w:tcBorders>
            <w:noWrap w:val="0"/>
            <w:tcMar>
              <w:top w:w="0" w:type="dxa"/>
              <w:left w:w="0" w:type="dxa"/>
              <w:bottom w:w="0" w:type="dxa"/>
              <w:right w:w="0" w:type="dxa"/>
            </w:tcMar>
            <w:vAlign w:val="center"/>
          </w:tcPr>
          <w:p w14:paraId="407D6EE9">
            <w:pPr>
              <w:pStyle w:val="44"/>
              <w:bidi w:val="0"/>
              <w:rPr>
                <w:rFonts w:hint="default"/>
                <w:color w:val="auto"/>
              </w:rPr>
            </w:pPr>
            <w:r>
              <w:rPr>
                <w:color w:val="auto"/>
              </w:rPr>
              <w:t>-3.6</w:t>
            </w:r>
          </w:p>
        </w:tc>
        <w:tc>
          <w:tcPr>
            <w:tcW w:w="185" w:type="pct"/>
            <w:tcBorders>
              <w:tl2br w:val="nil"/>
              <w:tr2bl w:val="nil"/>
            </w:tcBorders>
            <w:noWrap w:val="0"/>
            <w:tcMar>
              <w:top w:w="0" w:type="dxa"/>
              <w:left w:w="0" w:type="dxa"/>
              <w:bottom w:w="0" w:type="dxa"/>
              <w:right w:w="0" w:type="dxa"/>
            </w:tcMar>
            <w:vAlign w:val="center"/>
          </w:tcPr>
          <w:p w14:paraId="3C7A9DF7">
            <w:pPr>
              <w:pStyle w:val="44"/>
              <w:bidi w:val="0"/>
              <w:rPr>
                <w:rFonts w:hint="default"/>
                <w:color w:val="auto"/>
              </w:rPr>
            </w:pPr>
            <w:r>
              <w:rPr>
                <w:color w:val="auto"/>
              </w:rPr>
              <w:t>1.2</w:t>
            </w:r>
          </w:p>
        </w:tc>
        <w:tc>
          <w:tcPr>
            <w:tcW w:w="198" w:type="pct"/>
            <w:tcBorders>
              <w:tl2br w:val="nil"/>
              <w:tr2bl w:val="nil"/>
            </w:tcBorders>
            <w:noWrap w:val="0"/>
            <w:tcMar>
              <w:top w:w="0" w:type="dxa"/>
              <w:left w:w="0" w:type="dxa"/>
              <w:bottom w:w="0" w:type="dxa"/>
              <w:right w:w="0" w:type="dxa"/>
            </w:tcMar>
            <w:vAlign w:val="center"/>
          </w:tcPr>
          <w:p w14:paraId="4651B102">
            <w:pPr>
              <w:pStyle w:val="44"/>
              <w:bidi w:val="0"/>
              <w:rPr>
                <w:rFonts w:hint="default"/>
                <w:color w:val="auto"/>
              </w:rPr>
            </w:pPr>
            <w:r>
              <w:rPr>
                <w:color w:val="auto"/>
              </w:rPr>
              <w:t>106.5</w:t>
            </w:r>
          </w:p>
        </w:tc>
        <w:tc>
          <w:tcPr>
            <w:tcW w:w="186" w:type="pct"/>
            <w:tcBorders>
              <w:tl2br w:val="nil"/>
              <w:tr2bl w:val="nil"/>
            </w:tcBorders>
            <w:noWrap w:val="0"/>
            <w:tcMar>
              <w:top w:w="0" w:type="dxa"/>
              <w:left w:w="0" w:type="dxa"/>
              <w:bottom w:w="0" w:type="dxa"/>
              <w:right w:w="0" w:type="dxa"/>
            </w:tcMar>
            <w:vAlign w:val="center"/>
          </w:tcPr>
          <w:p w14:paraId="46A71895">
            <w:pPr>
              <w:pStyle w:val="44"/>
              <w:bidi w:val="0"/>
              <w:rPr>
                <w:rFonts w:hint="default"/>
                <w:color w:val="auto"/>
              </w:rPr>
            </w:pPr>
            <w:r>
              <w:rPr>
                <w:color w:val="auto"/>
              </w:rPr>
              <w:t>21.5</w:t>
            </w:r>
          </w:p>
        </w:tc>
        <w:tc>
          <w:tcPr>
            <w:tcW w:w="169" w:type="pct"/>
            <w:tcBorders>
              <w:tl2br w:val="nil"/>
              <w:tr2bl w:val="nil"/>
            </w:tcBorders>
            <w:noWrap w:val="0"/>
            <w:tcMar>
              <w:top w:w="0" w:type="dxa"/>
              <w:left w:w="0" w:type="dxa"/>
              <w:bottom w:w="0" w:type="dxa"/>
              <w:right w:w="0" w:type="dxa"/>
            </w:tcMar>
            <w:vAlign w:val="center"/>
          </w:tcPr>
          <w:p w14:paraId="116F5C77">
            <w:pPr>
              <w:pStyle w:val="44"/>
              <w:bidi w:val="0"/>
              <w:rPr>
                <w:rFonts w:hint="default"/>
                <w:color w:val="auto"/>
              </w:rPr>
            </w:pPr>
            <w:r>
              <w:rPr>
                <w:color w:val="auto"/>
              </w:rPr>
              <w:t>7.3</w:t>
            </w:r>
          </w:p>
        </w:tc>
        <w:tc>
          <w:tcPr>
            <w:tcW w:w="190" w:type="pct"/>
            <w:tcBorders>
              <w:tl2br w:val="nil"/>
              <w:tr2bl w:val="nil"/>
            </w:tcBorders>
            <w:noWrap w:val="0"/>
            <w:tcMar>
              <w:top w:w="0" w:type="dxa"/>
              <w:left w:w="0" w:type="dxa"/>
              <w:bottom w:w="0" w:type="dxa"/>
              <w:right w:w="0" w:type="dxa"/>
            </w:tcMar>
            <w:vAlign w:val="center"/>
          </w:tcPr>
          <w:p w14:paraId="3FBCAA05">
            <w:pPr>
              <w:pStyle w:val="44"/>
              <w:bidi w:val="0"/>
              <w:rPr>
                <w:rFonts w:hint="default"/>
                <w:color w:val="auto"/>
              </w:rPr>
            </w:pPr>
            <w:r>
              <w:rPr>
                <w:color w:val="auto"/>
              </w:rPr>
              <w:t>5.7</w:t>
            </w:r>
          </w:p>
        </w:tc>
        <w:tc>
          <w:tcPr>
            <w:tcW w:w="166" w:type="pct"/>
            <w:tcBorders>
              <w:tl2br w:val="nil"/>
              <w:tr2bl w:val="nil"/>
            </w:tcBorders>
            <w:noWrap w:val="0"/>
            <w:tcMar>
              <w:top w:w="0" w:type="dxa"/>
              <w:left w:w="0" w:type="dxa"/>
              <w:bottom w:w="0" w:type="dxa"/>
              <w:right w:w="0" w:type="dxa"/>
            </w:tcMar>
            <w:vAlign w:val="center"/>
          </w:tcPr>
          <w:p w14:paraId="407BB595">
            <w:pPr>
              <w:pStyle w:val="44"/>
              <w:bidi w:val="0"/>
              <w:rPr>
                <w:rFonts w:hint="default"/>
                <w:color w:val="auto"/>
              </w:rPr>
            </w:pPr>
            <w:r>
              <w:rPr>
                <w:color w:val="auto"/>
              </w:rPr>
              <w:t>50.7</w:t>
            </w:r>
          </w:p>
        </w:tc>
        <w:tc>
          <w:tcPr>
            <w:tcW w:w="166" w:type="pct"/>
            <w:tcBorders>
              <w:tl2br w:val="nil"/>
              <w:tr2bl w:val="nil"/>
            </w:tcBorders>
            <w:noWrap w:val="0"/>
            <w:tcMar>
              <w:top w:w="0" w:type="dxa"/>
              <w:left w:w="0" w:type="dxa"/>
              <w:bottom w:w="0" w:type="dxa"/>
              <w:right w:w="0" w:type="dxa"/>
            </w:tcMar>
            <w:vAlign w:val="center"/>
          </w:tcPr>
          <w:p w14:paraId="10F1DEA1">
            <w:pPr>
              <w:pStyle w:val="44"/>
              <w:bidi w:val="0"/>
              <w:rPr>
                <w:rFonts w:hint="default"/>
                <w:color w:val="auto"/>
              </w:rPr>
            </w:pPr>
            <w:r>
              <w:rPr>
                <w:color w:val="auto"/>
              </w:rPr>
              <w:t>50.7</w:t>
            </w:r>
          </w:p>
        </w:tc>
        <w:tc>
          <w:tcPr>
            <w:tcW w:w="166" w:type="pct"/>
            <w:tcBorders>
              <w:tl2br w:val="nil"/>
              <w:tr2bl w:val="nil"/>
            </w:tcBorders>
            <w:noWrap w:val="0"/>
            <w:tcMar>
              <w:top w:w="0" w:type="dxa"/>
              <w:left w:w="0" w:type="dxa"/>
              <w:bottom w:w="0" w:type="dxa"/>
              <w:right w:w="0" w:type="dxa"/>
            </w:tcMar>
            <w:vAlign w:val="center"/>
          </w:tcPr>
          <w:p w14:paraId="731CD827">
            <w:pPr>
              <w:pStyle w:val="44"/>
              <w:bidi w:val="0"/>
              <w:rPr>
                <w:rFonts w:hint="default"/>
                <w:color w:val="auto"/>
              </w:rPr>
            </w:pPr>
            <w:r>
              <w:rPr>
                <w:color w:val="auto"/>
              </w:rPr>
              <w:t>51.0</w:t>
            </w:r>
          </w:p>
        </w:tc>
        <w:tc>
          <w:tcPr>
            <w:tcW w:w="177" w:type="pct"/>
            <w:tcBorders>
              <w:tl2br w:val="nil"/>
              <w:tr2bl w:val="nil"/>
            </w:tcBorders>
            <w:noWrap w:val="0"/>
            <w:tcMar>
              <w:top w:w="0" w:type="dxa"/>
              <w:left w:w="0" w:type="dxa"/>
              <w:bottom w:w="0" w:type="dxa"/>
              <w:right w:w="0" w:type="dxa"/>
            </w:tcMar>
            <w:vAlign w:val="center"/>
          </w:tcPr>
          <w:p w14:paraId="73CC28D1">
            <w:pPr>
              <w:pStyle w:val="44"/>
              <w:bidi w:val="0"/>
              <w:rPr>
                <w:rFonts w:hint="default"/>
                <w:color w:val="auto"/>
              </w:rPr>
            </w:pPr>
            <w:r>
              <w:rPr>
                <w:color w:val="auto"/>
              </w:rPr>
              <w:t>51.2</w:t>
            </w:r>
          </w:p>
        </w:tc>
        <w:tc>
          <w:tcPr>
            <w:tcW w:w="207" w:type="pct"/>
            <w:vMerge w:val="continue"/>
            <w:tcBorders>
              <w:tl2br w:val="nil"/>
              <w:tr2bl w:val="nil"/>
            </w:tcBorders>
            <w:noWrap w:val="0"/>
            <w:tcMar>
              <w:top w:w="0" w:type="dxa"/>
              <w:left w:w="0" w:type="dxa"/>
              <w:bottom w:w="0" w:type="dxa"/>
              <w:right w:w="0" w:type="dxa"/>
            </w:tcMar>
            <w:vAlign w:val="center"/>
          </w:tcPr>
          <w:p w14:paraId="3766122F">
            <w:pPr>
              <w:pStyle w:val="44"/>
              <w:bidi w:val="0"/>
              <w:rPr>
                <w:rFonts w:hint="default"/>
                <w:color w:val="auto"/>
              </w:rPr>
            </w:pPr>
          </w:p>
        </w:tc>
        <w:tc>
          <w:tcPr>
            <w:tcW w:w="161" w:type="pct"/>
            <w:tcBorders>
              <w:tl2br w:val="nil"/>
              <w:tr2bl w:val="nil"/>
            </w:tcBorders>
            <w:noWrap w:val="0"/>
            <w:tcMar>
              <w:top w:w="0" w:type="dxa"/>
              <w:left w:w="0" w:type="dxa"/>
              <w:bottom w:w="0" w:type="dxa"/>
              <w:right w:w="0" w:type="dxa"/>
            </w:tcMar>
            <w:vAlign w:val="center"/>
          </w:tcPr>
          <w:p w14:paraId="48149CB3">
            <w:pPr>
              <w:pStyle w:val="44"/>
              <w:bidi w:val="0"/>
              <w:rPr>
                <w:rFonts w:hint="default"/>
                <w:color w:val="auto"/>
              </w:rPr>
            </w:pPr>
            <w:r>
              <w:rPr>
                <w:color w:val="auto"/>
              </w:rPr>
              <w:t>26.0</w:t>
            </w:r>
          </w:p>
        </w:tc>
        <w:tc>
          <w:tcPr>
            <w:tcW w:w="161" w:type="pct"/>
            <w:tcBorders>
              <w:tl2br w:val="nil"/>
              <w:tr2bl w:val="nil"/>
            </w:tcBorders>
            <w:noWrap w:val="0"/>
            <w:tcMar>
              <w:top w:w="0" w:type="dxa"/>
              <w:left w:w="0" w:type="dxa"/>
              <w:bottom w:w="0" w:type="dxa"/>
              <w:right w:w="0" w:type="dxa"/>
            </w:tcMar>
            <w:vAlign w:val="center"/>
          </w:tcPr>
          <w:p w14:paraId="43044176">
            <w:pPr>
              <w:pStyle w:val="44"/>
              <w:bidi w:val="0"/>
              <w:rPr>
                <w:rFonts w:hint="default"/>
                <w:color w:val="auto"/>
              </w:rPr>
            </w:pPr>
            <w:r>
              <w:rPr>
                <w:color w:val="auto"/>
              </w:rPr>
              <w:t>26.0</w:t>
            </w:r>
          </w:p>
        </w:tc>
        <w:tc>
          <w:tcPr>
            <w:tcW w:w="161" w:type="pct"/>
            <w:tcBorders>
              <w:tl2br w:val="nil"/>
              <w:tr2bl w:val="nil"/>
            </w:tcBorders>
            <w:noWrap w:val="0"/>
            <w:tcMar>
              <w:top w:w="0" w:type="dxa"/>
              <w:left w:w="0" w:type="dxa"/>
              <w:bottom w:w="0" w:type="dxa"/>
              <w:right w:w="0" w:type="dxa"/>
            </w:tcMar>
            <w:vAlign w:val="center"/>
          </w:tcPr>
          <w:p w14:paraId="7EF3A52E">
            <w:pPr>
              <w:pStyle w:val="44"/>
              <w:bidi w:val="0"/>
              <w:rPr>
                <w:rFonts w:hint="default"/>
                <w:color w:val="auto"/>
              </w:rPr>
            </w:pPr>
            <w:r>
              <w:rPr>
                <w:color w:val="auto"/>
              </w:rPr>
              <w:t>26.0</w:t>
            </w:r>
          </w:p>
        </w:tc>
        <w:tc>
          <w:tcPr>
            <w:tcW w:w="174" w:type="pct"/>
            <w:tcBorders>
              <w:tl2br w:val="nil"/>
              <w:tr2bl w:val="nil"/>
            </w:tcBorders>
            <w:noWrap w:val="0"/>
            <w:tcMar>
              <w:top w:w="0" w:type="dxa"/>
              <w:left w:w="0" w:type="dxa"/>
              <w:bottom w:w="0" w:type="dxa"/>
              <w:right w:w="0" w:type="dxa"/>
            </w:tcMar>
            <w:vAlign w:val="center"/>
          </w:tcPr>
          <w:p w14:paraId="6E1C1991">
            <w:pPr>
              <w:pStyle w:val="44"/>
              <w:bidi w:val="0"/>
              <w:rPr>
                <w:rFonts w:hint="default"/>
                <w:color w:val="auto"/>
              </w:rPr>
            </w:pPr>
            <w:r>
              <w:rPr>
                <w:color w:val="auto"/>
              </w:rPr>
              <w:t>26.0</w:t>
            </w:r>
          </w:p>
        </w:tc>
        <w:tc>
          <w:tcPr>
            <w:tcW w:w="169" w:type="pct"/>
            <w:tcBorders>
              <w:tl2br w:val="nil"/>
              <w:tr2bl w:val="nil"/>
            </w:tcBorders>
            <w:noWrap w:val="0"/>
            <w:tcMar>
              <w:top w:w="0" w:type="dxa"/>
              <w:left w:w="0" w:type="dxa"/>
              <w:bottom w:w="0" w:type="dxa"/>
              <w:right w:w="0" w:type="dxa"/>
            </w:tcMar>
            <w:vAlign w:val="center"/>
          </w:tcPr>
          <w:p w14:paraId="62A6048A">
            <w:pPr>
              <w:pStyle w:val="44"/>
              <w:bidi w:val="0"/>
              <w:rPr>
                <w:rFonts w:hint="default"/>
                <w:color w:val="auto"/>
              </w:rPr>
            </w:pPr>
            <w:r>
              <w:rPr>
                <w:color w:val="auto"/>
              </w:rPr>
              <w:t>24.7</w:t>
            </w:r>
          </w:p>
        </w:tc>
        <w:tc>
          <w:tcPr>
            <w:tcW w:w="169" w:type="pct"/>
            <w:tcBorders>
              <w:tl2br w:val="nil"/>
              <w:tr2bl w:val="nil"/>
            </w:tcBorders>
            <w:noWrap w:val="0"/>
            <w:tcMar>
              <w:top w:w="0" w:type="dxa"/>
              <w:left w:w="0" w:type="dxa"/>
              <w:bottom w:w="0" w:type="dxa"/>
              <w:right w:w="0" w:type="dxa"/>
            </w:tcMar>
            <w:vAlign w:val="center"/>
          </w:tcPr>
          <w:p w14:paraId="15E4D197">
            <w:pPr>
              <w:pStyle w:val="44"/>
              <w:bidi w:val="0"/>
              <w:rPr>
                <w:rFonts w:hint="default"/>
                <w:color w:val="auto"/>
              </w:rPr>
            </w:pPr>
            <w:r>
              <w:rPr>
                <w:color w:val="auto"/>
              </w:rPr>
              <w:t>24.7</w:t>
            </w:r>
          </w:p>
        </w:tc>
        <w:tc>
          <w:tcPr>
            <w:tcW w:w="169" w:type="pct"/>
            <w:tcBorders>
              <w:tl2br w:val="nil"/>
              <w:tr2bl w:val="nil"/>
            </w:tcBorders>
            <w:noWrap w:val="0"/>
            <w:tcMar>
              <w:top w:w="0" w:type="dxa"/>
              <w:left w:w="0" w:type="dxa"/>
              <w:bottom w:w="0" w:type="dxa"/>
              <w:right w:w="0" w:type="dxa"/>
            </w:tcMar>
            <w:vAlign w:val="center"/>
          </w:tcPr>
          <w:p w14:paraId="09C5560E">
            <w:pPr>
              <w:pStyle w:val="44"/>
              <w:bidi w:val="0"/>
              <w:rPr>
                <w:rFonts w:hint="default"/>
                <w:color w:val="auto"/>
              </w:rPr>
            </w:pPr>
            <w:r>
              <w:rPr>
                <w:color w:val="auto"/>
              </w:rPr>
              <w:t>25.0</w:t>
            </w:r>
          </w:p>
        </w:tc>
        <w:tc>
          <w:tcPr>
            <w:tcW w:w="169" w:type="pct"/>
            <w:tcBorders>
              <w:tl2br w:val="nil"/>
              <w:tr2bl w:val="nil"/>
            </w:tcBorders>
            <w:noWrap w:val="0"/>
            <w:tcMar>
              <w:top w:w="0" w:type="dxa"/>
              <w:left w:w="0" w:type="dxa"/>
              <w:bottom w:w="0" w:type="dxa"/>
              <w:right w:w="0" w:type="dxa"/>
            </w:tcMar>
            <w:vAlign w:val="center"/>
          </w:tcPr>
          <w:p w14:paraId="73500B1D">
            <w:pPr>
              <w:pStyle w:val="44"/>
              <w:bidi w:val="0"/>
              <w:rPr>
                <w:rFonts w:hint="default"/>
                <w:color w:val="auto"/>
              </w:rPr>
            </w:pPr>
            <w:r>
              <w:rPr>
                <w:color w:val="auto"/>
              </w:rPr>
              <w:t>25.2</w:t>
            </w:r>
          </w:p>
        </w:tc>
        <w:tc>
          <w:tcPr>
            <w:tcW w:w="242" w:type="pct"/>
            <w:tcBorders>
              <w:tl2br w:val="nil"/>
              <w:tr2bl w:val="nil"/>
            </w:tcBorders>
            <w:noWrap w:val="0"/>
            <w:tcMar>
              <w:top w:w="0" w:type="dxa"/>
              <w:left w:w="0" w:type="dxa"/>
              <w:bottom w:w="0" w:type="dxa"/>
              <w:right w:w="0" w:type="dxa"/>
            </w:tcMar>
            <w:vAlign w:val="center"/>
          </w:tcPr>
          <w:p w14:paraId="1F564B13">
            <w:pPr>
              <w:pStyle w:val="44"/>
              <w:bidi w:val="0"/>
              <w:rPr>
                <w:rFonts w:hint="default"/>
                <w:color w:val="auto"/>
              </w:rPr>
            </w:pPr>
            <w:r>
              <w:rPr>
                <w:color w:val="auto"/>
              </w:rPr>
              <w:t>1</w:t>
            </w:r>
          </w:p>
        </w:tc>
      </w:tr>
      <w:tr w14:paraId="2407BCD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78" w:type="pct"/>
            <w:tcBorders>
              <w:tl2br w:val="nil"/>
              <w:tr2bl w:val="nil"/>
            </w:tcBorders>
            <w:noWrap w:val="0"/>
            <w:tcMar>
              <w:top w:w="0" w:type="dxa"/>
              <w:left w:w="0" w:type="dxa"/>
              <w:bottom w:w="0" w:type="dxa"/>
              <w:right w:w="0" w:type="dxa"/>
            </w:tcMar>
            <w:vAlign w:val="center"/>
          </w:tcPr>
          <w:p w14:paraId="65D7F644">
            <w:pPr>
              <w:pStyle w:val="44"/>
              <w:bidi w:val="0"/>
              <w:rPr>
                <w:rFonts w:hint="default"/>
                <w:color w:val="auto"/>
              </w:rPr>
            </w:pPr>
            <w:r>
              <w:rPr>
                <w:rFonts w:hint="default"/>
                <w:color w:val="auto"/>
              </w:rPr>
              <w:t>4</w:t>
            </w:r>
          </w:p>
        </w:tc>
        <w:tc>
          <w:tcPr>
            <w:tcW w:w="129" w:type="pct"/>
            <w:vMerge w:val="continue"/>
            <w:tcBorders>
              <w:tl2br w:val="nil"/>
              <w:tr2bl w:val="nil"/>
            </w:tcBorders>
            <w:noWrap w:val="0"/>
            <w:tcMar>
              <w:top w:w="0" w:type="dxa"/>
              <w:left w:w="0" w:type="dxa"/>
              <w:bottom w:w="0" w:type="dxa"/>
              <w:right w:w="0" w:type="dxa"/>
            </w:tcMar>
            <w:vAlign w:val="center"/>
          </w:tcPr>
          <w:p w14:paraId="58F1E33B">
            <w:pPr>
              <w:pStyle w:val="44"/>
              <w:bidi w:val="0"/>
              <w:rPr>
                <w:rFonts w:hint="default"/>
                <w:color w:val="auto"/>
              </w:rPr>
            </w:pPr>
          </w:p>
        </w:tc>
        <w:tc>
          <w:tcPr>
            <w:tcW w:w="377" w:type="pct"/>
            <w:tcBorders>
              <w:tl2br w:val="nil"/>
              <w:tr2bl w:val="nil"/>
            </w:tcBorders>
            <w:noWrap w:val="0"/>
            <w:tcMar>
              <w:top w:w="0" w:type="dxa"/>
              <w:left w:w="0" w:type="dxa"/>
              <w:bottom w:w="0" w:type="dxa"/>
              <w:right w:w="0" w:type="dxa"/>
            </w:tcMar>
            <w:vAlign w:val="center"/>
          </w:tcPr>
          <w:p w14:paraId="48DE5B39">
            <w:pPr>
              <w:pStyle w:val="44"/>
              <w:bidi w:val="0"/>
              <w:rPr>
                <w:rFonts w:hint="eastAsia"/>
                <w:color w:val="auto"/>
                <w:lang w:eastAsia="zh-CN"/>
              </w:rPr>
            </w:pPr>
            <w:r>
              <w:rPr>
                <w:color w:val="auto"/>
              </w:rPr>
              <w:t>双螺杆挤出机</w:t>
            </w:r>
          </w:p>
        </w:tc>
        <w:tc>
          <w:tcPr>
            <w:tcW w:w="262" w:type="pct"/>
            <w:tcBorders>
              <w:tl2br w:val="nil"/>
              <w:tr2bl w:val="nil"/>
            </w:tcBorders>
            <w:noWrap w:val="0"/>
            <w:tcMar>
              <w:top w:w="0" w:type="dxa"/>
              <w:left w:w="0" w:type="dxa"/>
              <w:bottom w:w="0" w:type="dxa"/>
              <w:right w:w="0" w:type="dxa"/>
            </w:tcMar>
            <w:vAlign w:val="center"/>
          </w:tcPr>
          <w:p w14:paraId="0E5788D2">
            <w:pPr>
              <w:pStyle w:val="44"/>
              <w:bidi w:val="0"/>
              <w:rPr>
                <w:rFonts w:hint="default"/>
                <w:color w:val="auto"/>
                <w:lang w:val="en-US" w:eastAsia="zh-CN"/>
              </w:rPr>
            </w:pPr>
            <w:r>
              <w:rPr>
                <w:color w:val="auto"/>
              </w:rPr>
              <w:t>70.0</w:t>
            </w:r>
          </w:p>
        </w:tc>
        <w:tc>
          <w:tcPr>
            <w:tcW w:w="232" w:type="pct"/>
            <w:vMerge w:val="continue"/>
            <w:tcBorders>
              <w:tl2br w:val="nil"/>
              <w:tr2bl w:val="nil"/>
            </w:tcBorders>
            <w:noWrap w:val="0"/>
            <w:tcMar>
              <w:top w:w="0" w:type="dxa"/>
              <w:left w:w="0" w:type="dxa"/>
              <w:bottom w:w="0" w:type="dxa"/>
              <w:right w:w="0" w:type="dxa"/>
            </w:tcMar>
            <w:vAlign w:val="center"/>
          </w:tcPr>
          <w:p w14:paraId="0E9CCCD7">
            <w:pPr>
              <w:pStyle w:val="44"/>
              <w:bidi w:val="0"/>
              <w:rPr>
                <w:rFonts w:hint="default"/>
                <w:color w:val="auto"/>
              </w:rPr>
            </w:pPr>
          </w:p>
        </w:tc>
        <w:tc>
          <w:tcPr>
            <w:tcW w:w="214" w:type="pct"/>
            <w:tcBorders>
              <w:tl2br w:val="nil"/>
              <w:tr2bl w:val="nil"/>
            </w:tcBorders>
            <w:noWrap w:val="0"/>
            <w:tcMar>
              <w:top w:w="0" w:type="dxa"/>
              <w:left w:w="0" w:type="dxa"/>
              <w:bottom w:w="0" w:type="dxa"/>
              <w:right w:w="0" w:type="dxa"/>
            </w:tcMar>
            <w:vAlign w:val="center"/>
          </w:tcPr>
          <w:p w14:paraId="7BD2B513">
            <w:pPr>
              <w:pStyle w:val="44"/>
              <w:bidi w:val="0"/>
              <w:rPr>
                <w:rFonts w:hint="default"/>
                <w:color w:val="auto"/>
              </w:rPr>
            </w:pPr>
            <w:r>
              <w:rPr>
                <w:color w:val="auto"/>
              </w:rPr>
              <w:t>-18.8</w:t>
            </w:r>
          </w:p>
        </w:tc>
        <w:tc>
          <w:tcPr>
            <w:tcW w:w="206" w:type="pct"/>
            <w:tcBorders>
              <w:tl2br w:val="nil"/>
              <w:tr2bl w:val="nil"/>
            </w:tcBorders>
            <w:noWrap w:val="0"/>
            <w:tcMar>
              <w:top w:w="0" w:type="dxa"/>
              <w:left w:w="0" w:type="dxa"/>
              <w:bottom w:w="0" w:type="dxa"/>
              <w:right w:w="0" w:type="dxa"/>
            </w:tcMar>
            <w:vAlign w:val="center"/>
          </w:tcPr>
          <w:p w14:paraId="13F01FB2">
            <w:pPr>
              <w:pStyle w:val="44"/>
              <w:bidi w:val="0"/>
              <w:rPr>
                <w:rFonts w:hint="default"/>
                <w:color w:val="auto"/>
              </w:rPr>
            </w:pPr>
            <w:r>
              <w:rPr>
                <w:color w:val="auto"/>
              </w:rPr>
              <w:t>-3</w:t>
            </w:r>
          </w:p>
        </w:tc>
        <w:tc>
          <w:tcPr>
            <w:tcW w:w="185" w:type="pct"/>
            <w:tcBorders>
              <w:tl2br w:val="nil"/>
              <w:tr2bl w:val="nil"/>
            </w:tcBorders>
            <w:noWrap w:val="0"/>
            <w:tcMar>
              <w:top w:w="0" w:type="dxa"/>
              <w:left w:w="0" w:type="dxa"/>
              <w:bottom w:w="0" w:type="dxa"/>
              <w:right w:w="0" w:type="dxa"/>
            </w:tcMar>
            <w:vAlign w:val="center"/>
          </w:tcPr>
          <w:p w14:paraId="390F2119">
            <w:pPr>
              <w:pStyle w:val="44"/>
              <w:bidi w:val="0"/>
              <w:rPr>
                <w:rFonts w:hint="default"/>
                <w:color w:val="auto"/>
              </w:rPr>
            </w:pPr>
            <w:r>
              <w:rPr>
                <w:color w:val="auto"/>
              </w:rPr>
              <w:t>1.2</w:t>
            </w:r>
          </w:p>
        </w:tc>
        <w:tc>
          <w:tcPr>
            <w:tcW w:w="198" w:type="pct"/>
            <w:tcBorders>
              <w:tl2br w:val="nil"/>
              <w:tr2bl w:val="nil"/>
            </w:tcBorders>
            <w:noWrap w:val="0"/>
            <w:tcMar>
              <w:top w:w="0" w:type="dxa"/>
              <w:left w:w="0" w:type="dxa"/>
              <w:bottom w:w="0" w:type="dxa"/>
              <w:right w:w="0" w:type="dxa"/>
            </w:tcMar>
            <w:vAlign w:val="center"/>
          </w:tcPr>
          <w:p w14:paraId="2D7F70FA">
            <w:pPr>
              <w:pStyle w:val="44"/>
              <w:bidi w:val="0"/>
              <w:rPr>
                <w:rFonts w:hint="default"/>
                <w:color w:val="auto"/>
              </w:rPr>
            </w:pPr>
            <w:r>
              <w:rPr>
                <w:color w:val="auto"/>
              </w:rPr>
              <w:t>76.3</w:t>
            </w:r>
          </w:p>
        </w:tc>
        <w:tc>
          <w:tcPr>
            <w:tcW w:w="186" w:type="pct"/>
            <w:tcBorders>
              <w:tl2br w:val="nil"/>
              <w:tr2bl w:val="nil"/>
            </w:tcBorders>
            <w:noWrap w:val="0"/>
            <w:tcMar>
              <w:top w:w="0" w:type="dxa"/>
              <w:left w:w="0" w:type="dxa"/>
              <w:bottom w:w="0" w:type="dxa"/>
              <w:right w:w="0" w:type="dxa"/>
            </w:tcMar>
            <w:vAlign w:val="center"/>
          </w:tcPr>
          <w:p w14:paraId="02489191">
            <w:pPr>
              <w:pStyle w:val="44"/>
              <w:bidi w:val="0"/>
              <w:rPr>
                <w:rFonts w:hint="default"/>
                <w:color w:val="auto"/>
              </w:rPr>
            </w:pPr>
            <w:r>
              <w:rPr>
                <w:color w:val="auto"/>
              </w:rPr>
              <w:t>15.0</w:t>
            </w:r>
          </w:p>
        </w:tc>
        <w:tc>
          <w:tcPr>
            <w:tcW w:w="169" w:type="pct"/>
            <w:tcBorders>
              <w:tl2br w:val="nil"/>
              <w:tr2bl w:val="nil"/>
            </w:tcBorders>
            <w:noWrap w:val="0"/>
            <w:tcMar>
              <w:top w:w="0" w:type="dxa"/>
              <w:left w:w="0" w:type="dxa"/>
              <w:bottom w:w="0" w:type="dxa"/>
              <w:right w:w="0" w:type="dxa"/>
            </w:tcMar>
            <w:vAlign w:val="center"/>
          </w:tcPr>
          <w:p w14:paraId="16D1F93E">
            <w:pPr>
              <w:pStyle w:val="44"/>
              <w:bidi w:val="0"/>
              <w:rPr>
                <w:rFonts w:hint="default"/>
                <w:color w:val="auto"/>
              </w:rPr>
            </w:pPr>
            <w:r>
              <w:rPr>
                <w:color w:val="auto"/>
              </w:rPr>
              <w:t>37.8</w:t>
            </w:r>
          </w:p>
        </w:tc>
        <w:tc>
          <w:tcPr>
            <w:tcW w:w="190" w:type="pct"/>
            <w:tcBorders>
              <w:tl2br w:val="nil"/>
              <w:tr2bl w:val="nil"/>
            </w:tcBorders>
            <w:noWrap w:val="0"/>
            <w:tcMar>
              <w:top w:w="0" w:type="dxa"/>
              <w:left w:w="0" w:type="dxa"/>
              <w:bottom w:w="0" w:type="dxa"/>
              <w:right w:w="0" w:type="dxa"/>
            </w:tcMar>
            <w:vAlign w:val="center"/>
          </w:tcPr>
          <w:p w14:paraId="33BFE645">
            <w:pPr>
              <w:pStyle w:val="44"/>
              <w:bidi w:val="0"/>
              <w:rPr>
                <w:rFonts w:hint="default"/>
                <w:color w:val="auto"/>
              </w:rPr>
            </w:pPr>
            <w:r>
              <w:rPr>
                <w:color w:val="auto"/>
              </w:rPr>
              <w:t>12.6</w:t>
            </w:r>
          </w:p>
        </w:tc>
        <w:tc>
          <w:tcPr>
            <w:tcW w:w="166" w:type="pct"/>
            <w:tcBorders>
              <w:tl2br w:val="nil"/>
              <w:tr2bl w:val="nil"/>
            </w:tcBorders>
            <w:noWrap w:val="0"/>
            <w:tcMar>
              <w:top w:w="0" w:type="dxa"/>
              <w:left w:w="0" w:type="dxa"/>
              <w:bottom w:w="0" w:type="dxa"/>
              <w:right w:w="0" w:type="dxa"/>
            </w:tcMar>
            <w:vAlign w:val="center"/>
          </w:tcPr>
          <w:p w14:paraId="65D39C98">
            <w:pPr>
              <w:pStyle w:val="44"/>
              <w:bidi w:val="0"/>
              <w:rPr>
                <w:rFonts w:hint="default"/>
                <w:color w:val="auto"/>
              </w:rPr>
            </w:pPr>
            <w:r>
              <w:rPr>
                <w:color w:val="auto"/>
              </w:rPr>
              <w:t>52.7</w:t>
            </w:r>
          </w:p>
        </w:tc>
        <w:tc>
          <w:tcPr>
            <w:tcW w:w="166" w:type="pct"/>
            <w:tcBorders>
              <w:tl2br w:val="nil"/>
              <w:tr2bl w:val="nil"/>
            </w:tcBorders>
            <w:noWrap w:val="0"/>
            <w:tcMar>
              <w:top w:w="0" w:type="dxa"/>
              <w:left w:w="0" w:type="dxa"/>
              <w:bottom w:w="0" w:type="dxa"/>
              <w:right w:w="0" w:type="dxa"/>
            </w:tcMar>
            <w:vAlign w:val="center"/>
          </w:tcPr>
          <w:p w14:paraId="60F5009C">
            <w:pPr>
              <w:pStyle w:val="44"/>
              <w:bidi w:val="0"/>
              <w:rPr>
                <w:rFonts w:hint="default"/>
                <w:color w:val="auto"/>
              </w:rPr>
            </w:pPr>
            <w:r>
              <w:rPr>
                <w:color w:val="auto"/>
              </w:rPr>
              <w:t>52.7</w:t>
            </w:r>
          </w:p>
        </w:tc>
        <w:tc>
          <w:tcPr>
            <w:tcW w:w="166" w:type="pct"/>
            <w:tcBorders>
              <w:tl2br w:val="nil"/>
              <w:tr2bl w:val="nil"/>
            </w:tcBorders>
            <w:noWrap w:val="0"/>
            <w:tcMar>
              <w:top w:w="0" w:type="dxa"/>
              <w:left w:w="0" w:type="dxa"/>
              <w:bottom w:w="0" w:type="dxa"/>
              <w:right w:w="0" w:type="dxa"/>
            </w:tcMar>
            <w:vAlign w:val="center"/>
          </w:tcPr>
          <w:p w14:paraId="6B876389">
            <w:pPr>
              <w:pStyle w:val="44"/>
              <w:bidi w:val="0"/>
              <w:rPr>
                <w:rFonts w:hint="default"/>
                <w:color w:val="auto"/>
              </w:rPr>
            </w:pPr>
            <w:r>
              <w:rPr>
                <w:color w:val="auto"/>
              </w:rPr>
              <w:t>52.7</w:t>
            </w:r>
          </w:p>
        </w:tc>
        <w:tc>
          <w:tcPr>
            <w:tcW w:w="177" w:type="pct"/>
            <w:tcBorders>
              <w:tl2br w:val="nil"/>
              <w:tr2bl w:val="nil"/>
            </w:tcBorders>
            <w:noWrap w:val="0"/>
            <w:tcMar>
              <w:top w:w="0" w:type="dxa"/>
              <w:left w:w="0" w:type="dxa"/>
              <w:bottom w:w="0" w:type="dxa"/>
              <w:right w:w="0" w:type="dxa"/>
            </w:tcMar>
            <w:vAlign w:val="center"/>
          </w:tcPr>
          <w:p w14:paraId="6990BA7F">
            <w:pPr>
              <w:pStyle w:val="44"/>
              <w:bidi w:val="0"/>
              <w:rPr>
                <w:rFonts w:hint="default"/>
                <w:color w:val="auto"/>
              </w:rPr>
            </w:pPr>
            <w:r>
              <w:rPr>
                <w:color w:val="auto"/>
              </w:rPr>
              <w:t>52.8</w:t>
            </w:r>
          </w:p>
        </w:tc>
        <w:tc>
          <w:tcPr>
            <w:tcW w:w="207" w:type="pct"/>
            <w:vMerge w:val="continue"/>
            <w:tcBorders>
              <w:tl2br w:val="nil"/>
              <w:tr2bl w:val="nil"/>
            </w:tcBorders>
            <w:noWrap w:val="0"/>
            <w:tcMar>
              <w:top w:w="0" w:type="dxa"/>
              <w:left w:w="0" w:type="dxa"/>
              <w:bottom w:w="0" w:type="dxa"/>
              <w:right w:w="0" w:type="dxa"/>
            </w:tcMar>
            <w:vAlign w:val="center"/>
          </w:tcPr>
          <w:p w14:paraId="1AC8FFF9">
            <w:pPr>
              <w:pStyle w:val="44"/>
              <w:bidi w:val="0"/>
              <w:rPr>
                <w:rFonts w:hint="default"/>
                <w:color w:val="auto"/>
              </w:rPr>
            </w:pPr>
          </w:p>
        </w:tc>
        <w:tc>
          <w:tcPr>
            <w:tcW w:w="161" w:type="pct"/>
            <w:tcBorders>
              <w:tl2br w:val="nil"/>
              <w:tr2bl w:val="nil"/>
            </w:tcBorders>
            <w:noWrap w:val="0"/>
            <w:tcMar>
              <w:top w:w="0" w:type="dxa"/>
              <w:left w:w="0" w:type="dxa"/>
              <w:bottom w:w="0" w:type="dxa"/>
              <w:right w:w="0" w:type="dxa"/>
            </w:tcMar>
            <w:vAlign w:val="center"/>
          </w:tcPr>
          <w:p w14:paraId="26248CDD">
            <w:pPr>
              <w:pStyle w:val="44"/>
              <w:bidi w:val="0"/>
              <w:rPr>
                <w:rFonts w:hint="default"/>
                <w:color w:val="auto"/>
              </w:rPr>
            </w:pPr>
            <w:r>
              <w:rPr>
                <w:color w:val="auto"/>
              </w:rPr>
              <w:t>26.0</w:t>
            </w:r>
          </w:p>
        </w:tc>
        <w:tc>
          <w:tcPr>
            <w:tcW w:w="161" w:type="pct"/>
            <w:tcBorders>
              <w:tl2br w:val="nil"/>
              <w:tr2bl w:val="nil"/>
            </w:tcBorders>
            <w:noWrap w:val="0"/>
            <w:tcMar>
              <w:top w:w="0" w:type="dxa"/>
              <w:left w:w="0" w:type="dxa"/>
              <w:bottom w:w="0" w:type="dxa"/>
              <w:right w:w="0" w:type="dxa"/>
            </w:tcMar>
            <w:vAlign w:val="center"/>
          </w:tcPr>
          <w:p w14:paraId="690D97F2">
            <w:pPr>
              <w:pStyle w:val="44"/>
              <w:bidi w:val="0"/>
              <w:rPr>
                <w:rFonts w:hint="default"/>
                <w:color w:val="auto"/>
              </w:rPr>
            </w:pPr>
            <w:r>
              <w:rPr>
                <w:color w:val="auto"/>
              </w:rPr>
              <w:t>26.0</w:t>
            </w:r>
          </w:p>
        </w:tc>
        <w:tc>
          <w:tcPr>
            <w:tcW w:w="161" w:type="pct"/>
            <w:tcBorders>
              <w:tl2br w:val="nil"/>
              <w:tr2bl w:val="nil"/>
            </w:tcBorders>
            <w:noWrap w:val="0"/>
            <w:tcMar>
              <w:top w:w="0" w:type="dxa"/>
              <w:left w:w="0" w:type="dxa"/>
              <w:bottom w:w="0" w:type="dxa"/>
              <w:right w:w="0" w:type="dxa"/>
            </w:tcMar>
            <w:vAlign w:val="center"/>
          </w:tcPr>
          <w:p w14:paraId="7850C80F">
            <w:pPr>
              <w:pStyle w:val="44"/>
              <w:bidi w:val="0"/>
              <w:rPr>
                <w:rFonts w:hint="default"/>
                <w:color w:val="auto"/>
              </w:rPr>
            </w:pPr>
            <w:r>
              <w:rPr>
                <w:color w:val="auto"/>
              </w:rPr>
              <w:t>26.0</w:t>
            </w:r>
          </w:p>
        </w:tc>
        <w:tc>
          <w:tcPr>
            <w:tcW w:w="174" w:type="pct"/>
            <w:tcBorders>
              <w:tl2br w:val="nil"/>
              <w:tr2bl w:val="nil"/>
            </w:tcBorders>
            <w:noWrap w:val="0"/>
            <w:tcMar>
              <w:top w:w="0" w:type="dxa"/>
              <w:left w:w="0" w:type="dxa"/>
              <w:bottom w:w="0" w:type="dxa"/>
              <w:right w:w="0" w:type="dxa"/>
            </w:tcMar>
            <w:vAlign w:val="center"/>
          </w:tcPr>
          <w:p w14:paraId="784D83EB">
            <w:pPr>
              <w:pStyle w:val="44"/>
              <w:bidi w:val="0"/>
              <w:rPr>
                <w:rFonts w:hint="default"/>
                <w:color w:val="auto"/>
              </w:rPr>
            </w:pPr>
            <w:r>
              <w:rPr>
                <w:color w:val="auto"/>
              </w:rPr>
              <w:t>26.0</w:t>
            </w:r>
          </w:p>
        </w:tc>
        <w:tc>
          <w:tcPr>
            <w:tcW w:w="169" w:type="pct"/>
            <w:tcBorders>
              <w:tl2br w:val="nil"/>
              <w:tr2bl w:val="nil"/>
            </w:tcBorders>
            <w:noWrap w:val="0"/>
            <w:tcMar>
              <w:top w:w="0" w:type="dxa"/>
              <w:left w:w="0" w:type="dxa"/>
              <w:bottom w:w="0" w:type="dxa"/>
              <w:right w:w="0" w:type="dxa"/>
            </w:tcMar>
            <w:vAlign w:val="center"/>
          </w:tcPr>
          <w:p w14:paraId="33A08BAE">
            <w:pPr>
              <w:pStyle w:val="44"/>
              <w:bidi w:val="0"/>
              <w:rPr>
                <w:rFonts w:hint="default"/>
                <w:color w:val="auto"/>
              </w:rPr>
            </w:pPr>
            <w:r>
              <w:rPr>
                <w:color w:val="auto"/>
              </w:rPr>
              <w:t>26.7</w:t>
            </w:r>
          </w:p>
        </w:tc>
        <w:tc>
          <w:tcPr>
            <w:tcW w:w="169" w:type="pct"/>
            <w:tcBorders>
              <w:tl2br w:val="nil"/>
              <w:tr2bl w:val="nil"/>
            </w:tcBorders>
            <w:noWrap w:val="0"/>
            <w:tcMar>
              <w:top w:w="0" w:type="dxa"/>
              <w:left w:w="0" w:type="dxa"/>
              <w:bottom w:w="0" w:type="dxa"/>
              <w:right w:w="0" w:type="dxa"/>
            </w:tcMar>
            <w:vAlign w:val="center"/>
          </w:tcPr>
          <w:p w14:paraId="570690CC">
            <w:pPr>
              <w:pStyle w:val="44"/>
              <w:bidi w:val="0"/>
              <w:rPr>
                <w:rFonts w:hint="default"/>
                <w:color w:val="auto"/>
              </w:rPr>
            </w:pPr>
            <w:r>
              <w:rPr>
                <w:color w:val="auto"/>
              </w:rPr>
              <w:t>26.7</w:t>
            </w:r>
          </w:p>
        </w:tc>
        <w:tc>
          <w:tcPr>
            <w:tcW w:w="169" w:type="pct"/>
            <w:tcBorders>
              <w:tl2br w:val="nil"/>
              <w:tr2bl w:val="nil"/>
            </w:tcBorders>
            <w:noWrap w:val="0"/>
            <w:tcMar>
              <w:top w:w="0" w:type="dxa"/>
              <w:left w:w="0" w:type="dxa"/>
              <w:bottom w:w="0" w:type="dxa"/>
              <w:right w:w="0" w:type="dxa"/>
            </w:tcMar>
            <w:vAlign w:val="center"/>
          </w:tcPr>
          <w:p w14:paraId="274BBCBB">
            <w:pPr>
              <w:pStyle w:val="44"/>
              <w:bidi w:val="0"/>
              <w:rPr>
                <w:rFonts w:hint="default"/>
                <w:color w:val="auto"/>
              </w:rPr>
            </w:pPr>
            <w:r>
              <w:rPr>
                <w:color w:val="auto"/>
              </w:rPr>
              <w:t>26.7</w:t>
            </w:r>
          </w:p>
        </w:tc>
        <w:tc>
          <w:tcPr>
            <w:tcW w:w="169" w:type="pct"/>
            <w:tcBorders>
              <w:tl2br w:val="nil"/>
              <w:tr2bl w:val="nil"/>
            </w:tcBorders>
            <w:noWrap w:val="0"/>
            <w:tcMar>
              <w:top w:w="0" w:type="dxa"/>
              <w:left w:w="0" w:type="dxa"/>
              <w:bottom w:w="0" w:type="dxa"/>
              <w:right w:w="0" w:type="dxa"/>
            </w:tcMar>
            <w:vAlign w:val="center"/>
          </w:tcPr>
          <w:p w14:paraId="2F723553">
            <w:pPr>
              <w:pStyle w:val="44"/>
              <w:bidi w:val="0"/>
              <w:rPr>
                <w:rFonts w:hint="default"/>
                <w:color w:val="auto"/>
              </w:rPr>
            </w:pPr>
            <w:r>
              <w:rPr>
                <w:color w:val="auto"/>
              </w:rPr>
              <w:t>26.8</w:t>
            </w:r>
          </w:p>
        </w:tc>
        <w:tc>
          <w:tcPr>
            <w:tcW w:w="242" w:type="pct"/>
            <w:tcBorders>
              <w:tl2br w:val="nil"/>
              <w:tr2bl w:val="nil"/>
            </w:tcBorders>
            <w:noWrap w:val="0"/>
            <w:tcMar>
              <w:top w:w="0" w:type="dxa"/>
              <w:left w:w="0" w:type="dxa"/>
              <w:bottom w:w="0" w:type="dxa"/>
              <w:right w:w="0" w:type="dxa"/>
            </w:tcMar>
            <w:vAlign w:val="center"/>
          </w:tcPr>
          <w:p w14:paraId="31D5E04A">
            <w:pPr>
              <w:pStyle w:val="44"/>
              <w:bidi w:val="0"/>
              <w:rPr>
                <w:rFonts w:hint="default"/>
                <w:color w:val="auto"/>
              </w:rPr>
            </w:pPr>
            <w:r>
              <w:rPr>
                <w:color w:val="auto"/>
              </w:rPr>
              <w:t>1</w:t>
            </w:r>
          </w:p>
        </w:tc>
      </w:tr>
      <w:tr w14:paraId="10BCE7D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78" w:type="pct"/>
            <w:tcBorders>
              <w:tl2br w:val="nil"/>
              <w:tr2bl w:val="nil"/>
            </w:tcBorders>
            <w:noWrap w:val="0"/>
            <w:tcMar>
              <w:top w:w="0" w:type="dxa"/>
              <w:left w:w="0" w:type="dxa"/>
              <w:bottom w:w="0" w:type="dxa"/>
              <w:right w:w="0" w:type="dxa"/>
            </w:tcMar>
            <w:vAlign w:val="center"/>
          </w:tcPr>
          <w:p w14:paraId="6729A808">
            <w:pPr>
              <w:pStyle w:val="44"/>
              <w:bidi w:val="0"/>
              <w:rPr>
                <w:rFonts w:hint="default"/>
                <w:color w:val="auto"/>
              </w:rPr>
            </w:pPr>
            <w:r>
              <w:rPr>
                <w:rFonts w:hint="default"/>
                <w:color w:val="auto"/>
              </w:rPr>
              <w:t>5</w:t>
            </w:r>
          </w:p>
        </w:tc>
        <w:tc>
          <w:tcPr>
            <w:tcW w:w="129" w:type="pct"/>
            <w:vMerge w:val="continue"/>
            <w:tcBorders>
              <w:tl2br w:val="nil"/>
              <w:tr2bl w:val="nil"/>
            </w:tcBorders>
            <w:noWrap w:val="0"/>
            <w:tcMar>
              <w:top w:w="0" w:type="dxa"/>
              <w:left w:w="0" w:type="dxa"/>
              <w:bottom w:w="0" w:type="dxa"/>
              <w:right w:w="0" w:type="dxa"/>
            </w:tcMar>
            <w:vAlign w:val="center"/>
          </w:tcPr>
          <w:p w14:paraId="19D438B3">
            <w:pPr>
              <w:pStyle w:val="44"/>
              <w:bidi w:val="0"/>
              <w:rPr>
                <w:rFonts w:hint="default"/>
                <w:color w:val="auto"/>
              </w:rPr>
            </w:pPr>
          </w:p>
        </w:tc>
        <w:tc>
          <w:tcPr>
            <w:tcW w:w="377" w:type="pct"/>
            <w:tcBorders>
              <w:tl2br w:val="nil"/>
              <w:tr2bl w:val="nil"/>
            </w:tcBorders>
            <w:noWrap w:val="0"/>
            <w:tcMar>
              <w:top w:w="0" w:type="dxa"/>
              <w:left w:w="0" w:type="dxa"/>
              <w:bottom w:w="0" w:type="dxa"/>
              <w:right w:w="0" w:type="dxa"/>
            </w:tcMar>
            <w:vAlign w:val="center"/>
          </w:tcPr>
          <w:p w14:paraId="4D4DF8CC">
            <w:pPr>
              <w:pStyle w:val="44"/>
              <w:bidi w:val="0"/>
              <w:rPr>
                <w:rFonts w:hint="eastAsia"/>
                <w:color w:val="auto"/>
                <w:lang w:eastAsia="zh-CN"/>
              </w:rPr>
            </w:pPr>
            <w:r>
              <w:rPr>
                <w:color w:val="auto"/>
              </w:rPr>
              <w:t>混合搅拌设备</w:t>
            </w:r>
          </w:p>
        </w:tc>
        <w:tc>
          <w:tcPr>
            <w:tcW w:w="262" w:type="pct"/>
            <w:tcBorders>
              <w:tl2br w:val="nil"/>
              <w:tr2bl w:val="nil"/>
            </w:tcBorders>
            <w:noWrap w:val="0"/>
            <w:tcMar>
              <w:top w:w="0" w:type="dxa"/>
              <w:left w:w="0" w:type="dxa"/>
              <w:bottom w:w="0" w:type="dxa"/>
              <w:right w:w="0" w:type="dxa"/>
            </w:tcMar>
            <w:vAlign w:val="center"/>
          </w:tcPr>
          <w:p w14:paraId="250D22BA">
            <w:pPr>
              <w:pStyle w:val="44"/>
              <w:bidi w:val="0"/>
              <w:rPr>
                <w:rFonts w:hint="default"/>
                <w:color w:val="auto"/>
                <w:lang w:val="en-US" w:eastAsia="zh-CN"/>
              </w:rPr>
            </w:pPr>
            <w:r>
              <w:rPr>
                <w:color w:val="auto"/>
              </w:rPr>
              <w:t>74.0</w:t>
            </w:r>
          </w:p>
        </w:tc>
        <w:tc>
          <w:tcPr>
            <w:tcW w:w="232" w:type="pct"/>
            <w:vMerge w:val="continue"/>
            <w:tcBorders>
              <w:tl2br w:val="nil"/>
              <w:tr2bl w:val="nil"/>
            </w:tcBorders>
            <w:noWrap w:val="0"/>
            <w:tcMar>
              <w:top w:w="0" w:type="dxa"/>
              <w:left w:w="0" w:type="dxa"/>
              <w:bottom w:w="0" w:type="dxa"/>
              <w:right w:w="0" w:type="dxa"/>
            </w:tcMar>
            <w:vAlign w:val="center"/>
          </w:tcPr>
          <w:p w14:paraId="50973523">
            <w:pPr>
              <w:pStyle w:val="44"/>
              <w:bidi w:val="0"/>
              <w:rPr>
                <w:rFonts w:hint="default"/>
                <w:color w:val="auto"/>
              </w:rPr>
            </w:pPr>
          </w:p>
        </w:tc>
        <w:tc>
          <w:tcPr>
            <w:tcW w:w="214" w:type="pct"/>
            <w:tcBorders>
              <w:tl2br w:val="nil"/>
              <w:tr2bl w:val="nil"/>
            </w:tcBorders>
            <w:noWrap w:val="0"/>
            <w:tcMar>
              <w:top w:w="0" w:type="dxa"/>
              <w:left w:w="0" w:type="dxa"/>
              <w:bottom w:w="0" w:type="dxa"/>
              <w:right w:w="0" w:type="dxa"/>
            </w:tcMar>
            <w:vAlign w:val="center"/>
          </w:tcPr>
          <w:p w14:paraId="75FDC56D">
            <w:pPr>
              <w:pStyle w:val="44"/>
              <w:bidi w:val="0"/>
              <w:rPr>
                <w:rFonts w:hint="default"/>
                <w:color w:val="auto"/>
              </w:rPr>
            </w:pPr>
            <w:r>
              <w:rPr>
                <w:color w:val="auto"/>
              </w:rPr>
              <w:t>-22.5</w:t>
            </w:r>
          </w:p>
        </w:tc>
        <w:tc>
          <w:tcPr>
            <w:tcW w:w="206" w:type="pct"/>
            <w:tcBorders>
              <w:tl2br w:val="nil"/>
              <w:tr2bl w:val="nil"/>
            </w:tcBorders>
            <w:noWrap w:val="0"/>
            <w:tcMar>
              <w:top w:w="0" w:type="dxa"/>
              <w:left w:w="0" w:type="dxa"/>
              <w:bottom w:w="0" w:type="dxa"/>
              <w:right w:w="0" w:type="dxa"/>
            </w:tcMar>
            <w:vAlign w:val="center"/>
          </w:tcPr>
          <w:p w14:paraId="1EBA4303">
            <w:pPr>
              <w:pStyle w:val="44"/>
              <w:bidi w:val="0"/>
              <w:rPr>
                <w:rFonts w:hint="default"/>
                <w:color w:val="auto"/>
              </w:rPr>
            </w:pPr>
            <w:r>
              <w:rPr>
                <w:color w:val="auto"/>
              </w:rPr>
              <w:t>2.3</w:t>
            </w:r>
          </w:p>
        </w:tc>
        <w:tc>
          <w:tcPr>
            <w:tcW w:w="185" w:type="pct"/>
            <w:tcBorders>
              <w:tl2br w:val="nil"/>
              <w:tr2bl w:val="nil"/>
            </w:tcBorders>
            <w:noWrap w:val="0"/>
            <w:tcMar>
              <w:top w:w="0" w:type="dxa"/>
              <w:left w:w="0" w:type="dxa"/>
              <w:bottom w:w="0" w:type="dxa"/>
              <w:right w:w="0" w:type="dxa"/>
            </w:tcMar>
            <w:vAlign w:val="center"/>
          </w:tcPr>
          <w:p w14:paraId="61305138">
            <w:pPr>
              <w:pStyle w:val="44"/>
              <w:bidi w:val="0"/>
              <w:rPr>
                <w:rFonts w:hint="default"/>
                <w:color w:val="auto"/>
              </w:rPr>
            </w:pPr>
            <w:r>
              <w:rPr>
                <w:color w:val="auto"/>
              </w:rPr>
              <w:t>1.2</w:t>
            </w:r>
          </w:p>
        </w:tc>
        <w:tc>
          <w:tcPr>
            <w:tcW w:w="198" w:type="pct"/>
            <w:tcBorders>
              <w:tl2br w:val="nil"/>
              <w:tr2bl w:val="nil"/>
            </w:tcBorders>
            <w:noWrap w:val="0"/>
            <w:tcMar>
              <w:top w:w="0" w:type="dxa"/>
              <w:left w:w="0" w:type="dxa"/>
              <w:bottom w:w="0" w:type="dxa"/>
              <w:right w:w="0" w:type="dxa"/>
            </w:tcMar>
            <w:vAlign w:val="center"/>
          </w:tcPr>
          <w:p w14:paraId="55EC6724">
            <w:pPr>
              <w:pStyle w:val="44"/>
              <w:bidi w:val="0"/>
              <w:rPr>
                <w:rFonts w:hint="default"/>
                <w:color w:val="auto"/>
              </w:rPr>
            </w:pPr>
            <w:r>
              <w:rPr>
                <w:color w:val="auto"/>
              </w:rPr>
              <w:t>78.5</w:t>
            </w:r>
          </w:p>
        </w:tc>
        <w:tc>
          <w:tcPr>
            <w:tcW w:w="186" w:type="pct"/>
            <w:tcBorders>
              <w:tl2br w:val="nil"/>
              <w:tr2bl w:val="nil"/>
            </w:tcBorders>
            <w:noWrap w:val="0"/>
            <w:tcMar>
              <w:top w:w="0" w:type="dxa"/>
              <w:left w:w="0" w:type="dxa"/>
              <w:bottom w:w="0" w:type="dxa"/>
              <w:right w:w="0" w:type="dxa"/>
            </w:tcMar>
            <w:vAlign w:val="center"/>
          </w:tcPr>
          <w:p w14:paraId="368D73B9">
            <w:pPr>
              <w:pStyle w:val="44"/>
              <w:bidi w:val="0"/>
              <w:rPr>
                <w:rFonts w:hint="default"/>
                <w:color w:val="auto"/>
              </w:rPr>
            </w:pPr>
            <w:r>
              <w:rPr>
                <w:color w:val="auto"/>
              </w:rPr>
              <w:t>21.0</w:t>
            </w:r>
          </w:p>
        </w:tc>
        <w:tc>
          <w:tcPr>
            <w:tcW w:w="169" w:type="pct"/>
            <w:tcBorders>
              <w:tl2br w:val="nil"/>
              <w:tr2bl w:val="nil"/>
            </w:tcBorders>
            <w:noWrap w:val="0"/>
            <w:tcMar>
              <w:top w:w="0" w:type="dxa"/>
              <w:left w:w="0" w:type="dxa"/>
              <w:bottom w:w="0" w:type="dxa"/>
              <w:right w:w="0" w:type="dxa"/>
            </w:tcMar>
            <w:vAlign w:val="center"/>
          </w:tcPr>
          <w:p w14:paraId="7C8A0949">
            <w:pPr>
              <w:pStyle w:val="44"/>
              <w:bidi w:val="0"/>
              <w:rPr>
                <w:rFonts w:hint="default"/>
                <w:color w:val="auto"/>
              </w:rPr>
            </w:pPr>
            <w:r>
              <w:rPr>
                <w:color w:val="auto"/>
              </w:rPr>
              <w:t>35.3</w:t>
            </w:r>
          </w:p>
        </w:tc>
        <w:tc>
          <w:tcPr>
            <w:tcW w:w="190" w:type="pct"/>
            <w:tcBorders>
              <w:tl2br w:val="nil"/>
              <w:tr2bl w:val="nil"/>
            </w:tcBorders>
            <w:noWrap w:val="0"/>
            <w:tcMar>
              <w:top w:w="0" w:type="dxa"/>
              <w:left w:w="0" w:type="dxa"/>
              <w:bottom w:w="0" w:type="dxa"/>
              <w:right w:w="0" w:type="dxa"/>
            </w:tcMar>
            <w:vAlign w:val="center"/>
          </w:tcPr>
          <w:p w14:paraId="1228D958">
            <w:pPr>
              <w:pStyle w:val="44"/>
              <w:bidi w:val="0"/>
              <w:rPr>
                <w:rFonts w:hint="default"/>
                <w:color w:val="auto"/>
              </w:rPr>
            </w:pPr>
            <w:r>
              <w:rPr>
                <w:color w:val="auto"/>
              </w:rPr>
              <w:t>6.5</w:t>
            </w:r>
          </w:p>
        </w:tc>
        <w:tc>
          <w:tcPr>
            <w:tcW w:w="166" w:type="pct"/>
            <w:tcBorders>
              <w:tl2br w:val="nil"/>
              <w:tr2bl w:val="nil"/>
            </w:tcBorders>
            <w:noWrap w:val="0"/>
            <w:tcMar>
              <w:top w:w="0" w:type="dxa"/>
              <w:left w:w="0" w:type="dxa"/>
              <w:bottom w:w="0" w:type="dxa"/>
              <w:right w:w="0" w:type="dxa"/>
            </w:tcMar>
            <w:vAlign w:val="center"/>
          </w:tcPr>
          <w:p w14:paraId="7A0324B5">
            <w:pPr>
              <w:pStyle w:val="44"/>
              <w:bidi w:val="0"/>
              <w:rPr>
                <w:rFonts w:hint="default"/>
                <w:color w:val="auto"/>
              </w:rPr>
            </w:pPr>
            <w:r>
              <w:rPr>
                <w:color w:val="auto"/>
              </w:rPr>
              <w:t>56.7</w:t>
            </w:r>
          </w:p>
        </w:tc>
        <w:tc>
          <w:tcPr>
            <w:tcW w:w="166" w:type="pct"/>
            <w:tcBorders>
              <w:tl2br w:val="nil"/>
              <w:tr2bl w:val="nil"/>
            </w:tcBorders>
            <w:noWrap w:val="0"/>
            <w:tcMar>
              <w:top w:w="0" w:type="dxa"/>
              <w:left w:w="0" w:type="dxa"/>
              <w:bottom w:w="0" w:type="dxa"/>
              <w:right w:w="0" w:type="dxa"/>
            </w:tcMar>
            <w:vAlign w:val="center"/>
          </w:tcPr>
          <w:p w14:paraId="31AF2D2C">
            <w:pPr>
              <w:pStyle w:val="44"/>
              <w:bidi w:val="0"/>
              <w:rPr>
                <w:rFonts w:hint="default"/>
                <w:color w:val="auto"/>
              </w:rPr>
            </w:pPr>
            <w:r>
              <w:rPr>
                <w:color w:val="auto"/>
              </w:rPr>
              <w:t>56.7</w:t>
            </w:r>
          </w:p>
        </w:tc>
        <w:tc>
          <w:tcPr>
            <w:tcW w:w="166" w:type="pct"/>
            <w:tcBorders>
              <w:tl2br w:val="nil"/>
              <w:tr2bl w:val="nil"/>
            </w:tcBorders>
            <w:noWrap w:val="0"/>
            <w:tcMar>
              <w:top w:w="0" w:type="dxa"/>
              <w:left w:w="0" w:type="dxa"/>
              <w:bottom w:w="0" w:type="dxa"/>
              <w:right w:w="0" w:type="dxa"/>
            </w:tcMar>
            <w:vAlign w:val="center"/>
          </w:tcPr>
          <w:p w14:paraId="4CA20BA0">
            <w:pPr>
              <w:pStyle w:val="44"/>
              <w:bidi w:val="0"/>
              <w:rPr>
                <w:rFonts w:hint="default"/>
                <w:color w:val="auto"/>
              </w:rPr>
            </w:pPr>
            <w:r>
              <w:rPr>
                <w:color w:val="auto"/>
              </w:rPr>
              <w:t>56.7</w:t>
            </w:r>
          </w:p>
        </w:tc>
        <w:tc>
          <w:tcPr>
            <w:tcW w:w="177" w:type="pct"/>
            <w:tcBorders>
              <w:tl2br w:val="nil"/>
              <w:tr2bl w:val="nil"/>
            </w:tcBorders>
            <w:noWrap w:val="0"/>
            <w:tcMar>
              <w:top w:w="0" w:type="dxa"/>
              <w:left w:w="0" w:type="dxa"/>
              <w:bottom w:w="0" w:type="dxa"/>
              <w:right w:w="0" w:type="dxa"/>
            </w:tcMar>
            <w:vAlign w:val="center"/>
          </w:tcPr>
          <w:p w14:paraId="3DF07E8A">
            <w:pPr>
              <w:pStyle w:val="44"/>
              <w:bidi w:val="0"/>
              <w:rPr>
                <w:rFonts w:hint="default"/>
                <w:color w:val="auto"/>
              </w:rPr>
            </w:pPr>
            <w:r>
              <w:rPr>
                <w:color w:val="auto"/>
              </w:rPr>
              <w:t>57.1</w:t>
            </w:r>
          </w:p>
        </w:tc>
        <w:tc>
          <w:tcPr>
            <w:tcW w:w="207" w:type="pct"/>
            <w:vMerge w:val="continue"/>
            <w:tcBorders>
              <w:tl2br w:val="nil"/>
              <w:tr2bl w:val="nil"/>
            </w:tcBorders>
            <w:noWrap w:val="0"/>
            <w:tcMar>
              <w:top w:w="0" w:type="dxa"/>
              <w:left w:w="0" w:type="dxa"/>
              <w:bottom w:w="0" w:type="dxa"/>
              <w:right w:w="0" w:type="dxa"/>
            </w:tcMar>
            <w:vAlign w:val="center"/>
          </w:tcPr>
          <w:p w14:paraId="691203BD">
            <w:pPr>
              <w:pStyle w:val="44"/>
              <w:bidi w:val="0"/>
              <w:rPr>
                <w:rFonts w:hint="default"/>
                <w:color w:val="auto"/>
              </w:rPr>
            </w:pPr>
          </w:p>
        </w:tc>
        <w:tc>
          <w:tcPr>
            <w:tcW w:w="161" w:type="pct"/>
            <w:tcBorders>
              <w:tl2br w:val="nil"/>
              <w:tr2bl w:val="nil"/>
            </w:tcBorders>
            <w:noWrap w:val="0"/>
            <w:tcMar>
              <w:top w:w="0" w:type="dxa"/>
              <w:left w:w="0" w:type="dxa"/>
              <w:bottom w:w="0" w:type="dxa"/>
              <w:right w:w="0" w:type="dxa"/>
            </w:tcMar>
            <w:vAlign w:val="center"/>
          </w:tcPr>
          <w:p w14:paraId="699D652C">
            <w:pPr>
              <w:pStyle w:val="44"/>
              <w:bidi w:val="0"/>
              <w:rPr>
                <w:rFonts w:hint="default"/>
                <w:color w:val="auto"/>
              </w:rPr>
            </w:pPr>
            <w:r>
              <w:rPr>
                <w:color w:val="auto"/>
              </w:rPr>
              <w:t>26.0</w:t>
            </w:r>
          </w:p>
        </w:tc>
        <w:tc>
          <w:tcPr>
            <w:tcW w:w="161" w:type="pct"/>
            <w:tcBorders>
              <w:tl2br w:val="nil"/>
              <w:tr2bl w:val="nil"/>
            </w:tcBorders>
            <w:noWrap w:val="0"/>
            <w:tcMar>
              <w:top w:w="0" w:type="dxa"/>
              <w:left w:w="0" w:type="dxa"/>
              <w:bottom w:w="0" w:type="dxa"/>
              <w:right w:w="0" w:type="dxa"/>
            </w:tcMar>
            <w:vAlign w:val="center"/>
          </w:tcPr>
          <w:p w14:paraId="280CC865">
            <w:pPr>
              <w:pStyle w:val="44"/>
              <w:bidi w:val="0"/>
              <w:rPr>
                <w:rFonts w:hint="default"/>
                <w:color w:val="auto"/>
              </w:rPr>
            </w:pPr>
            <w:r>
              <w:rPr>
                <w:color w:val="auto"/>
              </w:rPr>
              <w:t>26.0</w:t>
            </w:r>
          </w:p>
        </w:tc>
        <w:tc>
          <w:tcPr>
            <w:tcW w:w="161" w:type="pct"/>
            <w:tcBorders>
              <w:tl2br w:val="nil"/>
              <w:tr2bl w:val="nil"/>
            </w:tcBorders>
            <w:noWrap w:val="0"/>
            <w:tcMar>
              <w:top w:w="0" w:type="dxa"/>
              <w:left w:w="0" w:type="dxa"/>
              <w:bottom w:w="0" w:type="dxa"/>
              <w:right w:w="0" w:type="dxa"/>
            </w:tcMar>
            <w:vAlign w:val="center"/>
          </w:tcPr>
          <w:p w14:paraId="185DB202">
            <w:pPr>
              <w:pStyle w:val="44"/>
              <w:bidi w:val="0"/>
              <w:rPr>
                <w:rFonts w:hint="default"/>
                <w:color w:val="auto"/>
              </w:rPr>
            </w:pPr>
            <w:r>
              <w:rPr>
                <w:color w:val="auto"/>
              </w:rPr>
              <w:t>26.0</w:t>
            </w:r>
          </w:p>
        </w:tc>
        <w:tc>
          <w:tcPr>
            <w:tcW w:w="174" w:type="pct"/>
            <w:tcBorders>
              <w:tl2br w:val="nil"/>
              <w:tr2bl w:val="nil"/>
            </w:tcBorders>
            <w:noWrap w:val="0"/>
            <w:tcMar>
              <w:top w:w="0" w:type="dxa"/>
              <w:left w:w="0" w:type="dxa"/>
              <w:bottom w:w="0" w:type="dxa"/>
              <w:right w:w="0" w:type="dxa"/>
            </w:tcMar>
            <w:vAlign w:val="center"/>
          </w:tcPr>
          <w:p w14:paraId="0CBD6C7A">
            <w:pPr>
              <w:pStyle w:val="44"/>
              <w:bidi w:val="0"/>
              <w:rPr>
                <w:rFonts w:hint="default"/>
                <w:color w:val="auto"/>
              </w:rPr>
            </w:pPr>
            <w:r>
              <w:rPr>
                <w:color w:val="auto"/>
              </w:rPr>
              <w:t>26.0</w:t>
            </w:r>
          </w:p>
        </w:tc>
        <w:tc>
          <w:tcPr>
            <w:tcW w:w="169" w:type="pct"/>
            <w:tcBorders>
              <w:tl2br w:val="nil"/>
              <w:tr2bl w:val="nil"/>
            </w:tcBorders>
            <w:noWrap w:val="0"/>
            <w:tcMar>
              <w:top w:w="0" w:type="dxa"/>
              <w:left w:w="0" w:type="dxa"/>
              <w:bottom w:w="0" w:type="dxa"/>
              <w:right w:w="0" w:type="dxa"/>
            </w:tcMar>
            <w:vAlign w:val="center"/>
          </w:tcPr>
          <w:p w14:paraId="76FA3FD1">
            <w:pPr>
              <w:pStyle w:val="44"/>
              <w:bidi w:val="0"/>
              <w:rPr>
                <w:rFonts w:hint="default"/>
                <w:color w:val="auto"/>
              </w:rPr>
            </w:pPr>
            <w:r>
              <w:rPr>
                <w:color w:val="auto"/>
              </w:rPr>
              <w:t>30.7</w:t>
            </w:r>
          </w:p>
        </w:tc>
        <w:tc>
          <w:tcPr>
            <w:tcW w:w="169" w:type="pct"/>
            <w:tcBorders>
              <w:tl2br w:val="nil"/>
              <w:tr2bl w:val="nil"/>
            </w:tcBorders>
            <w:noWrap w:val="0"/>
            <w:tcMar>
              <w:top w:w="0" w:type="dxa"/>
              <w:left w:w="0" w:type="dxa"/>
              <w:bottom w:w="0" w:type="dxa"/>
              <w:right w:w="0" w:type="dxa"/>
            </w:tcMar>
            <w:vAlign w:val="center"/>
          </w:tcPr>
          <w:p w14:paraId="5707AC7B">
            <w:pPr>
              <w:pStyle w:val="44"/>
              <w:bidi w:val="0"/>
              <w:rPr>
                <w:rFonts w:hint="default"/>
                <w:color w:val="auto"/>
              </w:rPr>
            </w:pPr>
            <w:r>
              <w:rPr>
                <w:color w:val="auto"/>
              </w:rPr>
              <w:t>30.7</w:t>
            </w:r>
          </w:p>
        </w:tc>
        <w:tc>
          <w:tcPr>
            <w:tcW w:w="169" w:type="pct"/>
            <w:tcBorders>
              <w:tl2br w:val="nil"/>
              <w:tr2bl w:val="nil"/>
            </w:tcBorders>
            <w:noWrap w:val="0"/>
            <w:tcMar>
              <w:top w:w="0" w:type="dxa"/>
              <w:left w:w="0" w:type="dxa"/>
              <w:bottom w:w="0" w:type="dxa"/>
              <w:right w:w="0" w:type="dxa"/>
            </w:tcMar>
            <w:vAlign w:val="center"/>
          </w:tcPr>
          <w:p w14:paraId="4A1E57BD">
            <w:pPr>
              <w:pStyle w:val="44"/>
              <w:bidi w:val="0"/>
              <w:rPr>
                <w:rFonts w:hint="default"/>
                <w:color w:val="auto"/>
              </w:rPr>
            </w:pPr>
            <w:r>
              <w:rPr>
                <w:color w:val="auto"/>
              </w:rPr>
              <w:t>30.7</w:t>
            </w:r>
          </w:p>
        </w:tc>
        <w:tc>
          <w:tcPr>
            <w:tcW w:w="169" w:type="pct"/>
            <w:tcBorders>
              <w:tl2br w:val="nil"/>
              <w:tr2bl w:val="nil"/>
            </w:tcBorders>
            <w:noWrap w:val="0"/>
            <w:tcMar>
              <w:top w:w="0" w:type="dxa"/>
              <w:left w:w="0" w:type="dxa"/>
              <w:bottom w:w="0" w:type="dxa"/>
              <w:right w:w="0" w:type="dxa"/>
            </w:tcMar>
            <w:vAlign w:val="center"/>
          </w:tcPr>
          <w:p w14:paraId="0834540F">
            <w:pPr>
              <w:pStyle w:val="44"/>
              <w:bidi w:val="0"/>
              <w:rPr>
                <w:rFonts w:hint="default"/>
                <w:color w:val="auto"/>
              </w:rPr>
            </w:pPr>
            <w:r>
              <w:rPr>
                <w:color w:val="auto"/>
              </w:rPr>
              <w:t>31.1</w:t>
            </w:r>
          </w:p>
        </w:tc>
        <w:tc>
          <w:tcPr>
            <w:tcW w:w="242" w:type="pct"/>
            <w:tcBorders>
              <w:tl2br w:val="nil"/>
              <w:tr2bl w:val="nil"/>
            </w:tcBorders>
            <w:noWrap w:val="0"/>
            <w:tcMar>
              <w:top w:w="0" w:type="dxa"/>
              <w:left w:w="0" w:type="dxa"/>
              <w:bottom w:w="0" w:type="dxa"/>
              <w:right w:w="0" w:type="dxa"/>
            </w:tcMar>
            <w:vAlign w:val="center"/>
          </w:tcPr>
          <w:p w14:paraId="44A662B9">
            <w:pPr>
              <w:pStyle w:val="44"/>
              <w:bidi w:val="0"/>
              <w:rPr>
                <w:rFonts w:hint="default"/>
                <w:color w:val="auto"/>
              </w:rPr>
            </w:pPr>
            <w:r>
              <w:rPr>
                <w:color w:val="auto"/>
              </w:rPr>
              <w:t>1</w:t>
            </w:r>
          </w:p>
        </w:tc>
      </w:tr>
      <w:tr w14:paraId="482BF68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78" w:type="pct"/>
            <w:tcBorders>
              <w:tl2br w:val="nil"/>
              <w:tr2bl w:val="nil"/>
            </w:tcBorders>
            <w:noWrap w:val="0"/>
            <w:tcMar>
              <w:top w:w="0" w:type="dxa"/>
              <w:left w:w="0" w:type="dxa"/>
              <w:bottom w:w="0" w:type="dxa"/>
              <w:right w:w="0" w:type="dxa"/>
            </w:tcMar>
            <w:vAlign w:val="center"/>
          </w:tcPr>
          <w:p w14:paraId="6B8504D6">
            <w:pPr>
              <w:pStyle w:val="44"/>
              <w:bidi w:val="0"/>
              <w:rPr>
                <w:rFonts w:hint="default"/>
                <w:color w:val="auto"/>
              </w:rPr>
            </w:pPr>
            <w:r>
              <w:rPr>
                <w:rFonts w:hint="default"/>
                <w:color w:val="auto"/>
              </w:rPr>
              <w:t>6</w:t>
            </w:r>
          </w:p>
        </w:tc>
        <w:tc>
          <w:tcPr>
            <w:tcW w:w="129" w:type="pct"/>
            <w:vMerge w:val="continue"/>
            <w:tcBorders>
              <w:tl2br w:val="nil"/>
              <w:tr2bl w:val="nil"/>
            </w:tcBorders>
            <w:noWrap w:val="0"/>
            <w:tcMar>
              <w:top w:w="0" w:type="dxa"/>
              <w:left w:w="0" w:type="dxa"/>
              <w:bottom w:w="0" w:type="dxa"/>
              <w:right w:w="0" w:type="dxa"/>
            </w:tcMar>
            <w:vAlign w:val="center"/>
          </w:tcPr>
          <w:p w14:paraId="5FAF7B5F">
            <w:pPr>
              <w:pStyle w:val="44"/>
              <w:bidi w:val="0"/>
              <w:rPr>
                <w:rFonts w:hint="default"/>
                <w:color w:val="auto"/>
              </w:rPr>
            </w:pPr>
          </w:p>
        </w:tc>
        <w:tc>
          <w:tcPr>
            <w:tcW w:w="377" w:type="pct"/>
            <w:tcBorders>
              <w:tl2br w:val="nil"/>
              <w:tr2bl w:val="nil"/>
            </w:tcBorders>
            <w:noWrap w:val="0"/>
            <w:tcMar>
              <w:top w:w="0" w:type="dxa"/>
              <w:left w:w="0" w:type="dxa"/>
              <w:bottom w:w="0" w:type="dxa"/>
              <w:right w:w="0" w:type="dxa"/>
            </w:tcMar>
            <w:vAlign w:val="center"/>
          </w:tcPr>
          <w:p w14:paraId="52B9CE75">
            <w:pPr>
              <w:pStyle w:val="44"/>
              <w:bidi w:val="0"/>
              <w:rPr>
                <w:rFonts w:hint="eastAsia"/>
                <w:color w:val="auto"/>
                <w:lang w:val="en-US" w:eastAsia="zh-CN"/>
              </w:rPr>
            </w:pPr>
            <w:r>
              <w:rPr>
                <w:color w:val="auto"/>
              </w:rPr>
              <w:t>压机</w:t>
            </w:r>
          </w:p>
        </w:tc>
        <w:tc>
          <w:tcPr>
            <w:tcW w:w="262" w:type="pct"/>
            <w:tcBorders>
              <w:tl2br w:val="nil"/>
              <w:tr2bl w:val="nil"/>
            </w:tcBorders>
            <w:noWrap w:val="0"/>
            <w:tcMar>
              <w:top w:w="0" w:type="dxa"/>
              <w:left w:w="0" w:type="dxa"/>
              <w:bottom w:w="0" w:type="dxa"/>
              <w:right w:w="0" w:type="dxa"/>
            </w:tcMar>
            <w:vAlign w:val="center"/>
          </w:tcPr>
          <w:p w14:paraId="606C9D5F">
            <w:pPr>
              <w:pStyle w:val="44"/>
              <w:bidi w:val="0"/>
              <w:rPr>
                <w:rFonts w:hint="default"/>
                <w:color w:val="auto"/>
                <w:lang w:val="en-US" w:eastAsia="zh-CN"/>
              </w:rPr>
            </w:pPr>
            <w:r>
              <w:rPr>
                <w:color w:val="auto"/>
              </w:rPr>
              <w:t>65</w:t>
            </w:r>
          </w:p>
        </w:tc>
        <w:tc>
          <w:tcPr>
            <w:tcW w:w="232" w:type="pct"/>
            <w:vMerge w:val="continue"/>
            <w:tcBorders>
              <w:tl2br w:val="nil"/>
              <w:tr2bl w:val="nil"/>
            </w:tcBorders>
            <w:noWrap w:val="0"/>
            <w:tcMar>
              <w:top w:w="0" w:type="dxa"/>
              <w:left w:w="0" w:type="dxa"/>
              <w:bottom w:w="0" w:type="dxa"/>
              <w:right w:w="0" w:type="dxa"/>
            </w:tcMar>
            <w:vAlign w:val="center"/>
          </w:tcPr>
          <w:p w14:paraId="306A170B">
            <w:pPr>
              <w:pStyle w:val="44"/>
              <w:bidi w:val="0"/>
              <w:rPr>
                <w:rFonts w:hint="default"/>
                <w:color w:val="auto"/>
              </w:rPr>
            </w:pPr>
          </w:p>
        </w:tc>
        <w:tc>
          <w:tcPr>
            <w:tcW w:w="214" w:type="pct"/>
            <w:tcBorders>
              <w:tl2br w:val="nil"/>
              <w:tr2bl w:val="nil"/>
            </w:tcBorders>
            <w:noWrap w:val="0"/>
            <w:tcMar>
              <w:top w:w="0" w:type="dxa"/>
              <w:left w:w="0" w:type="dxa"/>
              <w:bottom w:w="0" w:type="dxa"/>
              <w:right w:w="0" w:type="dxa"/>
            </w:tcMar>
            <w:vAlign w:val="center"/>
          </w:tcPr>
          <w:p w14:paraId="351C467B">
            <w:pPr>
              <w:pStyle w:val="44"/>
              <w:bidi w:val="0"/>
              <w:rPr>
                <w:rFonts w:hint="default"/>
                <w:color w:val="auto"/>
              </w:rPr>
            </w:pPr>
            <w:r>
              <w:rPr>
                <w:color w:val="auto"/>
              </w:rPr>
              <w:t>-14.2</w:t>
            </w:r>
          </w:p>
        </w:tc>
        <w:tc>
          <w:tcPr>
            <w:tcW w:w="206" w:type="pct"/>
            <w:tcBorders>
              <w:tl2br w:val="nil"/>
              <w:tr2bl w:val="nil"/>
            </w:tcBorders>
            <w:noWrap w:val="0"/>
            <w:tcMar>
              <w:top w:w="0" w:type="dxa"/>
              <w:left w:w="0" w:type="dxa"/>
              <w:bottom w:w="0" w:type="dxa"/>
              <w:right w:w="0" w:type="dxa"/>
            </w:tcMar>
            <w:vAlign w:val="center"/>
          </w:tcPr>
          <w:p w14:paraId="7C551966">
            <w:pPr>
              <w:pStyle w:val="44"/>
              <w:bidi w:val="0"/>
              <w:rPr>
                <w:rFonts w:hint="default"/>
                <w:color w:val="auto"/>
              </w:rPr>
            </w:pPr>
            <w:r>
              <w:rPr>
                <w:color w:val="auto"/>
              </w:rPr>
              <w:t>-12.5</w:t>
            </w:r>
          </w:p>
        </w:tc>
        <w:tc>
          <w:tcPr>
            <w:tcW w:w="185" w:type="pct"/>
            <w:tcBorders>
              <w:tl2br w:val="nil"/>
              <w:tr2bl w:val="nil"/>
            </w:tcBorders>
            <w:noWrap w:val="0"/>
            <w:tcMar>
              <w:top w:w="0" w:type="dxa"/>
              <w:left w:w="0" w:type="dxa"/>
              <w:bottom w:w="0" w:type="dxa"/>
              <w:right w:w="0" w:type="dxa"/>
            </w:tcMar>
            <w:vAlign w:val="center"/>
          </w:tcPr>
          <w:p w14:paraId="715BE505">
            <w:pPr>
              <w:pStyle w:val="44"/>
              <w:bidi w:val="0"/>
              <w:rPr>
                <w:rFonts w:hint="default"/>
                <w:color w:val="auto"/>
              </w:rPr>
            </w:pPr>
            <w:r>
              <w:rPr>
                <w:color w:val="auto"/>
              </w:rPr>
              <w:t>1.2</w:t>
            </w:r>
          </w:p>
        </w:tc>
        <w:tc>
          <w:tcPr>
            <w:tcW w:w="198" w:type="pct"/>
            <w:tcBorders>
              <w:tl2br w:val="nil"/>
              <w:tr2bl w:val="nil"/>
            </w:tcBorders>
            <w:noWrap w:val="0"/>
            <w:tcMar>
              <w:top w:w="0" w:type="dxa"/>
              <w:left w:w="0" w:type="dxa"/>
              <w:bottom w:w="0" w:type="dxa"/>
              <w:right w:w="0" w:type="dxa"/>
            </w:tcMar>
            <w:vAlign w:val="center"/>
          </w:tcPr>
          <w:p w14:paraId="21C936E5">
            <w:pPr>
              <w:pStyle w:val="44"/>
              <w:bidi w:val="0"/>
              <w:rPr>
                <w:rFonts w:hint="default"/>
                <w:color w:val="auto"/>
              </w:rPr>
            </w:pPr>
            <w:r>
              <w:rPr>
                <w:color w:val="auto"/>
              </w:rPr>
              <w:t>74.5</w:t>
            </w:r>
          </w:p>
        </w:tc>
        <w:tc>
          <w:tcPr>
            <w:tcW w:w="186" w:type="pct"/>
            <w:tcBorders>
              <w:tl2br w:val="nil"/>
              <w:tr2bl w:val="nil"/>
            </w:tcBorders>
            <w:noWrap w:val="0"/>
            <w:tcMar>
              <w:top w:w="0" w:type="dxa"/>
              <w:left w:w="0" w:type="dxa"/>
              <w:bottom w:w="0" w:type="dxa"/>
              <w:right w:w="0" w:type="dxa"/>
            </w:tcMar>
            <w:vAlign w:val="center"/>
          </w:tcPr>
          <w:p w14:paraId="5E5DFF86">
            <w:pPr>
              <w:pStyle w:val="44"/>
              <w:bidi w:val="0"/>
              <w:rPr>
                <w:rFonts w:hint="default"/>
                <w:color w:val="auto"/>
              </w:rPr>
            </w:pPr>
            <w:r>
              <w:rPr>
                <w:color w:val="auto"/>
              </w:rPr>
              <w:t>4.7</w:t>
            </w:r>
          </w:p>
        </w:tc>
        <w:tc>
          <w:tcPr>
            <w:tcW w:w="169" w:type="pct"/>
            <w:tcBorders>
              <w:tl2br w:val="nil"/>
              <w:tr2bl w:val="nil"/>
            </w:tcBorders>
            <w:noWrap w:val="0"/>
            <w:tcMar>
              <w:top w:w="0" w:type="dxa"/>
              <w:left w:w="0" w:type="dxa"/>
              <w:bottom w:w="0" w:type="dxa"/>
              <w:right w:w="0" w:type="dxa"/>
            </w:tcMar>
            <w:vAlign w:val="center"/>
          </w:tcPr>
          <w:p w14:paraId="2EFF0A0E">
            <w:pPr>
              <w:pStyle w:val="44"/>
              <w:bidi w:val="0"/>
              <w:rPr>
                <w:rFonts w:hint="default"/>
                <w:color w:val="auto"/>
              </w:rPr>
            </w:pPr>
            <w:r>
              <w:rPr>
                <w:color w:val="auto"/>
              </w:rPr>
              <w:t>40.1</w:t>
            </w:r>
          </w:p>
        </w:tc>
        <w:tc>
          <w:tcPr>
            <w:tcW w:w="190" w:type="pct"/>
            <w:tcBorders>
              <w:tl2br w:val="nil"/>
              <w:tr2bl w:val="nil"/>
            </w:tcBorders>
            <w:noWrap w:val="0"/>
            <w:tcMar>
              <w:top w:w="0" w:type="dxa"/>
              <w:left w:w="0" w:type="dxa"/>
              <w:bottom w:w="0" w:type="dxa"/>
              <w:right w:w="0" w:type="dxa"/>
            </w:tcMar>
            <w:vAlign w:val="center"/>
          </w:tcPr>
          <w:p w14:paraId="7DF7570B">
            <w:pPr>
              <w:pStyle w:val="44"/>
              <w:bidi w:val="0"/>
              <w:rPr>
                <w:rFonts w:hint="default"/>
                <w:color w:val="auto"/>
              </w:rPr>
            </w:pPr>
            <w:r>
              <w:rPr>
                <w:color w:val="auto"/>
              </w:rPr>
              <w:t>22.9</w:t>
            </w:r>
          </w:p>
        </w:tc>
        <w:tc>
          <w:tcPr>
            <w:tcW w:w="166" w:type="pct"/>
            <w:tcBorders>
              <w:tl2br w:val="nil"/>
              <w:tr2bl w:val="nil"/>
            </w:tcBorders>
            <w:noWrap w:val="0"/>
            <w:tcMar>
              <w:top w:w="0" w:type="dxa"/>
              <w:left w:w="0" w:type="dxa"/>
              <w:bottom w:w="0" w:type="dxa"/>
              <w:right w:w="0" w:type="dxa"/>
            </w:tcMar>
            <w:vAlign w:val="center"/>
          </w:tcPr>
          <w:p w14:paraId="50F68D63">
            <w:pPr>
              <w:pStyle w:val="44"/>
              <w:bidi w:val="0"/>
              <w:rPr>
                <w:rFonts w:hint="default"/>
                <w:color w:val="auto"/>
              </w:rPr>
            </w:pPr>
            <w:r>
              <w:rPr>
                <w:color w:val="auto"/>
              </w:rPr>
              <w:t>47.7</w:t>
            </w:r>
          </w:p>
        </w:tc>
        <w:tc>
          <w:tcPr>
            <w:tcW w:w="166" w:type="pct"/>
            <w:tcBorders>
              <w:tl2br w:val="nil"/>
              <w:tr2bl w:val="nil"/>
            </w:tcBorders>
            <w:noWrap w:val="0"/>
            <w:tcMar>
              <w:top w:w="0" w:type="dxa"/>
              <w:left w:w="0" w:type="dxa"/>
              <w:bottom w:w="0" w:type="dxa"/>
              <w:right w:w="0" w:type="dxa"/>
            </w:tcMar>
            <w:vAlign w:val="center"/>
          </w:tcPr>
          <w:p w14:paraId="1BB1F343">
            <w:pPr>
              <w:pStyle w:val="44"/>
              <w:bidi w:val="0"/>
              <w:rPr>
                <w:rFonts w:hint="default"/>
                <w:color w:val="auto"/>
              </w:rPr>
            </w:pPr>
            <w:r>
              <w:rPr>
                <w:color w:val="auto"/>
              </w:rPr>
              <w:t>48.4</w:t>
            </w:r>
          </w:p>
        </w:tc>
        <w:tc>
          <w:tcPr>
            <w:tcW w:w="166" w:type="pct"/>
            <w:tcBorders>
              <w:tl2br w:val="nil"/>
              <w:tr2bl w:val="nil"/>
            </w:tcBorders>
            <w:noWrap w:val="0"/>
            <w:tcMar>
              <w:top w:w="0" w:type="dxa"/>
              <w:left w:w="0" w:type="dxa"/>
              <w:bottom w:w="0" w:type="dxa"/>
              <w:right w:w="0" w:type="dxa"/>
            </w:tcMar>
            <w:vAlign w:val="center"/>
          </w:tcPr>
          <w:p w14:paraId="368FA944">
            <w:pPr>
              <w:pStyle w:val="44"/>
              <w:bidi w:val="0"/>
              <w:rPr>
                <w:rFonts w:hint="default"/>
                <w:color w:val="auto"/>
              </w:rPr>
            </w:pPr>
            <w:r>
              <w:rPr>
                <w:color w:val="auto"/>
              </w:rPr>
              <w:t>47.7</w:t>
            </w:r>
          </w:p>
        </w:tc>
        <w:tc>
          <w:tcPr>
            <w:tcW w:w="177" w:type="pct"/>
            <w:tcBorders>
              <w:tl2br w:val="nil"/>
              <w:tr2bl w:val="nil"/>
            </w:tcBorders>
            <w:noWrap w:val="0"/>
            <w:tcMar>
              <w:top w:w="0" w:type="dxa"/>
              <w:left w:w="0" w:type="dxa"/>
              <w:bottom w:w="0" w:type="dxa"/>
              <w:right w:w="0" w:type="dxa"/>
            </w:tcMar>
            <w:vAlign w:val="center"/>
          </w:tcPr>
          <w:p w14:paraId="7CB0F886">
            <w:pPr>
              <w:pStyle w:val="44"/>
              <w:bidi w:val="0"/>
              <w:rPr>
                <w:rFonts w:hint="default"/>
                <w:color w:val="auto"/>
              </w:rPr>
            </w:pPr>
            <w:r>
              <w:rPr>
                <w:color w:val="auto"/>
              </w:rPr>
              <w:t>47.7</w:t>
            </w:r>
          </w:p>
        </w:tc>
        <w:tc>
          <w:tcPr>
            <w:tcW w:w="207" w:type="pct"/>
            <w:vMerge w:val="continue"/>
            <w:tcBorders>
              <w:tl2br w:val="nil"/>
              <w:tr2bl w:val="nil"/>
            </w:tcBorders>
            <w:noWrap w:val="0"/>
            <w:tcMar>
              <w:top w:w="0" w:type="dxa"/>
              <w:left w:w="0" w:type="dxa"/>
              <w:bottom w:w="0" w:type="dxa"/>
              <w:right w:w="0" w:type="dxa"/>
            </w:tcMar>
            <w:vAlign w:val="center"/>
          </w:tcPr>
          <w:p w14:paraId="09DFEE7B">
            <w:pPr>
              <w:pStyle w:val="44"/>
              <w:bidi w:val="0"/>
              <w:rPr>
                <w:rFonts w:hint="default"/>
                <w:color w:val="auto"/>
              </w:rPr>
            </w:pPr>
          </w:p>
        </w:tc>
        <w:tc>
          <w:tcPr>
            <w:tcW w:w="161" w:type="pct"/>
            <w:tcBorders>
              <w:tl2br w:val="nil"/>
              <w:tr2bl w:val="nil"/>
            </w:tcBorders>
            <w:noWrap w:val="0"/>
            <w:tcMar>
              <w:top w:w="0" w:type="dxa"/>
              <w:left w:w="0" w:type="dxa"/>
              <w:bottom w:w="0" w:type="dxa"/>
              <w:right w:w="0" w:type="dxa"/>
            </w:tcMar>
            <w:vAlign w:val="center"/>
          </w:tcPr>
          <w:p w14:paraId="1EBC6277">
            <w:pPr>
              <w:pStyle w:val="44"/>
              <w:bidi w:val="0"/>
              <w:rPr>
                <w:rFonts w:hint="default"/>
                <w:color w:val="auto"/>
              </w:rPr>
            </w:pPr>
            <w:r>
              <w:rPr>
                <w:color w:val="auto"/>
              </w:rPr>
              <w:t>26.0</w:t>
            </w:r>
          </w:p>
        </w:tc>
        <w:tc>
          <w:tcPr>
            <w:tcW w:w="161" w:type="pct"/>
            <w:tcBorders>
              <w:tl2br w:val="nil"/>
              <w:tr2bl w:val="nil"/>
            </w:tcBorders>
            <w:noWrap w:val="0"/>
            <w:tcMar>
              <w:top w:w="0" w:type="dxa"/>
              <w:left w:w="0" w:type="dxa"/>
              <w:bottom w:w="0" w:type="dxa"/>
              <w:right w:w="0" w:type="dxa"/>
            </w:tcMar>
            <w:vAlign w:val="center"/>
          </w:tcPr>
          <w:p w14:paraId="36D2BA9B">
            <w:pPr>
              <w:pStyle w:val="44"/>
              <w:bidi w:val="0"/>
              <w:rPr>
                <w:rFonts w:hint="default"/>
                <w:color w:val="auto"/>
              </w:rPr>
            </w:pPr>
            <w:r>
              <w:rPr>
                <w:color w:val="auto"/>
              </w:rPr>
              <w:t>26.0</w:t>
            </w:r>
          </w:p>
        </w:tc>
        <w:tc>
          <w:tcPr>
            <w:tcW w:w="161" w:type="pct"/>
            <w:tcBorders>
              <w:tl2br w:val="nil"/>
              <w:tr2bl w:val="nil"/>
            </w:tcBorders>
            <w:noWrap w:val="0"/>
            <w:tcMar>
              <w:top w:w="0" w:type="dxa"/>
              <w:left w:w="0" w:type="dxa"/>
              <w:bottom w:w="0" w:type="dxa"/>
              <w:right w:w="0" w:type="dxa"/>
            </w:tcMar>
            <w:vAlign w:val="center"/>
          </w:tcPr>
          <w:p w14:paraId="63E58465">
            <w:pPr>
              <w:pStyle w:val="44"/>
              <w:bidi w:val="0"/>
              <w:rPr>
                <w:rFonts w:hint="default"/>
                <w:color w:val="auto"/>
              </w:rPr>
            </w:pPr>
            <w:r>
              <w:rPr>
                <w:color w:val="auto"/>
              </w:rPr>
              <w:t>26.0</w:t>
            </w:r>
          </w:p>
        </w:tc>
        <w:tc>
          <w:tcPr>
            <w:tcW w:w="174" w:type="pct"/>
            <w:tcBorders>
              <w:tl2br w:val="nil"/>
              <w:tr2bl w:val="nil"/>
            </w:tcBorders>
            <w:noWrap w:val="0"/>
            <w:tcMar>
              <w:top w:w="0" w:type="dxa"/>
              <w:left w:w="0" w:type="dxa"/>
              <w:bottom w:w="0" w:type="dxa"/>
              <w:right w:w="0" w:type="dxa"/>
            </w:tcMar>
            <w:vAlign w:val="center"/>
          </w:tcPr>
          <w:p w14:paraId="2803671B">
            <w:pPr>
              <w:pStyle w:val="44"/>
              <w:bidi w:val="0"/>
              <w:rPr>
                <w:rFonts w:hint="default"/>
                <w:color w:val="auto"/>
              </w:rPr>
            </w:pPr>
            <w:r>
              <w:rPr>
                <w:color w:val="auto"/>
              </w:rPr>
              <w:t>26.0</w:t>
            </w:r>
          </w:p>
        </w:tc>
        <w:tc>
          <w:tcPr>
            <w:tcW w:w="169" w:type="pct"/>
            <w:tcBorders>
              <w:tl2br w:val="nil"/>
              <w:tr2bl w:val="nil"/>
            </w:tcBorders>
            <w:noWrap w:val="0"/>
            <w:tcMar>
              <w:top w:w="0" w:type="dxa"/>
              <w:left w:w="0" w:type="dxa"/>
              <w:bottom w:w="0" w:type="dxa"/>
              <w:right w:w="0" w:type="dxa"/>
            </w:tcMar>
            <w:vAlign w:val="center"/>
          </w:tcPr>
          <w:p w14:paraId="71468549">
            <w:pPr>
              <w:pStyle w:val="44"/>
              <w:bidi w:val="0"/>
              <w:rPr>
                <w:rFonts w:hint="default"/>
                <w:color w:val="auto"/>
              </w:rPr>
            </w:pPr>
            <w:r>
              <w:rPr>
                <w:color w:val="auto"/>
              </w:rPr>
              <w:t>21.7</w:t>
            </w:r>
          </w:p>
        </w:tc>
        <w:tc>
          <w:tcPr>
            <w:tcW w:w="169" w:type="pct"/>
            <w:tcBorders>
              <w:tl2br w:val="nil"/>
              <w:tr2bl w:val="nil"/>
            </w:tcBorders>
            <w:noWrap w:val="0"/>
            <w:tcMar>
              <w:top w:w="0" w:type="dxa"/>
              <w:left w:w="0" w:type="dxa"/>
              <w:bottom w:w="0" w:type="dxa"/>
              <w:right w:w="0" w:type="dxa"/>
            </w:tcMar>
            <w:vAlign w:val="center"/>
          </w:tcPr>
          <w:p w14:paraId="3FB81A70">
            <w:pPr>
              <w:pStyle w:val="44"/>
              <w:bidi w:val="0"/>
              <w:rPr>
                <w:rFonts w:hint="default"/>
                <w:color w:val="auto"/>
              </w:rPr>
            </w:pPr>
            <w:r>
              <w:rPr>
                <w:color w:val="auto"/>
              </w:rPr>
              <w:t>22.4</w:t>
            </w:r>
          </w:p>
        </w:tc>
        <w:tc>
          <w:tcPr>
            <w:tcW w:w="169" w:type="pct"/>
            <w:tcBorders>
              <w:tl2br w:val="nil"/>
              <w:tr2bl w:val="nil"/>
            </w:tcBorders>
            <w:noWrap w:val="0"/>
            <w:tcMar>
              <w:top w:w="0" w:type="dxa"/>
              <w:left w:w="0" w:type="dxa"/>
              <w:bottom w:w="0" w:type="dxa"/>
              <w:right w:w="0" w:type="dxa"/>
            </w:tcMar>
            <w:vAlign w:val="center"/>
          </w:tcPr>
          <w:p w14:paraId="1C968B8B">
            <w:pPr>
              <w:pStyle w:val="44"/>
              <w:bidi w:val="0"/>
              <w:rPr>
                <w:rFonts w:hint="default"/>
                <w:color w:val="auto"/>
              </w:rPr>
            </w:pPr>
            <w:r>
              <w:rPr>
                <w:color w:val="auto"/>
              </w:rPr>
              <w:t>21.7</w:t>
            </w:r>
          </w:p>
        </w:tc>
        <w:tc>
          <w:tcPr>
            <w:tcW w:w="169" w:type="pct"/>
            <w:tcBorders>
              <w:tl2br w:val="nil"/>
              <w:tr2bl w:val="nil"/>
            </w:tcBorders>
            <w:noWrap w:val="0"/>
            <w:tcMar>
              <w:top w:w="0" w:type="dxa"/>
              <w:left w:w="0" w:type="dxa"/>
              <w:bottom w:w="0" w:type="dxa"/>
              <w:right w:w="0" w:type="dxa"/>
            </w:tcMar>
            <w:vAlign w:val="center"/>
          </w:tcPr>
          <w:p w14:paraId="488669FE">
            <w:pPr>
              <w:pStyle w:val="44"/>
              <w:bidi w:val="0"/>
              <w:rPr>
                <w:rFonts w:hint="default"/>
                <w:color w:val="auto"/>
              </w:rPr>
            </w:pPr>
            <w:r>
              <w:rPr>
                <w:color w:val="auto"/>
              </w:rPr>
              <w:t>21.7</w:t>
            </w:r>
          </w:p>
        </w:tc>
        <w:tc>
          <w:tcPr>
            <w:tcW w:w="242" w:type="pct"/>
            <w:tcBorders>
              <w:tl2br w:val="nil"/>
              <w:tr2bl w:val="nil"/>
            </w:tcBorders>
            <w:noWrap w:val="0"/>
            <w:tcMar>
              <w:top w:w="0" w:type="dxa"/>
              <w:left w:w="0" w:type="dxa"/>
              <w:bottom w:w="0" w:type="dxa"/>
              <w:right w:w="0" w:type="dxa"/>
            </w:tcMar>
            <w:vAlign w:val="center"/>
          </w:tcPr>
          <w:p w14:paraId="5F1135E3">
            <w:pPr>
              <w:pStyle w:val="44"/>
              <w:bidi w:val="0"/>
              <w:rPr>
                <w:rFonts w:hint="default"/>
                <w:color w:val="auto"/>
              </w:rPr>
            </w:pPr>
            <w:r>
              <w:rPr>
                <w:color w:val="auto"/>
              </w:rPr>
              <w:t>1</w:t>
            </w:r>
          </w:p>
        </w:tc>
      </w:tr>
      <w:tr w14:paraId="2D7B6E1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178" w:type="pct"/>
            <w:tcBorders>
              <w:tl2br w:val="nil"/>
              <w:tr2bl w:val="nil"/>
            </w:tcBorders>
            <w:noWrap w:val="0"/>
            <w:tcMar>
              <w:top w:w="0" w:type="dxa"/>
              <w:left w:w="0" w:type="dxa"/>
              <w:bottom w:w="0" w:type="dxa"/>
              <w:right w:w="0" w:type="dxa"/>
            </w:tcMar>
            <w:vAlign w:val="center"/>
          </w:tcPr>
          <w:p w14:paraId="70BBB239">
            <w:pPr>
              <w:pStyle w:val="44"/>
              <w:bidi w:val="0"/>
              <w:rPr>
                <w:rFonts w:hint="default"/>
                <w:color w:val="auto"/>
              </w:rPr>
            </w:pPr>
            <w:r>
              <w:rPr>
                <w:rFonts w:hint="default"/>
                <w:color w:val="auto"/>
              </w:rPr>
              <w:t>7</w:t>
            </w:r>
          </w:p>
        </w:tc>
        <w:tc>
          <w:tcPr>
            <w:tcW w:w="129" w:type="pct"/>
            <w:vMerge w:val="continue"/>
            <w:tcBorders>
              <w:tl2br w:val="nil"/>
              <w:tr2bl w:val="nil"/>
            </w:tcBorders>
            <w:noWrap w:val="0"/>
            <w:tcMar>
              <w:top w:w="0" w:type="dxa"/>
              <w:left w:w="0" w:type="dxa"/>
              <w:bottom w:w="0" w:type="dxa"/>
              <w:right w:w="0" w:type="dxa"/>
            </w:tcMar>
            <w:vAlign w:val="center"/>
          </w:tcPr>
          <w:p w14:paraId="6F425968">
            <w:pPr>
              <w:pStyle w:val="44"/>
              <w:bidi w:val="0"/>
              <w:rPr>
                <w:rFonts w:hint="default"/>
                <w:color w:val="auto"/>
              </w:rPr>
            </w:pPr>
          </w:p>
        </w:tc>
        <w:tc>
          <w:tcPr>
            <w:tcW w:w="377" w:type="pct"/>
            <w:tcBorders>
              <w:tl2br w:val="nil"/>
              <w:tr2bl w:val="nil"/>
            </w:tcBorders>
            <w:noWrap w:val="0"/>
            <w:tcMar>
              <w:top w:w="0" w:type="dxa"/>
              <w:left w:w="0" w:type="dxa"/>
              <w:bottom w:w="0" w:type="dxa"/>
              <w:right w:w="0" w:type="dxa"/>
            </w:tcMar>
            <w:vAlign w:val="center"/>
          </w:tcPr>
          <w:p w14:paraId="206F7B13">
            <w:pPr>
              <w:pStyle w:val="44"/>
              <w:bidi w:val="0"/>
              <w:rPr>
                <w:rFonts w:hint="eastAsia"/>
                <w:color w:val="auto"/>
                <w:lang w:eastAsia="zh-CN"/>
              </w:rPr>
            </w:pPr>
            <w:r>
              <w:rPr>
                <w:color w:val="auto"/>
              </w:rPr>
              <w:t>灌装机</w:t>
            </w:r>
          </w:p>
        </w:tc>
        <w:tc>
          <w:tcPr>
            <w:tcW w:w="262" w:type="pct"/>
            <w:tcBorders>
              <w:tl2br w:val="nil"/>
              <w:tr2bl w:val="nil"/>
            </w:tcBorders>
            <w:noWrap w:val="0"/>
            <w:tcMar>
              <w:top w:w="0" w:type="dxa"/>
              <w:left w:w="0" w:type="dxa"/>
              <w:bottom w:w="0" w:type="dxa"/>
              <w:right w:w="0" w:type="dxa"/>
            </w:tcMar>
            <w:vAlign w:val="center"/>
          </w:tcPr>
          <w:p w14:paraId="1192AA36">
            <w:pPr>
              <w:pStyle w:val="44"/>
              <w:bidi w:val="0"/>
              <w:rPr>
                <w:rFonts w:hint="default"/>
                <w:color w:val="auto"/>
              </w:rPr>
            </w:pPr>
            <w:r>
              <w:rPr>
                <w:color w:val="auto"/>
              </w:rPr>
              <w:t>60.0</w:t>
            </w:r>
          </w:p>
        </w:tc>
        <w:tc>
          <w:tcPr>
            <w:tcW w:w="232" w:type="pct"/>
            <w:vMerge w:val="continue"/>
            <w:tcBorders>
              <w:tl2br w:val="nil"/>
              <w:tr2bl w:val="nil"/>
            </w:tcBorders>
            <w:noWrap w:val="0"/>
            <w:tcMar>
              <w:top w:w="0" w:type="dxa"/>
              <w:left w:w="0" w:type="dxa"/>
              <w:bottom w:w="0" w:type="dxa"/>
              <w:right w:w="0" w:type="dxa"/>
            </w:tcMar>
            <w:vAlign w:val="center"/>
          </w:tcPr>
          <w:p w14:paraId="319110E8">
            <w:pPr>
              <w:pStyle w:val="44"/>
              <w:bidi w:val="0"/>
              <w:rPr>
                <w:rFonts w:hint="default"/>
                <w:color w:val="auto"/>
              </w:rPr>
            </w:pPr>
          </w:p>
        </w:tc>
        <w:tc>
          <w:tcPr>
            <w:tcW w:w="214" w:type="pct"/>
            <w:tcBorders>
              <w:tl2br w:val="nil"/>
              <w:tr2bl w:val="nil"/>
            </w:tcBorders>
            <w:noWrap w:val="0"/>
            <w:tcMar>
              <w:top w:w="0" w:type="dxa"/>
              <w:left w:w="0" w:type="dxa"/>
              <w:bottom w:w="0" w:type="dxa"/>
              <w:right w:w="0" w:type="dxa"/>
            </w:tcMar>
            <w:vAlign w:val="center"/>
          </w:tcPr>
          <w:p w14:paraId="42A34095">
            <w:pPr>
              <w:pStyle w:val="44"/>
              <w:bidi w:val="0"/>
              <w:rPr>
                <w:rFonts w:hint="default"/>
                <w:color w:val="auto"/>
              </w:rPr>
            </w:pPr>
            <w:r>
              <w:rPr>
                <w:color w:val="auto"/>
              </w:rPr>
              <w:t>2.3</w:t>
            </w:r>
          </w:p>
        </w:tc>
        <w:tc>
          <w:tcPr>
            <w:tcW w:w="206" w:type="pct"/>
            <w:tcBorders>
              <w:tl2br w:val="nil"/>
              <w:tr2bl w:val="nil"/>
            </w:tcBorders>
            <w:noWrap w:val="0"/>
            <w:tcMar>
              <w:top w:w="0" w:type="dxa"/>
              <w:left w:w="0" w:type="dxa"/>
              <w:bottom w:w="0" w:type="dxa"/>
              <w:right w:w="0" w:type="dxa"/>
            </w:tcMar>
            <w:vAlign w:val="center"/>
          </w:tcPr>
          <w:p w14:paraId="0B30C0AA">
            <w:pPr>
              <w:pStyle w:val="44"/>
              <w:bidi w:val="0"/>
              <w:rPr>
                <w:rFonts w:hint="default"/>
                <w:color w:val="auto"/>
              </w:rPr>
            </w:pPr>
            <w:r>
              <w:rPr>
                <w:color w:val="auto"/>
              </w:rPr>
              <w:t>-8.6</w:t>
            </w:r>
          </w:p>
        </w:tc>
        <w:tc>
          <w:tcPr>
            <w:tcW w:w="185" w:type="pct"/>
            <w:tcBorders>
              <w:tl2br w:val="nil"/>
              <w:tr2bl w:val="nil"/>
            </w:tcBorders>
            <w:noWrap w:val="0"/>
            <w:tcMar>
              <w:top w:w="0" w:type="dxa"/>
              <w:left w:w="0" w:type="dxa"/>
              <w:bottom w:w="0" w:type="dxa"/>
              <w:right w:w="0" w:type="dxa"/>
            </w:tcMar>
            <w:vAlign w:val="center"/>
          </w:tcPr>
          <w:p w14:paraId="11E82A28">
            <w:pPr>
              <w:pStyle w:val="44"/>
              <w:bidi w:val="0"/>
              <w:rPr>
                <w:rFonts w:hint="default"/>
                <w:color w:val="auto"/>
              </w:rPr>
            </w:pPr>
            <w:r>
              <w:rPr>
                <w:color w:val="auto"/>
              </w:rPr>
              <w:t>1.2</w:t>
            </w:r>
          </w:p>
        </w:tc>
        <w:tc>
          <w:tcPr>
            <w:tcW w:w="198" w:type="pct"/>
            <w:tcBorders>
              <w:tl2br w:val="nil"/>
              <w:tr2bl w:val="nil"/>
            </w:tcBorders>
            <w:noWrap w:val="0"/>
            <w:tcMar>
              <w:top w:w="0" w:type="dxa"/>
              <w:left w:w="0" w:type="dxa"/>
              <w:bottom w:w="0" w:type="dxa"/>
              <w:right w:w="0" w:type="dxa"/>
            </w:tcMar>
            <w:vAlign w:val="center"/>
          </w:tcPr>
          <w:p w14:paraId="76853223">
            <w:pPr>
              <w:pStyle w:val="44"/>
              <w:bidi w:val="0"/>
              <w:rPr>
                <w:rFonts w:hint="default"/>
                <w:color w:val="auto"/>
              </w:rPr>
            </w:pPr>
            <w:r>
              <w:rPr>
                <w:color w:val="auto"/>
              </w:rPr>
              <w:t>57.5</w:t>
            </w:r>
          </w:p>
        </w:tc>
        <w:tc>
          <w:tcPr>
            <w:tcW w:w="186" w:type="pct"/>
            <w:tcBorders>
              <w:tl2br w:val="nil"/>
              <w:tr2bl w:val="nil"/>
            </w:tcBorders>
            <w:noWrap w:val="0"/>
            <w:tcMar>
              <w:top w:w="0" w:type="dxa"/>
              <w:left w:w="0" w:type="dxa"/>
              <w:bottom w:w="0" w:type="dxa"/>
              <w:right w:w="0" w:type="dxa"/>
            </w:tcMar>
            <w:vAlign w:val="center"/>
          </w:tcPr>
          <w:p w14:paraId="264E37BD">
            <w:pPr>
              <w:pStyle w:val="44"/>
              <w:bidi w:val="0"/>
              <w:rPr>
                <w:rFonts w:hint="default"/>
                <w:color w:val="auto"/>
              </w:rPr>
            </w:pPr>
            <w:r>
              <w:rPr>
                <w:color w:val="auto"/>
              </w:rPr>
              <w:t>4.7</w:t>
            </w:r>
          </w:p>
        </w:tc>
        <w:tc>
          <w:tcPr>
            <w:tcW w:w="169" w:type="pct"/>
            <w:tcBorders>
              <w:tl2br w:val="nil"/>
              <w:tr2bl w:val="nil"/>
            </w:tcBorders>
            <w:noWrap w:val="0"/>
            <w:tcMar>
              <w:top w:w="0" w:type="dxa"/>
              <w:left w:w="0" w:type="dxa"/>
              <w:bottom w:w="0" w:type="dxa"/>
              <w:right w:w="0" w:type="dxa"/>
            </w:tcMar>
            <w:vAlign w:val="center"/>
          </w:tcPr>
          <w:p w14:paraId="579E85AE">
            <w:pPr>
              <w:pStyle w:val="44"/>
              <w:bidi w:val="0"/>
              <w:rPr>
                <w:rFonts w:hint="default"/>
                <w:color w:val="auto"/>
              </w:rPr>
            </w:pPr>
            <w:r>
              <w:rPr>
                <w:color w:val="auto"/>
              </w:rPr>
              <w:t>57.1</w:t>
            </w:r>
          </w:p>
        </w:tc>
        <w:tc>
          <w:tcPr>
            <w:tcW w:w="190" w:type="pct"/>
            <w:tcBorders>
              <w:tl2br w:val="nil"/>
              <w:tr2bl w:val="nil"/>
            </w:tcBorders>
            <w:noWrap w:val="0"/>
            <w:tcMar>
              <w:top w:w="0" w:type="dxa"/>
              <w:left w:w="0" w:type="dxa"/>
              <w:bottom w:w="0" w:type="dxa"/>
              <w:right w:w="0" w:type="dxa"/>
            </w:tcMar>
            <w:vAlign w:val="center"/>
          </w:tcPr>
          <w:p w14:paraId="45622832">
            <w:pPr>
              <w:pStyle w:val="44"/>
              <w:bidi w:val="0"/>
              <w:rPr>
                <w:rFonts w:hint="default"/>
                <w:color w:val="auto"/>
              </w:rPr>
            </w:pPr>
            <w:r>
              <w:rPr>
                <w:color w:val="auto"/>
              </w:rPr>
              <w:t>23.1</w:t>
            </w:r>
          </w:p>
        </w:tc>
        <w:tc>
          <w:tcPr>
            <w:tcW w:w="166" w:type="pct"/>
            <w:tcBorders>
              <w:tl2br w:val="nil"/>
              <w:tr2bl w:val="nil"/>
            </w:tcBorders>
            <w:noWrap w:val="0"/>
            <w:tcMar>
              <w:top w:w="0" w:type="dxa"/>
              <w:left w:w="0" w:type="dxa"/>
              <w:bottom w:w="0" w:type="dxa"/>
              <w:right w:w="0" w:type="dxa"/>
            </w:tcMar>
            <w:vAlign w:val="center"/>
          </w:tcPr>
          <w:p w14:paraId="539C9CF1">
            <w:pPr>
              <w:pStyle w:val="44"/>
              <w:bidi w:val="0"/>
              <w:rPr>
                <w:rFonts w:hint="default"/>
                <w:color w:val="auto"/>
              </w:rPr>
            </w:pPr>
            <w:r>
              <w:rPr>
                <w:color w:val="auto"/>
              </w:rPr>
              <w:t>42.7</w:t>
            </w:r>
          </w:p>
        </w:tc>
        <w:tc>
          <w:tcPr>
            <w:tcW w:w="166" w:type="pct"/>
            <w:tcBorders>
              <w:tl2br w:val="nil"/>
              <w:tr2bl w:val="nil"/>
            </w:tcBorders>
            <w:noWrap w:val="0"/>
            <w:tcMar>
              <w:top w:w="0" w:type="dxa"/>
              <w:left w:w="0" w:type="dxa"/>
              <w:bottom w:w="0" w:type="dxa"/>
              <w:right w:w="0" w:type="dxa"/>
            </w:tcMar>
            <w:vAlign w:val="center"/>
          </w:tcPr>
          <w:p w14:paraId="2DF840CF">
            <w:pPr>
              <w:pStyle w:val="44"/>
              <w:bidi w:val="0"/>
              <w:rPr>
                <w:rFonts w:hint="default"/>
                <w:color w:val="auto"/>
              </w:rPr>
            </w:pPr>
            <w:r>
              <w:rPr>
                <w:color w:val="auto"/>
              </w:rPr>
              <w:t>43.4</w:t>
            </w:r>
          </w:p>
        </w:tc>
        <w:tc>
          <w:tcPr>
            <w:tcW w:w="166" w:type="pct"/>
            <w:tcBorders>
              <w:tl2br w:val="nil"/>
              <w:tr2bl w:val="nil"/>
            </w:tcBorders>
            <w:noWrap w:val="0"/>
            <w:tcMar>
              <w:top w:w="0" w:type="dxa"/>
              <w:left w:w="0" w:type="dxa"/>
              <w:bottom w:w="0" w:type="dxa"/>
              <w:right w:w="0" w:type="dxa"/>
            </w:tcMar>
            <w:vAlign w:val="center"/>
          </w:tcPr>
          <w:p w14:paraId="5E7DFF2B">
            <w:pPr>
              <w:pStyle w:val="44"/>
              <w:bidi w:val="0"/>
              <w:rPr>
                <w:rFonts w:hint="default"/>
                <w:color w:val="auto"/>
              </w:rPr>
            </w:pPr>
            <w:r>
              <w:rPr>
                <w:color w:val="auto"/>
              </w:rPr>
              <w:t>42.7</w:t>
            </w:r>
          </w:p>
        </w:tc>
        <w:tc>
          <w:tcPr>
            <w:tcW w:w="177" w:type="pct"/>
            <w:tcBorders>
              <w:tl2br w:val="nil"/>
              <w:tr2bl w:val="nil"/>
            </w:tcBorders>
            <w:noWrap w:val="0"/>
            <w:tcMar>
              <w:top w:w="0" w:type="dxa"/>
              <w:left w:w="0" w:type="dxa"/>
              <w:bottom w:w="0" w:type="dxa"/>
              <w:right w:w="0" w:type="dxa"/>
            </w:tcMar>
            <w:vAlign w:val="center"/>
          </w:tcPr>
          <w:p w14:paraId="340E3F69">
            <w:pPr>
              <w:pStyle w:val="44"/>
              <w:bidi w:val="0"/>
              <w:rPr>
                <w:rFonts w:hint="default"/>
                <w:color w:val="auto"/>
              </w:rPr>
            </w:pPr>
            <w:r>
              <w:rPr>
                <w:color w:val="auto"/>
              </w:rPr>
              <w:t>42.7</w:t>
            </w:r>
          </w:p>
        </w:tc>
        <w:tc>
          <w:tcPr>
            <w:tcW w:w="207" w:type="pct"/>
            <w:vMerge w:val="continue"/>
            <w:tcBorders>
              <w:tl2br w:val="nil"/>
              <w:tr2bl w:val="nil"/>
            </w:tcBorders>
            <w:noWrap w:val="0"/>
            <w:tcMar>
              <w:top w:w="0" w:type="dxa"/>
              <w:left w:w="0" w:type="dxa"/>
              <w:bottom w:w="0" w:type="dxa"/>
              <w:right w:w="0" w:type="dxa"/>
            </w:tcMar>
            <w:vAlign w:val="center"/>
          </w:tcPr>
          <w:p w14:paraId="7CF770D8">
            <w:pPr>
              <w:pStyle w:val="44"/>
              <w:bidi w:val="0"/>
              <w:rPr>
                <w:rFonts w:hint="default"/>
                <w:color w:val="auto"/>
              </w:rPr>
            </w:pPr>
          </w:p>
        </w:tc>
        <w:tc>
          <w:tcPr>
            <w:tcW w:w="161" w:type="pct"/>
            <w:tcBorders>
              <w:tl2br w:val="nil"/>
              <w:tr2bl w:val="nil"/>
            </w:tcBorders>
            <w:noWrap w:val="0"/>
            <w:tcMar>
              <w:top w:w="0" w:type="dxa"/>
              <w:left w:w="0" w:type="dxa"/>
              <w:bottom w:w="0" w:type="dxa"/>
              <w:right w:w="0" w:type="dxa"/>
            </w:tcMar>
            <w:vAlign w:val="center"/>
          </w:tcPr>
          <w:p w14:paraId="6F1D18BE">
            <w:pPr>
              <w:pStyle w:val="44"/>
              <w:bidi w:val="0"/>
              <w:rPr>
                <w:rFonts w:hint="default"/>
                <w:color w:val="auto"/>
              </w:rPr>
            </w:pPr>
            <w:r>
              <w:rPr>
                <w:color w:val="auto"/>
              </w:rPr>
              <w:t>26.0</w:t>
            </w:r>
          </w:p>
        </w:tc>
        <w:tc>
          <w:tcPr>
            <w:tcW w:w="161" w:type="pct"/>
            <w:tcBorders>
              <w:tl2br w:val="nil"/>
              <w:tr2bl w:val="nil"/>
            </w:tcBorders>
            <w:noWrap w:val="0"/>
            <w:tcMar>
              <w:top w:w="0" w:type="dxa"/>
              <w:left w:w="0" w:type="dxa"/>
              <w:bottom w:w="0" w:type="dxa"/>
              <w:right w:w="0" w:type="dxa"/>
            </w:tcMar>
            <w:vAlign w:val="center"/>
          </w:tcPr>
          <w:p w14:paraId="56437DD9">
            <w:pPr>
              <w:pStyle w:val="44"/>
              <w:bidi w:val="0"/>
              <w:rPr>
                <w:rFonts w:hint="default"/>
                <w:color w:val="auto"/>
              </w:rPr>
            </w:pPr>
            <w:r>
              <w:rPr>
                <w:color w:val="auto"/>
              </w:rPr>
              <w:t>26.0</w:t>
            </w:r>
          </w:p>
        </w:tc>
        <w:tc>
          <w:tcPr>
            <w:tcW w:w="161" w:type="pct"/>
            <w:tcBorders>
              <w:tl2br w:val="nil"/>
              <w:tr2bl w:val="nil"/>
            </w:tcBorders>
            <w:noWrap w:val="0"/>
            <w:tcMar>
              <w:top w:w="0" w:type="dxa"/>
              <w:left w:w="0" w:type="dxa"/>
              <w:bottom w:w="0" w:type="dxa"/>
              <w:right w:w="0" w:type="dxa"/>
            </w:tcMar>
            <w:vAlign w:val="center"/>
          </w:tcPr>
          <w:p w14:paraId="583B2F29">
            <w:pPr>
              <w:pStyle w:val="44"/>
              <w:bidi w:val="0"/>
              <w:rPr>
                <w:rFonts w:hint="default"/>
                <w:color w:val="auto"/>
              </w:rPr>
            </w:pPr>
            <w:r>
              <w:rPr>
                <w:color w:val="auto"/>
              </w:rPr>
              <w:t>26.0</w:t>
            </w:r>
          </w:p>
        </w:tc>
        <w:tc>
          <w:tcPr>
            <w:tcW w:w="174" w:type="pct"/>
            <w:tcBorders>
              <w:tl2br w:val="nil"/>
              <w:tr2bl w:val="nil"/>
            </w:tcBorders>
            <w:noWrap w:val="0"/>
            <w:tcMar>
              <w:top w:w="0" w:type="dxa"/>
              <w:left w:w="0" w:type="dxa"/>
              <w:bottom w:w="0" w:type="dxa"/>
              <w:right w:w="0" w:type="dxa"/>
            </w:tcMar>
            <w:vAlign w:val="center"/>
          </w:tcPr>
          <w:p w14:paraId="2715D043">
            <w:pPr>
              <w:pStyle w:val="44"/>
              <w:bidi w:val="0"/>
              <w:rPr>
                <w:rFonts w:hint="default"/>
                <w:color w:val="auto"/>
              </w:rPr>
            </w:pPr>
            <w:r>
              <w:rPr>
                <w:color w:val="auto"/>
              </w:rPr>
              <w:t>26.0</w:t>
            </w:r>
          </w:p>
        </w:tc>
        <w:tc>
          <w:tcPr>
            <w:tcW w:w="169" w:type="pct"/>
            <w:tcBorders>
              <w:tl2br w:val="nil"/>
              <w:tr2bl w:val="nil"/>
            </w:tcBorders>
            <w:noWrap w:val="0"/>
            <w:tcMar>
              <w:top w:w="0" w:type="dxa"/>
              <w:left w:w="0" w:type="dxa"/>
              <w:bottom w:w="0" w:type="dxa"/>
              <w:right w:w="0" w:type="dxa"/>
            </w:tcMar>
            <w:vAlign w:val="center"/>
          </w:tcPr>
          <w:p w14:paraId="4B83ACC3">
            <w:pPr>
              <w:pStyle w:val="44"/>
              <w:bidi w:val="0"/>
              <w:rPr>
                <w:rFonts w:hint="default"/>
                <w:color w:val="auto"/>
              </w:rPr>
            </w:pPr>
            <w:r>
              <w:rPr>
                <w:color w:val="auto"/>
              </w:rPr>
              <w:t>16.7</w:t>
            </w:r>
          </w:p>
        </w:tc>
        <w:tc>
          <w:tcPr>
            <w:tcW w:w="169" w:type="pct"/>
            <w:tcBorders>
              <w:tl2br w:val="nil"/>
              <w:tr2bl w:val="nil"/>
            </w:tcBorders>
            <w:noWrap w:val="0"/>
            <w:tcMar>
              <w:top w:w="0" w:type="dxa"/>
              <w:left w:w="0" w:type="dxa"/>
              <w:bottom w:w="0" w:type="dxa"/>
              <w:right w:w="0" w:type="dxa"/>
            </w:tcMar>
            <w:vAlign w:val="center"/>
          </w:tcPr>
          <w:p w14:paraId="3100CA9C">
            <w:pPr>
              <w:pStyle w:val="44"/>
              <w:bidi w:val="0"/>
              <w:rPr>
                <w:rFonts w:hint="default"/>
                <w:color w:val="auto"/>
              </w:rPr>
            </w:pPr>
            <w:r>
              <w:rPr>
                <w:color w:val="auto"/>
              </w:rPr>
              <w:t>17.4</w:t>
            </w:r>
          </w:p>
        </w:tc>
        <w:tc>
          <w:tcPr>
            <w:tcW w:w="169" w:type="pct"/>
            <w:tcBorders>
              <w:tl2br w:val="nil"/>
              <w:tr2bl w:val="nil"/>
            </w:tcBorders>
            <w:noWrap w:val="0"/>
            <w:tcMar>
              <w:top w:w="0" w:type="dxa"/>
              <w:left w:w="0" w:type="dxa"/>
              <w:bottom w:w="0" w:type="dxa"/>
              <w:right w:w="0" w:type="dxa"/>
            </w:tcMar>
            <w:vAlign w:val="center"/>
          </w:tcPr>
          <w:p w14:paraId="4F959EE2">
            <w:pPr>
              <w:pStyle w:val="44"/>
              <w:bidi w:val="0"/>
              <w:rPr>
                <w:rFonts w:hint="default"/>
                <w:color w:val="auto"/>
              </w:rPr>
            </w:pPr>
            <w:r>
              <w:rPr>
                <w:color w:val="auto"/>
              </w:rPr>
              <w:t>16.7</w:t>
            </w:r>
          </w:p>
        </w:tc>
        <w:tc>
          <w:tcPr>
            <w:tcW w:w="169" w:type="pct"/>
            <w:tcBorders>
              <w:tl2br w:val="nil"/>
              <w:tr2bl w:val="nil"/>
            </w:tcBorders>
            <w:noWrap w:val="0"/>
            <w:tcMar>
              <w:top w:w="0" w:type="dxa"/>
              <w:left w:w="0" w:type="dxa"/>
              <w:bottom w:w="0" w:type="dxa"/>
              <w:right w:w="0" w:type="dxa"/>
            </w:tcMar>
            <w:vAlign w:val="center"/>
          </w:tcPr>
          <w:p w14:paraId="41794730">
            <w:pPr>
              <w:pStyle w:val="44"/>
              <w:bidi w:val="0"/>
              <w:rPr>
                <w:rFonts w:hint="default"/>
                <w:color w:val="auto"/>
              </w:rPr>
            </w:pPr>
            <w:r>
              <w:rPr>
                <w:color w:val="auto"/>
              </w:rPr>
              <w:t>16.7</w:t>
            </w:r>
          </w:p>
        </w:tc>
        <w:tc>
          <w:tcPr>
            <w:tcW w:w="242" w:type="pct"/>
            <w:tcBorders>
              <w:tl2br w:val="nil"/>
              <w:tr2bl w:val="nil"/>
            </w:tcBorders>
            <w:noWrap w:val="0"/>
            <w:tcMar>
              <w:top w:w="0" w:type="dxa"/>
              <w:left w:w="0" w:type="dxa"/>
              <w:bottom w:w="0" w:type="dxa"/>
              <w:right w:w="0" w:type="dxa"/>
            </w:tcMar>
            <w:vAlign w:val="center"/>
          </w:tcPr>
          <w:p w14:paraId="7FC1011E">
            <w:pPr>
              <w:pStyle w:val="44"/>
              <w:bidi w:val="0"/>
              <w:rPr>
                <w:rFonts w:hint="default"/>
                <w:color w:val="auto"/>
              </w:rPr>
            </w:pPr>
            <w:r>
              <w:rPr>
                <w:color w:val="auto"/>
              </w:rPr>
              <w:t>1</w:t>
            </w:r>
          </w:p>
        </w:tc>
      </w:tr>
      <w:tr w14:paraId="6F958DC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78" w:type="pct"/>
            <w:tcBorders>
              <w:tl2br w:val="nil"/>
              <w:tr2bl w:val="nil"/>
            </w:tcBorders>
            <w:noWrap w:val="0"/>
            <w:tcMar>
              <w:top w:w="0" w:type="dxa"/>
              <w:left w:w="0" w:type="dxa"/>
              <w:bottom w:w="0" w:type="dxa"/>
              <w:right w:w="0" w:type="dxa"/>
            </w:tcMar>
            <w:vAlign w:val="center"/>
          </w:tcPr>
          <w:p w14:paraId="135837AC">
            <w:pPr>
              <w:pStyle w:val="44"/>
              <w:bidi w:val="0"/>
              <w:rPr>
                <w:rFonts w:hint="eastAsia"/>
                <w:color w:val="auto"/>
                <w:lang w:val="en-US" w:eastAsia="zh-CN"/>
              </w:rPr>
            </w:pPr>
            <w:r>
              <w:rPr>
                <w:rFonts w:hint="eastAsia"/>
                <w:color w:val="auto"/>
                <w:lang w:val="en-US" w:eastAsia="zh-CN"/>
              </w:rPr>
              <w:t>8</w:t>
            </w:r>
          </w:p>
        </w:tc>
        <w:tc>
          <w:tcPr>
            <w:tcW w:w="129" w:type="pct"/>
            <w:vMerge w:val="continue"/>
            <w:tcBorders>
              <w:tl2br w:val="nil"/>
              <w:tr2bl w:val="nil"/>
            </w:tcBorders>
            <w:noWrap w:val="0"/>
            <w:tcMar>
              <w:top w:w="0" w:type="dxa"/>
              <w:left w:w="0" w:type="dxa"/>
              <w:bottom w:w="0" w:type="dxa"/>
              <w:right w:w="0" w:type="dxa"/>
            </w:tcMar>
            <w:vAlign w:val="center"/>
          </w:tcPr>
          <w:p w14:paraId="631FE9F1">
            <w:pPr>
              <w:pStyle w:val="44"/>
              <w:bidi w:val="0"/>
              <w:rPr>
                <w:rFonts w:hint="default"/>
                <w:color w:val="auto"/>
              </w:rPr>
            </w:pPr>
          </w:p>
        </w:tc>
        <w:tc>
          <w:tcPr>
            <w:tcW w:w="377" w:type="pct"/>
            <w:tcBorders>
              <w:tl2br w:val="nil"/>
              <w:tr2bl w:val="nil"/>
            </w:tcBorders>
            <w:noWrap w:val="0"/>
            <w:tcMar>
              <w:top w:w="0" w:type="dxa"/>
              <w:left w:w="0" w:type="dxa"/>
              <w:bottom w:w="0" w:type="dxa"/>
              <w:right w:w="0" w:type="dxa"/>
            </w:tcMar>
            <w:vAlign w:val="center"/>
          </w:tcPr>
          <w:p w14:paraId="592007A3">
            <w:pPr>
              <w:pStyle w:val="44"/>
              <w:bidi w:val="0"/>
              <w:rPr>
                <w:rFonts w:hint="eastAsia"/>
                <w:color w:val="auto"/>
                <w:lang w:val="en-US" w:eastAsia="zh-CN"/>
              </w:rPr>
            </w:pPr>
            <w:r>
              <w:rPr>
                <w:color w:val="auto"/>
              </w:rPr>
              <w:t>真空设备</w:t>
            </w:r>
          </w:p>
        </w:tc>
        <w:tc>
          <w:tcPr>
            <w:tcW w:w="262" w:type="pct"/>
            <w:tcBorders>
              <w:tl2br w:val="nil"/>
              <w:tr2bl w:val="nil"/>
            </w:tcBorders>
            <w:noWrap w:val="0"/>
            <w:tcMar>
              <w:top w:w="0" w:type="dxa"/>
              <w:left w:w="0" w:type="dxa"/>
              <w:bottom w:w="0" w:type="dxa"/>
              <w:right w:w="0" w:type="dxa"/>
            </w:tcMar>
            <w:vAlign w:val="center"/>
          </w:tcPr>
          <w:p w14:paraId="20CC87CA">
            <w:pPr>
              <w:pStyle w:val="44"/>
              <w:bidi w:val="0"/>
              <w:rPr>
                <w:color w:val="auto"/>
              </w:rPr>
            </w:pPr>
            <w:r>
              <w:rPr>
                <w:color w:val="auto"/>
              </w:rPr>
              <w:t>65</w:t>
            </w:r>
          </w:p>
        </w:tc>
        <w:tc>
          <w:tcPr>
            <w:tcW w:w="232" w:type="pct"/>
            <w:vMerge w:val="continue"/>
            <w:tcBorders>
              <w:tl2br w:val="nil"/>
              <w:tr2bl w:val="nil"/>
            </w:tcBorders>
            <w:noWrap w:val="0"/>
            <w:tcMar>
              <w:top w:w="0" w:type="dxa"/>
              <w:left w:w="0" w:type="dxa"/>
              <w:bottom w:w="0" w:type="dxa"/>
              <w:right w:w="0" w:type="dxa"/>
            </w:tcMar>
            <w:vAlign w:val="center"/>
          </w:tcPr>
          <w:p w14:paraId="2DA30469">
            <w:pPr>
              <w:pStyle w:val="44"/>
              <w:bidi w:val="0"/>
              <w:rPr>
                <w:rFonts w:hint="default"/>
                <w:color w:val="auto"/>
              </w:rPr>
            </w:pPr>
          </w:p>
        </w:tc>
        <w:tc>
          <w:tcPr>
            <w:tcW w:w="214" w:type="pct"/>
            <w:tcBorders>
              <w:tl2br w:val="nil"/>
              <w:tr2bl w:val="nil"/>
            </w:tcBorders>
            <w:noWrap w:val="0"/>
            <w:tcMar>
              <w:top w:w="0" w:type="dxa"/>
              <w:left w:w="0" w:type="dxa"/>
              <w:bottom w:w="0" w:type="dxa"/>
              <w:right w:w="0" w:type="dxa"/>
            </w:tcMar>
            <w:vAlign w:val="center"/>
          </w:tcPr>
          <w:p w14:paraId="2A4327E9">
            <w:pPr>
              <w:pStyle w:val="44"/>
              <w:bidi w:val="0"/>
              <w:rPr>
                <w:rFonts w:hint="eastAsia"/>
                <w:color w:val="auto"/>
                <w:lang w:val="en-US" w:eastAsia="zh-CN"/>
              </w:rPr>
            </w:pPr>
            <w:r>
              <w:rPr>
                <w:color w:val="auto"/>
              </w:rPr>
              <w:t>-12</w:t>
            </w:r>
          </w:p>
        </w:tc>
        <w:tc>
          <w:tcPr>
            <w:tcW w:w="206" w:type="pct"/>
            <w:tcBorders>
              <w:tl2br w:val="nil"/>
              <w:tr2bl w:val="nil"/>
            </w:tcBorders>
            <w:noWrap w:val="0"/>
            <w:tcMar>
              <w:top w:w="0" w:type="dxa"/>
              <w:left w:w="0" w:type="dxa"/>
              <w:bottom w:w="0" w:type="dxa"/>
              <w:right w:w="0" w:type="dxa"/>
            </w:tcMar>
            <w:vAlign w:val="center"/>
          </w:tcPr>
          <w:p w14:paraId="313B0970">
            <w:pPr>
              <w:pStyle w:val="44"/>
              <w:bidi w:val="0"/>
              <w:rPr>
                <w:rFonts w:hint="eastAsia"/>
                <w:color w:val="auto"/>
                <w:lang w:val="en-US" w:eastAsia="zh-CN"/>
              </w:rPr>
            </w:pPr>
            <w:r>
              <w:rPr>
                <w:color w:val="auto"/>
              </w:rPr>
              <w:t>6.2</w:t>
            </w:r>
          </w:p>
        </w:tc>
        <w:tc>
          <w:tcPr>
            <w:tcW w:w="185" w:type="pct"/>
            <w:tcBorders>
              <w:tl2br w:val="nil"/>
              <w:tr2bl w:val="nil"/>
            </w:tcBorders>
            <w:noWrap w:val="0"/>
            <w:tcMar>
              <w:top w:w="0" w:type="dxa"/>
              <w:left w:w="0" w:type="dxa"/>
              <w:bottom w:w="0" w:type="dxa"/>
              <w:right w:w="0" w:type="dxa"/>
            </w:tcMar>
            <w:vAlign w:val="center"/>
          </w:tcPr>
          <w:p w14:paraId="58E7A98D">
            <w:pPr>
              <w:pStyle w:val="44"/>
              <w:bidi w:val="0"/>
              <w:rPr>
                <w:rFonts w:hint="default"/>
                <w:color w:val="auto"/>
                <w:lang w:val="en-US" w:eastAsia="zh-CN"/>
              </w:rPr>
            </w:pPr>
            <w:r>
              <w:rPr>
                <w:color w:val="auto"/>
              </w:rPr>
              <w:t>1.2</w:t>
            </w:r>
          </w:p>
        </w:tc>
        <w:tc>
          <w:tcPr>
            <w:tcW w:w="198" w:type="pct"/>
            <w:tcBorders>
              <w:tl2br w:val="nil"/>
              <w:tr2bl w:val="nil"/>
            </w:tcBorders>
            <w:noWrap w:val="0"/>
            <w:tcMar>
              <w:top w:w="0" w:type="dxa"/>
              <w:left w:w="0" w:type="dxa"/>
              <w:bottom w:w="0" w:type="dxa"/>
              <w:right w:w="0" w:type="dxa"/>
            </w:tcMar>
            <w:vAlign w:val="center"/>
          </w:tcPr>
          <w:p w14:paraId="4C2A2314">
            <w:pPr>
              <w:pStyle w:val="44"/>
              <w:bidi w:val="0"/>
              <w:rPr>
                <w:rFonts w:hint="default"/>
                <w:color w:val="auto"/>
                <w:lang w:val="en-US" w:eastAsia="zh-CN"/>
              </w:rPr>
            </w:pPr>
            <w:r>
              <w:rPr>
                <w:color w:val="auto"/>
              </w:rPr>
              <w:t>67.3</w:t>
            </w:r>
          </w:p>
        </w:tc>
        <w:tc>
          <w:tcPr>
            <w:tcW w:w="186" w:type="pct"/>
            <w:tcBorders>
              <w:tl2br w:val="nil"/>
              <w:tr2bl w:val="nil"/>
            </w:tcBorders>
            <w:noWrap w:val="0"/>
            <w:tcMar>
              <w:top w:w="0" w:type="dxa"/>
              <w:left w:w="0" w:type="dxa"/>
              <w:bottom w:w="0" w:type="dxa"/>
              <w:right w:w="0" w:type="dxa"/>
            </w:tcMar>
            <w:vAlign w:val="center"/>
          </w:tcPr>
          <w:p w14:paraId="0B0F980A">
            <w:pPr>
              <w:pStyle w:val="44"/>
              <w:bidi w:val="0"/>
              <w:rPr>
                <w:rFonts w:hint="eastAsia"/>
                <w:color w:val="auto"/>
                <w:lang w:val="en-US" w:eastAsia="zh-CN"/>
              </w:rPr>
            </w:pPr>
            <w:r>
              <w:rPr>
                <w:color w:val="auto"/>
              </w:rPr>
              <w:t>22.4</w:t>
            </w:r>
          </w:p>
        </w:tc>
        <w:tc>
          <w:tcPr>
            <w:tcW w:w="169" w:type="pct"/>
            <w:tcBorders>
              <w:tl2br w:val="nil"/>
              <w:tr2bl w:val="nil"/>
            </w:tcBorders>
            <w:noWrap w:val="0"/>
            <w:tcMar>
              <w:top w:w="0" w:type="dxa"/>
              <w:left w:w="0" w:type="dxa"/>
              <w:bottom w:w="0" w:type="dxa"/>
              <w:right w:w="0" w:type="dxa"/>
            </w:tcMar>
            <w:vAlign w:val="center"/>
          </w:tcPr>
          <w:p w14:paraId="3997E43F">
            <w:pPr>
              <w:pStyle w:val="44"/>
              <w:bidi w:val="0"/>
              <w:rPr>
                <w:rFonts w:hint="eastAsia"/>
                <w:color w:val="auto"/>
                <w:lang w:val="en-US" w:eastAsia="zh-CN"/>
              </w:rPr>
            </w:pPr>
            <w:r>
              <w:rPr>
                <w:color w:val="auto"/>
              </w:rPr>
              <w:t>46.5</w:t>
            </w:r>
          </w:p>
        </w:tc>
        <w:tc>
          <w:tcPr>
            <w:tcW w:w="190" w:type="pct"/>
            <w:tcBorders>
              <w:tl2br w:val="nil"/>
              <w:tr2bl w:val="nil"/>
            </w:tcBorders>
            <w:noWrap w:val="0"/>
            <w:tcMar>
              <w:top w:w="0" w:type="dxa"/>
              <w:left w:w="0" w:type="dxa"/>
              <w:bottom w:w="0" w:type="dxa"/>
              <w:right w:w="0" w:type="dxa"/>
            </w:tcMar>
            <w:vAlign w:val="center"/>
          </w:tcPr>
          <w:p w14:paraId="0A4F5D73">
            <w:pPr>
              <w:pStyle w:val="44"/>
              <w:bidi w:val="0"/>
              <w:rPr>
                <w:rFonts w:hint="eastAsia"/>
                <w:color w:val="auto"/>
                <w:lang w:val="en-US" w:eastAsia="zh-CN"/>
              </w:rPr>
            </w:pPr>
            <w:r>
              <w:rPr>
                <w:color w:val="auto"/>
              </w:rPr>
              <w:t>5.3</w:t>
            </w:r>
          </w:p>
        </w:tc>
        <w:tc>
          <w:tcPr>
            <w:tcW w:w="166" w:type="pct"/>
            <w:tcBorders>
              <w:tl2br w:val="nil"/>
              <w:tr2bl w:val="nil"/>
            </w:tcBorders>
            <w:noWrap w:val="0"/>
            <w:tcMar>
              <w:top w:w="0" w:type="dxa"/>
              <w:left w:w="0" w:type="dxa"/>
              <w:bottom w:w="0" w:type="dxa"/>
              <w:right w:w="0" w:type="dxa"/>
            </w:tcMar>
            <w:vAlign w:val="center"/>
          </w:tcPr>
          <w:p w14:paraId="106F54F0">
            <w:pPr>
              <w:pStyle w:val="44"/>
              <w:bidi w:val="0"/>
              <w:rPr>
                <w:rFonts w:hint="eastAsia"/>
                <w:color w:val="auto"/>
                <w:lang w:val="en-US" w:eastAsia="zh-CN"/>
              </w:rPr>
            </w:pPr>
            <w:r>
              <w:rPr>
                <w:color w:val="auto"/>
              </w:rPr>
              <w:t>47.7</w:t>
            </w:r>
          </w:p>
        </w:tc>
        <w:tc>
          <w:tcPr>
            <w:tcW w:w="166" w:type="pct"/>
            <w:tcBorders>
              <w:tl2br w:val="nil"/>
              <w:tr2bl w:val="nil"/>
            </w:tcBorders>
            <w:noWrap w:val="0"/>
            <w:tcMar>
              <w:top w:w="0" w:type="dxa"/>
              <w:left w:w="0" w:type="dxa"/>
              <w:bottom w:w="0" w:type="dxa"/>
              <w:right w:w="0" w:type="dxa"/>
            </w:tcMar>
            <w:vAlign w:val="center"/>
          </w:tcPr>
          <w:p w14:paraId="72C6EC85">
            <w:pPr>
              <w:pStyle w:val="44"/>
              <w:bidi w:val="0"/>
              <w:rPr>
                <w:rFonts w:hint="eastAsia"/>
                <w:color w:val="auto"/>
                <w:lang w:val="en-US" w:eastAsia="zh-CN"/>
              </w:rPr>
            </w:pPr>
            <w:r>
              <w:rPr>
                <w:color w:val="auto"/>
              </w:rPr>
              <w:t>47.7</w:t>
            </w:r>
          </w:p>
        </w:tc>
        <w:tc>
          <w:tcPr>
            <w:tcW w:w="166" w:type="pct"/>
            <w:tcBorders>
              <w:tl2br w:val="nil"/>
              <w:tr2bl w:val="nil"/>
            </w:tcBorders>
            <w:noWrap w:val="0"/>
            <w:tcMar>
              <w:top w:w="0" w:type="dxa"/>
              <w:left w:w="0" w:type="dxa"/>
              <w:bottom w:w="0" w:type="dxa"/>
              <w:right w:w="0" w:type="dxa"/>
            </w:tcMar>
            <w:vAlign w:val="center"/>
          </w:tcPr>
          <w:p w14:paraId="04075E7D">
            <w:pPr>
              <w:pStyle w:val="44"/>
              <w:bidi w:val="0"/>
              <w:rPr>
                <w:rFonts w:hint="eastAsia"/>
                <w:color w:val="auto"/>
                <w:lang w:val="en-US" w:eastAsia="zh-CN"/>
              </w:rPr>
            </w:pPr>
            <w:r>
              <w:rPr>
                <w:color w:val="auto"/>
              </w:rPr>
              <w:t>47.7</w:t>
            </w:r>
          </w:p>
        </w:tc>
        <w:tc>
          <w:tcPr>
            <w:tcW w:w="177" w:type="pct"/>
            <w:tcBorders>
              <w:tl2br w:val="nil"/>
              <w:tr2bl w:val="nil"/>
            </w:tcBorders>
            <w:noWrap w:val="0"/>
            <w:tcMar>
              <w:top w:w="0" w:type="dxa"/>
              <w:left w:w="0" w:type="dxa"/>
              <w:bottom w:w="0" w:type="dxa"/>
              <w:right w:w="0" w:type="dxa"/>
            </w:tcMar>
            <w:vAlign w:val="center"/>
          </w:tcPr>
          <w:p w14:paraId="48ACCBF9">
            <w:pPr>
              <w:pStyle w:val="44"/>
              <w:bidi w:val="0"/>
              <w:rPr>
                <w:rFonts w:hint="eastAsia"/>
                <w:color w:val="auto"/>
                <w:lang w:val="en-US" w:eastAsia="zh-CN"/>
              </w:rPr>
            </w:pPr>
            <w:r>
              <w:rPr>
                <w:color w:val="auto"/>
              </w:rPr>
              <w:t>48.3</w:t>
            </w:r>
          </w:p>
        </w:tc>
        <w:tc>
          <w:tcPr>
            <w:tcW w:w="207" w:type="pct"/>
            <w:tcBorders>
              <w:tl2br w:val="nil"/>
              <w:tr2bl w:val="nil"/>
            </w:tcBorders>
            <w:noWrap w:val="0"/>
            <w:tcMar>
              <w:top w:w="0" w:type="dxa"/>
              <w:left w:w="0" w:type="dxa"/>
              <w:bottom w:w="0" w:type="dxa"/>
              <w:right w:w="0" w:type="dxa"/>
            </w:tcMar>
            <w:vAlign w:val="center"/>
          </w:tcPr>
          <w:p w14:paraId="3167DF6E">
            <w:pPr>
              <w:pStyle w:val="44"/>
              <w:bidi w:val="0"/>
              <w:rPr>
                <w:rFonts w:hint="default"/>
                <w:color w:val="auto"/>
              </w:rPr>
            </w:pPr>
          </w:p>
        </w:tc>
        <w:tc>
          <w:tcPr>
            <w:tcW w:w="161" w:type="pct"/>
            <w:tcBorders>
              <w:tl2br w:val="nil"/>
              <w:tr2bl w:val="nil"/>
            </w:tcBorders>
            <w:noWrap w:val="0"/>
            <w:tcMar>
              <w:top w:w="0" w:type="dxa"/>
              <w:left w:w="0" w:type="dxa"/>
              <w:bottom w:w="0" w:type="dxa"/>
              <w:right w:w="0" w:type="dxa"/>
            </w:tcMar>
            <w:vAlign w:val="center"/>
          </w:tcPr>
          <w:p w14:paraId="43413D66">
            <w:pPr>
              <w:pStyle w:val="44"/>
              <w:bidi w:val="0"/>
              <w:rPr>
                <w:rFonts w:hint="default"/>
                <w:color w:val="auto"/>
                <w:lang w:val="en-US" w:eastAsia="zh-CN"/>
              </w:rPr>
            </w:pPr>
            <w:r>
              <w:rPr>
                <w:color w:val="auto"/>
              </w:rPr>
              <w:t>26.0</w:t>
            </w:r>
          </w:p>
        </w:tc>
        <w:tc>
          <w:tcPr>
            <w:tcW w:w="161" w:type="pct"/>
            <w:tcBorders>
              <w:tl2br w:val="nil"/>
              <w:tr2bl w:val="nil"/>
            </w:tcBorders>
            <w:noWrap w:val="0"/>
            <w:tcMar>
              <w:top w:w="0" w:type="dxa"/>
              <w:left w:w="0" w:type="dxa"/>
              <w:bottom w:w="0" w:type="dxa"/>
              <w:right w:w="0" w:type="dxa"/>
            </w:tcMar>
            <w:vAlign w:val="center"/>
          </w:tcPr>
          <w:p w14:paraId="791D598E">
            <w:pPr>
              <w:pStyle w:val="44"/>
              <w:bidi w:val="0"/>
              <w:rPr>
                <w:rFonts w:hint="default"/>
                <w:color w:val="auto"/>
                <w:lang w:val="en-US" w:eastAsia="zh-CN"/>
              </w:rPr>
            </w:pPr>
            <w:r>
              <w:rPr>
                <w:color w:val="auto"/>
              </w:rPr>
              <w:t>26.0</w:t>
            </w:r>
          </w:p>
        </w:tc>
        <w:tc>
          <w:tcPr>
            <w:tcW w:w="161" w:type="pct"/>
            <w:tcBorders>
              <w:tl2br w:val="nil"/>
              <w:tr2bl w:val="nil"/>
            </w:tcBorders>
            <w:noWrap w:val="0"/>
            <w:tcMar>
              <w:top w:w="0" w:type="dxa"/>
              <w:left w:w="0" w:type="dxa"/>
              <w:bottom w:w="0" w:type="dxa"/>
              <w:right w:w="0" w:type="dxa"/>
            </w:tcMar>
            <w:vAlign w:val="center"/>
          </w:tcPr>
          <w:p w14:paraId="4092ADDB">
            <w:pPr>
              <w:pStyle w:val="44"/>
              <w:bidi w:val="0"/>
              <w:rPr>
                <w:rFonts w:hint="default"/>
                <w:color w:val="auto"/>
                <w:lang w:val="en-US" w:eastAsia="zh-CN"/>
              </w:rPr>
            </w:pPr>
            <w:r>
              <w:rPr>
                <w:color w:val="auto"/>
              </w:rPr>
              <w:t>26.0</w:t>
            </w:r>
          </w:p>
        </w:tc>
        <w:tc>
          <w:tcPr>
            <w:tcW w:w="174" w:type="pct"/>
            <w:tcBorders>
              <w:tl2br w:val="nil"/>
              <w:tr2bl w:val="nil"/>
            </w:tcBorders>
            <w:noWrap w:val="0"/>
            <w:tcMar>
              <w:top w:w="0" w:type="dxa"/>
              <w:left w:w="0" w:type="dxa"/>
              <w:bottom w:w="0" w:type="dxa"/>
              <w:right w:w="0" w:type="dxa"/>
            </w:tcMar>
            <w:vAlign w:val="center"/>
          </w:tcPr>
          <w:p w14:paraId="3E57C673">
            <w:pPr>
              <w:pStyle w:val="44"/>
              <w:bidi w:val="0"/>
              <w:rPr>
                <w:rFonts w:hint="default"/>
                <w:color w:val="auto"/>
                <w:lang w:val="en-US" w:eastAsia="zh-CN"/>
              </w:rPr>
            </w:pPr>
            <w:r>
              <w:rPr>
                <w:color w:val="auto"/>
              </w:rPr>
              <w:t>26.0</w:t>
            </w:r>
          </w:p>
        </w:tc>
        <w:tc>
          <w:tcPr>
            <w:tcW w:w="169" w:type="pct"/>
            <w:tcBorders>
              <w:tl2br w:val="nil"/>
              <w:tr2bl w:val="nil"/>
            </w:tcBorders>
            <w:noWrap w:val="0"/>
            <w:tcMar>
              <w:top w:w="0" w:type="dxa"/>
              <w:left w:w="0" w:type="dxa"/>
              <w:bottom w:w="0" w:type="dxa"/>
              <w:right w:w="0" w:type="dxa"/>
            </w:tcMar>
            <w:vAlign w:val="center"/>
          </w:tcPr>
          <w:p w14:paraId="7F329C4C">
            <w:pPr>
              <w:pStyle w:val="44"/>
              <w:bidi w:val="0"/>
              <w:rPr>
                <w:rFonts w:hint="default"/>
                <w:color w:val="auto"/>
                <w:lang w:val="en-US" w:eastAsia="zh-CN"/>
              </w:rPr>
            </w:pPr>
            <w:r>
              <w:rPr>
                <w:color w:val="auto"/>
              </w:rPr>
              <w:t>21.7</w:t>
            </w:r>
          </w:p>
        </w:tc>
        <w:tc>
          <w:tcPr>
            <w:tcW w:w="169" w:type="pct"/>
            <w:tcBorders>
              <w:tl2br w:val="nil"/>
              <w:tr2bl w:val="nil"/>
            </w:tcBorders>
            <w:noWrap w:val="0"/>
            <w:tcMar>
              <w:top w:w="0" w:type="dxa"/>
              <w:left w:w="0" w:type="dxa"/>
              <w:bottom w:w="0" w:type="dxa"/>
              <w:right w:w="0" w:type="dxa"/>
            </w:tcMar>
            <w:vAlign w:val="center"/>
          </w:tcPr>
          <w:p w14:paraId="771762BE">
            <w:pPr>
              <w:pStyle w:val="44"/>
              <w:bidi w:val="0"/>
              <w:rPr>
                <w:rFonts w:hint="default"/>
                <w:color w:val="auto"/>
                <w:lang w:val="en-US" w:eastAsia="zh-CN"/>
              </w:rPr>
            </w:pPr>
            <w:r>
              <w:rPr>
                <w:color w:val="auto"/>
              </w:rPr>
              <w:t>21.7</w:t>
            </w:r>
          </w:p>
        </w:tc>
        <w:tc>
          <w:tcPr>
            <w:tcW w:w="169" w:type="pct"/>
            <w:tcBorders>
              <w:tl2br w:val="nil"/>
              <w:tr2bl w:val="nil"/>
            </w:tcBorders>
            <w:noWrap w:val="0"/>
            <w:tcMar>
              <w:top w:w="0" w:type="dxa"/>
              <w:left w:w="0" w:type="dxa"/>
              <w:bottom w:w="0" w:type="dxa"/>
              <w:right w:w="0" w:type="dxa"/>
            </w:tcMar>
            <w:vAlign w:val="center"/>
          </w:tcPr>
          <w:p w14:paraId="7BFC44B1">
            <w:pPr>
              <w:pStyle w:val="44"/>
              <w:bidi w:val="0"/>
              <w:rPr>
                <w:rFonts w:hint="default"/>
                <w:color w:val="auto"/>
                <w:lang w:val="en-US" w:eastAsia="zh-CN"/>
              </w:rPr>
            </w:pPr>
            <w:r>
              <w:rPr>
                <w:color w:val="auto"/>
              </w:rPr>
              <w:t>21.7</w:t>
            </w:r>
          </w:p>
        </w:tc>
        <w:tc>
          <w:tcPr>
            <w:tcW w:w="169" w:type="pct"/>
            <w:tcBorders>
              <w:tl2br w:val="nil"/>
              <w:tr2bl w:val="nil"/>
            </w:tcBorders>
            <w:noWrap w:val="0"/>
            <w:tcMar>
              <w:top w:w="0" w:type="dxa"/>
              <w:left w:w="0" w:type="dxa"/>
              <w:bottom w:w="0" w:type="dxa"/>
              <w:right w:w="0" w:type="dxa"/>
            </w:tcMar>
            <w:vAlign w:val="center"/>
          </w:tcPr>
          <w:p w14:paraId="1E687161">
            <w:pPr>
              <w:pStyle w:val="44"/>
              <w:bidi w:val="0"/>
              <w:rPr>
                <w:rFonts w:hint="default"/>
                <w:color w:val="auto"/>
                <w:lang w:val="en-US" w:eastAsia="zh-CN"/>
              </w:rPr>
            </w:pPr>
            <w:r>
              <w:rPr>
                <w:color w:val="auto"/>
              </w:rPr>
              <w:t>22.3</w:t>
            </w:r>
          </w:p>
        </w:tc>
        <w:tc>
          <w:tcPr>
            <w:tcW w:w="242" w:type="pct"/>
            <w:tcBorders>
              <w:tl2br w:val="nil"/>
              <w:tr2bl w:val="nil"/>
            </w:tcBorders>
            <w:noWrap w:val="0"/>
            <w:tcMar>
              <w:top w:w="0" w:type="dxa"/>
              <w:left w:w="0" w:type="dxa"/>
              <w:bottom w:w="0" w:type="dxa"/>
              <w:right w:w="0" w:type="dxa"/>
            </w:tcMar>
            <w:vAlign w:val="center"/>
          </w:tcPr>
          <w:p w14:paraId="7705A0C1">
            <w:pPr>
              <w:pStyle w:val="44"/>
              <w:bidi w:val="0"/>
              <w:rPr>
                <w:rFonts w:hint="default"/>
                <w:color w:val="auto"/>
                <w:lang w:val="en-US" w:eastAsia="zh-CN"/>
              </w:rPr>
            </w:pPr>
            <w:r>
              <w:rPr>
                <w:color w:val="auto"/>
              </w:rPr>
              <w:t>1</w:t>
            </w:r>
          </w:p>
        </w:tc>
      </w:tr>
      <w:tr w14:paraId="0DA2871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78" w:type="pct"/>
            <w:tcBorders>
              <w:tl2br w:val="nil"/>
              <w:tr2bl w:val="nil"/>
            </w:tcBorders>
            <w:noWrap w:val="0"/>
            <w:tcMar>
              <w:top w:w="0" w:type="dxa"/>
              <w:left w:w="0" w:type="dxa"/>
              <w:bottom w:w="0" w:type="dxa"/>
              <w:right w:w="0" w:type="dxa"/>
            </w:tcMar>
            <w:vAlign w:val="center"/>
          </w:tcPr>
          <w:p w14:paraId="5411C587">
            <w:pPr>
              <w:pStyle w:val="44"/>
              <w:bidi w:val="0"/>
              <w:rPr>
                <w:rFonts w:hint="default"/>
                <w:color w:val="auto"/>
                <w:lang w:val="en-US" w:eastAsia="zh-CN"/>
              </w:rPr>
            </w:pPr>
            <w:r>
              <w:rPr>
                <w:rFonts w:hint="eastAsia"/>
                <w:color w:val="auto"/>
                <w:lang w:val="en-US" w:eastAsia="zh-CN"/>
              </w:rPr>
              <w:t>9</w:t>
            </w:r>
          </w:p>
        </w:tc>
        <w:tc>
          <w:tcPr>
            <w:tcW w:w="129" w:type="pct"/>
            <w:tcBorders>
              <w:tl2br w:val="nil"/>
              <w:tr2bl w:val="nil"/>
            </w:tcBorders>
            <w:noWrap w:val="0"/>
            <w:tcMar>
              <w:top w:w="0" w:type="dxa"/>
              <w:left w:w="0" w:type="dxa"/>
              <w:bottom w:w="0" w:type="dxa"/>
              <w:right w:w="0" w:type="dxa"/>
            </w:tcMar>
            <w:vAlign w:val="center"/>
          </w:tcPr>
          <w:p w14:paraId="2633E33E">
            <w:pPr>
              <w:pStyle w:val="44"/>
              <w:bidi w:val="0"/>
              <w:rPr>
                <w:rFonts w:hint="default"/>
                <w:color w:val="auto"/>
              </w:rPr>
            </w:pPr>
          </w:p>
        </w:tc>
        <w:tc>
          <w:tcPr>
            <w:tcW w:w="377" w:type="pct"/>
            <w:tcBorders>
              <w:tl2br w:val="nil"/>
              <w:tr2bl w:val="nil"/>
            </w:tcBorders>
            <w:noWrap w:val="0"/>
            <w:tcMar>
              <w:top w:w="0" w:type="dxa"/>
              <w:left w:w="0" w:type="dxa"/>
              <w:bottom w:w="0" w:type="dxa"/>
              <w:right w:w="0" w:type="dxa"/>
            </w:tcMar>
            <w:vAlign w:val="center"/>
          </w:tcPr>
          <w:p w14:paraId="41B57994">
            <w:pPr>
              <w:pStyle w:val="44"/>
              <w:bidi w:val="0"/>
              <w:rPr>
                <w:rFonts w:hint="eastAsia"/>
                <w:color w:val="auto"/>
                <w:lang w:val="en-US" w:eastAsia="zh-CN"/>
              </w:rPr>
            </w:pPr>
            <w:r>
              <w:rPr>
                <w:color w:val="auto"/>
              </w:rPr>
              <w:t>空压机</w:t>
            </w:r>
          </w:p>
        </w:tc>
        <w:tc>
          <w:tcPr>
            <w:tcW w:w="262" w:type="pct"/>
            <w:tcBorders>
              <w:tl2br w:val="nil"/>
              <w:tr2bl w:val="nil"/>
            </w:tcBorders>
            <w:noWrap w:val="0"/>
            <w:tcMar>
              <w:top w:w="0" w:type="dxa"/>
              <w:left w:w="0" w:type="dxa"/>
              <w:bottom w:w="0" w:type="dxa"/>
              <w:right w:w="0" w:type="dxa"/>
            </w:tcMar>
            <w:vAlign w:val="center"/>
          </w:tcPr>
          <w:p w14:paraId="6C4A02DF">
            <w:pPr>
              <w:pStyle w:val="44"/>
              <w:bidi w:val="0"/>
              <w:rPr>
                <w:color w:val="auto"/>
              </w:rPr>
            </w:pPr>
            <w:r>
              <w:rPr>
                <w:color w:val="auto"/>
              </w:rPr>
              <w:t>75</w:t>
            </w:r>
          </w:p>
        </w:tc>
        <w:tc>
          <w:tcPr>
            <w:tcW w:w="232" w:type="pct"/>
            <w:vMerge w:val="continue"/>
            <w:tcBorders>
              <w:tl2br w:val="nil"/>
              <w:tr2bl w:val="nil"/>
            </w:tcBorders>
            <w:noWrap w:val="0"/>
            <w:tcMar>
              <w:top w:w="0" w:type="dxa"/>
              <w:left w:w="0" w:type="dxa"/>
              <w:bottom w:w="0" w:type="dxa"/>
              <w:right w:w="0" w:type="dxa"/>
            </w:tcMar>
            <w:vAlign w:val="center"/>
          </w:tcPr>
          <w:p w14:paraId="568837E8">
            <w:pPr>
              <w:pStyle w:val="44"/>
              <w:bidi w:val="0"/>
              <w:rPr>
                <w:rFonts w:hint="default"/>
                <w:color w:val="auto"/>
              </w:rPr>
            </w:pPr>
          </w:p>
        </w:tc>
        <w:tc>
          <w:tcPr>
            <w:tcW w:w="214" w:type="pct"/>
            <w:tcBorders>
              <w:tl2br w:val="nil"/>
              <w:tr2bl w:val="nil"/>
            </w:tcBorders>
            <w:noWrap w:val="0"/>
            <w:tcMar>
              <w:top w:w="0" w:type="dxa"/>
              <w:left w:w="0" w:type="dxa"/>
              <w:bottom w:w="0" w:type="dxa"/>
              <w:right w:w="0" w:type="dxa"/>
            </w:tcMar>
            <w:vAlign w:val="center"/>
          </w:tcPr>
          <w:p w14:paraId="0C63B8C3">
            <w:pPr>
              <w:pStyle w:val="44"/>
              <w:bidi w:val="0"/>
              <w:rPr>
                <w:color w:val="auto"/>
              </w:rPr>
            </w:pPr>
            <w:r>
              <w:rPr>
                <w:color w:val="auto"/>
              </w:rPr>
              <w:t>-3.6</w:t>
            </w:r>
          </w:p>
        </w:tc>
        <w:tc>
          <w:tcPr>
            <w:tcW w:w="206" w:type="pct"/>
            <w:tcBorders>
              <w:tl2br w:val="nil"/>
              <w:tr2bl w:val="nil"/>
            </w:tcBorders>
            <w:noWrap w:val="0"/>
            <w:tcMar>
              <w:top w:w="0" w:type="dxa"/>
              <w:left w:w="0" w:type="dxa"/>
              <w:bottom w:w="0" w:type="dxa"/>
              <w:right w:w="0" w:type="dxa"/>
            </w:tcMar>
            <w:vAlign w:val="center"/>
          </w:tcPr>
          <w:p w14:paraId="497FC58C">
            <w:pPr>
              <w:pStyle w:val="44"/>
              <w:bidi w:val="0"/>
              <w:rPr>
                <w:color w:val="auto"/>
              </w:rPr>
            </w:pPr>
            <w:r>
              <w:rPr>
                <w:color w:val="auto"/>
              </w:rPr>
              <w:t>4.6</w:t>
            </w:r>
          </w:p>
        </w:tc>
        <w:tc>
          <w:tcPr>
            <w:tcW w:w="185" w:type="pct"/>
            <w:tcBorders>
              <w:tl2br w:val="nil"/>
              <w:tr2bl w:val="nil"/>
            </w:tcBorders>
            <w:noWrap w:val="0"/>
            <w:tcMar>
              <w:top w:w="0" w:type="dxa"/>
              <w:left w:w="0" w:type="dxa"/>
              <w:bottom w:w="0" w:type="dxa"/>
              <w:right w:w="0" w:type="dxa"/>
            </w:tcMar>
            <w:vAlign w:val="center"/>
          </w:tcPr>
          <w:p w14:paraId="77E6CCB5">
            <w:pPr>
              <w:pStyle w:val="44"/>
              <w:bidi w:val="0"/>
              <w:rPr>
                <w:color w:val="auto"/>
              </w:rPr>
            </w:pPr>
            <w:r>
              <w:rPr>
                <w:color w:val="auto"/>
              </w:rPr>
              <w:t>1.2</w:t>
            </w:r>
          </w:p>
        </w:tc>
        <w:tc>
          <w:tcPr>
            <w:tcW w:w="198" w:type="pct"/>
            <w:tcBorders>
              <w:tl2br w:val="nil"/>
              <w:tr2bl w:val="nil"/>
            </w:tcBorders>
            <w:noWrap w:val="0"/>
            <w:tcMar>
              <w:top w:w="0" w:type="dxa"/>
              <w:left w:w="0" w:type="dxa"/>
              <w:bottom w:w="0" w:type="dxa"/>
              <w:right w:w="0" w:type="dxa"/>
            </w:tcMar>
            <w:vAlign w:val="center"/>
          </w:tcPr>
          <w:p w14:paraId="7DBB72DC">
            <w:pPr>
              <w:pStyle w:val="44"/>
              <w:bidi w:val="0"/>
              <w:rPr>
                <w:color w:val="auto"/>
              </w:rPr>
            </w:pPr>
            <w:r>
              <w:rPr>
                <w:color w:val="auto"/>
              </w:rPr>
              <w:t>59.6</w:t>
            </w:r>
          </w:p>
        </w:tc>
        <w:tc>
          <w:tcPr>
            <w:tcW w:w="186" w:type="pct"/>
            <w:tcBorders>
              <w:tl2br w:val="nil"/>
              <w:tr2bl w:val="nil"/>
            </w:tcBorders>
            <w:noWrap w:val="0"/>
            <w:tcMar>
              <w:top w:w="0" w:type="dxa"/>
              <w:left w:w="0" w:type="dxa"/>
              <w:bottom w:w="0" w:type="dxa"/>
              <w:right w:w="0" w:type="dxa"/>
            </w:tcMar>
            <w:vAlign w:val="center"/>
          </w:tcPr>
          <w:p w14:paraId="70AA8F9A">
            <w:pPr>
              <w:pStyle w:val="44"/>
              <w:bidi w:val="0"/>
              <w:rPr>
                <w:color w:val="auto"/>
              </w:rPr>
            </w:pPr>
            <w:r>
              <w:rPr>
                <w:color w:val="auto"/>
              </w:rPr>
              <w:t>18.9</w:t>
            </w:r>
          </w:p>
        </w:tc>
        <w:tc>
          <w:tcPr>
            <w:tcW w:w="169" w:type="pct"/>
            <w:tcBorders>
              <w:tl2br w:val="nil"/>
              <w:tr2bl w:val="nil"/>
            </w:tcBorders>
            <w:noWrap w:val="0"/>
            <w:tcMar>
              <w:top w:w="0" w:type="dxa"/>
              <w:left w:w="0" w:type="dxa"/>
              <w:bottom w:w="0" w:type="dxa"/>
              <w:right w:w="0" w:type="dxa"/>
            </w:tcMar>
            <w:vAlign w:val="center"/>
          </w:tcPr>
          <w:p w14:paraId="063674FA">
            <w:pPr>
              <w:pStyle w:val="44"/>
              <w:bidi w:val="0"/>
              <w:rPr>
                <w:color w:val="auto"/>
              </w:rPr>
            </w:pPr>
            <w:r>
              <w:rPr>
                <w:color w:val="auto"/>
              </w:rPr>
              <w:t>54.3</w:t>
            </w:r>
          </w:p>
        </w:tc>
        <w:tc>
          <w:tcPr>
            <w:tcW w:w="190" w:type="pct"/>
            <w:tcBorders>
              <w:tl2br w:val="nil"/>
              <w:tr2bl w:val="nil"/>
            </w:tcBorders>
            <w:noWrap w:val="0"/>
            <w:tcMar>
              <w:top w:w="0" w:type="dxa"/>
              <w:left w:w="0" w:type="dxa"/>
              <w:bottom w:w="0" w:type="dxa"/>
              <w:right w:w="0" w:type="dxa"/>
            </w:tcMar>
            <w:vAlign w:val="center"/>
          </w:tcPr>
          <w:p w14:paraId="6B3BCE82">
            <w:pPr>
              <w:pStyle w:val="44"/>
              <w:bidi w:val="0"/>
              <w:rPr>
                <w:color w:val="auto"/>
              </w:rPr>
            </w:pPr>
            <w:r>
              <w:rPr>
                <w:color w:val="auto"/>
              </w:rPr>
              <w:t>8.8</w:t>
            </w:r>
          </w:p>
        </w:tc>
        <w:tc>
          <w:tcPr>
            <w:tcW w:w="166" w:type="pct"/>
            <w:tcBorders>
              <w:tl2br w:val="nil"/>
              <w:tr2bl w:val="nil"/>
            </w:tcBorders>
            <w:noWrap w:val="0"/>
            <w:tcMar>
              <w:top w:w="0" w:type="dxa"/>
              <w:left w:w="0" w:type="dxa"/>
              <w:bottom w:w="0" w:type="dxa"/>
              <w:right w:w="0" w:type="dxa"/>
            </w:tcMar>
            <w:vAlign w:val="center"/>
          </w:tcPr>
          <w:p w14:paraId="194609F0">
            <w:pPr>
              <w:pStyle w:val="44"/>
              <w:bidi w:val="0"/>
              <w:rPr>
                <w:color w:val="auto"/>
              </w:rPr>
            </w:pPr>
            <w:r>
              <w:rPr>
                <w:color w:val="auto"/>
              </w:rPr>
              <w:t>57.7</w:t>
            </w:r>
          </w:p>
        </w:tc>
        <w:tc>
          <w:tcPr>
            <w:tcW w:w="166" w:type="pct"/>
            <w:tcBorders>
              <w:tl2br w:val="nil"/>
              <w:tr2bl w:val="nil"/>
            </w:tcBorders>
            <w:noWrap w:val="0"/>
            <w:tcMar>
              <w:top w:w="0" w:type="dxa"/>
              <w:left w:w="0" w:type="dxa"/>
              <w:bottom w:w="0" w:type="dxa"/>
              <w:right w:w="0" w:type="dxa"/>
            </w:tcMar>
            <w:vAlign w:val="center"/>
          </w:tcPr>
          <w:p w14:paraId="37A995A5">
            <w:pPr>
              <w:pStyle w:val="44"/>
              <w:bidi w:val="0"/>
              <w:rPr>
                <w:color w:val="auto"/>
              </w:rPr>
            </w:pPr>
            <w:r>
              <w:rPr>
                <w:color w:val="auto"/>
              </w:rPr>
              <w:t>57.7</w:t>
            </w:r>
          </w:p>
        </w:tc>
        <w:tc>
          <w:tcPr>
            <w:tcW w:w="166" w:type="pct"/>
            <w:tcBorders>
              <w:tl2br w:val="nil"/>
              <w:tr2bl w:val="nil"/>
            </w:tcBorders>
            <w:noWrap w:val="0"/>
            <w:tcMar>
              <w:top w:w="0" w:type="dxa"/>
              <w:left w:w="0" w:type="dxa"/>
              <w:bottom w:w="0" w:type="dxa"/>
              <w:right w:w="0" w:type="dxa"/>
            </w:tcMar>
            <w:vAlign w:val="center"/>
          </w:tcPr>
          <w:p w14:paraId="1DDE6C3E">
            <w:pPr>
              <w:pStyle w:val="44"/>
              <w:bidi w:val="0"/>
              <w:rPr>
                <w:color w:val="auto"/>
              </w:rPr>
            </w:pPr>
            <w:r>
              <w:rPr>
                <w:color w:val="auto"/>
              </w:rPr>
              <w:t>57.7</w:t>
            </w:r>
          </w:p>
        </w:tc>
        <w:tc>
          <w:tcPr>
            <w:tcW w:w="177" w:type="pct"/>
            <w:tcBorders>
              <w:tl2br w:val="nil"/>
              <w:tr2bl w:val="nil"/>
            </w:tcBorders>
            <w:noWrap w:val="0"/>
            <w:tcMar>
              <w:top w:w="0" w:type="dxa"/>
              <w:left w:w="0" w:type="dxa"/>
              <w:bottom w:w="0" w:type="dxa"/>
              <w:right w:w="0" w:type="dxa"/>
            </w:tcMar>
            <w:vAlign w:val="center"/>
          </w:tcPr>
          <w:p w14:paraId="0892EDE8">
            <w:pPr>
              <w:pStyle w:val="44"/>
              <w:bidi w:val="0"/>
              <w:rPr>
                <w:color w:val="auto"/>
              </w:rPr>
            </w:pPr>
            <w:r>
              <w:rPr>
                <w:color w:val="auto"/>
              </w:rPr>
              <w:t>57.9</w:t>
            </w:r>
          </w:p>
        </w:tc>
        <w:tc>
          <w:tcPr>
            <w:tcW w:w="207" w:type="pct"/>
            <w:tcBorders>
              <w:tl2br w:val="nil"/>
              <w:tr2bl w:val="nil"/>
            </w:tcBorders>
            <w:noWrap w:val="0"/>
            <w:tcMar>
              <w:top w:w="0" w:type="dxa"/>
              <w:left w:w="0" w:type="dxa"/>
              <w:bottom w:w="0" w:type="dxa"/>
              <w:right w:w="0" w:type="dxa"/>
            </w:tcMar>
            <w:vAlign w:val="center"/>
          </w:tcPr>
          <w:p w14:paraId="7DB9569D">
            <w:pPr>
              <w:pStyle w:val="44"/>
              <w:bidi w:val="0"/>
              <w:rPr>
                <w:rFonts w:hint="default"/>
                <w:color w:val="auto"/>
              </w:rPr>
            </w:pPr>
          </w:p>
        </w:tc>
        <w:tc>
          <w:tcPr>
            <w:tcW w:w="161" w:type="pct"/>
            <w:tcBorders>
              <w:tl2br w:val="nil"/>
              <w:tr2bl w:val="nil"/>
            </w:tcBorders>
            <w:noWrap w:val="0"/>
            <w:tcMar>
              <w:top w:w="0" w:type="dxa"/>
              <w:left w:w="0" w:type="dxa"/>
              <w:bottom w:w="0" w:type="dxa"/>
              <w:right w:w="0" w:type="dxa"/>
            </w:tcMar>
            <w:vAlign w:val="center"/>
          </w:tcPr>
          <w:p w14:paraId="43005D46">
            <w:pPr>
              <w:pStyle w:val="44"/>
              <w:bidi w:val="0"/>
              <w:rPr>
                <w:color w:val="auto"/>
              </w:rPr>
            </w:pPr>
            <w:r>
              <w:rPr>
                <w:color w:val="auto"/>
              </w:rPr>
              <w:t>26.0</w:t>
            </w:r>
          </w:p>
        </w:tc>
        <w:tc>
          <w:tcPr>
            <w:tcW w:w="161" w:type="pct"/>
            <w:tcBorders>
              <w:tl2br w:val="nil"/>
              <w:tr2bl w:val="nil"/>
            </w:tcBorders>
            <w:noWrap w:val="0"/>
            <w:tcMar>
              <w:top w:w="0" w:type="dxa"/>
              <w:left w:w="0" w:type="dxa"/>
              <w:bottom w:w="0" w:type="dxa"/>
              <w:right w:w="0" w:type="dxa"/>
            </w:tcMar>
            <w:vAlign w:val="center"/>
          </w:tcPr>
          <w:p w14:paraId="1F763F38">
            <w:pPr>
              <w:pStyle w:val="44"/>
              <w:bidi w:val="0"/>
              <w:rPr>
                <w:color w:val="auto"/>
              </w:rPr>
            </w:pPr>
            <w:r>
              <w:rPr>
                <w:color w:val="auto"/>
              </w:rPr>
              <w:t>26.0</w:t>
            </w:r>
          </w:p>
        </w:tc>
        <w:tc>
          <w:tcPr>
            <w:tcW w:w="161" w:type="pct"/>
            <w:tcBorders>
              <w:tl2br w:val="nil"/>
              <w:tr2bl w:val="nil"/>
            </w:tcBorders>
            <w:noWrap w:val="0"/>
            <w:tcMar>
              <w:top w:w="0" w:type="dxa"/>
              <w:left w:w="0" w:type="dxa"/>
              <w:bottom w:w="0" w:type="dxa"/>
              <w:right w:w="0" w:type="dxa"/>
            </w:tcMar>
            <w:vAlign w:val="center"/>
          </w:tcPr>
          <w:p w14:paraId="3D4B81C2">
            <w:pPr>
              <w:pStyle w:val="44"/>
              <w:bidi w:val="0"/>
              <w:rPr>
                <w:color w:val="auto"/>
              </w:rPr>
            </w:pPr>
            <w:r>
              <w:rPr>
                <w:color w:val="auto"/>
              </w:rPr>
              <w:t>26.0</w:t>
            </w:r>
          </w:p>
        </w:tc>
        <w:tc>
          <w:tcPr>
            <w:tcW w:w="174" w:type="pct"/>
            <w:tcBorders>
              <w:tl2br w:val="nil"/>
              <w:tr2bl w:val="nil"/>
            </w:tcBorders>
            <w:noWrap w:val="0"/>
            <w:tcMar>
              <w:top w:w="0" w:type="dxa"/>
              <w:left w:w="0" w:type="dxa"/>
              <w:bottom w:w="0" w:type="dxa"/>
              <w:right w:w="0" w:type="dxa"/>
            </w:tcMar>
            <w:vAlign w:val="center"/>
          </w:tcPr>
          <w:p w14:paraId="09FB660C">
            <w:pPr>
              <w:pStyle w:val="44"/>
              <w:bidi w:val="0"/>
              <w:rPr>
                <w:color w:val="auto"/>
              </w:rPr>
            </w:pPr>
            <w:r>
              <w:rPr>
                <w:color w:val="auto"/>
              </w:rPr>
              <w:t>26.0</w:t>
            </w:r>
          </w:p>
        </w:tc>
        <w:tc>
          <w:tcPr>
            <w:tcW w:w="169" w:type="pct"/>
            <w:tcBorders>
              <w:tl2br w:val="nil"/>
              <w:tr2bl w:val="nil"/>
            </w:tcBorders>
            <w:noWrap w:val="0"/>
            <w:tcMar>
              <w:top w:w="0" w:type="dxa"/>
              <w:left w:w="0" w:type="dxa"/>
              <w:bottom w:w="0" w:type="dxa"/>
              <w:right w:w="0" w:type="dxa"/>
            </w:tcMar>
            <w:vAlign w:val="center"/>
          </w:tcPr>
          <w:p w14:paraId="0B063B98">
            <w:pPr>
              <w:pStyle w:val="44"/>
              <w:bidi w:val="0"/>
              <w:rPr>
                <w:color w:val="auto"/>
              </w:rPr>
            </w:pPr>
            <w:r>
              <w:rPr>
                <w:color w:val="auto"/>
              </w:rPr>
              <w:t>31.7</w:t>
            </w:r>
          </w:p>
        </w:tc>
        <w:tc>
          <w:tcPr>
            <w:tcW w:w="169" w:type="pct"/>
            <w:tcBorders>
              <w:tl2br w:val="nil"/>
              <w:tr2bl w:val="nil"/>
            </w:tcBorders>
            <w:noWrap w:val="0"/>
            <w:tcMar>
              <w:top w:w="0" w:type="dxa"/>
              <w:left w:w="0" w:type="dxa"/>
              <w:bottom w:w="0" w:type="dxa"/>
              <w:right w:w="0" w:type="dxa"/>
            </w:tcMar>
            <w:vAlign w:val="center"/>
          </w:tcPr>
          <w:p w14:paraId="574C6BEC">
            <w:pPr>
              <w:pStyle w:val="44"/>
              <w:bidi w:val="0"/>
              <w:rPr>
                <w:color w:val="auto"/>
              </w:rPr>
            </w:pPr>
            <w:r>
              <w:rPr>
                <w:color w:val="auto"/>
              </w:rPr>
              <w:t>31.7</w:t>
            </w:r>
          </w:p>
        </w:tc>
        <w:tc>
          <w:tcPr>
            <w:tcW w:w="169" w:type="pct"/>
            <w:tcBorders>
              <w:tl2br w:val="nil"/>
              <w:tr2bl w:val="nil"/>
            </w:tcBorders>
            <w:noWrap w:val="0"/>
            <w:tcMar>
              <w:top w:w="0" w:type="dxa"/>
              <w:left w:w="0" w:type="dxa"/>
              <w:bottom w:w="0" w:type="dxa"/>
              <w:right w:w="0" w:type="dxa"/>
            </w:tcMar>
            <w:vAlign w:val="center"/>
          </w:tcPr>
          <w:p w14:paraId="455089E6">
            <w:pPr>
              <w:pStyle w:val="44"/>
              <w:bidi w:val="0"/>
              <w:rPr>
                <w:color w:val="auto"/>
              </w:rPr>
            </w:pPr>
            <w:r>
              <w:rPr>
                <w:color w:val="auto"/>
              </w:rPr>
              <w:t>31.7</w:t>
            </w:r>
          </w:p>
        </w:tc>
        <w:tc>
          <w:tcPr>
            <w:tcW w:w="169" w:type="pct"/>
            <w:tcBorders>
              <w:tl2br w:val="nil"/>
              <w:tr2bl w:val="nil"/>
            </w:tcBorders>
            <w:noWrap w:val="0"/>
            <w:tcMar>
              <w:top w:w="0" w:type="dxa"/>
              <w:left w:w="0" w:type="dxa"/>
              <w:bottom w:w="0" w:type="dxa"/>
              <w:right w:w="0" w:type="dxa"/>
            </w:tcMar>
            <w:vAlign w:val="center"/>
          </w:tcPr>
          <w:p w14:paraId="2477CE6E">
            <w:pPr>
              <w:pStyle w:val="44"/>
              <w:bidi w:val="0"/>
              <w:rPr>
                <w:color w:val="auto"/>
              </w:rPr>
            </w:pPr>
            <w:r>
              <w:rPr>
                <w:color w:val="auto"/>
              </w:rPr>
              <w:t>31.9</w:t>
            </w:r>
          </w:p>
        </w:tc>
        <w:tc>
          <w:tcPr>
            <w:tcW w:w="242" w:type="pct"/>
            <w:tcBorders>
              <w:tl2br w:val="nil"/>
              <w:tr2bl w:val="nil"/>
            </w:tcBorders>
            <w:noWrap w:val="0"/>
            <w:tcMar>
              <w:top w:w="0" w:type="dxa"/>
              <w:left w:w="0" w:type="dxa"/>
              <w:bottom w:w="0" w:type="dxa"/>
              <w:right w:w="0" w:type="dxa"/>
            </w:tcMar>
            <w:vAlign w:val="center"/>
          </w:tcPr>
          <w:p w14:paraId="454D396B">
            <w:pPr>
              <w:pStyle w:val="44"/>
              <w:bidi w:val="0"/>
              <w:rPr>
                <w:color w:val="auto"/>
              </w:rPr>
            </w:pPr>
            <w:r>
              <w:rPr>
                <w:color w:val="auto"/>
              </w:rPr>
              <w:t>1</w:t>
            </w:r>
          </w:p>
        </w:tc>
      </w:tr>
      <w:tr w14:paraId="7AEBB9E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78" w:type="pct"/>
            <w:tcBorders>
              <w:tl2br w:val="nil"/>
              <w:tr2bl w:val="nil"/>
            </w:tcBorders>
            <w:noWrap w:val="0"/>
            <w:tcMar>
              <w:top w:w="0" w:type="dxa"/>
              <w:left w:w="0" w:type="dxa"/>
              <w:bottom w:w="0" w:type="dxa"/>
              <w:right w:w="0" w:type="dxa"/>
            </w:tcMar>
            <w:vAlign w:val="center"/>
          </w:tcPr>
          <w:p w14:paraId="37976F79">
            <w:pPr>
              <w:pStyle w:val="44"/>
              <w:bidi w:val="0"/>
              <w:rPr>
                <w:rFonts w:hint="default"/>
                <w:color w:val="auto"/>
                <w:lang w:val="en-US" w:eastAsia="zh-CN"/>
              </w:rPr>
            </w:pPr>
            <w:r>
              <w:rPr>
                <w:rFonts w:hint="eastAsia"/>
                <w:color w:val="auto"/>
                <w:lang w:val="en-US" w:eastAsia="zh-CN"/>
              </w:rPr>
              <w:t>10</w:t>
            </w:r>
          </w:p>
        </w:tc>
        <w:tc>
          <w:tcPr>
            <w:tcW w:w="129" w:type="pct"/>
            <w:tcBorders>
              <w:tl2br w:val="nil"/>
              <w:tr2bl w:val="nil"/>
            </w:tcBorders>
            <w:noWrap w:val="0"/>
            <w:tcMar>
              <w:top w:w="0" w:type="dxa"/>
              <w:left w:w="0" w:type="dxa"/>
              <w:bottom w:w="0" w:type="dxa"/>
              <w:right w:w="0" w:type="dxa"/>
            </w:tcMar>
            <w:vAlign w:val="center"/>
          </w:tcPr>
          <w:p w14:paraId="19998F13">
            <w:pPr>
              <w:pStyle w:val="44"/>
              <w:bidi w:val="0"/>
              <w:rPr>
                <w:rFonts w:hint="default"/>
                <w:color w:val="auto"/>
              </w:rPr>
            </w:pPr>
          </w:p>
        </w:tc>
        <w:tc>
          <w:tcPr>
            <w:tcW w:w="377" w:type="pct"/>
            <w:tcBorders>
              <w:tl2br w:val="nil"/>
              <w:tr2bl w:val="nil"/>
            </w:tcBorders>
            <w:noWrap w:val="0"/>
            <w:tcMar>
              <w:top w:w="0" w:type="dxa"/>
              <w:left w:w="0" w:type="dxa"/>
              <w:bottom w:w="0" w:type="dxa"/>
              <w:right w:w="0" w:type="dxa"/>
            </w:tcMar>
            <w:vAlign w:val="center"/>
          </w:tcPr>
          <w:p w14:paraId="3FFC073B">
            <w:pPr>
              <w:pStyle w:val="44"/>
              <w:bidi w:val="0"/>
              <w:rPr>
                <w:rFonts w:hint="eastAsia"/>
                <w:color w:val="auto"/>
                <w:lang w:val="en-US" w:eastAsia="zh-CN"/>
              </w:rPr>
            </w:pPr>
            <w:r>
              <w:rPr>
                <w:color w:val="auto"/>
              </w:rPr>
              <w:t>水泵</w:t>
            </w:r>
          </w:p>
        </w:tc>
        <w:tc>
          <w:tcPr>
            <w:tcW w:w="262" w:type="pct"/>
            <w:tcBorders>
              <w:tl2br w:val="nil"/>
              <w:tr2bl w:val="nil"/>
            </w:tcBorders>
            <w:noWrap w:val="0"/>
            <w:tcMar>
              <w:top w:w="0" w:type="dxa"/>
              <w:left w:w="0" w:type="dxa"/>
              <w:bottom w:w="0" w:type="dxa"/>
              <w:right w:w="0" w:type="dxa"/>
            </w:tcMar>
            <w:vAlign w:val="center"/>
          </w:tcPr>
          <w:p w14:paraId="725BB609">
            <w:pPr>
              <w:pStyle w:val="44"/>
              <w:bidi w:val="0"/>
              <w:rPr>
                <w:color w:val="auto"/>
              </w:rPr>
            </w:pPr>
            <w:r>
              <w:rPr>
                <w:color w:val="auto"/>
              </w:rPr>
              <w:t>65.0</w:t>
            </w:r>
          </w:p>
        </w:tc>
        <w:tc>
          <w:tcPr>
            <w:tcW w:w="232" w:type="pct"/>
            <w:vMerge w:val="continue"/>
            <w:tcBorders>
              <w:tl2br w:val="nil"/>
              <w:tr2bl w:val="nil"/>
            </w:tcBorders>
            <w:noWrap w:val="0"/>
            <w:tcMar>
              <w:top w:w="0" w:type="dxa"/>
              <w:left w:w="0" w:type="dxa"/>
              <w:bottom w:w="0" w:type="dxa"/>
              <w:right w:w="0" w:type="dxa"/>
            </w:tcMar>
            <w:vAlign w:val="center"/>
          </w:tcPr>
          <w:p w14:paraId="568553EF">
            <w:pPr>
              <w:pStyle w:val="44"/>
              <w:bidi w:val="0"/>
              <w:rPr>
                <w:rFonts w:hint="default"/>
                <w:color w:val="auto"/>
              </w:rPr>
            </w:pPr>
          </w:p>
        </w:tc>
        <w:tc>
          <w:tcPr>
            <w:tcW w:w="214" w:type="pct"/>
            <w:tcBorders>
              <w:tl2br w:val="nil"/>
              <w:tr2bl w:val="nil"/>
            </w:tcBorders>
            <w:noWrap w:val="0"/>
            <w:tcMar>
              <w:top w:w="0" w:type="dxa"/>
              <w:left w:w="0" w:type="dxa"/>
              <w:bottom w:w="0" w:type="dxa"/>
              <w:right w:w="0" w:type="dxa"/>
            </w:tcMar>
            <w:vAlign w:val="center"/>
          </w:tcPr>
          <w:p w14:paraId="33C88736">
            <w:pPr>
              <w:pStyle w:val="44"/>
              <w:bidi w:val="0"/>
              <w:rPr>
                <w:color w:val="auto"/>
              </w:rPr>
            </w:pPr>
            <w:r>
              <w:rPr>
                <w:color w:val="auto"/>
              </w:rPr>
              <w:t>-40.8</w:t>
            </w:r>
          </w:p>
        </w:tc>
        <w:tc>
          <w:tcPr>
            <w:tcW w:w="206" w:type="pct"/>
            <w:tcBorders>
              <w:tl2br w:val="nil"/>
              <w:tr2bl w:val="nil"/>
            </w:tcBorders>
            <w:noWrap w:val="0"/>
            <w:tcMar>
              <w:top w:w="0" w:type="dxa"/>
              <w:left w:w="0" w:type="dxa"/>
              <w:bottom w:w="0" w:type="dxa"/>
              <w:right w:w="0" w:type="dxa"/>
            </w:tcMar>
            <w:vAlign w:val="center"/>
          </w:tcPr>
          <w:p w14:paraId="5F09D498">
            <w:pPr>
              <w:pStyle w:val="44"/>
              <w:bidi w:val="0"/>
              <w:rPr>
                <w:color w:val="auto"/>
              </w:rPr>
            </w:pPr>
            <w:r>
              <w:rPr>
                <w:color w:val="auto"/>
              </w:rPr>
              <w:t>2.7</w:t>
            </w:r>
          </w:p>
        </w:tc>
        <w:tc>
          <w:tcPr>
            <w:tcW w:w="185" w:type="pct"/>
            <w:tcBorders>
              <w:tl2br w:val="nil"/>
              <w:tr2bl w:val="nil"/>
            </w:tcBorders>
            <w:noWrap w:val="0"/>
            <w:tcMar>
              <w:top w:w="0" w:type="dxa"/>
              <w:left w:w="0" w:type="dxa"/>
              <w:bottom w:w="0" w:type="dxa"/>
              <w:right w:w="0" w:type="dxa"/>
            </w:tcMar>
            <w:vAlign w:val="center"/>
          </w:tcPr>
          <w:p w14:paraId="6F93E2E3">
            <w:pPr>
              <w:pStyle w:val="44"/>
              <w:bidi w:val="0"/>
              <w:rPr>
                <w:color w:val="auto"/>
              </w:rPr>
            </w:pPr>
            <w:r>
              <w:rPr>
                <w:color w:val="auto"/>
              </w:rPr>
              <w:t>1.2</w:t>
            </w:r>
          </w:p>
        </w:tc>
        <w:tc>
          <w:tcPr>
            <w:tcW w:w="198" w:type="pct"/>
            <w:tcBorders>
              <w:tl2br w:val="nil"/>
              <w:tr2bl w:val="nil"/>
            </w:tcBorders>
            <w:noWrap w:val="0"/>
            <w:tcMar>
              <w:top w:w="0" w:type="dxa"/>
              <w:left w:w="0" w:type="dxa"/>
              <w:bottom w:w="0" w:type="dxa"/>
              <w:right w:w="0" w:type="dxa"/>
            </w:tcMar>
            <w:vAlign w:val="center"/>
          </w:tcPr>
          <w:p w14:paraId="5050CCF3">
            <w:pPr>
              <w:pStyle w:val="44"/>
              <w:bidi w:val="0"/>
              <w:rPr>
                <w:color w:val="auto"/>
              </w:rPr>
            </w:pPr>
            <w:r>
              <w:rPr>
                <w:color w:val="auto"/>
              </w:rPr>
              <w:t>96.0</w:t>
            </w:r>
          </w:p>
        </w:tc>
        <w:tc>
          <w:tcPr>
            <w:tcW w:w="186" w:type="pct"/>
            <w:tcBorders>
              <w:tl2br w:val="nil"/>
              <w:tr2bl w:val="nil"/>
            </w:tcBorders>
            <w:noWrap w:val="0"/>
            <w:tcMar>
              <w:top w:w="0" w:type="dxa"/>
              <w:left w:w="0" w:type="dxa"/>
              <w:bottom w:w="0" w:type="dxa"/>
              <w:right w:w="0" w:type="dxa"/>
            </w:tcMar>
            <w:vAlign w:val="center"/>
          </w:tcPr>
          <w:p w14:paraId="2CC83682">
            <w:pPr>
              <w:pStyle w:val="44"/>
              <w:bidi w:val="0"/>
              <w:rPr>
                <w:color w:val="auto"/>
              </w:rPr>
            </w:pPr>
            <w:r>
              <w:rPr>
                <w:color w:val="auto"/>
              </w:rPr>
              <w:t>25.5</w:t>
            </w:r>
          </w:p>
        </w:tc>
        <w:tc>
          <w:tcPr>
            <w:tcW w:w="169" w:type="pct"/>
            <w:tcBorders>
              <w:tl2br w:val="nil"/>
              <w:tr2bl w:val="nil"/>
            </w:tcBorders>
            <w:noWrap w:val="0"/>
            <w:tcMar>
              <w:top w:w="0" w:type="dxa"/>
              <w:left w:w="0" w:type="dxa"/>
              <w:bottom w:w="0" w:type="dxa"/>
              <w:right w:w="0" w:type="dxa"/>
            </w:tcMar>
            <w:vAlign w:val="center"/>
          </w:tcPr>
          <w:p w14:paraId="40EC1A0D">
            <w:pPr>
              <w:pStyle w:val="44"/>
              <w:bidi w:val="0"/>
              <w:rPr>
                <w:color w:val="auto"/>
              </w:rPr>
            </w:pPr>
            <w:r>
              <w:rPr>
                <w:color w:val="auto"/>
              </w:rPr>
              <w:t>17.6</w:t>
            </w:r>
          </w:p>
        </w:tc>
        <w:tc>
          <w:tcPr>
            <w:tcW w:w="190" w:type="pct"/>
            <w:tcBorders>
              <w:tl2br w:val="nil"/>
              <w:tr2bl w:val="nil"/>
            </w:tcBorders>
            <w:noWrap w:val="0"/>
            <w:tcMar>
              <w:top w:w="0" w:type="dxa"/>
              <w:left w:w="0" w:type="dxa"/>
              <w:bottom w:w="0" w:type="dxa"/>
              <w:right w:w="0" w:type="dxa"/>
            </w:tcMar>
            <w:vAlign w:val="center"/>
          </w:tcPr>
          <w:p w14:paraId="2506A777">
            <w:pPr>
              <w:pStyle w:val="44"/>
              <w:bidi w:val="0"/>
              <w:rPr>
                <w:color w:val="auto"/>
              </w:rPr>
            </w:pPr>
            <w:r>
              <w:rPr>
                <w:color w:val="auto"/>
              </w:rPr>
              <w:t>1.8</w:t>
            </w:r>
          </w:p>
        </w:tc>
        <w:tc>
          <w:tcPr>
            <w:tcW w:w="166" w:type="pct"/>
            <w:tcBorders>
              <w:tl2br w:val="nil"/>
              <w:tr2bl w:val="nil"/>
            </w:tcBorders>
            <w:noWrap w:val="0"/>
            <w:tcMar>
              <w:top w:w="0" w:type="dxa"/>
              <w:left w:w="0" w:type="dxa"/>
              <w:bottom w:w="0" w:type="dxa"/>
              <w:right w:w="0" w:type="dxa"/>
            </w:tcMar>
            <w:vAlign w:val="center"/>
          </w:tcPr>
          <w:p w14:paraId="35309D3A">
            <w:pPr>
              <w:pStyle w:val="44"/>
              <w:bidi w:val="0"/>
              <w:rPr>
                <w:color w:val="auto"/>
              </w:rPr>
            </w:pPr>
            <w:r>
              <w:rPr>
                <w:color w:val="auto"/>
              </w:rPr>
              <w:t>47.7</w:t>
            </w:r>
          </w:p>
        </w:tc>
        <w:tc>
          <w:tcPr>
            <w:tcW w:w="166" w:type="pct"/>
            <w:tcBorders>
              <w:tl2br w:val="nil"/>
              <w:tr2bl w:val="nil"/>
            </w:tcBorders>
            <w:noWrap w:val="0"/>
            <w:tcMar>
              <w:top w:w="0" w:type="dxa"/>
              <w:left w:w="0" w:type="dxa"/>
              <w:bottom w:w="0" w:type="dxa"/>
              <w:right w:w="0" w:type="dxa"/>
            </w:tcMar>
            <w:vAlign w:val="center"/>
          </w:tcPr>
          <w:p w14:paraId="415B27A2">
            <w:pPr>
              <w:pStyle w:val="44"/>
              <w:bidi w:val="0"/>
              <w:rPr>
                <w:color w:val="auto"/>
              </w:rPr>
            </w:pPr>
            <w:r>
              <w:rPr>
                <w:color w:val="auto"/>
              </w:rPr>
              <w:t>47.7</w:t>
            </w:r>
          </w:p>
        </w:tc>
        <w:tc>
          <w:tcPr>
            <w:tcW w:w="166" w:type="pct"/>
            <w:tcBorders>
              <w:tl2br w:val="nil"/>
              <w:tr2bl w:val="nil"/>
            </w:tcBorders>
            <w:noWrap w:val="0"/>
            <w:tcMar>
              <w:top w:w="0" w:type="dxa"/>
              <w:left w:w="0" w:type="dxa"/>
              <w:bottom w:w="0" w:type="dxa"/>
              <w:right w:w="0" w:type="dxa"/>
            </w:tcMar>
            <w:vAlign w:val="center"/>
          </w:tcPr>
          <w:p w14:paraId="16876730">
            <w:pPr>
              <w:pStyle w:val="44"/>
              <w:bidi w:val="0"/>
              <w:rPr>
                <w:color w:val="auto"/>
              </w:rPr>
            </w:pPr>
            <w:r>
              <w:rPr>
                <w:color w:val="auto"/>
              </w:rPr>
              <w:t>47.7</w:t>
            </w:r>
          </w:p>
        </w:tc>
        <w:tc>
          <w:tcPr>
            <w:tcW w:w="177" w:type="pct"/>
            <w:tcBorders>
              <w:tl2br w:val="nil"/>
              <w:tr2bl w:val="nil"/>
            </w:tcBorders>
            <w:noWrap w:val="0"/>
            <w:tcMar>
              <w:top w:w="0" w:type="dxa"/>
              <w:left w:w="0" w:type="dxa"/>
              <w:bottom w:w="0" w:type="dxa"/>
              <w:right w:w="0" w:type="dxa"/>
            </w:tcMar>
            <w:vAlign w:val="center"/>
          </w:tcPr>
          <w:p w14:paraId="4F4A98EB">
            <w:pPr>
              <w:pStyle w:val="44"/>
              <w:bidi w:val="0"/>
              <w:rPr>
                <w:color w:val="auto"/>
              </w:rPr>
            </w:pPr>
            <w:r>
              <w:rPr>
                <w:color w:val="auto"/>
              </w:rPr>
              <w:t>51.3</w:t>
            </w:r>
          </w:p>
        </w:tc>
        <w:tc>
          <w:tcPr>
            <w:tcW w:w="207" w:type="pct"/>
            <w:tcBorders>
              <w:tl2br w:val="nil"/>
              <w:tr2bl w:val="nil"/>
            </w:tcBorders>
            <w:noWrap w:val="0"/>
            <w:tcMar>
              <w:top w:w="0" w:type="dxa"/>
              <w:left w:w="0" w:type="dxa"/>
              <w:bottom w:w="0" w:type="dxa"/>
              <w:right w:w="0" w:type="dxa"/>
            </w:tcMar>
            <w:vAlign w:val="center"/>
          </w:tcPr>
          <w:p w14:paraId="526BD51F">
            <w:pPr>
              <w:pStyle w:val="44"/>
              <w:bidi w:val="0"/>
              <w:rPr>
                <w:rFonts w:hint="default"/>
                <w:color w:val="auto"/>
              </w:rPr>
            </w:pPr>
          </w:p>
        </w:tc>
        <w:tc>
          <w:tcPr>
            <w:tcW w:w="161" w:type="pct"/>
            <w:tcBorders>
              <w:tl2br w:val="nil"/>
              <w:tr2bl w:val="nil"/>
            </w:tcBorders>
            <w:noWrap w:val="0"/>
            <w:tcMar>
              <w:top w:w="0" w:type="dxa"/>
              <w:left w:w="0" w:type="dxa"/>
              <w:bottom w:w="0" w:type="dxa"/>
              <w:right w:w="0" w:type="dxa"/>
            </w:tcMar>
            <w:vAlign w:val="center"/>
          </w:tcPr>
          <w:p w14:paraId="21DEC4AA">
            <w:pPr>
              <w:pStyle w:val="44"/>
              <w:bidi w:val="0"/>
              <w:rPr>
                <w:color w:val="auto"/>
              </w:rPr>
            </w:pPr>
            <w:r>
              <w:rPr>
                <w:color w:val="auto"/>
              </w:rPr>
              <w:t>26.0</w:t>
            </w:r>
          </w:p>
        </w:tc>
        <w:tc>
          <w:tcPr>
            <w:tcW w:w="161" w:type="pct"/>
            <w:tcBorders>
              <w:tl2br w:val="nil"/>
              <w:tr2bl w:val="nil"/>
            </w:tcBorders>
            <w:noWrap w:val="0"/>
            <w:tcMar>
              <w:top w:w="0" w:type="dxa"/>
              <w:left w:w="0" w:type="dxa"/>
              <w:bottom w:w="0" w:type="dxa"/>
              <w:right w:w="0" w:type="dxa"/>
            </w:tcMar>
            <w:vAlign w:val="center"/>
          </w:tcPr>
          <w:p w14:paraId="5698DB24">
            <w:pPr>
              <w:pStyle w:val="44"/>
              <w:bidi w:val="0"/>
              <w:rPr>
                <w:color w:val="auto"/>
              </w:rPr>
            </w:pPr>
            <w:r>
              <w:rPr>
                <w:color w:val="auto"/>
              </w:rPr>
              <w:t>26.0</w:t>
            </w:r>
          </w:p>
        </w:tc>
        <w:tc>
          <w:tcPr>
            <w:tcW w:w="161" w:type="pct"/>
            <w:tcBorders>
              <w:tl2br w:val="nil"/>
              <w:tr2bl w:val="nil"/>
            </w:tcBorders>
            <w:noWrap w:val="0"/>
            <w:tcMar>
              <w:top w:w="0" w:type="dxa"/>
              <w:left w:w="0" w:type="dxa"/>
              <w:bottom w:w="0" w:type="dxa"/>
              <w:right w:w="0" w:type="dxa"/>
            </w:tcMar>
            <w:vAlign w:val="center"/>
          </w:tcPr>
          <w:p w14:paraId="7757A45E">
            <w:pPr>
              <w:pStyle w:val="44"/>
              <w:bidi w:val="0"/>
              <w:rPr>
                <w:color w:val="auto"/>
              </w:rPr>
            </w:pPr>
            <w:r>
              <w:rPr>
                <w:color w:val="auto"/>
              </w:rPr>
              <w:t>26.0</w:t>
            </w:r>
          </w:p>
        </w:tc>
        <w:tc>
          <w:tcPr>
            <w:tcW w:w="174" w:type="pct"/>
            <w:tcBorders>
              <w:tl2br w:val="nil"/>
              <w:tr2bl w:val="nil"/>
            </w:tcBorders>
            <w:noWrap w:val="0"/>
            <w:tcMar>
              <w:top w:w="0" w:type="dxa"/>
              <w:left w:w="0" w:type="dxa"/>
              <w:bottom w:w="0" w:type="dxa"/>
              <w:right w:w="0" w:type="dxa"/>
            </w:tcMar>
            <w:vAlign w:val="center"/>
          </w:tcPr>
          <w:p w14:paraId="3FB46D1F">
            <w:pPr>
              <w:pStyle w:val="44"/>
              <w:bidi w:val="0"/>
              <w:rPr>
                <w:color w:val="auto"/>
              </w:rPr>
            </w:pPr>
            <w:r>
              <w:rPr>
                <w:color w:val="auto"/>
              </w:rPr>
              <w:t>26.0</w:t>
            </w:r>
          </w:p>
        </w:tc>
        <w:tc>
          <w:tcPr>
            <w:tcW w:w="169" w:type="pct"/>
            <w:tcBorders>
              <w:tl2br w:val="nil"/>
              <w:tr2bl w:val="nil"/>
            </w:tcBorders>
            <w:noWrap w:val="0"/>
            <w:tcMar>
              <w:top w:w="0" w:type="dxa"/>
              <w:left w:w="0" w:type="dxa"/>
              <w:bottom w:w="0" w:type="dxa"/>
              <w:right w:w="0" w:type="dxa"/>
            </w:tcMar>
            <w:vAlign w:val="center"/>
          </w:tcPr>
          <w:p w14:paraId="6D90E3BC">
            <w:pPr>
              <w:pStyle w:val="44"/>
              <w:bidi w:val="0"/>
              <w:rPr>
                <w:color w:val="auto"/>
              </w:rPr>
            </w:pPr>
            <w:r>
              <w:rPr>
                <w:color w:val="auto"/>
              </w:rPr>
              <w:t>21.7</w:t>
            </w:r>
          </w:p>
        </w:tc>
        <w:tc>
          <w:tcPr>
            <w:tcW w:w="169" w:type="pct"/>
            <w:tcBorders>
              <w:tl2br w:val="nil"/>
              <w:tr2bl w:val="nil"/>
            </w:tcBorders>
            <w:noWrap w:val="0"/>
            <w:tcMar>
              <w:top w:w="0" w:type="dxa"/>
              <w:left w:w="0" w:type="dxa"/>
              <w:bottom w:w="0" w:type="dxa"/>
              <w:right w:w="0" w:type="dxa"/>
            </w:tcMar>
            <w:vAlign w:val="center"/>
          </w:tcPr>
          <w:p w14:paraId="610A9A10">
            <w:pPr>
              <w:pStyle w:val="44"/>
              <w:bidi w:val="0"/>
              <w:rPr>
                <w:color w:val="auto"/>
              </w:rPr>
            </w:pPr>
            <w:r>
              <w:rPr>
                <w:color w:val="auto"/>
              </w:rPr>
              <w:t>21.7</w:t>
            </w:r>
          </w:p>
        </w:tc>
        <w:tc>
          <w:tcPr>
            <w:tcW w:w="169" w:type="pct"/>
            <w:tcBorders>
              <w:tl2br w:val="nil"/>
              <w:tr2bl w:val="nil"/>
            </w:tcBorders>
            <w:noWrap w:val="0"/>
            <w:tcMar>
              <w:top w:w="0" w:type="dxa"/>
              <w:left w:w="0" w:type="dxa"/>
              <w:bottom w:w="0" w:type="dxa"/>
              <w:right w:w="0" w:type="dxa"/>
            </w:tcMar>
            <w:vAlign w:val="center"/>
          </w:tcPr>
          <w:p w14:paraId="44A01D65">
            <w:pPr>
              <w:pStyle w:val="44"/>
              <w:bidi w:val="0"/>
              <w:rPr>
                <w:color w:val="auto"/>
              </w:rPr>
            </w:pPr>
            <w:r>
              <w:rPr>
                <w:color w:val="auto"/>
              </w:rPr>
              <w:t>21.7</w:t>
            </w:r>
          </w:p>
        </w:tc>
        <w:tc>
          <w:tcPr>
            <w:tcW w:w="169" w:type="pct"/>
            <w:tcBorders>
              <w:tl2br w:val="nil"/>
              <w:tr2bl w:val="nil"/>
            </w:tcBorders>
            <w:noWrap w:val="0"/>
            <w:tcMar>
              <w:top w:w="0" w:type="dxa"/>
              <w:left w:w="0" w:type="dxa"/>
              <w:bottom w:w="0" w:type="dxa"/>
              <w:right w:w="0" w:type="dxa"/>
            </w:tcMar>
            <w:vAlign w:val="center"/>
          </w:tcPr>
          <w:p w14:paraId="54A852CF">
            <w:pPr>
              <w:pStyle w:val="44"/>
              <w:bidi w:val="0"/>
              <w:rPr>
                <w:color w:val="auto"/>
              </w:rPr>
            </w:pPr>
            <w:r>
              <w:rPr>
                <w:color w:val="auto"/>
              </w:rPr>
              <w:t>25.3</w:t>
            </w:r>
          </w:p>
        </w:tc>
        <w:tc>
          <w:tcPr>
            <w:tcW w:w="242" w:type="pct"/>
            <w:tcBorders>
              <w:tl2br w:val="nil"/>
              <w:tr2bl w:val="nil"/>
            </w:tcBorders>
            <w:noWrap w:val="0"/>
            <w:tcMar>
              <w:top w:w="0" w:type="dxa"/>
              <w:left w:w="0" w:type="dxa"/>
              <w:bottom w:w="0" w:type="dxa"/>
              <w:right w:w="0" w:type="dxa"/>
            </w:tcMar>
            <w:vAlign w:val="center"/>
          </w:tcPr>
          <w:p w14:paraId="5ED859C3">
            <w:pPr>
              <w:pStyle w:val="44"/>
              <w:bidi w:val="0"/>
              <w:rPr>
                <w:color w:val="auto"/>
              </w:rPr>
            </w:pPr>
            <w:r>
              <w:rPr>
                <w:color w:val="auto"/>
              </w:rPr>
              <w:t>1</w:t>
            </w:r>
          </w:p>
        </w:tc>
      </w:tr>
    </w:tbl>
    <w:p w14:paraId="6B86A984">
      <w:pPr>
        <w:pStyle w:val="45"/>
        <w:bidi w:val="0"/>
        <w:rPr>
          <w:rFonts w:hint="default" w:ascii="Times New Roman" w:hAnsi="Times New Roman" w:cs="Times New Roman"/>
          <w:color w:val="auto"/>
        </w:rPr>
      </w:pPr>
    </w:p>
    <w:p w14:paraId="06279C01">
      <w:pPr>
        <w:pStyle w:val="45"/>
        <w:bidi w:val="0"/>
        <w:rPr>
          <w:rFonts w:hint="default" w:ascii="Times New Roman" w:hAnsi="Times New Roman" w:cs="Times New Roman"/>
          <w:color w:val="auto"/>
        </w:rPr>
      </w:pPr>
    </w:p>
    <w:p w14:paraId="29D7BE63">
      <w:pPr>
        <w:pStyle w:val="45"/>
        <w:bidi w:val="0"/>
        <w:rPr>
          <w:rFonts w:hint="default" w:ascii="Times New Roman" w:hAnsi="Times New Roman" w:cs="Times New Roman"/>
          <w:color w:val="auto"/>
        </w:rPr>
      </w:pPr>
      <w:r>
        <w:rPr>
          <w:rFonts w:hint="default" w:ascii="Times New Roman" w:hAnsi="Times New Roman" w:cs="Times New Roman"/>
          <w:color w:val="auto"/>
        </w:rPr>
        <w:t>表</w:t>
      </w:r>
      <w:r>
        <w:rPr>
          <w:rFonts w:hint="default" w:ascii="Times New Roman" w:hAnsi="Times New Roman" w:cs="Times New Roman"/>
          <w:color w:val="auto"/>
          <w:lang w:val="en-US" w:eastAsia="zh-CN"/>
        </w:rPr>
        <w:t>4-</w:t>
      </w:r>
      <w:r>
        <w:rPr>
          <w:rFonts w:hint="eastAsia" w:ascii="Times New Roman" w:hAnsi="Times New Roman" w:cs="Times New Roman"/>
          <w:color w:val="auto"/>
          <w:lang w:val="en-US" w:eastAsia="zh-CN"/>
        </w:rPr>
        <w:t>10（2）</w:t>
      </w:r>
      <w:r>
        <w:rPr>
          <w:rFonts w:hint="default" w:ascii="Times New Roman" w:hAnsi="Times New Roman" w:cs="Times New Roman"/>
          <w:color w:val="auto"/>
          <w:lang w:val="en-US" w:eastAsia="zh-CN"/>
        </w:rPr>
        <w:t xml:space="preserve"> </w:t>
      </w:r>
      <w:r>
        <w:rPr>
          <w:rFonts w:hint="default" w:ascii="Times New Roman" w:hAnsi="Times New Roman" w:cs="Times New Roman"/>
          <w:color w:val="auto"/>
          <w:lang w:eastAsia="zh-CN"/>
        </w:rPr>
        <w:t>工业企业噪声源强调查清单（室</w:t>
      </w:r>
      <w:r>
        <w:rPr>
          <w:rFonts w:hint="default" w:ascii="Times New Roman" w:hAnsi="Times New Roman" w:cs="Times New Roman"/>
          <w:color w:val="auto"/>
          <w:lang w:val="en-US" w:eastAsia="zh-CN"/>
        </w:rPr>
        <w:t>外</w:t>
      </w:r>
      <w:r>
        <w:rPr>
          <w:rFonts w:hint="default" w:ascii="Times New Roman" w:hAnsi="Times New Roman" w:cs="Times New Roman"/>
          <w:color w:val="auto"/>
          <w:lang w:eastAsia="zh-CN"/>
        </w:rPr>
        <w:t>声源）</w:t>
      </w:r>
      <w:r>
        <w:rPr>
          <w:rFonts w:hint="default" w:ascii="Times New Roman" w:hAnsi="Times New Roman" w:cs="Times New Roman"/>
          <w:color w:val="auto"/>
        </w:rPr>
        <w:t>单位：dB（A）</w:t>
      </w:r>
    </w:p>
    <w:tbl>
      <w:tblPr>
        <w:tblStyle w:val="33"/>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74"/>
        <w:gridCol w:w="2617"/>
        <w:gridCol w:w="1148"/>
        <w:gridCol w:w="1082"/>
        <w:gridCol w:w="810"/>
        <w:gridCol w:w="2506"/>
        <w:gridCol w:w="2022"/>
        <w:gridCol w:w="2064"/>
      </w:tblGrid>
      <w:tr w14:paraId="22315F7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368" w:type="pct"/>
            <w:vMerge w:val="restart"/>
            <w:tcBorders>
              <w:tl2br w:val="nil"/>
              <w:tr2bl w:val="nil"/>
            </w:tcBorders>
            <w:noWrap w:val="0"/>
            <w:vAlign w:val="center"/>
          </w:tcPr>
          <w:p w14:paraId="0E6E5735">
            <w:pPr>
              <w:pStyle w:val="44"/>
              <w:bidi w:val="0"/>
              <w:rPr>
                <w:rFonts w:hint="default"/>
                <w:color w:val="auto"/>
              </w:rPr>
            </w:pPr>
            <w:r>
              <w:rPr>
                <w:rFonts w:hint="default"/>
                <w:color w:val="auto"/>
              </w:rPr>
              <w:t>序号</w:t>
            </w:r>
          </w:p>
        </w:tc>
        <w:tc>
          <w:tcPr>
            <w:tcW w:w="989" w:type="pct"/>
            <w:vMerge w:val="restart"/>
            <w:tcBorders>
              <w:tl2br w:val="nil"/>
              <w:tr2bl w:val="nil"/>
            </w:tcBorders>
            <w:noWrap w:val="0"/>
            <w:vAlign w:val="center"/>
          </w:tcPr>
          <w:p w14:paraId="347AFF18">
            <w:pPr>
              <w:pStyle w:val="44"/>
              <w:bidi w:val="0"/>
              <w:rPr>
                <w:rFonts w:hint="default"/>
                <w:color w:val="auto"/>
              </w:rPr>
            </w:pPr>
            <w:r>
              <w:rPr>
                <w:rFonts w:hint="default"/>
                <w:color w:val="auto"/>
              </w:rPr>
              <w:t>声源名称</w:t>
            </w:r>
          </w:p>
        </w:tc>
        <w:tc>
          <w:tcPr>
            <w:tcW w:w="1149" w:type="pct"/>
            <w:gridSpan w:val="3"/>
            <w:tcBorders>
              <w:tl2br w:val="nil"/>
              <w:tr2bl w:val="nil"/>
            </w:tcBorders>
            <w:noWrap w:val="0"/>
            <w:vAlign w:val="center"/>
          </w:tcPr>
          <w:p w14:paraId="3DF77759">
            <w:pPr>
              <w:pStyle w:val="44"/>
              <w:bidi w:val="0"/>
              <w:rPr>
                <w:rFonts w:hint="default"/>
                <w:color w:val="auto"/>
              </w:rPr>
            </w:pPr>
            <w:r>
              <w:rPr>
                <w:rFonts w:hint="default"/>
                <w:color w:val="auto"/>
              </w:rPr>
              <w:t>空间相对位置/m</w:t>
            </w:r>
          </w:p>
        </w:tc>
        <w:tc>
          <w:tcPr>
            <w:tcW w:w="947" w:type="pct"/>
            <w:vMerge w:val="restart"/>
            <w:tcBorders>
              <w:tl2br w:val="nil"/>
              <w:tr2bl w:val="nil"/>
            </w:tcBorders>
            <w:noWrap w:val="0"/>
            <w:vAlign w:val="center"/>
          </w:tcPr>
          <w:p w14:paraId="77D752C4">
            <w:pPr>
              <w:pStyle w:val="44"/>
              <w:bidi w:val="0"/>
              <w:rPr>
                <w:rFonts w:hint="default"/>
                <w:color w:val="auto"/>
                <w:lang w:eastAsia="zh-CN"/>
              </w:rPr>
            </w:pPr>
            <w:r>
              <w:rPr>
                <w:rFonts w:hint="default"/>
                <w:color w:val="auto"/>
              </w:rPr>
              <w:t>声功率级/dB(A)</w:t>
            </w:r>
          </w:p>
        </w:tc>
        <w:tc>
          <w:tcPr>
            <w:tcW w:w="764" w:type="pct"/>
            <w:tcBorders>
              <w:tl2br w:val="nil"/>
              <w:tr2bl w:val="nil"/>
            </w:tcBorders>
            <w:noWrap w:val="0"/>
            <w:vAlign w:val="center"/>
          </w:tcPr>
          <w:p w14:paraId="082516AB">
            <w:pPr>
              <w:pStyle w:val="44"/>
              <w:bidi w:val="0"/>
              <w:rPr>
                <w:rFonts w:hint="default"/>
                <w:color w:val="auto"/>
              </w:rPr>
            </w:pPr>
            <w:r>
              <w:rPr>
                <w:rFonts w:hint="default"/>
                <w:color w:val="auto"/>
              </w:rPr>
              <w:t>声源控制措施</w:t>
            </w:r>
          </w:p>
        </w:tc>
        <w:tc>
          <w:tcPr>
            <w:tcW w:w="780" w:type="pct"/>
            <w:vMerge w:val="restart"/>
            <w:tcBorders>
              <w:tl2br w:val="nil"/>
              <w:tr2bl w:val="nil"/>
            </w:tcBorders>
            <w:noWrap w:val="0"/>
            <w:vAlign w:val="center"/>
          </w:tcPr>
          <w:p w14:paraId="41D523AC">
            <w:pPr>
              <w:pStyle w:val="44"/>
              <w:bidi w:val="0"/>
              <w:rPr>
                <w:rFonts w:hint="default"/>
                <w:color w:val="auto"/>
              </w:rPr>
            </w:pPr>
            <w:r>
              <w:rPr>
                <w:rFonts w:hint="default"/>
                <w:color w:val="auto"/>
              </w:rPr>
              <w:t>运行时段</w:t>
            </w:r>
          </w:p>
        </w:tc>
      </w:tr>
      <w:tr w14:paraId="0BB5484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68" w:type="pct"/>
            <w:vMerge w:val="continue"/>
            <w:tcBorders>
              <w:tl2br w:val="nil"/>
              <w:tr2bl w:val="nil"/>
            </w:tcBorders>
            <w:shd w:val="clear" w:color="auto" w:fill="FFFFFF"/>
            <w:noWrap w:val="0"/>
            <w:vAlign w:val="center"/>
          </w:tcPr>
          <w:p w14:paraId="7D308B87">
            <w:pPr>
              <w:pStyle w:val="44"/>
              <w:bidi w:val="0"/>
              <w:rPr>
                <w:rFonts w:hint="default"/>
                <w:color w:val="auto"/>
              </w:rPr>
            </w:pPr>
          </w:p>
        </w:tc>
        <w:tc>
          <w:tcPr>
            <w:tcW w:w="989" w:type="pct"/>
            <w:vMerge w:val="continue"/>
            <w:tcBorders>
              <w:tl2br w:val="nil"/>
              <w:tr2bl w:val="nil"/>
            </w:tcBorders>
            <w:shd w:val="clear" w:color="auto" w:fill="FFFFFF"/>
            <w:noWrap w:val="0"/>
            <w:vAlign w:val="center"/>
          </w:tcPr>
          <w:p w14:paraId="4ED91AF1">
            <w:pPr>
              <w:pStyle w:val="44"/>
              <w:bidi w:val="0"/>
              <w:rPr>
                <w:rFonts w:hint="default"/>
                <w:color w:val="auto"/>
              </w:rPr>
            </w:pPr>
          </w:p>
        </w:tc>
        <w:tc>
          <w:tcPr>
            <w:tcW w:w="434" w:type="pct"/>
            <w:tcBorders>
              <w:tl2br w:val="nil"/>
              <w:tr2bl w:val="nil"/>
            </w:tcBorders>
            <w:shd w:val="clear" w:color="auto" w:fill="FFFFFF"/>
            <w:noWrap w:val="0"/>
            <w:vAlign w:val="center"/>
          </w:tcPr>
          <w:p w14:paraId="705EA6B2">
            <w:pPr>
              <w:pStyle w:val="44"/>
              <w:bidi w:val="0"/>
              <w:rPr>
                <w:rFonts w:hint="default"/>
                <w:color w:val="auto"/>
              </w:rPr>
            </w:pPr>
            <w:r>
              <w:rPr>
                <w:rFonts w:hint="default"/>
                <w:color w:val="auto"/>
              </w:rPr>
              <w:t>X</w:t>
            </w:r>
          </w:p>
        </w:tc>
        <w:tc>
          <w:tcPr>
            <w:tcW w:w="409" w:type="pct"/>
            <w:tcBorders>
              <w:tl2br w:val="nil"/>
              <w:tr2bl w:val="nil"/>
            </w:tcBorders>
            <w:shd w:val="clear" w:color="auto" w:fill="FFFFFF"/>
            <w:noWrap w:val="0"/>
            <w:vAlign w:val="center"/>
          </w:tcPr>
          <w:p w14:paraId="13A6DA83">
            <w:pPr>
              <w:pStyle w:val="44"/>
              <w:bidi w:val="0"/>
              <w:rPr>
                <w:rFonts w:hint="default"/>
                <w:color w:val="auto"/>
              </w:rPr>
            </w:pPr>
            <w:r>
              <w:rPr>
                <w:rFonts w:hint="default"/>
                <w:color w:val="auto"/>
              </w:rPr>
              <w:t>Y</w:t>
            </w:r>
          </w:p>
        </w:tc>
        <w:tc>
          <w:tcPr>
            <w:tcW w:w="306" w:type="pct"/>
            <w:tcBorders>
              <w:tl2br w:val="nil"/>
              <w:tr2bl w:val="nil"/>
            </w:tcBorders>
            <w:shd w:val="clear" w:color="auto" w:fill="FFFFFF"/>
            <w:noWrap w:val="0"/>
            <w:vAlign w:val="center"/>
          </w:tcPr>
          <w:p w14:paraId="23114917">
            <w:pPr>
              <w:pStyle w:val="44"/>
              <w:bidi w:val="0"/>
              <w:rPr>
                <w:rFonts w:hint="default"/>
                <w:color w:val="auto"/>
              </w:rPr>
            </w:pPr>
            <w:r>
              <w:rPr>
                <w:rFonts w:hint="default"/>
                <w:color w:val="auto"/>
              </w:rPr>
              <w:t>Z</w:t>
            </w:r>
          </w:p>
        </w:tc>
        <w:tc>
          <w:tcPr>
            <w:tcW w:w="947" w:type="pct"/>
            <w:vMerge w:val="continue"/>
            <w:tcBorders>
              <w:tl2br w:val="nil"/>
              <w:tr2bl w:val="nil"/>
            </w:tcBorders>
            <w:shd w:val="clear" w:color="auto" w:fill="FFFFFF"/>
            <w:noWrap w:val="0"/>
            <w:vAlign w:val="center"/>
          </w:tcPr>
          <w:p w14:paraId="5DBD31B8">
            <w:pPr>
              <w:pStyle w:val="44"/>
              <w:bidi w:val="0"/>
              <w:rPr>
                <w:rFonts w:hint="default"/>
                <w:color w:val="auto"/>
              </w:rPr>
            </w:pPr>
          </w:p>
        </w:tc>
        <w:tc>
          <w:tcPr>
            <w:tcW w:w="764" w:type="pct"/>
            <w:tcBorders>
              <w:tl2br w:val="nil"/>
              <w:tr2bl w:val="nil"/>
            </w:tcBorders>
            <w:shd w:val="clear" w:color="auto" w:fill="FFFFFF"/>
            <w:noWrap w:val="0"/>
            <w:vAlign w:val="center"/>
          </w:tcPr>
          <w:p w14:paraId="63A0815C">
            <w:pPr>
              <w:pStyle w:val="44"/>
              <w:bidi w:val="0"/>
              <w:rPr>
                <w:rFonts w:hint="default"/>
                <w:color w:val="auto"/>
              </w:rPr>
            </w:pPr>
          </w:p>
        </w:tc>
        <w:tc>
          <w:tcPr>
            <w:tcW w:w="780" w:type="pct"/>
            <w:vMerge w:val="continue"/>
            <w:tcBorders>
              <w:tl2br w:val="nil"/>
              <w:tr2bl w:val="nil"/>
            </w:tcBorders>
            <w:shd w:val="clear" w:color="auto" w:fill="FFFFFF"/>
            <w:noWrap w:val="0"/>
            <w:vAlign w:val="center"/>
          </w:tcPr>
          <w:p w14:paraId="3BF60FB7">
            <w:pPr>
              <w:pStyle w:val="44"/>
              <w:bidi w:val="0"/>
              <w:rPr>
                <w:rFonts w:hint="default"/>
                <w:color w:val="auto"/>
              </w:rPr>
            </w:pPr>
          </w:p>
        </w:tc>
      </w:tr>
      <w:tr w14:paraId="5586B7C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0" w:hRule="exact"/>
        </w:trPr>
        <w:tc>
          <w:tcPr>
            <w:tcW w:w="368" w:type="pct"/>
            <w:tcBorders>
              <w:tl2br w:val="nil"/>
              <w:tr2bl w:val="nil"/>
            </w:tcBorders>
            <w:shd w:val="clear" w:color="auto" w:fill="FFFFFF"/>
            <w:noWrap w:val="0"/>
            <w:vAlign w:val="center"/>
          </w:tcPr>
          <w:p w14:paraId="6626F082">
            <w:pPr>
              <w:pStyle w:val="44"/>
              <w:bidi w:val="0"/>
              <w:rPr>
                <w:rFonts w:hint="eastAsia"/>
                <w:color w:val="auto"/>
                <w:lang w:eastAsia="zh-CN"/>
              </w:rPr>
            </w:pPr>
            <w:r>
              <w:rPr>
                <w:rFonts w:hint="eastAsia"/>
                <w:color w:val="auto"/>
                <w:lang w:val="en-US" w:eastAsia="zh-CN"/>
              </w:rPr>
              <w:t>1</w:t>
            </w:r>
          </w:p>
        </w:tc>
        <w:tc>
          <w:tcPr>
            <w:tcW w:w="989" w:type="pct"/>
            <w:tcBorders>
              <w:tl2br w:val="nil"/>
              <w:tr2bl w:val="nil"/>
            </w:tcBorders>
            <w:shd w:val="clear" w:color="auto" w:fill="FFFFFF"/>
            <w:noWrap w:val="0"/>
            <w:vAlign w:val="center"/>
          </w:tcPr>
          <w:p w14:paraId="7C76C9C4">
            <w:pPr>
              <w:pStyle w:val="44"/>
              <w:bidi w:val="0"/>
              <w:rPr>
                <w:rFonts w:hint="eastAsia"/>
                <w:color w:val="auto"/>
                <w:lang w:val="en-US" w:eastAsia="zh-CN"/>
              </w:rPr>
            </w:pPr>
            <w:r>
              <w:rPr>
                <w:rFonts w:hint="default"/>
                <w:color w:val="auto"/>
              </w:rPr>
              <w:t>风机</w:t>
            </w:r>
            <w:r>
              <w:rPr>
                <w:rFonts w:hint="eastAsia"/>
                <w:color w:val="auto"/>
                <w:lang w:val="en-US" w:eastAsia="zh-CN"/>
              </w:rPr>
              <w:t>1</w:t>
            </w:r>
          </w:p>
        </w:tc>
        <w:tc>
          <w:tcPr>
            <w:tcW w:w="434" w:type="pct"/>
            <w:tcBorders>
              <w:tl2br w:val="nil"/>
              <w:tr2bl w:val="nil"/>
            </w:tcBorders>
            <w:shd w:val="clear" w:color="auto" w:fill="FFFFFF"/>
            <w:noWrap w:val="0"/>
            <w:vAlign w:val="center"/>
          </w:tcPr>
          <w:p w14:paraId="5AE6C39E">
            <w:pPr>
              <w:pStyle w:val="44"/>
              <w:bidi w:val="0"/>
              <w:rPr>
                <w:rFonts w:hint="default"/>
                <w:color w:val="auto"/>
              </w:rPr>
            </w:pPr>
            <w:r>
              <w:rPr>
                <w:color w:val="auto"/>
              </w:rPr>
              <w:t>-59.2</w:t>
            </w:r>
          </w:p>
        </w:tc>
        <w:tc>
          <w:tcPr>
            <w:tcW w:w="409" w:type="pct"/>
            <w:tcBorders>
              <w:tl2br w:val="nil"/>
              <w:tr2bl w:val="nil"/>
            </w:tcBorders>
            <w:shd w:val="clear" w:color="auto" w:fill="FFFFFF"/>
            <w:noWrap w:val="0"/>
            <w:vAlign w:val="center"/>
          </w:tcPr>
          <w:p w14:paraId="64AB74BC">
            <w:pPr>
              <w:pStyle w:val="44"/>
              <w:bidi w:val="0"/>
              <w:rPr>
                <w:rFonts w:hint="default"/>
                <w:color w:val="auto"/>
              </w:rPr>
            </w:pPr>
            <w:r>
              <w:rPr>
                <w:color w:val="auto"/>
              </w:rPr>
              <w:t>-8</w:t>
            </w:r>
          </w:p>
        </w:tc>
        <w:tc>
          <w:tcPr>
            <w:tcW w:w="306" w:type="pct"/>
            <w:tcBorders>
              <w:tl2br w:val="nil"/>
              <w:tr2bl w:val="nil"/>
            </w:tcBorders>
            <w:shd w:val="clear" w:color="auto" w:fill="FFFFFF"/>
            <w:noWrap w:val="0"/>
            <w:vAlign w:val="center"/>
          </w:tcPr>
          <w:p w14:paraId="0229A939">
            <w:pPr>
              <w:pStyle w:val="44"/>
              <w:bidi w:val="0"/>
              <w:rPr>
                <w:rFonts w:hint="default"/>
                <w:color w:val="auto"/>
              </w:rPr>
            </w:pPr>
            <w:r>
              <w:rPr>
                <w:color w:val="auto"/>
              </w:rPr>
              <w:t>1.2</w:t>
            </w:r>
          </w:p>
        </w:tc>
        <w:tc>
          <w:tcPr>
            <w:tcW w:w="947" w:type="pct"/>
            <w:tcBorders>
              <w:tl2br w:val="nil"/>
              <w:tr2bl w:val="nil"/>
            </w:tcBorders>
            <w:shd w:val="clear" w:color="auto" w:fill="FFFFFF"/>
            <w:noWrap w:val="0"/>
            <w:vAlign w:val="center"/>
          </w:tcPr>
          <w:p w14:paraId="1C591448">
            <w:pPr>
              <w:pStyle w:val="44"/>
              <w:bidi w:val="0"/>
              <w:rPr>
                <w:rFonts w:hint="default"/>
                <w:color w:val="auto"/>
                <w:lang w:val="en-US" w:eastAsia="zh-CN"/>
              </w:rPr>
            </w:pPr>
            <w:r>
              <w:rPr>
                <w:rFonts w:hint="eastAsia"/>
                <w:color w:val="auto"/>
                <w:lang w:val="en-US" w:eastAsia="zh-CN"/>
              </w:rPr>
              <w:t>70</w:t>
            </w:r>
          </w:p>
        </w:tc>
        <w:tc>
          <w:tcPr>
            <w:tcW w:w="764" w:type="pct"/>
            <w:vMerge w:val="restart"/>
            <w:tcBorders>
              <w:tl2br w:val="nil"/>
              <w:tr2bl w:val="nil"/>
            </w:tcBorders>
            <w:shd w:val="clear" w:color="auto" w:fill="FFFFFF"/>
            <w:noWrap w:val="0"/>
            <w:vAlign w:val="center"/>
          </w:tcPr>
          <w:p w14:paraId="74E248E8">
            <w:pPr>
              <w:pStyle w:val="44"/>
              <w:bidi w:val="0"/>
              <w:rPr>
                <w:rFonts w:hint="default"/>
                <w:color w:val="auto"/>
              </w:rPr>
            </w:pPr>
            <w:r>
              <w:rPr>
                <w:rFonts w:hint="default"/>
                <w:color w:val="auto"/>
              </w:rPr>
              <w:t>选用低噪声设备、基础减振</w:t>
            </w:r>
          </w:p>
        </w:tc>
        <w:tc>
          <w:tcPr>
            <w:tcW w:w="780" w:type="pct"/>
            <w:tcBorders>
              <w:tl2br w:val="nil"/>
              <w:tr2bl w:val="nil"/>
            </w:tcBorders>
            <w:shd w:val="clear" w:color="auto" w:fill="FFFFFF"/>
            <w:noWrap w:val="0"/>
            <w:vAlign w:val="center"/>
          </w:tcPr>
          <w:p w14:paraId="4ABAC592">
            <w:pPr>
              <w:pStyle w:val="44"/>
              <w:bidi w:val="0"/>
              <w:rPr>
                <w:rFonts w:hint="default"/>
                <w:color w:val="auto"/>
              </w:rPr>
            </w:pPr>
            <w:r>
              <w:rPr>
                <w:rFonts w:hint="eastAsia"/>
                <w:color w:val="auto"/>
                <w:lang w:val="en-US" w:eastAsia="zh-CN"/>
              </w:rPr>
              <w:t>昼间：09:00-17:00</w:t>
            </w:r>
          </w:p>
        </w:tc>
      </w:tr>
      <w:tr w14:paraId="0648FC7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0" w:hRule="exact"/>
        </w:trPr>
        <w:tc>
          <w:tcPr>
            <w:tcW w:w="368" w:type="pct"/>
            <w:tcBorders>
              <w:tl2br w:val="nil"/>
              <w:tr2bl w:val="nil"/>
            </w:tcBorders>
            <w:shd w:val="clear" w:color="auto" w:fill="FFFFFF"/>
            <w:noWrap w:val="0"/>
            <w:vAlign w:val="center"/>
          </w:tcPr>
          <w:p w14:paraId="108C3775">
            <w:pPr>
              <w:pStyle w:val="44"/>
              <w:bidi w:val="0"/>
              <w:rPr>
                <w:rFonts w:hint="eastAsia"/>
                <w:color w:val="auto"/>
                <w:lang w:eastAsia="zh-CN"/>
              </w:rPr>
            </w:pPr>
            <w:r>
              <w:rPr>
                <w:rFonts w:hint="eastAsia"/>
                <w:color w:val="auto"/>
                <w:lang w:val="en-US" w:eastAsia="zh-CN"/>
              </w:rPr>
              <w:t>2</w:t>
            </w:r>
          </w:p>
        </w:tc>
        <w:tc>
          <w:tcPr>
            <w:tcW w:w="989" w:type="pct"/>
            <w:tcBorders>
              <w:tl2br w:val="nil"/>
              <w:tr2bl w:val="nil"/>
            </w:tcBorders>
            <w:shd w:val="clear" w:color="auto" w:fill="FFFFFF"/>
            <w:noWrap w:val="0"/>
            <w:vAlign w:val="center"/>
          </w:tcPr>
          <w:p w14:paraId="57861411">
            <w:pPr>
              <w:pStyle w:val="44"/>
              <w:bidi w:val="0"/>
              <w:rPr>
                <w:rFonts w:hint="default"/>
                <w:color w:val="auto"/>
                <w:lang w:val="en-US"/>
              </w:rPr>
            </w:pPr>
            <w:r>
              <w:rPr>
                <w:rFonts w:hint="eastAsia"/>
                <w:color w:val="auto"/>
                <w:lang w:val="en-US" w:eastAsia="zh-CN"/>
              </w:rPr>
              <w:t>风机2</w:t>
            </w:r>
          </w:p>
        </w:tc>
        <w:tc>
          <w:tcPr>
            <w:tcW w:w="434" w:type="pct"/>
            <w:tcBorders>
              <w:tl2br w:val="nil"/>
              <w:tr2bl w:val="nil"/>
            </w:tcBorders>
            <w:shd w:val="clear" w:color="auto" w:fill="FFFFFF"/>
            <w:noWrap w:val="0"/>
            <w:vAlign w:val="center"/>
          </w:tcPr>
          <w:p w14:paraId="05DF0605">
            <w:pPr>
              <w:pStyle w:val="44"/>
              <w:bidi w:val="0"/>
              <w:rPr>
                <w:rFonts w:hint="default"/>
                <w:color w:val="auto"/>
              </w:rPr>
            </w:pPr>
            <w:r>
              <w:rPr>
                <w:color w:val="auto"/>
              </w:rPr>
              <w:t>-17.5</w:t>
            </w:r>
          </w:p>
        </w:tc>
        <w:tc>
          <w:tcPr>
            <w:tcW w:w="409" w:type="pct"/>
            <w:tcBorders>
              <w:tl2br w:val="nil"/>
              <w:tr2bl w:val="nil"/>
            </w:tcBorders>
            <w:shd w:val="clear" w:color="auto" w:fill="FFFFFF"/>
            <w:noWrap w:val="0"/>
            <w:vAlign w:val="center"/>
          </w:tcPr>
          <w:p w14:paraId="641F4545">
            <w:pPr>
              <w:pStyle w:val="44"/>
              <w:bidi w:val="0"/>
              <w:rPr>
                <w:rFonts w:hint="default"/>
                <w:color w:val="auto"/>
              </w:rPr>
            </w:pPr>
            <w:r>
              <w:rPr>
                <w:color w:val="auto"/>
              </w:rPr>
              <w:t>-21.4</w:t>
            </w:r>
          </w:p>
        </w:tc>
        <w:tc>
          <w:tcPr>
            <w:tcW w:w="306" w:type="pct"/>
            <w:tcBorders>
              <w:tl2br w:val="nil"/>
              <w:tr2bl w:val="nil"/>
            </w:tcBorders>
            <w:shd w:val="clear" w:color="auto" w:fill="FFFFFF"/>
            <w:noWrap w:val="0"/>
            <w:vAlign w:val="center"/>
          </w:tcPr>
          <w:p w14:paraId="0D3B00B9">
            <w:pPr>
              <w:pStyle w:val="44"/>
              <w:bidi w:val="0"/>
              <w:rPr>
                <w:rFonts w:hint="default"/>
                <w:color w:val="auto"/>
              </w:rPr>
            </w:pPr>
            <w:r>
              <w:rPr>
                <w:color w:val="auto"/>
              </w:rPr>
              <w:t>1.2</w:t>
            </w:r>
          </w:p>
        </w:tc>
        <w:tc>
          <w:tcPr>
            <w:tcW w:w="947" w:type="pct"/>
            <w:tcBorders>
              <w:tl2br w:val="nil"/>
              <w:tr2bl w:val="nil"/>
            </w:tcBorders>
            <w:shd w:val="clear" w:color="auto" w:fill="FFFFFF"/>
            <w:noWrap w:val="0"/>
            <w:vAlign w:val="center"/>
          </w:tcPr>
          <w:p w14:paraId="73D575A9">
            <w:pPr>
              <w:pStyle w:val="44"/>
              <w:bidi w:val="0"/>
              <w:rPr>
                <w:rFonts w:hint="default"/>
                <w:color w:val="auto"/>
                <w:lang w:val="en-US"/>
              </w:rPr>
            </w:pPr>
            <w:r>
              <w:rPr>
                <w:rFonts w:hint="eastAsia"/>
                <w:color w:val="auto"/>
                <w:lang w:val="en-US" w:eastAsia="zh-CN"/>
              </w:rPr>
              <w:t>70</w:t>
            </w:r>
          </w:p>
        </w:tc>
        <w:tc>
          <w:tcPr>
            <w:tcW w:w="764" w:type="pct"/>
            <w:vMerge w:val="continue"/>
            <w:tcBorders>
              <w:tl2br w:val="nil"/>
              <w:tr2bl w:val="nil"/>
            </w:tcBorders>
            <w:shd w:val="clear" w:color="auto" w:fill="FFFFFF"/>
            <w:noWrap w:val="0"/>
            <w:vAlign w:val="center"/>
          </w:tcPr>
          <w:p w14:paraId="1E8776D0">
            <w:pPr>
              <w:pStyle w:val="44"/>
              <w:bidi w:val="0"/>
              <w:rPr>
                <w:rFonts w:hint="default"/>
                <w:color w:val="auto"/>
              </w:rPr>
            </w:pPr>
          </w:p>
        </w:tc>
        <w:tc>
          <w:tcPr>
            <w:tcW w:w="780" w:type="pct"/>
            <w:tcBorders>
              <w:tl2br w:val="nil"/>
              <w:tr2bl w:val="nil"/>
            </w:tcBorders>
            <w:shd w:val="clear" w:color="auto" w:fill="FFFFFF"/>
            <w:noWrap w:val="0"/>
            <w:vAlign w:val="center"/>
          </w:tcPr>
          <w:p w14:paraId="16675CCB">
            <w:pPr>
              <w:pStyle w:val="44"/>
              <w:bidi w:val="0"/>
              <w:rPr>
                <w:rFonts w:hint="default"/>
                <w:color w:val="auto"/>
              </w:rPr>
            </w:pPr>
            <w:r>
              <w:rPr>
                <w:rFonts w:hint="default"/>
                <w:color w:val="auto"/>
                <w:lang w:val="en-US" w:eastAsia="zh-CN"/>
              </w:rPr>
              <w:t>昼间：0</w:t>
            </w:r>
            <w:r>
              <w:rPr>
                <w:rFonts w:hint="eastAsia"/>
                <w:color w:val="auto"/>
                <w:lang w:val="en-US" w:eastAsia="zh-CN"/>
              </w:rPr>
              <w:t>9</w:t>
            </w:r>
            <w:r>
              <w:rPr>
                <w:rFonts w:hint="default"/>
                <w:color w:val="auto"/>
                <w:lang w:val="en-US" w:eastAsia="zh-CN"/>
              </w:rPr>
              <w:t>:00-</w:t>
            </w:r>
            <w:r>
              <w:rPr>
                <w:rFonts w:hint="eastAsia"/>
                <w:color w:val="auto"/>
                <w:lang w:val="en-US" w:eastAsia="zh-CN"/>
              </w:rPr>
              <w:t>17</w:t>
            </w:r>
            <w:r>
              <w:rPr>
                <w:rFonts w:hint="default"/>
                <w:color w:val="auto"/>
                <w:lang w:val="en-US" w:eastAsia="zh-CN"/>
              </w:rPr>
              <w:t>:00</w:t>
            </w:r>
          </w:p>
        </w:tc>
      </w:tr>
      <w:tr w14:paraId="5781215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0" w:hRule="exact"/>
        </w:trPr>
        <w:tc>
          <w:tcPr>
            <w:tcW w:w="368" w:type="pct"/>
            <w:tcBorders>
              <w:tl2br w:val="nil"/>
              <w:tr2bl w:val="nil"/>
            </w:tcBorders>
            <w:shd w:val="clear" w:color="auto" w:fill="FFFFFF"/>
            <w:noWrap w:val="0"/>
            <w:vAlign w:val="center"/>
          </w:tcPr>
          <w:p w14:paraId="187B9B78">
            <w:pPr>
              <w:pStyle w:val="44"/>
              <w:bidi w:val="0"/>
              <w:rPr>
                <w:rFonts w:hint="default"/>
                <w:color w:val="auto"/>
                <w:lang w:val="en-US" w:eastAsia="zh-CN"/>
              </w:rPr>
            </w:pPr>
            <w:r>
              <w:rPr>
                <w:rFonts w:hint="eastAsia"/>
                <w:color w:val="auto"/>
                <w:lang w:val="en-US" w:eastAsia="zh-CN"/>
              </w:rPr>
              <w:t>3</w:t>
            </w:r>
          </w:p>
        </w:tc>
        <w:tc>
          <w:tcPr>
            <w:tcW w:w="989" w:type="pct"/>
            <w:tcBorders>
              <w:tl2br w:val="nil"/>
              <w:tr2bl w:val="nil"/>
            </w:tcBorders>
            <w:shd w:val="clear" w:color="auto" w:fill="FFFFFF"/>
            <w:noWrap w:val="0"/>
            <w:vAlign w:val="center"/>
          </w:tcPr>
          <w:p w14:paraId="133FD50E">
            <w:pPr>
              <w:pStyle w:val="44"/>
              <w:bidi w:val="0"/>
              <w:rPr>
                <w:rFonts w:hint="default"/>
                <w:color w:val="auto"/>
                <w:lang w:val="en-US" w:eastAsia="zh-CN"/>
              </w:rPr>
            </w:pPr>
            <w:r>
              <w:rPr>
                <w:rFonts w:hint="eastAsia"/>
                <w:color w:val="auto"/>
                <w:lang w:val="en-US" w:eastAsia="zh-CN"/>
              </w:rPr>
              <w:t>凉水塔</w:t>
            </w:r>
          </w:p>
        </w:tc>
        <w:tc>
          <w:tcPr>
            <w:tcW w:w="434" w:type="pct"/>
            <w:tcBorders>
              <w:tl2br w:val="nil"/>
              <w:tr2bl w:val="nil"/>
            </w:tcBorders>
            <w:shd w:val="clear" w:color="auto" w:fill="FFFFFF"/>
            <w:noWrap w:val="0"/>
            <w:vAlign w:val="center"/>
          </w:tcPr>
          <w:p w14:paraId="077E2BCD">
            <w:pPr>
              <w:pStyle w:val="44"/>
              <w:bidi w:val="0"/>
              <w:rPr>
                <w:color w:val="auto"/>
              </w:rPr>
            </w:pPr>
            <w:r>
              <w:rPr>
                <w:color w:val="auto"/>
              </w:rPr>
              <w:t>-44.9</w:t>
            </w:r>
          </w:p>
        </w:tc>
        <w:tc>
          <w:tcPr>
            <w:tcW w:w="409" w:type="pct"/>
            <w:tcBorders>
              <w:tl2br w:val="nil"/>
              <w:tr2bl w:val="nil"/>
            </w:tcBorders>
            <w:shd w:val="clear" w:color="auto" w:fill="FFFFFF"/>
            <w:noWrap w:val="0"/>
            <w:vAlign w:val="center"/>
          </w:tcPr>
          <w:p w14:paraId="448C6589">
            <w:pPr>
              <w:pStyle w:val="44"/>
              <w:bidi w:val="0"/>
              <w:rPr>
                <w:color w:val="auto"/>
              </w:rPr>
            </w:pPr>
            <w:r>
              <w:rPr>
                <w:color w:val="auto"/>
              </w:rPr>
              <w:t>6.1</w:t>
            </w:r>
          </w:p>
        </w:tc>
        <w:tc>
          <w:tcPr>
            <w:tcW w:w="306" w:type="pct"/>
            <w:tcBorders>
              <w:tl2br w:val="nil"/>
              <w:tr2bl w:val="nil"/>
            </w:tcBorders>
            <w:shd w:val="clear" w:color="auto" w:fill="FFFFFF"/>
            <w:noWrap w:val="0"/>
            <w:vAlign w:val="center"/>
          </w:tcPr>
          <w:p w14:paraId="2CE5DD02">
            <w:pPr>
              <w:pStyle w:val="44"/>
              <w:bidi w:val="0"/>
              <w:rPr>
                <w:color w:val="auto"/>
              </w:rPr>
            </w:pPr>
            <w:r>
              <w:rPr>
                <w:color w:val="auto"/>
              </w:rPr>
              <w:t>1.2</w:t>
            </w:r>
          </w:p>
        </w:tc>
        <w:tc>
          <w:tcPr>
            <w:tcW w:w="947" w:type="pct"/>
            <w:tcBorders>
              <w:tl2br w:val="nil"/>
              <w:tr2bl w:val="nil"/>
            </w:tcBorders>
            <w:shd w:val="clear" w:color="auto" w:fill="FFFFFF"/>
            <w:noWrap w:val="0"/>
            <w:vAlign w:val="center"/>
          </w:tcPr>
          <w:p w14:paraId="5317E219">
            <w:pPr>
              <w:pStyle w:val="44"/>
              <w:bidi w:val="0"/>
              <w:rPr>
                <w:rFonts w:hint="default"/>
                <w:color w:val="auto"/>
                <w:lang w:val="en-US" w:eastAsia="zh-CN"/>
              </w:rPr>
            </w:pPr>
            <w:r>
              <w:rPr>
                <w:rFonts w:hint="eastAsia"/>
                <w:color w:val="auto"/>
                <w:lang w:val="en-US" w:eastAsia="zh-CN"/>
              </w:rPr>
              <w:t>55</w:t>
            </w:r>
          </w:p>
        </w:tc>
        <w:tc>
          <w:tcPr>
            <w:tcW w:w="764" w:type="pct"/>
            <w:vMerge w:val="continue"/>
            <w:tcBorders>
              <w:tl2br w:val="nil"/>
              <w:tr2bl w:val="nil"/>
            </w:tcBorders>
            <w:shd w:val="clear" w:color="auto" w:fill="FFFFFF"/>
            <w:noWrap w:val="0"/>
            <w:vAlign w:val="center"/>
          </w:tcPr>
          <w:p w14:paraId="0E9DBA04">
            <w:pPr>
              <w:pStyle w:val="44"/>
              <w:bidi w:val="0"/>
              <w:rPr>
                <w:rFonts w:hint="default"/>
                <w:color w:val="auto"/>
              </w:rPr>
            </w:pPr>
          </w:p>
        </w:tc>
        <w:tc>
          <w:tcPr>
            <w:tcW w:w="780" w:type="pct"/>
            <w:tcBorders>
              <w:tl2br w:val="nil"/>
              <w:tr2bl w:val="nil"/>
            </w:tcBorders>
            <w:shd w:val="clear" w:color="auto" w:fill="FFFFFF"/>
            <w:noWrap w:val="0"/>
            <w:vAlign w:val="center"/>
          </w:tcPr>
          <w:p w14:paraId="4A52EF07">
            <w:pPr>
              <w:pStyle w:val="44"/>
              <w:bidi w:val="0"/>
              <w:rPr>
                <w:rFonts w:hint="default"/>
                <w:color w:val="auto"/>
                <w:lang w:val="en-US" w:eastAsia="zh-CN"/>
              </w:rPr>
            </w:pPr>
            <w:r>
              <w:rPr>
                <w:rFonts w:hint="default"/>
                <w:color w:val="auto"/>
                <w:lang w:val="en-US" w:eastAsia="zh-CN"/>
              </w:rPr>
              <w:t>昼间：0</w:t>
            </w:r>
            <w:r>
              <w:rPr>
                <w:rFonts w:hint="eastAsia"/>
                <w:color w:val="auto"/>
                <w:lang w:val="en-US" w:eastAsia="zh-CN"/>
              </w:rPr>
              <w:t>9</w:t>
            </w:r>
            <w:r>
              <w:rPr>
                <w:rFonts w:hint="default"/>
                <w:color w:val="auto"/>
                <w:lang w:val="en-US" w:eastAsia="zh-CN"/>
              </w:rPr>
              <w:t>:00-</w:t>
            </w:r>
            <w:r>
              <w:rPr>
                <w:rFonts w:hint="eastAsia"/>
                <w:color w:val="auto"/>
                <w:lang w:val="en-US" w:eastAsia="zh-CN"/>
              </w:rPr>
              <w:t>17</w:t>
            </w:r>
            <w:r>
              <w:rPr>
                <w:rFonts w:hint="default"/>
                <w:color w:val="auto"/>
                <w:lang w:val="en-US" w:eastAsia="zh-CN"/>
              </w:rPr>
              <w:t>:00</w:t>
            </w:r>
          </w:p>
        </w:tc>
      </w:tr>
    </w:tbl>
    <w:p w14:paraId="063C2A92">
      <w:pPr>
        <w:rPr>
          <w:rFonts w:hint="eastAsia"/>
          <w:color w:val="auto"/>
        </w:rPr>
        <w:sectPr>
          <w:pgSz w:w="16840" w:h="11907" w:orient="landscape"/>
          <w:pgMar w:top="1531" w:right="1701" w:bottom="1531" w:left="2127" w:header="851" w:footer="851" w:gutter="0"/>
          <w:pgBorders>
            <w:top w:val="none" w:sz="0" w:space="0"/>
            <w:left w:val="none" w:sz="0" w:space="0"/>
            <w:bottom w:val="none" w:sz="0" w:space="0"/>
            <w:right w:val="none" w:sz="0" w:space="0"/>
          </w:pgBorders>
          <w:cols w:space="720" w:num="1"/>
          <w:docGrid w:linePitch="312" w:charSpace="0"/>
        </w:sectPr>
      </w:pPr>
      <w:r>
        <w:rPr>
          <w:rFonts w:hint="default" w:ascii="Times New Roman" w:hAnsi="Times New Roman" w:eastAsia="宋体" w:cs="Times New Roman"/>
          <w:color w:val="auto"/>
          <w:sz w:val="22"/>
          <w:szCs w:val="28"/>
          <w:lang w:val="en-US" w:eastAsia="zh-CN"/>
        </w:rPr>
        <w:t>备注：表中坐标以厂界中心（E117.139495，N35.622642）为坐标原点，正东向为X轴正方向，正北向为Y轴正方向</w:t>
      </w:r>
      <w:r>
        <w:rPr>
          <w:rFonts w:hint="eastAsia" w:ascii="Times New Roman" w:hAnsi="Times New Roman" w:eastAsia="宋体" w:cs="Times New Roman"/>
          <w:color w:val="auto"/>
          <w:sz w:val="22"/>
          <w:szCs w:val="28"/>
          <w:lang w:val="en-US" w:eastAsia="zh-CN"/>
        </w:rPr>
        <w:t>。</w:t>
      </w:r>
    </w:p>
    <w:tbl>
      <w:tblPr>
        <w:tblStyle w:val="33"/>
        <w:tblW w:w="898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46"/>
        <w:gridCol w:w="8235"/>
      </w:tblGrid>
      <w:tr w14:paraId="01DD7B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9" w:hRule="atLeast"/>
          <w:jc w:val="center"/>
        </w:trPr>
        <w:tc>
          <w:tcPr>
            <w:tcW w:w="746" w:type="dxa"/>
            <w:noWrap w:val="0"/>
            <w:tcMar>
              <w:left w:w="28" w:type="dxa"/>
              <w:right w:w="28" w:type="dxa"/>
            </w:tcMar>
            <w:vAlign w:val="center"/>
          </w:tcPr>
          <w:p w14:paraId="01C7EC27">
            <w:pPr>
              <w:pStyle w:val="28"/>
              <w:adjustRightInd w:val="0"/>
              <w:snapToGrid w:val="0"/>
              <w:spacing w:before="0" w:beforeAutospacing="0" w:after="0" w:afterAutospacing="0"/>
              <w:jc w:val="center"/>
              <w:rPr>
                <w:rFonts w:hint="default" w:ascii="Times New Roman" w:hAnsi="Times New Roman" w:cs="Times New Roman"/>
                <w:color w:val="auto"/>
                <w:kern w:val="2"/>
                <w:szCs w:val="24"/>
                <w:lang w:val="en-US" w:eastAsia="zh-CN"/>
              </w:rPr>
            </w:pPr>
          </w:p>
        </w:tc>
        <w:tc>
          <w:tcPr>
            <w:tcW w:w="8235" w:type="dxa"/>
            <w:noWrap w:val="0"/>
            <w:vAlign w:val="top"/>
          </w:tcPr>
          <w:p w14:paraId="50672E57">
            <w:pPr>
              <w:pStyle w:val="5"/>
              <w:numPr>
                <w:ilvl w:val="0"/>
                <w:numId w:val="0"/>
              </w:numPr>
              <w:bidi w:val="0"/>
              <w:ind w:leftChars="200"/>
              <w:rPr>
                <w:rFonts w:hint="default" w:ascii="Times New Roman" w:hAnsi="Times New Roman" w:cs="Times New Roman"/>
                <w:color w:val="auto"/>
              </w:rPr>
            </w:pPr>
            <w:r>
              <w:rPr>
                <w:rFonts w:hint="default" w:ascii="Times New Roman" w:hAnsi="Times New Roman" w:cs="Times New Roman"/>
                <w:color w:val="auto"/>
              </w:rPr>
              <w:t>2、预测分析</w:t>
            </w:r>
          </w:p>
          <w:p w14:paraId="23495990">
            <w:pPr>
              <w:pStyle w:val="28"/>
              <w:widowControl w:val="0"/>
              <w:adjustRightInd w:val="0"/>
              <w:snapToGrid w:val="0"/>
              <w:spacing w:before="0" w:beforeAutospacing="0" w:after="0" w:afterAutospacing="0"/>
              <w:ind w:right="-120" w:firstLine="488" w:firstLineChars="200"/>
              <w:jc w:val="both"/>
              <w:rPr>
                <w:rFonts w:hint="default" w:ascii="Times New Roman" w:hAnsi="Times New Roman" w:cs="Times New Roman"/>
                <w:color w:val="auto"/>
                <w:spacing w:val="2"/>
                <w:lang w:val="en-US" w:eastAsia="zh-CN"/>
              </w:rPr>
            </w:pPr>
            <w:r>
              <w:rPr>
                <w:rFonts w:hint="default" w:ascii="Times New Roman" w:hAnsi="Times New Roman" w:cs="Times New Roman"/>
                <w:color w:val="auto"/>
                <w:spacing w:val="2"/>
                <w:kern w:val="2"/>
                <w:lang w:val="en-US" w:eastAsia="zh-CN"/>
              </w:rPr>
              <w:t>预测模式选用《环境影响评价技术导则 声环境》（HJ2.4-2021）中推荐的模式进行预测。具体的预测模式如下：</w:t>
            </w:r>
          </w:p>
          <w:p w14:paraId="06B0A512">
            <w:pPr>
              <w:ind w:firstLine="480" w:firstLineChars="200"/>
              <w:rPr>
                <w:rFonts w:hint="default" w:ascii="Times New Roman" w:hAnsi="Times New Roman" w:cs="Times New Roman"/>
                <w:color w:val="auto"/>
                <w:szCs w:val="20"/>
              </w:rPr>
            </w:pPr>
            <w:r>
              <w:rPr>
                <w:rFonts w:hint="default" w:ascii="Times New Roman" w:hAnsi="Times New Roman" w:cs="Times New Roman"/>
                <w:color w:val="auto"/>
                <w:szCs w:val="20"/>
              </w:rPr>
              <w:t>①建设项目声源在预测点产生的等效声级贡献值计算：</w:t>
            </w:r>
          </w:p>
          <w:p w14:paraId="0DCEF872">
            <w:pPr>
              <w:adjustRightInd w:val="0"/>
              <w:snapToGrid w:val="0"/>
              <w:ind w:firstLine="480" w:firstLineChars="200"/>
              <w:jc w:val="center"/>
              <w:rPr>
                <w:rFonts w:hint="default" w:ascii="Times New Roman" w:hAnsi="Times New Roman" w:cs="Times New Roman"/>
                <w:color w:val="auto"/>
                <w:szCs w:val="32"/>
              </w:rPr>
            </w:pPr>
            <w:r>
              <w:rPr>
                <w:rFonts w:hint="default" w:ascii="Times New Roman" w:hAnsi="Times New Roman" w:cs="Times New Roman"/>
                <w:color w:val="auto"/>
              </w:rPr>
              <w:drawing>
                <wp:inline distT="0" distB="0" distL="114300" distR="114300">
                  <wp:extent cx="3404235" cy="641350"/>
                  <wp:effectExtent l="0" t="0" r="5715" b="6350"/>
                  <wp:docPr id="5" name="图片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40"/>
                          <pic:cNvPicPr>
                            <a:picLocks noChangeAspect="1"/>
                          </pic:cNvPicPr>
                        </pic:nvPicPr>
                        <pic:blipFill>
                          <a:blip r:embed="rId15">
                            <a:clrChange>
                              <a:clrFrom>
                                <a:srgbClr val="FFFFFF"/>
                              </a:clrFrom>
                              <a:clrTo>
                                <a:srgbClr val="FFFFFF">
                                  <a:alpha val="0"/>
                                </a:srgbClr>
                              </a:clrTo>
                            </a:clrChange>
                          </a:blip>
                          <a:stretch>
                            <a:fillRect/>
                          </a:stretch>
                        </pic:blipFill>
                        <pic:spPr>
                          <a:xfrm>
                            <a:off x="0" y="0"/>
                            <a:ext cx="3404235" cy="641350"/>
                          </a:xfrm>
                          <a:prstGeom prst="rect">
                            <a:avLst/>
                          </a:prstGeom>
                          <a:noFill/>
                          <a:ln>
                            <a:noFill/>
                          </a:ln>
                        </pic:spPr>
                      </pic:pic>
                    </a:graphicData>
                  </a:graphic>
                </wp:inline>
              </w:drawing>
            </w:r>
            <w:r>
              <w:rPr>
                <w:rFonts w:hint="default" w:ascii="Times New Roman" w:hAnsi="Times New Roman" w:cs="Times New Roman"/>
                <w:color w:val="auto"/>
                <w:szCs w:val="32"/>
              </w:rPr>
              <w:t>。</w:t>
            </w:r>
          </w:p>
          <w:p w14:paraId="06D675D0">
            <w:pPr>
              <w:ind w:firstLine="480" w:firstLineChars="200"/>
              <w:rPr>
                <w:rFonts w:hint="default" w:ascii="Times New Roman" w:hAnsi="Times New Roman" w:cs="Times New Roman"/>
                <w:color w:val="auto"/>
                <w:szCs w:val="20"/>
              </w:rPr>
            </w:pPr>
            <w:r>
              <w:rPr>
                <w:rFonts w:hint="default" w:ascii="Times New Roman" w:hAnsi="Times New Roman" w:cs="Times New Roman"/>
                <w:color w:val="auto"/>
                <w:szCs w:val="24"/>
              </w:rPr>
              <w:t xml:space="preserve">   </w:t>
            </w:r>
            <w:r>
              <w:rPr>
                <w:rFonts w:hint="default" w:ascii="Times New Roman" w:hAnsi="Times New Roman" w:cs="Times New Roman"/>
                <w:color w:val="auto"/>
                <w:szCs w:val="20"/>
              </w:rPr>
              <w:t>式中：L</w:t>
            </w:r>
            <w:r>
              <w:rPr>
                <w:rFonts w:hint="default" w:ascii="Times New Roman" w:hAnsi="Times New Roman" w:cs="Times New Roman"/>
                <w:color w:val="auto"/>
                <w:szCs w:val="20"/>
                <w:vertAlign w:val="subscript"/>
              </w:rPr>
              <w:t>eqg</w:t>
            </w:r>
            <w:r>
              <w:rPr>
                <w:rFonts w:hint="default" w:ascii="Times New Roman" w:hAnsi="Times New Roman" w:cs="Times New Roman"/>
                <w:color w:val="auto"/>
                <w:szCs w:val="20"/>
              </w:rPr>
              <w:t>—建设项目声源在预测点的等效声级贡献值，dB(A)；</w:t>
            </w:r>
          </w:p>
          <w:p w14:paraId="33D835AB">
            <w:pPr>
              <w:ind w:firstLine="480" w:firstLineChars="200"/>
              <w:rPr>
                <w:rFonts w:hint="default" w:ascii="Times New Roman" w:hAnsi="Times New Roman" w:cs="Times New Roman"/>
                <w:color w:val="auto"/>
                <w:szCs w:val="20"/>
              </w:rPr>
            </w:pPr>
            <w:r>
              <w:rPr>
                <w:rFonts w:hint="default" w:ascii="Times New Roman" w:hAnsi="Times New Roman" w:cs="Times New Roman"/>
                <w:color w:val="auto"/>
                <w:szCs w:val="20"/>
              </w:rPr>
              <w:t xml:space="preserve">      L</w:t>
            </w:r>
            <w:r>
              <w:rPr>
                <w:rFonts w:hint="default" w:ascii="Times New Roman" w:hAnsi="Times New Roman" w:cs="Times New Roman"/>
                <w:color w:val="auto"/>
                <w:szCs w:val="20"/>
                <w:vertAlign w:val="subscript"/>
              </w:rPr>
              <w:t>Ai</w:t>
            </w:r>
            <w:r>
              <w:rPr>
                <w:rFonts w:hint="default" w:ascii="Times New Roman" w:hAnsi="Times New Roman" w:cs="Times New Roman"/>
                <w:color w:val="auto"/>
                <w:szCs w:val="20"/>
              </w:rPr>
              <w:t>—i声源在预测点产生的A声级，dB(A)；</w:t>
            </w:r>
          </w:p>
          <w:p w14:paraId="46267B80">
            <w:pPr>
              <w:ind w:firstLine="480" w:firstLineChars="200"/>
              <w:rPr>
                <w:rFonts w:hint="default" w:ascii="Times New Roman" w:hAnsi="Times New Roman" w:cs="Times New Roman"/>
                <w:color w:val="auto"/>
                <w:szCs w:val="20"/>
              </w:rPr>
            </w:pPr>
            <w:r>
              <w:rPr>
                <w:rFonts w:hint="default" w:ascii="Times New Roman" w:hAnsi="Times New Roman" w:cs="Times New Roman"/>
                <w:color w:val="auto"/>
                <w:szCs w:val="20"/>
              </w:rPr>
              <w:t xml:space="preserve">      L</w:t>
            </w:r>
            <w:r>
              <w:rPr>
                <w:rFonts w:hint="default" w:ascii="Times New Roman" w:hAnsi="Times New Roman" w:cs="Times New Roman"/>
                <w:color w:val="auto"/>
                <w:szCs w:val="20"/>
                <w:vertAlign w:val="subscript"/>
              </w:rPr>
              <w:t>Aj</w:t>
            </w:r>
            <w:r>
              <w:rPr>
                <w:rFonts w:hint="default" w:ascii="Times New Roman" w:hAnsi="Times New Roman" w:cs="Times New Roman"/>
                <w:color w:val="auto"/>
                <w:szCs w:val="20"/>
              </w:rPr>
              <w:t>—j声源在预测点产生的A声级，dB(A)；</w:t>
            </w:r>
          </w:p>
          <w:p w14:paraId="156C520A">
            <w:pPr>
              <w:ind w:firstLine="480" w:firstLineChars="200"/>
              <w:rPr>
                <w:rFonts w:hint="default" w:ascii="Times New Roman" w:hAnsi="Times New Roman" w:cs="Times New Roman"/>
                <w:color w:val="auto"/>
                <w:szCs w:val="20"/>
              </w:rPr>
            </w:pPr>
            <w:r>
              <w:rPr>
                <w:rFonts w:hint="default" w:ascii="Times New Roman" w:hAnsi="Times New Roman" w:cs="Times New Roman"/>
                <w:color w:val="auto"/>
                <w:szCs w:val="20"/>
              </w:rPr>
              <w:t xml:space="preserve">      t</w:t>
            </w:r>
            <w:r>
              <w:rPr>
                <w:rFonts w:hint="default" w:ascii="Times New Roman" w:hAnsi="Times New Roman" w:cs="Times New Roman"/>
                <w:color w:val="auto"/>
                <w:szCs w:val="20"/>
                <w:vertAlign w:val="subscript"/>
              </w:rPr>
              <w:t>i</w:t>
            </w:r>
            <w:r>
              <w:rPr>
                <w:rFonts w:hint="default" w:ascii="Times New Roman" w:hAnsi="Times New Roman" w:cs="Times New Roman"/>
                <w:color w:val="auto"/>
                <w:szCs w:val="20"/>
              </w:rPr>
              <w:t>—i声源在T时段内的运行时间，s；</w:t>
            </w:r>
          </w:p>
          <w:p w14:paraId="0D0D8409">
            <w:pPr>
              <w:ind w:firstLine="480" w:firstLineChars="200"/>
              <w:rPr>
                <w:rFonts w:hint="default" w:ascii="Times New Roman" w:hAnsi="Times New Roman" w:cs="Times New Roman"/>
                <w:color w:val="auto"/>
                <w:szCs w:val="20"/>
              </w:rPr>
            </w:pPr>
            <w:r>
              <w:rPr>
                <w:rFonts w:hint="default" w:ascii="Times New Roman" w:hAnsi="Times New Roman" w:cs="Times New Roman"/>
                <w:color w:val="auto"/>
                <w:szCs w:val="20"/>
              </w:rPr>
              <w:t xml:space="preserve">      t</w:t>
            </w:r>
            <w:r>
              <w:rPr>
                <w:rFonts w:hint="default" w:ascii="Times New Roman" w:hAnsi="Times New Roman" w:cs="Times New Roman"/>
                <w:color w:val="auto"/>
                <w:szCs w:val="20"/>
                <w:vertAlign w:val="subscript"/>
              </w:rPr>
              <w:t>j</w:t>
            </w:r>
            <w:r>
              <w:rPr>
                <w:rFonts w:hint="default" w:ascii="Times New Roman" w:hAnsi="Times New Roman" w:cs="Times New Roman"/>
                <w:color w:val="auto"/>
                <w:szCs w:val="20"/>
              </w:rPr>
              <w:t>—j声源在T时段内的运行时间，s；</w:t>
            </w:r>
          </w:p>
          <w:p w14:paraId="16345A50">
            <w:pPr>
              <w:ind w:firstLine="480" w:firstLineChars="200"/>
              <w:rPr>
                <w:rFonts w:hint="default" w:ascii="Times New Roman" w:hAnsi="Times New Roman" w:cs="Times New Roman"/>
                <w:color w:val="auto"/>
                <w:szCs w:val="20"/>
              </w:rPr>
            </w:pPr>
            <w:r>
              <w:rPr>
                <w:rFonts w:hint="default" w:ascii="Times New Roman" w:hAnsi="Times New Roman" w:cs="Times New Roman"/>
                <w:color w:val="auto"/>
                <w:szCs w:val="20"/>
              </w:rPr>
              <w:t xml:space="preserve">      T—用于计算等效声级，s；</w:t>
            </w:r>
          </w:p>
          <w:p w14:paraId="0AC956DB">
            <w:pPr>
              <w:ind w:firstLine="480" w:firstLineChars="200"/>
              <w:rPr>
                <w:rFonts w:hint="default" w:ascii="Times New Roman" w:hAnsi="Times New Roman" w:cs="Times New Roman"/>
                <w:color w:val="auto"/>
                <w:szCs w:val="20"/>
              </w:rPr>
            </w:pPr>
            <w:r>
              <w:rPr>
                <w:rFonts w:hint="default" w:ascii="Times New Roman" w:hAnsi="Times New Roman" w:cs="Times New Roman"/>
                <w:color w:val="auto"/>
                <w:szCs w:val="20"/>
              </w:rPr>
              <w:t xml:space="preserve">      N—室外声源个数；</w:t>
            </w:r>
          </w:p>
          <w:p w14:paraId="1C44B12D">
            <w:pPr>
              <w:rPr>
                <w:rFonts w:hint="default" w:ascii="Times New Roman" w:hAnsi="Times New Roman" w:cs="Times New Roman"/>
                <w:color w:val="auto"/>
                <w:szCs w:val="24"/>
              </w:rPr>
            </w:pPr>
            <w:r>
              <w:rPr>
                <w:rFonts w:hint="default" w:ascii="Times New Roman" w:hAnsi="Times New Roman" w:cs="Times New Roman"/>
                <w:color w:val="auto"/>
                <w:szCs w:val="20"/>
              </w:rPr>
              <w:t xml:space="preserve">      M—等效室外声源个数。</w:t>
            </w:r>
          </w:p>
          <w:p w14:paraId="67A71BEB">
            <w:pPr>
              <w:ind w:firstLine="480" w:firstLineChars="200"/>
              <w:rPr>
                <w:rFonts w:hint="default" w:ascii="Times New Roman" w:hAnsi="Times New Roman" w:cs="Times New Roman"/>
                <w:color w:val="auto"/>
                <w:szCs w:val="20"/>
              </w:rPr>
            </w:pPr>
            <w:r>
              <w:rPr>
                <w:rFonts w:hint="default" w:ascii="Times New Roman" w:hAnsi="Times New Roman" w:cs="Times New Roman"/>
                <w:color w:val="auto"/>
                <w:szCs w:val="20"/>
              </w:rPr>
              <w:t>②预测点的A声级计算：</w:t>
            </w:r>
          </w:p>
          <w:p w14:paraId="7FF5C325">
            <w:pPr>
              <w:jc w:val="center"/>
              <w:rPr>
                <w:rFonts w:hint="default" w:ascii="Times New Roman" w:hAnsi="Times New Roman" w:cs="Times New Roman"/>
                <w:color w:val="auto"/>
              </w:rPr>
            </w:pPr>
            <w:r>
              <w:rPr>
                <w:rFonts w:hint="default" w:ascii="Times New Roman" w:hAnsi="Times New Roman" w:cs="Times New Roman"/>
                <w:color w:val="auto"/>
              </w:rPr>
              <w:drawing>
                <wp:inline distT="0" distB="0" distL="114300" distR="114300">
                  <wp:extent cx="2091690" cy="521335"/>
                  <wp:effectExtent l="0" t="0" r="0" b="13335"/>
                  <wp:docPr id="6" name="图片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41"/>
                          <pic:cNvPicPr>
                            <a:picLocks noChangeAspect="1"/>
                          </pic:cNvPicPr>
                        </pic:nvPicPr>
                        <pic:blipFill>
                          <a:blip r:embed="rId16">
                            <a:clrChange>
                              <a:clrFrom>
                                <a:srgbClr val="F9F9F9"/>
                              </a:clrFrom>
                              <a:clrTo>
                                <a:srgbClr val="F9F9F9">
                                  <a:alpha val="0"/>
                                </a:srgbClr>
                              </a:clrTo>
                            </a:clrChange>
                          </a:blip>
                          <a:stretch>
                            <a:fillRect/>
                          </a:stretch>
                        </pic:blipFill>
                        <pic:spPr>
                          <a:xfrm>
                            <a:off x="0" y="0"/>
                            <a:ext cx="2091690" cy="521335"/>
                          </a:xfrm>
                          <a:prstGeom prst="rect">
                            <a:avLst/>
                          </a:prstGeom>
                          <a:noFill/>
                          <a:ln>
                            <a:noFill/>
                          </a:ln>
                        </pic:spPr>
                      </pic:pic>
                    </a:graphicData>
                  </a:graphic>
                </wp:inline>
              </w:drawing>
            </w:r>
          </w:p>
          <w:p w14:paraId="55660607">
            <w:pPr>
              <w:ind w:firstLine="480" w:firstLineChars="200"/>
              <w:rPr>
                <w:rFonts w:hint="default" w:ascii="Times New Roman" w:hAnsi="Times New Roman" w:cs="Times New Roman"/>
                <w:color w:val="auto"/>
                <w:szCs w:val="20"/>
              </w:rPr>
            </w:pPr>
            <w:r>
              <w:rPr>
                <w:rFonts w:hint="default" w:ascii="Times New Roman" w:hAnsi="Times New Roman" w:cs="Times New Roman"/>
                <w:color w:val="auto"/>
                <w:szCs w:val="20"/>
              </w:rPr>
              <w:t>式中：L</w:t>
            </w:r>
            <w:r>
              <w:rPr>
                <w:rFonts w:hint="default" w:ascii="Times New Roman" w:hAnsi="Times New Roman" w:cs="Times New Roman"/>
                <w:color w:val="auto"/>
                <w:szCs w:val="20"/>
                <w:vertAlign w:val="subscript"/>
              </w:rPr>
              <w:t>A</w:t>
            </w:r>
            <w:r>
              <w:rPr>
                <w:rFonts w:hint="default" w:ascii="Times New Roman" w:hAnsi="Times New Roman" w:cs="Times New Roman"/>
                <w:color w:val="auto"/>
                <w:szCs w:val="20"/>
              </w:rPr>
              <w:t>(r)—预测点的A声级，dB(A)；</w:t>
            </w:r>
          </w:p>
          <w:p w14:paraId="6F7E39F7">
            <w:pPr>
              <w:ind w:firstLine="1200" w:firstLineChars="500"/>
              <w:rPr>
                <w:rFonts w:hint="default" w:ascii="Times New Roman" w:hAnsi="Times New Roman" w:cs="Times New Roman"/>
                <w:color w:val="auto"/>
                <w:szCs w:val="20"/>
              </w:rPr>
            </w:pPr>
            <w:r>
              <w:rPr>
                <w:rFonts w:hint="default" w:ascii="Times New Roman" w:hAnsi="Times New Roman" w:cs="Times New Roman"/>
                <w:color w:val="auto"/>
                <w:szCs w:val="20"/>
              </w:rPr>
              <w:t>L</w:t>
            </w:r>
            <w:r>
              <w:rPr>
                <w:rFonts w:hint="default" w:ascii="Times New Roman" w:hAnsi="Times New Roman" w:cs="Times New Roman"/>
                <w:color w:val="auto"/>
                <w:szCs w:val="20"/>
                <w:vertAlign w:val="subscript"/>
              </w:rPr>
              <w:t>pi</w:t>
            </w:r>
            <w:r>
              <w:rPr>
                <w:rFonts w:hint="default" w:ascii="Times New Roman" w:hAnsi="Times New Roman" w:cs="Times New Roman"/>
                <w:color w:val="auto"/>
                <w:szCs w:val="20"/>
              </w:rPr>
              <w:t>(r)—预测点r处，第i倍频带声压级，dB；</w:t>
            </w:r>
          </w:p>
          <w:p w14:paraId="4831DE07">
            <w:pPr>
              <w:pStyle w:val="29"/>
              <w:spacing w:line="240" w:lineRule="auto"/>
              <w:ind w:firstLine="1200" w:firstLineChars="500"/>
              <w:jc w:val="both"/>
              <w:rPr>
                <w:rFonts w:hint="default" w:ascii="Times New Roman" w:hAnsi="Times New Roman" w:eastAsia="宋体" w:cs="Times New Roman"/>
                <w:b w:val="0"/>
                <w:bCs/>
                <w:color w:val="auto"/>
                <w:sz w:val="24"/>
                <w:szCs w:val="40"/>
                <w:lang w:val="en-US" w:eastAsia="zh-CN"/>
              </w:rPr>
            </w:pPr>
            <w:r>
              <w:rPr>
                <w:rFonts w:hint="default" w:ascii="Times New Roman" w:hAnsi="Times New Roman" w:eastAsia="宋体" w:cs="Times New Roman"/>
                <w:b w:val="0"/>
                <w:bCs/>
                <w:color w:val="auto"/>
                <w:sz w:val="24"/>
                <w:szCs w:val="20"/>
                <w:lang w:val="en-US" w:eastAsia="zh-CN"/>
              </w:rPr>
              <w:t>△L</w:t>
            </w:r>
            <w:r>
              <w:rPr>
                <w:rFonts w:hint="default" w:ascii="Times New Roman" w:hAnsi="Times New Roman" w:eastAsia="宋体" w:cs="Times New Roman"/>
                <w:b w:val="0"/>
                <w:bCs/>
                <w:color w:val="auto"/>
                <w:sz w:val="24"/>
                <w:szCs w:val="20"/>
                <w:vertAlign w:val="subscript"/>
                <w:lang w:val="en-US" w:eastAsia="zh-CN"/>
              </w:rPr>
              <w:t>i</w:t>
            </w:r>
            <w:r>
              <w:rPr>
                <w:rFonts w:hint="default" w:ascii="Times New Roman" w:hAnsi="Times New Roman" w:eastAsia="宋体" w:cs="Times New Roman"/>
                <w:b w:val="0"/>
                <w:bCs/>
                <w:color w:val="auto"/>
                <w:sz w:val="24"/>
                <w:szCs w:val="20"/>
                <w:lang w:val="en-US" w:eastAsia="zh-CN"/>
              </w:rPr>
              <w:t>—第i倍频带的A计权网络修正值，dB。</w:t>
            </w:r>
          </w:p>
          <w:p w14:paraId="4B547827">
            <w:pPr>
              <w:ind w:firstLine="480" w:firstLineChars="200"/>
              <w:rPr>
                <w:rFonts w:hint="default" w:ascii="Times New Roman" w:hAnsi="Times New Roman" w:cs="Times New Roman"/>
                <w:color w:val="auto"/>
                <w:szCs w:val="20"/>
              </w:rPr>
            </w:pPr>
            <w:r>
              <w:rPr>
                <w:rFonts w:hint="default" w:ascii="Times New Roman" w:hAnsi="Times New Roman" w:cs="Times New Roman"/>
                <w:color w:val="auto"/>
                <w:szCs w:val="20"/>
              </w:rPr>
              <w:t>③参考点r</w:t>
            </w:r>
            <w:r>
              <w:rPr>
                <w:rFonts w:hint="default" w:ascii="Times New Roman" w:hAnsi="Times New Roman" w:cs="Times New Roman"/>
                <w:color w:val="auto"/>
                <w:szCs w:val="20"/>
                <w:vertAlign w:val="subscript"/>
              </w:rPr>
              <w:t>0</w:t>
            </w:r>
            <w:r>
              <w:rPr>
                <w:rFonts w:hint="default" w:ascii="Times New Roman" w:hAnsi="Times New Roman" w:cs="Times New Roman"/>
                <w:color w:val="auto"/>
                <w:szCs w:val="20"/>
              </w:rPr>
              <w:t>到预测点r处之间的户外传播衰减量：</w:t>
            </w:r>
          </w:p>
          <w:p w14:paraId="617F6AD6">
            <w:pPr>
              <w:ind w:firstLine="480" w:firstLineChars="200"/>
              <w:jc w:val="center"/>
              <w:rPr>
                <w:rFonts w:hint="default" w:ascii="Times New Roman" w:hAnsi="Times New Roman" w:cs="Times New Roman"/>
                <w:color w:val="auto"/>
                <w:szCs w:val="20"/>
              </w:rPr>
            </w:pPr>
            <w:r>
              <w:rPr>
                <w:rFonts w:hint="default" w:ascii="Times New Roman" w:hAnsi="Times New Roman" w:cs="Times New Roman"/>
                <w:color w:val="auto"/>
                <w:szCs w:val="20"/>
              </w:rPr>
              <w:t>L</w:t>
            </w:r>
            <w:r>
              <w:rPr>
                <w:rFonts w:hint="default" w:ascii="Times New Roman" w:hAnsi="Times New Roman" w:cs="Times New Roman"/>
                <w:color w:val="auto"/>
                <w:szCs w:val="20"/>
                <w:vertAlign w:val="subscript"/>
              </w:rPr>
              <w:t>P</w:t>
            </w:r>
            <w:r>
              <w:rPr>
                <w:rFonts w:hint="default" w:ascii="Times New Roman" w:hAnsi="Times New Roman" w:cs="Times New Roman"/>
                <w:color w:val="auto"/>
                <w:szCs w:val="20"/>
              </w:rPr>
              <w:t>（r）=L</w:t>
            </w:r>
            <w:r>
              <w:rPr>
                <w:rFonts w:hint="default" w:ascii="Times New Roman" w:hAnsi="Times New Roman" w:cs="Times New Roman"/>
                <w:color w:val="auto"/>
                <w:szCs w:val="20"/>
                <w:vertAlign w:val="subscript"/>
              </w:rPr>
              <w:t>P</w:t>
            </w:r>
            <w:r>
              <w:rPr>
                <w:rFonts w:hint="default" w:ascii="Times New Roman" w:hAnsi="Times New Roman" w:cs="Times New Roman"/>
                <w:color w:val="auto"/>
                <w:szCs w:val="20"/>
              </w:rPr>
              <w:t>（r</w:t>
            </w:r>
            <w:r>
              <w:rPr>
                <w:rFonts w:hint="default" w:ascii="Times New Roman" w:hAnsi="Times New Roman" w:cs="Times New Roman"/>
                <w:color w:val="auto"/>
                <w:szCs w:val="20"/>
                <w:vertAlign w:val="subscript"/>
              </w:rPr>
              <w:t>o</w:t>
            </w:r>
            <w:r>
              <w:rPr>
                <w:rFonts w:hint="default" w:ascii="Times New Roman" w:hAnsi="Times New Roman" w:cs="Times New Roman"/>
                <w:color w:val="auto"/>
                <w:szCs w:val="20"/>
              </w:rPr>
              <w:t>）-（A</w:t>
            </w:r>
            <w:r>
              <w:rPr>
                <w:rFonts w:hint="default" w:ascii="Times New Roman" w:hAnsi="Times New Roman" w:cs="Times New Roman"/>
                <w:color w:val="auto"/>
                <w:szCs w:val="20"/>
                <w:vertAlign w:val="subscript"/>
              </w:rPr>
              <w:t>div</w:t>
            </w:r>
            <w:r>
              <w:rPr>
                <w:rFonts w:hint="default" w:ascii="Times New Roman" w:hAnsi="Times New Roman" w:cs="Times New Roman"/>
                <w:color w:val="auto"/>
                <w:szCs w:val="20"/>
              </w:rPr>
              <w:t>+A</w:t>
            </w:r>
            <w:r>
              <w:rPr>
                <w:rFonts w:hint="default" w:ascii="Times New Roman" w:hAnsi="Times New Roman" w:cs="Times New Roman"/>
                <w:color w:val="auto"/>
                <w:szCs w:val="20"/>
                <w:vertAlign w:val="subscript"/>
              </w:rPr>
              <w:t>atm</w:t>
            </w:r>
            <w:r>
              <w:rPr>
                <w:rFonts w:hint="default" w:ascii="Times New Roman" w:hAnsi="Times New Roman" w:cs="Times New Roman"/>
                <w:color w:val="auto"/>
                <w:szCs w:val="20"/>
              </w:rPr>
              <w:t>+A</w:t>
            </w:r>
            <w:r>
              <w:rPr>
                <w:rFonts w:hint="default" w:ascii="Times New Roman" w:hAnsi="Times New Roman" w:cs="Times New Roman"/>
                <w:color w:val="auto"/>
                <w:szCs w:val="20"/>
                <w:vertAlign w:val="subscript"/>
              </w:rPr>
              <w:t>bar</w:t>
            </w:r>
            <w:r>
              <w:rPr>
                <w:rFonts w:hint="default" w:ascii="Times New Roman" w:hAnsi="Times New Roman" w:cs="Times New Roman"/>
                <w:color w:val="auto"/>
                <w:szCs w:val="20"/>
              </w:rPr>
              <w:t>+A</w:t>
            </w:r>
            <w:r>
              <w:rPr>
                <w:rFonts w:hint="default" w:ascii="Times New Roman" w:hAnsi="Times New Roman" w:cs="Times New Roman"/>
                <w:color w:val="auto"/>
                <w:szCs w:val="20"/>
                <w:vertAlign w:val="subscript"/>
              </w:rPr>
              <w:t>gr</w:t>
            </w:r>
            <w:r>
              <w:rPr>
                <w:rFonts w:hint="default" w:ascii="Times New Roman" w:hAnsi="Times New Roman" w:cs="Times New Roman"/>
                <w:color w:val="auto"/>
                <w:szCs w:val="20"/>
              </w:rPr>
              <w:t>+A</w:t>
            </w:r>
            <w:r>
              <w:rPr>
                <w:rFonts w:hint="default" w:ascii="Times New Roman" w:hAnsi="Times New Roman" w:cs="Times New Roman"/>
                <w:color w:val="auto"/>
                <w:szCs w:val="20"/>
                <w:vertAlign w:val="subscript"/>
              </w:rPr>
              <w:t>misc</w:t>
            </w:r>
            <w:r>
              <w:rPr>
                <w:rFonts w:hint="default" w:ascii="Times New Roman" w:hAnsi="Times New Roman" w:cs="Times New Roman"/>
                <w:color w:val="auto"/>
                <w:szCs w:val="20"/>
              </w:rPr>
              <w:t>）</w:t>
            </w:r>
          </w:p>
          <w:p w14:paraId="78A1B645">
            <w:pPr>
              <w:ind w:firstLine="480" w:firstLineChars="200"/>
              <w:rPr>
                <w:rFonts w:hint="default" w:ascii="Times New Roman" w:hAnsi="Times New Roman" w:cs="Times New Roman"/>
                <w:color w:val="auto"/>
                <w:szCs w:val="20"/>
              </w:rPr>
            </w:pPr>
            <w:r>
              <w:rPr>
                <w:rFonts w:hint="default" w:ascii="Times New Roman" w:hAnsi="Times New Roman" w:cs="Times New Roman"/>
                <w:color w:val="auto"/>
                <w:szCs w:val="20"/>
              </w:rPr>
              <w:t>式中：L</w:t>
            </w:r>
            <w:r>
              <w:rPr>
                <w:rFonts w:hint="default" w:ascii="Times New Roman" w:hAnsi="Times New Roman" w:cs="Times New Roman"/>
                <w:color w:val="auto"/>
                <w:szCs w:val="20"/>
                <w:vertAlign w:val="subscript"/>
              </w:rPr>
              <w:t>P</w:t>
            </w:r>
            <w:r>
              <w:rPr>
                <w:rFonts w:hint="default" w:ascii="Times New Roman" w:hAnsi="Times New Roman" w:cs="Times New Roman"/>
                <w:color w:val="auto"/>
                <w:szCs w:val="20"/>
              </w:rPr>
              <w:t>（r）——距声源r处的倍频带声压级，dB；</w:t>
            </w:r>
          </w:p>
          <w:p w14:paraId="66D4C674">
            <w:pPr>
              <w:outlineLvl w:val="0"/>
              <w:rPr>
                <w:rFonts w:hint="default" w:ascii="Times New Roman" w:hAnsi="Times New Roman" w:cs="Times New Roman"/>
                <w:color w:val="auto"/>
                <w:szCs w:val="20"/>
              </w:rPr>
            </w:pPr>
            <w:r>
              <w:rPr>
                <w:rFonts w:hint="default" w:ascii="Times New Roman" w:hAnsi="Times New Roman" w:cs="Times New Roman"/>
                <w:color w:val="auto"/>
                <w:szCs w:val="20"/>
              </w:rPr>
              <w:t xml:space="preserve">          L</w:t>
            </w:r>
            <w:r>
              <w:rPr>
                <w:rFonts w:hint="default" w:ascii="Times New Roman" w:hAnsi="Times New Roman" w:cs="Times New Roman"/>
                <w:color w:val="auto"/>
                <w:szCs w:val="20"/>
                <w:vertAlign w:val="subscript"/>
              </w:rPr>
              <w:t>P</w:t>
            </w:r>
            <w:r>
              <w:rPr>
                <w:rFonts w:hint="default" w:ascii="Times New Roman" w:hAnsi="Times New Roman" w:cs="Times New Roman"/>
                <w:color w:val="auto"/>
                <w:szCs w:val="20"/>
              </w:rPr>
              <w:t>（r</w:t>
            </w:r>
            <w:r>
              <w:rPr>
                <w:rFonts w:hint="default" w:ascii="Times New Roman" w:hAnsi="Times New Roman" w:cs="Times New Roman"/>
                <w:color w:val="auto"/>
                <w:szCs w:val="20"/>
                <w:vertAlign w:val="subscript"/>
              </w:rPr>
              <w:t>o</w:t>
            </w:r>
            <w:r>
              <w:rPr>
                <w:rFonts w:hint="default" w:ascii="Times New Roman" w:hAnsi="Times New Roman" w:cs="Times New Roman"/>
                <w:color w:val="auto"/>
                <w:szCs w:val="20"/>
              </w:rPr>
              <w:t>）——参考位置r</w:t>
            </w:r>
            <w:r>
              <w:rPr>
                <w:rFonts w:hint="default" w:ascii="Times New Roman" w:hAnsi="Times New Roman" w:cs="Times New Roman"/>
                <w:color w:val="auto"/>
                <w:szCs w:val="20"/>
                <w:vertAlign w:val="subscript"/>
              </w:rPr>
              <w:t>o</w:t>
            </w:r>
            <w:r>
              <w:rPr>
                <w:rFonts w:hint="default" w:ascii="Times New Roman" w:hAnsi="Times New Roman" w:cs="Times New Roman"/>
                <w:color w:val="auto"/>
                <w:szCs w:val="20"/>
              </w:rPr>
              <w:t>处的倍频带声压级，dB；</w:t>
            </w:r>
          </w:p>
          <w:p w14:paraId="1559C814">
            <w:pPr>
              <w:rPr>
                <w:rFonts w:hint="default" w:ascii="Times New Roman" w:hAnsi="Times New Roman" w:cs="Times New Roman"/>
                <w:color w:val="auto"/>
                <w:szCs w:val="20"/>
              </w:rPr>
            </w:pPr>
            <w:r>
              <w:rPr>
                <w:rFonts w:hint="default" w:ascii="Times New Roman" w:hAnsi="Times New Roman" w:cs="Times New Roman"/>
                <w:color w:val="auto"/>
                <w:szCs w:val="20"/>
              </w:rPr>
              <w:t xml:space="preserve">          A</w:t>
            </w:r>
            <w:r>
              <w:rPr>
                <w:rFonts w:hint="default" w:ascii="Times New Roman" w:hAnsi="Times New Roman" w:cs="Times New Roman"/>
                <w:color w:val="auto"/>
                <w:szCs w:val="20"/>
                <w:vertAlign w:val="subscript"/>
              </w:rPr>
              <w:t>div</w:t>
            </w:r>
            <w:r>
              <w:rPr>
                <w:rFonts w:hint="default" w:ascii="Times New Roman" w:hAnsi="Times New Roman" w:cs="Times New Roman"/>
                <w:color w:val="auto"/>
                <w:szCs w:val="20"/>
              </w:rPr>
              <w:t>——几何发散引起的倍频带衰减量，dB；</w:t>
            </w:r>
          </w:p>
          <w:p w14:paraId="75E8FC7C">
            <w:pPr>
              <w:rPr>
                <w:rFonts w:hint="default" w:ascii="Times New Roman" w:hAnsi="Times New Roman" w:cs="Times New Roman"/>
                <w:color w:val="auto"/>
                <w:szCs w:val="20"/>
              </w:rPr>
            </w:pPr>
            <w:r>
              <w:rPr>
                <w:rFonts w:hint="default" w:ascii="Times New Roman" w:hAnsi="Times New Roman" w:cs="Times New Roman"/>
                <w:color w:val="auto"/>
                <w:szCs w:val="20"/>
              </w:rPr>
              <w:t xml:space="preserve">          A</w:t>
            </w:r>
            <w:r>
              <w:rPr>
                <w:rFonts w:hint="default" w:ascii="Times New Roman" w:hAnsi="Times New Roman" w:cs="Times New Roman"/>
                <w:color w:val="auto"/>
                <w:szCs w:val="20"/>
                <w:vertAlign w:val="subscript"/>
              </w:rPr>
              <w:t>atm</w:t>
            </w:r>
            <w:r>
              <w:rPr>
                <w:rFonts w:hint="default" w:ascii="Times New Roman" w:hAnsi="Times New Roman" w:cs="Times New Roman"/>
                <w:color w:val="auto"/>
                <w:szCs w:val="20"/>
              </w:rPr>
              <w:t>——大气吸收引起的倍频带衰减量，dB；</w:t>
            </w:r>
          </w:p>
          <w:p w14:paraId="5C229616">
            <w:pPr>
              <w:rPr>
                <w:rFonts w:hint="default" w:ascii="Times New Roman" w:hAnsi="Times New Roman" w:cs="Times New Roman"/>
                <w:color w:val="auto"/>
                <w:szCs w:val="20"/>
              </w:rPr>
            </w:pPr>
            <w:r>
              <w:rPr>
                <w:rFonts w:hint="default" w:ascii="Times New Roman" w:hAnsi="Times New Roman" w:cs="Times New Roman"/>
                <w:color w:val="auto"/>
                <w:szCs w:val="20"/>
              </w:rPr>
              <w:t xml:space="preserve">          A</w:t>
            </w:r>
            <w:r>
              <w:rPr>
                <w:rFonts w:hint="default" w:ascii="Times New Roman" w:hAnsi="Times New Roman" w:cs="Times New Roman"/>
                <w:color w:val="auto"/>
                <w:szCs w:val="20"/>
                <w:vertAlign w:val="subscript"/>
              </w:rPr>
              <w:t>bar</w:t>
            </w:r>
            <w:r>
              <w:rPr>
                <w:rFonts w:hint="default" w:ascii="Times New Roman" w:hAnsi="Times New Roman" w:cs="Times New Roman"/>
                <w:color w:val="auto"/>
                <w:szCs w:val="20"/>
              </w:rPr>
              <w:t>——声屏障引起的倍频带衰减量，dB；</w:t>
            </w:r>
          </w:p>
          <w:p w14:paraId="120ACFF4">
            <w:pPr>
              <w:rPr>
                <w:rFonts w:hint="default" w:ascii="Times New Roman" w:hAnsi="Times New Roman" w:cs="Times New Roman"/>
                <w:color w:val="auto"/>
                <w:szCs w:val="20"/>
              </w:rPr>
            </w:pPr>
            <w:r>
              <w:rPr>
                <w:rFonts w:hint="default" w:ascii="Times New Roman" w:hAnsi="Times New Roman" w:cs="Times New Roman"/>
                <w:color w:val="auto"/>
                <w:szCs w:val="20"/>
              </w:rPr>
              <w:t xml:space="preserve">          A</w:t>
            </w:r>
            <w:r>
              <w:rPr>
                <w:rFonts w:hint="default" w:ascii="Times New Roman" w:hAnsi="Times New Roman" w:cs="Times New Roman"/>
                <w:color w:val="auto"/>
                <w:szCs w:val="20"/>
                <w:vertAlign w:val="subscript"/>
              </w:rPr>
              <w:t>gr</w:t>
            </w:r>
            <w:r>
              <w:rPr>
                <w:rFonts w:hint="default" w:ascii="Times New Roman" w:hAnsi="Times New Roman" w:cs="Times New Roman"/>
                <w:color w:val="auto"/>
                <w:szCs w:val="20"/>
              </w:rPr>
              <w:t>——地面效应引起的倍频带衰减量，dB；</w:t>
            </w:r>
          </w:p>
          <w:p w14:paraId="62D5A7D5">
            <w:pPr>
              <w:rPr>
                <w:rFonts w:hint="default" w:ascii="Times New Roman" w:hAnsi="Times New Roman" w:cs="Times New Roman"/>
                <w:color w:val="auto"/>
                <w:szCs w:val="20"/>
              </w:rPr>
            </w:pPr>
            <w:r>
              <w:rPr>
                <w:rFonts w:hint="default" w:ascii="Times New Roman" w:hAnsi="Times New Roman" w:cs="Times New Roman"/>
                <w:color w:val="auto"/>
                <w:szCs w:val="20"/>
              </w:rPr>
              <w:t xml:space="preserve">          A</w:t>
            </w:r>
            <w:r>
              <w:rPr>
                <w:rFonts w:hint="default" w:ascii="Times New Roman" w:hAnsi="Times New Roman" w:cs="Times New Roman"/>
                <w:color w:val="auto"/>
                <w:szCs w:val="20"/>
                <w:vertAlign w:val="subscript"/>
              </w:rPr>
              <w:t>misc</w:t>
            </w:r>
            <w:r>
              <w:rPr>
                <w:rFonts w:hint="default" w:ascii="Times New Roman" w:hAnsi="Times New Roman" w:cs="Times New Roman"/>
                <w:color w:val="auto"/>
                <w:szCs w:val="20"/>
              </w:rPr>
              <w:t>——其他多方面效应引起的倍频带衰减量，dB；</w:t>
            </w:r>
          </w:p>
          <w:p w14:paraId="0CFD9180">
            <w:pPr>
              <w:ind w:firstLine="480" w:firstLineChars="200"/>
              <w:rPr>
                <w:rFonts w:hint="default" w:ascii="Times New Roman" w:hAnsi="Times New Roman" w:cs="Times New Roman"/>
                <w:color w:val="auto"/>
                <w:szCs w:val="20"/>
              </w:rPr>
            </w:pPr>
            <w:r>
              <w:rPr>
                <w:rFonts w:hint="default" w:ascii="Times New Roman" w:hAnsi="Times New Roman" w:cs="Times New Roman"/>
                <w:color w:val="auto"/>
                <w:szCs w:val="20"/>
              </w:rPr>
              <w:t>④室内声源等效室外声源后声压级：</w:t>
            </w:r>
          </w:p>
          <w:p w14:paraId="4D6C247B">
            <w:pPr>
              <w:ind w:firstLine="480" w:firstLineChars="200"/>
              <w:jc w:val="center"/>
              <w:rPr>
                <w:rFonts w:hint="default" w:ascii="Times New Roman" w:hAnsi="Times New Roman" w:cs="Times New Roman"/>
                <w:color w:val="auto"/>
                <w:szCs w:val="20"/>
              </w:rPr>
            </w:pPr>
            <w:r>
              <w:rPr>
                <w:rFonts w:hint="default" w:ascii="Times New Roman" w:hAnsi="Times New Roman" w:cs="Times New Roman"/>
                <w:color w:val="auto"/>
                <w:szCs w:val="20"/>
              </w:rPr>
              <w:t>L</w:t>
            </w:r>
            <w:r>
              <w:rPr>
                <w:rFonts w:hint="default" w:ascii="Times New Roman" w:hAnsi="Times New Roman" w:cs="Times New Roman"/>
                <w:color w:val="auto"/>
                <w:szCs w:val="20"/>
                <w:vertAlign w:val="subscript"/>
              </w:rPr>
              <w:t>p2i</w:t>
            </w:r>
            <w:r>
              <w:rPr>
                <w:rFonts w:hint="default" w:ascii="Times New Roman" w:hAnsi="Times New Roman" w:cs="Times New Roman"/>
                <w:color w:val="auto"/>
                <w:szCs w:val="20"/>
              </w:rPr>
              <w:t>=L</w:t>
            </w:r>
            <w:r>
              <w:rPr>
                <w:rFonts w:hint="default" w:ascii="Times New Roman" w:hAnsi="Times New Roman" w:cs="Times New Roman"/>
                <w:color w:val="auto"/>
                <w:szCs w:val="20"/>
                <w:vertAlign w:val="subscript"/>
              </w:rPr>
              <w:t>p1i</w:t>
            </w:r>
            <w:r>
              <w:rPr>
                <w:rFonts w:hint="default" w:ascii="Times New Roman" w:hAnsi="Times New Roman" w:cs="Times New Roman"/>
                <w:color w:val="auto"/>
                <w:szCs w:val="20"/>
              </w:rPr>
              <w:t>-(TL</w:t>
            </w:r>
            <w:r>
              <w:rPr>
                <w:rFonts w:hint="default" w:ascii="Times New Roman" w:hAnsi="Times New Roman" w:cs="Times New Roman"/>
                <w:color w:val="auto"/>
                <w:szCs w:val="20"/>
                <w:vertAlign w:val="subscript"/>
              </w:rPr>
              <w:t>i</w:t>
            </w:r>
            <w:r>
              <w:rPr>
                <w:rFonts w:hint="default" w:ascii="Times New Roman" w:hAnsi="Times New Roman" w:cs="Times New Roman"/>
                <w:color w:val="auto"/>
                <w:szCs w:val="20"/>
              </w:rPr>
              <w:t>+6)</w:t>
            </w:r>
          </w:p>
          <w:p w14:paraId="05F284E5">
            <w:pPr>
              <w:ind w:firstLine="480" w:firstLineChars="200"/>
              <w:rPr>
                <w:rFonts w:hint="default" w:ascii="Times New Roman" w:hAnsi="Times New Roman" w:cs="Times New Roman"/>
                <w:color w:val="auto"/>
                <w:szCs w:val="20"/>
              </w:rPr>
            </w:pPr>
            <w:r>
              <w:rPr>
                <w:rFonts w:hint="default" w:ascii="Times New Roman" w:hAnsi="Times New Roman" w:cs="Times New Roman"/>
                <w:color w:val="auto"/>
                <w:szCs w:val="20"/>
              </w:rPr>
              <w:t>式中：L</w:t>
            </w:r>
            <w:r>
              <w:rPr>
                <w:rFonts w:hint="default" w:ascii="Times New Roman" w:hAnsi="Times New Roman" w:cs="Times New Roman"/>
                <w:color w:val="auto"/>
                <w:szCs w:val="20"/>
                <w:vertAlign w:val="subscript"/>
              </w:rPr>
              <w:t>p2i</w:t>
            </w:r>
            <w:r>
              <w:rPr>
                <w:rFonts w:hint="default" w:ascii="Times New Roman" w:hAnsi="Times New Roman" w:cs="Times New Roman"/>
                <w:color w:val="auto"/>
                <w:szCs w:val="20"/>
              </w:rPr>
              <w:t>—室外i倍频带的声压级，dB；</w:t>
            </w:r>
          </w:p>
          <w:p w14:paraId="3039C2A9">
            <w:pPr>
              <w:ind w:firstLine="1200" w:firstLineChars="500"/>
              <w:rPr>
                <w:rFonts w:hint="default" w:ascii="Times New Roman" w:hAnsi="Times New Roman" w:cs="Times New Roman"/>
                <w:color w:val="auto"/>
                <w:szCs w:val="20"/>
              </w:rPr>
            </w:pPr>
            <w:r>
              <w:rPr>
                <w:rFonts w:hint="default" w:ascii="Times New Roman" w:hAnsi="Times New Roman" w:cs="Times New Roman"/>
                <w:color w:val="auto"/>
                <w:szCs w:val="20"/>
              </w:rPr>
              <w:t>L</w:t>
            </w:r>
            <w:r>
              <w:rPr>
                <w:rFonts w:hint="default" w:ascii="Times New Roman" w:hAnsi="Times New Roman" w:cs="Times New Roman"/>
                <w:color w:val="auto"/>
                <w:szCs w:val="20"/>
                <w:vertAlign w:val="subscript"/>
              </w:rPr>
              <w:t>p1i</w:t>
            </w:r>
            <w:r>
              <w:rPr>
                <w:rFonts w:hint="default" w:ascii="Times New Roman" w:hAnsi="Times New Roman" w:cs="Times New Roman"/>
                <w:color w:val="auto"/>
                <w:szCs w:val="20"/>
              </w:rPr>
              <w:t>—室内i倍频带的声压级，dB；</w:t>
            </w:r>
          </w:p>
          <w:p w14:paraId="4DEBE3C0">
            <w:pPr>
              <w:ind w:firstLine="1200" w:firstLineChars="500"/>
              <w:rPr>
                <w:rFonts w:hint="default" w:ascii="Times New Roman" w:hAnsi="Times New Roman" w:cs="Times New Roman"/>
                <w:color w:val="auto"/>
                <w:szCs w:val="20"/>
              </w:rPr>
            </w:pPr>
            <w:r>
              <w:rPr>
                <w:rFonts w:hint="default" w:ascii="Times New Roman" w:hAnsi="Times New Roman" w:cs="Times New Roman"/>
                <w:color w:val="auto"/>
                <w:szCs w:val="20"/>
              </w:rPr>
              <w:t>TL</w:t>
            </w:r>
            <w:r>
              <w:rPr>
                <w:rFonts w:hint="default" w:ascii="Times New Roman" w:hAnsi="Times New Roman" w:cs="Times New Roman"/>
                <w:color w:val="auto"/>
                <w:szCs w:val="20"/>
                <w:vertAlign w:val="subscript"/>
              </w:rPr>
              <w:t>i</w:t>
            </w:r>
            <w:r>
              <w:rPr>
                <w:rFonts w:hint="default" w:ascii="Times New Roman" w:hAnsi="Times New Roman" w:cs="Times New Roman"/>
                <w:color w:val="auto"/>
                <w:szCs w:val="20"/>
              </w:rPr>
              <w:t>—围护结构i倍频带的隔声量，dB。</w:t>
            </w:r>
          </w:p>
          <w:p w14:paraId="3FC7E0E8">
            <w:pPr>
              <w:ind w:firstLine="480" w:firstLineChars="200"/>
              <w:rPr>
                <w:rFonts w:hint="default" w:ascii="Times New Roman" w:hAnsi="Times New Roman" w:cs="Times New Roman"/>
                <w:color w:val="auto"/>
              </w:rPr>
            </w:pPr>
            <w:r>
              <w:rPr>
                <w:rFonts w:hint="default" w:ascii="Times New Roman" w:hAnsi="Times New Roman" w:cs="Times New Roman"/>
                <w:color w:val="auto"/>
                <w:szCs w:val="20"/>
              </w:rPr>
              <w:t>⑤预测点的预测等效声级（</w:t>
            </w:r>
            <w:r>
              <w:rPr>
                <w:rFonts w:hint="default" w:ascii="Times New Roman" w:hAnsi="Times New Roman" w:cs="Times New Roman"/>
                <w:i/>
                <w:color w:val="auto"/>
                <w:szCs w:val="20"/>
              </w:rPr>
              <w:t>L</w:t>
            </w:r>
            <w:r>
              <w:rPr>
                <w:rFonts w:hint="default" w:ascii="Times New Roman" w:hAnsi="Times New Roman" w:cs="Times New Roman"/>
                <w:i/>
                <w:color w:val="auto"/>
                <w:szCs w:val="20"/>
                <w:vertAlign w:val="subscript"/>
              </w:rPr>
              <w:t>eq</w:t>
            </w:r>
            <w:r>
              <w:rPr>
                <w:rFonts w:hint="default" w:ascii="Times New Roman" w:hAnsi="Times New Roman" w:cs="Times New Roman"/>
                <w:color w:val="auto"/>
                <w:szCs w:val="20"/>
              </w:rPr>
              <w:t>）计算公式：</w:t>
            </w:r>
          </w:p>
          <w:p w14:paraId="002F6242">
            <w:pPr>
              <w:pStyle w:val="29"/>
              <w:spacing w:line="240" w:lineRule="auto"/>
              <w:rPr>
                <w:rFonts w:hint="default" w:ascii="Times New Roman" w:hAnsi="Times New Roman" w:eastAsia="宋体" w:cs="Times New Roman"/>
                <w:b/>
                <w:bCs w:val="0"/>
                <w:color w:val="auto"/>
                <w:sz w:val="24"/>
                <w:szCs w:val="40"/>
                <w:lang w:val="en-US" w:eastAsia="zh-CN"/>
              </w:rPr>
            </w:pPr>
            <w:r>
              <w:rPr>
                <w:rFonts w:hint="default" w:ascii="Times New Roman" w:hAnsi="Times New Roman" w:cs="Times New Roman"/>
                <w:color w:val="auto"/>
                <w:sz w:val="24"/>
                <w:lang w:val="en-US" w:eastAsia="zh-CN"/>
              </w:rPr>
              <w:drawing>
                <wp:inline distT="0" distB="0" distL="114300" distR="114300">
                  <wp:extent cx="1941830" cy="370840"/>
                  <wp:effectExtent l="0" t="0" r="0" b="11430"/>
                  <wp:docPr id="7" name="图片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42"/>
                          <pic:cNvPicPr>
                            <a:picLocks noChangeAspect="1"/>
                          </pic:cNvPicPr>
                        </pic:nvPicPr>
                        <pic:blipFill>
                          <a:blip r:embed="rId17">
                            <a:clrChange>
                              <a:clrFrom>
                                <a:srgbClr val="F9F9F9"/>
                              </a:clrFrom>
                              <a:clrTo>
                                <a:srgbClr val="F9F9F9">
                                  <a:alpha val="0"/>
                                </a:srgbClr>
                              </a:clrTo>
                            </a:clrChange>
                          </a:blip>
                          <a:stretch>
                            <a:fillRect/>
                          </a:stretch>
                        </pic:blipFill>
                        <pic:spPr>
                          <a:xfrm>
                            <a:off x="0" y="0"/>
                            <a:ext cx="1941830" cy="370840"/>
                          </a:xfrm>
                          <a:prstGeom prst="rect">
                            <a:avLst/>
                          </a:prstGeom>
                          <a:noFill/>
                          <a:ln>
                            <a:noFill/>
                          </a:ln>
                        </pic:spPr>
                      </pic:pic>
                    </a:graphicData>
                  </a:graphic>
                </wp:inline>
              </w:drawing>
            </w:r>
          </w:p>
          <w:p w14:paraId="4ECE71AC">
            <w:pPr>
              <w:ind w:firstLine="480" w:firstLineChars="200"/>
              <w:rPr>
                <w:rFonts w:hint="default" w:ascii="Times New Roman" w:hAnsi="Times New Roman" w:cs="Times New Roman"/>
                <w:color w:val="auto"/>
              </w:rPr>
            </w:pPr>
            <w:r>
              <w:rPr>
                <w:rFonts w:hint="default" w:ascii="Times New Roman" w:hAnsi="Times New Roman" w:cs="Times New Roman"/>
                <w:color w:val="auto"/>
              </w:rPr>
              <w:t>式中：Leqg—建设项目声源在预测点的等效声级预测值，dB(A)；</w:t>
            </w:r>
          </w:p>
          <w:p w14:paraId="127C1A28">
            <w:pPr>
              <w:ind w:firstLine="1200" w:firstLineChars="500"/>
              <w:rPr>
                <w:rFonts w:hint="default" w:ascii="Times New Roman" w:hAnsi="Times New Roman" w:cs="Times New Roman"/>
                <w:color w:val="auto"/>
              </w:rPr>
            </w:pPr>
            <w:r>
              <w:rPr>
                <w:rFonts w:hint="default" w:ascii="Times New Roman" w:hAnsi="Times New Roman" w:cs="Times New Roman"/>
                <w:color w:val="auto"/>
              </w:rPr>
              <w:t>Leqb—预测点的背景值，dB(A)。</w:t>
            </w:r>
          </w:p>
          <w:p w14:paraId="7CAE027F">
            <w:pPr>
              <w:ind w:firstLine="480" w:firstLineChars="200"/>
              <w:rPr>
                <w:rFonts w:hint="default" w:ascii="Times New Roman" w:hAnsi="Times New Roman" w:cs="Times New Roman"/>
                <w:color w:val="auto"/>
              </w:rPr>
            </w:pPr>
            <w:r>
              <w:rPr>
                <w:rFonts w:hint="default" w:ascii="Times New Roman" w:hAnsi="Times New Roman" w:cs="Times New Roman"/>
                <w:color w:val="auto"/>
              </w:rPr>
              <w:t>通过预测模型计算，项目厂界噪声预测结果与达标分析见</w:t>
            </w:r>
            <w:r>
              <w:rPr>
                <w:rFonts w:hint="default" w:ascii="Times New Roman" w:hAnsi="Times New Roman" w:cs="Times New Roman"/>
                <w:color w:val="auto"/>
                <w:lang w:val="en-US" w:eastAsia="zh-CN"/>
              </w:rPr>
              <w:t>下</w:t>
            </w:r>
            <w:r>
              <w:rPr>
                <w:rFonts w:hint="default" w:ascii="Times New Roman" w:hAnsi="Times New Roman" w:cs="Times New Roman"/>
                <w:color w:val="auto"/>
              </w:rPr>
              <w:t>表。</w:t>
            </w:r>
          </w:p>
          <w:p w14:paraId="081FF9C7">
            <w:pPr>
              <w:pStyle w:val="47"/>
              <w:bidi w:val="0"/>
              <w:rPr>
                <w:rFonts w:hint="default" w:ascii="Times New Roman" w:hAnsi="Times New Roman" w:eastAsia="宋体" w:cs="Times New Roman"/>
                <w:b/>
                <w:color w:val="auto"/>
                <w:szCs w:val="24"/>
                <w:lang w:val="en-US" w:eastAsia="zh-CN"/>
              </w:rPr>
            </w:pPr>
            <w:r>
              <w:rPr>
                <w:rFonts w:hint="default" w:ascii="Times New Roman" w:hAnsi="Times New Roman" w:cs="Times New Roman"/>
                <w:color w:val="auto"/>
                <w:lang w:val="en-US" w:eastAsia="zh-CN"/>
              </w:rPr>
              <w:t xml:space="preserve">表4-11 </w:t>
            </w:r>
            <w:r>
              <w:rPr>
                <w:rFonts w:hint="default" w:ascii="Times New Roman" w:hAnsi="Times New Roman" w:cs="Times New Roman"/>
                <w:color w:val="auto"/>
              </w:rPr>
              <w:t>厂界噪声预测结果与达标分析表</w:t>
            </w:r>
          </w:p>
          <w:tbl>
            <w:tblPr>
              <w:tblStyle w:val="33"/>
              <w:tblW w:w="797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10"/>
              <w:gridCol w:w="945"/>
              <w:gridCol w:w="1074"/>
              <w:gridCol w:w="663"/>
              <w:gridCol w:w="919"/>
              <w:gridCol w:w="1286"/>
              <w:gridCol w:w="1225"/>
              <w:gridCol w:w="1155"/>
            </w:tblGrid>
            <w:tr w14:paraId="66270DE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00" w:hRule="exact"/>
                <w:jc w:val="center"/>
              </w:trPr>
              <w:tc>
                <w:tcPr>
                  <w:tcW w:w="710" w:type="dxa"/>
                  <w:vMerge w:val="restart"/>
                  <w:tcBorders>
                    <w:tl2br w:val="nil"/>
                    <w:tr2bl w:val="nil"/>
                  </w:tcBorders>
                  <w:noWrap w:val="0"/>
                  <w:vAlign w:val="center"/>
                </w:tcPr>
                <w:p w14:paraId="4F21F8E7">
                  <w:pPr>
                    <w:pStyle w:val="44"/>
                    <w:bidi w:val="0"/>
                    <w:rPr>
                      <w:rFonts w:hint="default"/>
                      <w:b/>
                      <w:bCs/>
                      <w:color w:val="auto"/>
                    </w:rPr>
                  </w:pPr>
                  <w:r>
                    <w:rPr>
                      <w:rFonts w:hint="default"/>
                      <w:b/>
                      <w:bCs/>
                      <w:color w:val="auto"/>
                    </w:rPr>
                    <w:t>预测方位</w:t>
                  </w:r>
                </w:p>
              </w:tc>
              <w:tc>
                <w:tcPr>
                  <w:tcW w:w="2682" w:type="dxa"/>
                  <w:gridSpan w:val="3"/>
                  <w:tcBorders>
                    <w:tl2br w:val="nil"/>
                    <w:tr2bl w:val="nil"/>
                  </w:tcBorders>
                  <w:noWrap w:val="0"/>
                  <w:vAlign w:val="center"/>
                </w:tcPr>
                <w:p w14:paraId="1614404E">
                  <w:pPr>
                    <w:pStyle w:val="44"/>
                    <w:bidi w:val="0"/>
                    <w:rPr>
                      <w:rFonts w:hint="default"/>
                      <w:b/>
                      <w:bCs/>
                      <w:color w:val="auto"/>
                    </w:rPr>
                  </w:pPr>
                  <w:r>
                    <w:rPr>
                      <w:rFonts w:hint="default"/>
                      <w:b/>
                      <w:bCs/>
                      <w:color w:val="auto"/>
                      <w:lang w:val="en-US" w:eastAsia="zh-CN"/>
                    </w:rPr>
                    <w:t>最大值点</w:t>
                  </w:r>
                  <w:r>
                    <w:rPr>
                      <w:rFonts w:hint="default"/>
                      <w:b/>
                      <w:bCs/>
                      <w:color w:val="auto"/>
                    </w:rPr>
                    <w:t>空间相对位置/m</w:t>
                  </w:r>
                </w:p>
              </w:tc>
              <w:tc>
                <w:tcPr>
                  <w:tcW w:w="919" w:type="dxa"/>
                  <w:vMerge w:val="restart"/>
                  <w:tcBorders>
                    <w:tl2br w:val="nil"/>
                    <w:tr2bl w:val="nil"/>
                  </w:tcBorders>
                  <w:noWrap w:val="0"/>
                  <w:vAlign w:val="center"/>
                </w:tcPr>
                <w:p w14:paraId="409B4174">
                  <w:pPr>
                    <w:pStyle w:val="44"/>
                    <w:bidi w:val="0"/>
                    <w:rPr>
                      <w:rFonts w:hint="default"/>
                      <w:b/>
                      <w:bCs/>
                      <w:color w:val="auto"/>
                    </w:rPr>
                  </w:pPr>
                  <w:r>
                    <w:rPr>
                      <w:rFonts w:hint="default"/>
                      <w:b/>
                      <w:bCs/>
                      <w:color w:val="auto"/>
                    </w:rPr>
                    <w:t>时段</w:t>
                  </w:r>
                </w:p>
              </w:tc>
              <w:tc>
                <w:tcPr>
                  <w:tcW w:w="1286" w:type="dxa"/>
                  <w:vMerge w:val="restart"/>
                  <w:tcBorders>
                    <w:tl2br w:val="nil"/>
                    <w:tr2bl w:val="nil"/>
                  </w:tcBorders>
                  <w:noWrap w:val="0"/>
                  <w:vAlign w:val="center"/>
                </w:tcPr>
                <w:p w14:paraId="0733C2D0">
                  <w:pPr>
                    <w:pStyle w:val="44"/>
                    <w:bidi w:val="0"/>
                    <w:rPr>
                      <w:rFonts w:hint="default"/>
                      <w:b/>
                      <w:bCs/>
                      <w:color w:val="auto"/>
                      <w:lang w:eastAsia="zh-CN"/>
                    </w:rPr>
                  </w:pPr>
                  <w:r>
                    <w:rPr>
                      <w:rFonts w:hint="default"/>
                      <w:b/>
                      <w:bCs/>
                      <w:color w:val="auto"/>
                      <w:lang w:val="en-US" w:eastAsia="zh-CN"/>
                    </w:rPr>
                    <w:t>本项目</w:t>
                  </w:r>
                  <w:r>
                    <w:rPr>
                      <w:rFonts w:hint="default"/>
                      <w:b/>
                      <w:bCs/>
                      <w:color w:val="auto"/>
                    </w:rPr>
                    <w:t>贡献值dB</w:t>
                  </w:r>
                  <w:r>
                    <w:rPr>
                      <w:rFonts w:hint="default"/>
                      <w:b/>
                      <w:bCs/>
                      <w:color w:val="auto"/>
                      <w:lang w:eastAsia="zh-CN"/>
                    </w:rPr>
                    <w:t>（</w:t>
                  </w:r>
                  <w:r>
                    <w:rPr>
                      <w:rFonts w:hint="default"/>
                      <w:b/>
                      <w:bCs/>
                      <w:color w:val="auto"/>
                      <w:lang w:val="en-US" w:eastAsia="zh-CN"/>
                    </w:rPr>
                    <w:t>A</w:t>
                  </w:r>
                  <w:r>
                    <w:rPr>
                      <w:rFonts w:hint="default"/>
                      <w:b/>
                      <w:bCs/>
                      <w:color w:val="auto"/>
                      <w:lang w:eastAsia="zh-CN"/>
                    </w:rPr>
                    <w:t>）</w:t>
                  </w:r>
                </w:p>
              </w:tc>
              <w:tc>
                <w:tcPr>
                  <w:tcW w:w="1225" w:type="dxa"/>
                  <w:vMerge w:val="restart"/>
                  <w:tcBorders>
                    <w:tl2br w:val="nil"/>
                    <w:tr2bl w:val="nil"/>
                  </w:tcBorders>
                  <w:noWrap w:val="0"/>
                  <w:vAlign w:val="center"/>
                </w:tcPr>
                <w:p w14:paraId="4B00308C">
                  <w:pPr>
                    <w:pStyle w:val="44"/>
                    <w:bidi w:val="0"/>
                    <w:rPr>
                      <w:rFonts w:hint="default"/>
                      <w:b/>
                      <w:bCs/>
                      <w:color w:val="auto"/>
                    </w:rPr>
                  </w:pPr>
                  <w:r>
                    <w:rPr>
                      <w:rFonts w:hint="default"/>
                      <w:b/>
                      <w:bCs/>
                      <w:color w:val="auto"/>
                    </w:rPr>
                    <w:t>标准限值dB</w:t>
                  </w:r>
                  <w:r>
                    <w:rPr>
                      <w:rFonts w:hint="default"/>
                      <w:b/>
                      <w:bCs/>
                      <w:color w:val="auto"/>
                      <w:lang w:eastAsia="zh-CN"/>
                    </w:rPr>
                    <w:t>（</w:t>
                  </w:r>
                  <w:r>
                    <w:rPr>
                      <w:rFonts w:hint="default"/>
                      <w:b/>
                      <w:bCs/>
                      <w:color w:val="auto"/>
                      <w:lang w:val="en-US" w:eastAsia="zh-CN"/>
                    </w:rPr>
                    <w:t>A</w:t>
                  </w:r>
                  <w:r>
                    <w:rPr>
                      <w:rFonts w:hint="default"/>
                      <w:b/>
                      <w:bCs/>
                      <w:color w:val="auto"/>
                      <w:lang w:eastAsia="zh-CN"/>
                    </w:rPr>
                    <w:t>）</w:t>
                  </w:r>
                </w:p>
              </w:tc>
              <w:tc>
                <w:tcPr>
                  <w:tcW w:w="1155" w:type="dxa"/>
                  <w:vMerge w:val="restart"/>
                  <w:tcBorders>
                    <w:tl2br w:val="nil"/>
                    <w:tr2bl w:val="nil"/>
                  </w:tcBorders>
                  <w:noWrap w:val="0"/>
                  <w:vAlign w:val="center"/>
                </w:tcPr>
                <w:p w14:paraId="0E8F982C">
                  <w:pPr>
                    <w:pStyle w:val="44"/>
                    <w:bidi w:val="0"/>
                    <w:rPr>
                      <w:rFonts w:hint="default"/>
                      <w:b/>
                      <w:bCs/>
                      <w:color w:val="auto"/>
                    </w:rPr>
                  </w:pPr>
                  <w:r>
                    <w:rPr>
                      <w:rFonts w:hint="default"/>
                      <w:b/>
                      <w:bCs/>
                      <w:color w:val="auto"/>
                    </w:rPr>
                    <w:t>达标情况</w:t>
                  </w:r>
                </w:p>
              </w:tc>
            </w:tr>
            <w:tr w14:paraId="730B887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710" w:type="dxa"/>
                  <w:vMerge w:val="continue"/>
                  <w:tcBorders>
                    <w:tl2br w:val="nil"/>
                    <w:tr2bl w:val="nil"/>
                  </w:tcBorders>
                  <w:shd w:val="clear" w:color="auto" w:fill="FFFFFF"/>
                  <w:noWrap w:val="0"/>
                  <w:vAlign w:val="center"/>
                </w:tcPr>
                <w:p w14:paraId="62FC75A9">
                  <w:pPr>
                    <w:pStyle w:val="44"/>
                    <w:bidi w:val="0"/>
                    <w:rPr>
                      <w:rFonts w:hint="default"/>
                      <w:color w:val="auto"/>
                    </w:rPr>
                  </w:pPr>
                </w:p>
              </w:tc>
              <w:tc>
                <w:tcPr>
                  <w:tcW w:w="945" w:type="dxa"/>
                  <w:tcBorders>
                    <w:tl2br w:val="nil"/>
                    <w:tr2bl w:val="nil"/>
                  </w:tcBorders>
                  <w:shd w:val="clear" w:color="auto" w:fill="FFFFFF"/>
                  <w:noWrap w:val="0"/>
                  <w:vAlign w:val="center"/>
                </w:tcPr>
                <w:p w14:paraId="1ACAF7ED">
                  <w:pPr>
                    <w:pStyle w:val="44"/>
                    <w:bidi w:val="0"/>
                    <w:rPr>
                      <w:rFonts w:hint="default"/>
                      <w:color w:val="auto"/>
                    </w:rPr>
                  </w:pPr>
                  <w:r>
                    <w:rPr>
                      <w:rFonts w:hint="default"/>
                      <w:color w:val="auto"/>
                    </w:rPr>
                    <w:t>X</w:t>
                  </w:r>
                </w:p>
              </w:tc>
              <w:tc>
                <w:tcPr>
                  <w:tcW w:w="1074" w:type="dxa"/>
                  <w:tcBorders>
                    <w:tl2br w:val="nil"/>
                    <w:tr2bl w:val="nil"/>
                  </w:tcBorders>
                  <w:shd w:val="clear" w:color="auto" w:fill="FFFFFF"/>
                  <w:noWrap w:val="0"/>
                  <w:vAlign w:val="center"/>
                </w:tcPr>
                <w:p w14:paraId="7102E564">
                  <w:pPr>
                    <w:pStyle w:val="44"/>
                    <w:bidi w:val="0"/>
                    <w:rPr>
                      <w:rFonts w:hint="default"/>
                      <w:color w:val="auto"/>
                    </w:rPr>
                  </w:pPr>
                  <w:r>
                    <w:rPr>
                      <w:rFonts w:hint="default"/>
                      <w:color w:val="auto"/>
                    </w:rPr>
                    <w:t>Y</w:t>
                  </w:r>
                </w:p>
              </w:tc>
              <w:tc>
                <w:tcPr>
                  <w:tcW w:w="663" w:type="dxa"/>
                  <w:tcBorders>
                    <w:tl2br w:val="nil"/>
                    <w:tr2bl w:val="nil"/>
                  </w:tcBorders>
                  <w:shd w:val="clear" w:color="auto" w:fill="FFFFFF"/>
                  <w:noWrap w:val="0"/>
                  <w:vAlign w:val="center"/>
                </w:tcPr>
                <w:p w14:paraId="39319A0F">
                  <w:pPr>
                    <w:pStyle w:val="44"/>
                    <w:bidi w:val="0"/>
                    <w:rPr>
                      <w:rFonts w:hint="default"/>
                      <w:color w:val="auto"/>
                    </w:rPr>
                  </w:pPr>
                  <w:r>
                    <w:rPr>
                      <w:rFonts w:hint="default"/>
                      <w:color w:val="auto"/>
                    </w:rPr>
                    <w:t>Z</w:t>
                  </w:r>
                </w:p>
              </w:tc>
              <w:tc>
                <w:tcPr>
                  <w:tcW w:w="919" w:type="dxa"/>
                  <w:vMerge w:val="continue"/>
                  <w:tcBorders>
                    <w:tl2br w:val="nil"/>
                    <w:tr2bl w:val="nil"/>
                  </w:tcBorders>
                  <w:shd w:val="clear" w:color="auto" w:fill="FFFFFF"/>
                  <w:noWrap w:val="0"/>
                  <w:vAlign w:val="center"/>
                </w:tcPr>
                <w:p w14:paraId="66456F89">
                  <w:pPr>
                    <w:pStyle w:val="44"/>
                    <w:bidi w:val="0"/>
                    <w:rPr>
                      <w:rFonts w:hint="default"/>
                      <w:color w:val="auto"/>
                    </w:rPr>
                  </w:pPr>
                </w:p>
              </w:tc>
              <w:tc>
                <w:tcPr>
                  <w:tcW w:w="1286" w:type="dxa"/>
                  <w:vMerge w:val="continue"/>
                  <w:tcBorders>
                    <w:tl2br w:val="nil"/>
                    <w:tr2bl w:val="nil"/>
                  </w:tcBorders>
                  <w:shd w:val="clear" w:color="auto" w:fill="FFFFFF"/>
                  <w:noWrap w:val="0"/>
                  <w:vAlign w:val="center"/>
                </w:tcPr>
                <w:p w14:paraId="44F6BC73">
                  <w:pPr>
                    <w:pStyle w:val="44"/>
                    <w:bidi w:val="0"/>
                    <w:rPr>
                      <w:rFonts w:hint="default"/>
                      <w:color w:val="auto"/>
                    </w:rPr>
                  </w:pPr>
                </w:p>
              </w:tc>
              <w:tc>
                <w:tcPr>
                  <w:tcW w:w="1225" w:type="dxa"/>
                  <w:vMerge w:val="continue"/>
                  <w:tcBorders>
                    <w:tl2br w:val="nil"/>
                    <w:tr2bl w:val="nil"/>
                  </w:tcBorders>
                  <w:shd w:val="clear" w:color="auto" w:fill="FFFFFF"/>
                  <w:noWrap w:val="0"/>
                  <w:vAlign w:val="center"/>
                </w:tcPr>
                <w:p w14:paraId="0BBEDA0E">
                  <w:pPr>
                    <w:pStyle w:val="44"/>
                    <w:bidi w:val="0"/>
                    <w:rPr>
                      <w:rFonts w:hint="default"/>
                      <w:color w:val="auto"/>
                    </w:rPr>
                  </w:pPr>
                </w:p>
              </w:tc>
              <w:tc>
                <w:tcPr>
                  <w:tcW w:w="1155" w:type="dxa"/>
                  <w:vMerge w:val="continue"/>
                  <w:tcBorders>
                    <w:tl2br w:val="nil"/>
                    <w:tr2bl w:val="nil"/>
                  </w:tcBorders>
                  <w:shd w:val="clear" w:color="auto" w:fill="FFFFFF"/>
                  <w:noWrap w:val="0"/>
                  <w:vAlign w:val="center"/>
                </w:tcPr>
                <w:p w14:paraId="09A1AF71">
                  <w:pPr>
                    <w:pStyle w:val="44"/>
                    <w:bidi w:val="0"/>
                    <w:rPr>
                      <w:rFonts w:hint="default"/>
                      <w:color w:val="auto"/>
                    </w:rPr>
                  </w:pPr>
                </w:p>
              </w:tc>
            </w:tr>
            <w:tr w14:paraId="3578091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3" w:hRule="exact"/>
                <w:jc w:val="center"/>
              </w:trPr>
              <w:tc>
                <w:tcPr>
                  <w:tcW w:w="710" w:type="dxa"/>
                  <w:tcBorders>
                    <w:tl2br w:val="nil"/>
                    <w:tr2bl w:val="nil"/>
                  </w:tcBorders>
                  <w:shd w:val="clear" w:color="auto" w:fill="FFFFFF"/>
                  <w:noWrap w:val="0"/>
                  <w:vAlign w:val="center"/>
                </w:tcPr>
                <w:p w14:paraId="40F3C82F">
                  <w:pPr>
                    <w:pStyle w:val="44"/>
                    <w:bidi w:val="0"/>
                    <w:rPr>
                      <w:rFonts w:hint="default"/>
                      <w:color w:val="auto"/>
                    </w:rPr>
                  </w:pPr>
                  <w:r>
                    <w:rPr>
                      <w:rFonts w:hint="default"/>
                      <w:color w:val="auto"/>
                    </w:rPr>
                    <w:t>东侧</w:t>
                  </w:r>
                </w:p>
              </w:tc>
              <w:tc>
                <w:tcPr>
                  <w:tcW w:w="945" w:type="dxa"/>
                  <w:tcBorders>
                    <w:tl2br w:val="nil"/>
                    <w:tr2bl w:val="nil"/>
                  </w:tcBorders>
                  <w:shd w:val="clear" w:color="auto" w:fill="FFFFFF"/>
                  <w:noWrap w:val="0"/>
                  <w:vAlign w:val="center"/>
                </w:tcPr>
                <w:p w14:paraId="7763F49A">
                  <w:pPr>
                    <w:pStyle w:val="44"/>
                    <w:bidi w:val="0"/>
                    <w:rPr>
                      <w:rFonts w:hint="default"/>
                      <w:color w:val="auto"/>
                    </w:rPr>
                  </w:pPr>
                  <w:r>
                    <w:rPr>
                      <w:color w:val="auto"/>
                    </w:rPr>
                    <w:t>40.5</w:t>
                  </w:r>
                </w:p>
              </w:tc>
              <w:tc>
                <w:tcPr>
                  <w:tcW w:w="1074" w:type="dxa"/>
                  <w:tcBorders>
                    <w:tl2br w:val="nil"/>
                    <w:tr2bl w:val="nil"/>
                  </w:tcBorders>
                  <w:shd w:val="clear" w:color="auto" w:fill="FFFFFF"/>
                  <w:noWrap w:val="0"/>
                  <w:vAlign w:val="center"/>
                </w:tcPr>
                <w:p w14:paraId="452E8B9B">
                  <w:pPr>
                    <w:pStyle w:val="44"/>
                    <w:bidi w:val="0"/>
                    <w:rPr>
                      <w:rFonts w:hint="default"/>
                      <w:color w:val="auto"/>
                    </w:rPr>
                  </w:pPr>
                  <w:r>
                    <w:rPr>
                      <w:color w:val="auto"/>
                    </w:rPr>
                    <w:t>1.2</w:t>
                  </w:r>
                </w:p>
              </w:tc>
              <w:tc>
                <w:tcPr>
                  <w:tcW w:w="663" w:type="dxa"/>
                  <w:tcBorders>
                    <w:tl2br w:val="nil"/>
                    <w:tr2bl w:val="nil"/>
                  </w:tcBorders>
                  <w:shd w:val="clear" w:color="auto" w:fill="FFFFFF"/>
                  <w:noWrap w:val="0"/>
                  <w:vAlign w:val="center"/>
                </w:tcPr>
                <w:p w14:paraId="2C973341">
                  <w:pPr>
                    <w:pStyle w:val="44"/>
                    <w:bidi w:val="0"/>
                    <w:rPr>
                      <w:rFonts w:hint="default"/>
                      <w:color w:val="auto"/>
                    </w:rPr>
                  </w:pPr>
                  <w:r>
                    <w:rPr>
                      <w:color w:val="auto"/>
                    </w:rPr>
                    <w:t>1.2</w:t>
                  </w:r>
                </w:p>
              </w:tc>
              <w:tc>
                <w:tcPr>
                  <w:tcW w:w="919" w:type="dxa"/>
                  <w:tcBorders>
                    <w:tl2br w:val="nil"/>
                    <w:tr2bl w:val="nil"/>
                  </w:tcBorders>
                  <w:shd w:val="clear" w:color="auto" w:fill="FFFFFF"/>
                  <w:noWrap w:val="0"/>
                  <w:vAlign w:val="center"/>
                </w:tcPr>
                <w:p w14:paraId="668A4498">
                  <w:pPr>
                    <w:pStyle w:val="44"/>
                    <w:bidi w:val="0"/>
                    <w:rPr>
                      <w:rFonts w:hint="default"/>
                      <w:color w:val="auto"/>
                    </w:rPr>
                  </w:pPr>
                  <w:r>
                    <w:rPr>
                      <w:rFonts w:hint="default"/>
                      <w:color w:val="auto"/>
                    </w:rPr>
                    <w:t>昼间</w:t>
                  </w:r>
                </w:p>
              </w:tc>
              <w:tc>
                <w:tcPr>
                  <w:tcW w:w="1286" w:type="dxa"/>
                  <w:tcBorders>
                    <w:tl2br w:val="nil"/>
                    <w:tr2bl w:val="nil"/>
                  </w:tcBorders>
                  <w:shd w:val="clear" w:color="auto" w:fill="FFFFFF"/>
                  <w:noWrap w:val="0"/>
                  <w:vAlign w:val="center"/>
                </w:tcPr>
                <w:p w14:paraId="465F07CC">
                  <w:pPr>
                    <w:pStyle w:val="44"/>
                    <w:bidi w:val="0"/>
                    <w:rPr>
                      <w:rFonts w:hint="default"/>
                      <w:color w:val="auto"/>
                      <w:lang w:val="en-US" w:eastAsia="zh-CN"/>
                    </w:rPr>
                  </w:pPr>
                  <w:r>
                    <w:rPr>
                      <w:rFonts w:hint="default"/>
                      <w:color w:val="auto"/>
                      <w:lang w:val="en-US" w:eastAsia="zh-CN"/>
                    </w:rPr>
                    <w:t>31.6</w:t>
                  </w:r>
                </w:p>
              </w:tc>
              <w:tc>
                <w:tcPr>
                  <w:tcW w:w="1225" w:type="dxa"/>
                  <w:tcBorders>
                    <w:tl2br w:val="nil"/>
                    <w:tr2bl w:val="nil"/>
                  </w:tcBorders>
                  <w:shd w:val="clear" w:color="auto" w:fill="FFFFFF"/>
                  <w:noWrap w:val="0"/>
                  <w:vAlign w:val="center"/>
                </w:tcPr>
                <w:p w14:paraId="36A1FDB1">
                  <w:pPr>
                    <w:pStyle w:val="44"/>
                    <w:bidi w:val="0"/>
                    <w:rPr>
                      <w:rFonts w:hint="default"/>
                      <w:color w:val="auto"/>
                      <w:lang w:eastAsia="zh-CN"/>
                    </w:rPr>
                  </w:pPr>
                  <w:r>
                    <w:rPr>
                      <w:color w:val="auto"/>
                    </w:rPr>
                    <w:t>65</w:t>
                  </w:r>
                </w:p>
              </w:tc>
              <w:tc>
                <w:tcPr>
                  <w:tcW w:w="1155" w:type="dxa"/>
                  <w:tcBorders>
                    <w:tl2br w:val="nil"/>
                    <w:tr2bl w:val="nil"/>
                  </w:tcBorders>
                  <w:shd w:val="clear" w:color="auto" w:fill="FFFFFF"/>
                  <w:noWrap w:val="0"/>
                  <w:vAlign w:val="center"/>
                </w:tcPr>
                <w:p w14:paraId="4F942489">
                  <w:pPr>
                    <w:pStyle w:val="44"/>
                    <w:bidi w:val="0"/>
                    <w:rPr>
                      <w:rFonts w:hint="default"/>
                      <w:color w:val="auto"/>
                    </w:rPr>
                  </w:pPr>
                  <w:r>
                    <w:rPr>
                      <w:rFonts w:hint="default"/>
                      <w:color w:val="auto"/>
                    </w:rPr>
                    <w:t>达标</w:t>
                  </w:r>
                </w:p>
              </w:tc>
            </w:tr>
            <w:tr w14:paraId="75B0012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3" w:hRule="exact"/>
                <w:jc w:val="center"/>
              </w:trPr>
              <w:tc>
                <w:tcPr>
                  <w:tcW w:w="710" w:type="dxa"/>
                  <w:tcBorders>
                    <w:tl2br w:val="nil"/>
                    <w:tr2bl w:val="nil"/>
                  </w:tcBorders>
                  <w:shd w:val="clear" w:color="auto" w:fill="FFFFFF"/>
                  <w:noWrap w:val="0"/>
                  <w:vAlign w:val="center"/>
                </w:tcPr>
                <w:p w14:paraId="17192C65">
                  <w:pPr>
                    <w:pStyle w:val="44"/>
                    <w:bidi w:val="0"/>
                    <w:rPr>
                      <w:rFonts w:hint="default"/>
                      <w:color w:val="auto"/>
                    </w:rPr>
                  </w:pPr>
                  <w:r>
                    <w:rPr>
                      <w:rFonts w:hint="default"/>
                      <w:color w:val="auto"/>
                    </w:rPr>
                    <w:t>南侧</w:t>
                  </w:r>
                </w:p>
              </w:tc>
              <w:tc>
                <w:tcPr>
                  <w:tcW w:w="945" w:type="dxa"/>
                  <w:tcBorders>
                    <w:tl2br w:val="nil"/>
                    <w:tr2bl w:val="nil"/>
                  </w:tcBorders>
                  <w:shd w:val="clear" w:color="auto" w:fill="FFFFFF"/>
                  <w:noWrap w:val="0"/>
                  <w:vAlign w:val="center"/>
                </w:tcPr>
                <w:p w14:paraId="43D6F23C">
                  <w:pPr>
                    <w:pStyle w:val="44"/>
                    <w:bidi w:val="0"/>
                    <w:rPr>
                      <w:rFonts w:hint="default"/>
                      <w:color w:val="auto"/>
                    </w:rPr>
                  </w:pPr>
                  <w:r>
                    <w:rPr>
                      <w:color w:val="auto"/>
                    </w:rPr>
                    <w:t>-26.7</w:t>
                  </w:r>
                </w:p>
              </w:tc>
              <w:tc>
                <w:tcPr>
                  <w:tcW w:w="1074" w:type="dxa"/>
                  <w:tcBorders>
                    <w:tl2br w:val="nil"/>
                    <w:tr2bl w:val="nil"/>
                  </w:tcBorders>
                  <w:shd w:val="clear" w:color="auto" w:fill="FFFFFF"/>
                  <w:noWrap w:val="0"/>
                  <w:vAlign w:val="center"/>
                </w:tcPr>
                <w:p w14:paraId="4C26DDB0">
                  <w:pPr>
                    <w:pStyle w:val="44"/>
                    <w:bidi w:val="0"/>
                    <w:rPr>
                      <w:rFonts w:hint="default"/>
                      <w:color w:val="auto"/>
                    </w:rPr>
                  </w:pPr>
                  <w:r>
                    <w:rPr>
                      <w:color w:val="auto"/>
                    </w:rPr>
                    <w:t>1.2</w:t>
                  </w:r>
                </w:p>
              </w:tc>
              <w:tc>
                <w:tcPr>
                  <w:tcW w:w="663" w:type="dxa"/>
                  <w:tcBorders>
                    <w:tl2br w:val="nil"/>
                    <w:tr2bl w:val="nil"/>
                  </w:tcBorders>
                  <w:shd w:val="clear" w:color="auto" w:fill="FFFFFF"/>
                  <w:noWrap w:val="0"/>
                  <w:vAlign w:val="center"/>
                </w:tcPr>
                <w:p w14:paraId="1A34D145">
                  <w:pPr>
                    <w:pStyle w:val="44"/>
                    <w:bidi w:val="0"/>
                    <w:rPr>
                      <w:rFonts w:hint="default"/>
                      <w:color w:val="auto"/>
                    </w:rPr>
                  </w:pPr>
                  <w:r>
                    <w:rPr>
                      <w:color w:val="auto"/>
                    </w:rPr>
                    <w:t>1.2</w:t>
                  </w:r>
                </w:p>
              </w:tc>
              <w:tc>
                <w:tcPr>
                  <w:tcW w:w="919" w:type="dxa"/>
                  <w:tcBorders>
                    <w:tl2br w:val="nil"/>
                    <w:tr2bl w:val="nil"/>
                  </w:tcBorders>
                  <w:shd w:val="clear" w:color="auto" w:fill="FFFFFF"/>
                  <w:noWrap w:val="0"/>
                  <w:vAlign w:val="center"/>
                </w:tcPr>
                <w:p w14:paraId="7842F195">
                  <w:pPr>
                    <w:pStyle w:val="44"/>
                    <w:bidi w:val="0"/>
                    <w:rPr>
                      <w:rFonts w:hint="default"/>
                      <w:color w:val="auto"/>
                    </w:rPr>
                  </w:pPr>
                  <w:r>
                    <w:rPr>
                      <w:rFonts w:hint="default"/>
                      <w:color w:val="auto"/>
                    </w:rPr>
                    <w:t>昼间</w:t>
                  </w:r>
                </w:p>
              </w:tc>
              <w:tc>
                <w:tcPr>
                  <w:tcW w:w="1286" w:type="dxa"/>
                  <w:tcBorders>
                    <w:tl2br w:val="nil"/>
                    <w:tr2bl w:val="nil"/>
                  </w:tcBorders>
                  <w:shd w:val="clear" w:color="auto" w:fill="FFFFFF"/>
                  <w:noWrap w:val="0"/>
                  <w:vAlign w:val="center"/>
                </w:tcPr>
                <w:p w14:paraId="6C4773B1">
                  <w:pPr>
                    <w:pStyle w:val="44"/>
                    <w:bidi w:val="0"/>
                    <w:rPr>
                      <w:rFonts w:hint="default"/>
                      <w:color w:val="auto"/>
                      <w:lang w:val="en-US" w:eastAsia="zh-CN"/>
                    </w:rPr>
                  </w:pPr>
                  <w:r>
                    <w:rPr>
                      <w:rFonts w:hint="eastAsia"/>
                      <w:color w:val="auto"/>
                      <w:lang w:val="en-US" w:eastAsia="zh-CN"/>
                    </w:rPr>
                    <w:t>55</w:t>
                  </w:r>
                </w:p>
              </w:tc>
              <w:tc>
                <w:tcPr>
                  <w:tcW w:w="1225" w:type="dxa"/>
                  <w:tcBorders>
                    <w:tl2br w:val="nil"/>
                    <w:tr2bl w:val="nil"/>
                  </w:tcBorders>
                  <w:shd w:val="clear" w:color="auto" w:fill="FFFFFF"/>
                  <w:noWrap w:val="0"/>
                  <w:vAlign w:val="center"/>
                </w:tcPr>
                <w:p w14:paraId="627A7A57">
                  <w:pPr>
                    <w:pStyle w:val="44"/>
                    <w:bidi w:val="0"/>
                    <w:rPr>
                      <w:rFonts w:hint="default"/>
                      <w:color w:val="auto"/>
                      <w:lang w:eastAsia="zh-CN"/>
                    </w:rPr>
                  </w:pPr>
                  <w:r>
                    <w:rPr>
                      <w:color w:val="auto"/>
                    </w:rPr>
                    <w:t>65</w:t>
                  </w:r>
                </w:p>
              </w:tc>
              <w:tc>
                <w:tcPr>
                  <w:tcW w:w="1155" w:type="dxa"/>
                  <w:tcBorders>
                    <w:tl2br w:val="nil"/>
                    <w:tr2bl w:val="nil"/>
                  </w:tcBorders>
                  <w:shd w:val="clear" w:color="auto" w:fill="FFFFFF"/>
                  <w:noWrap w:val="0"/>
                  <w:vAlign w:val="center"/>
                </w:tcPr>
                <w:p w14:paraId="34FDA895">
                  <w:pPr>
                    <w:pStyle w:val="44"/>
                    <w:bidi w:val="0"/>
                    <w:rPr>
                      <w:rFonts w:hint="default"/>
                      <w:color w:val="auto"/>
                    </w:rPr>
                  </w:pPr>
                  <w:r>
                    <w:rPr>
                      <w:rFonts w:hint="default"/>
                      <w:color w:val="auto"/>
                    </w:rPr>
                    <w:t>达标</w:t>
                  </w:r>
                </w:p>
              </w:tc>
            </w:tr>
            <w:tr w14:paraId="6ABB4F4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3" w:hRule="exact"/>
                <w:jc w:val="center"/>
              </w:trPr>
              <w:tc>
                <w:tcPr>
                  <w:tcW w:w="710" w:type="dxa"/>
                  <w:tcBorders>
                    <w:tl2br w:val="nil"/>
                    <w:tr2bl w:val="nil"/>
                  </w:tcBorders>
                  <w:shd w:val="clear" w:color="auto" w:fill="FFFFFF"/>
                  <w:noWrap w:val="0"/>
                  <w:vAlign w:val="center"/>
                </w:tcPr>
                <w:p w14:paraId="15119058">
                  <w:pPr>
                    <w:pStyle w:val="44"/>
                    <w:bidi w:val="0"/>
                    <w:rPr>
                      <w:rFonts w:hint="default"/>
                      <w:color w:val="auto"/>
                    </w:rPr>
                  </w:pPr>
                  <w:r>
                    <w:rPr>
                      <w:rFonts w:hint="default"/>
                      <w:color w:val="auto"/>
                    </w:rPr>
                    <w:t>西侧</w:t>
                  </w:r>
                </w:p>
              </w:tc>
              <w:tc>
                <w:tcPr>
                  <w:tcW w:w="945" w:type="dxa"/>
                  <w:tcBorders>
                    <w:tl2br w:val="nil"/>
                    <w:tr2bl w:val="nil"/>
                  </w:tcBorders>
                  <w:shd w:val="clear" w:color="auto" w:fill="FFFFFF"/>
                  <w:noWrap w:val="0"/>
                  <w:vAlign w:val="center"/>
                </w:tcPr>
                <w:p w14:paraId="72B66D42">
                  <w:pPr>
                    <w:pStyle w:val="44"/>
                    <w:bidi w:val="0"/>
                    <w:rPr>
                      <w:rFonts w:hint="default"/>
                      <w:color w:val="auto"/>
                    </w:rPr>
                  </w:pPr>
                  <w:r>
                    <w:rPr>
                      <w:color w:val="auto"/>
                    </w:rPr>
                    <w:t>-8.4</w:t>
                  </w:r>
                </w:p>
              </w:tc>
              <w:tc>
                <w:tcPr>
                  <w:tcW w:w="1074" w:type="dxa"/>
                  <w:tcBorders>
                    <w:tl2br w:val="nil"/>
                    <w:tr2bl w:val="nil"/>
                  </w:tcBorders>
                  <w:shd w:val="clear" w:color="auto" w:fill="FFFFFF"/>
                  <w:noWrap w:val="0"/>
                  <w:vAlign w:val="center"/>
                </w:tcPr>
                <w:p w14:paraId="04C45627">
                  <w:pPr>
                    <w:pStyle w:val="44"/>
                    <w:bidi w:val="0"/>
                    <w:rPr>
                      <w:rFonts w:hint="default"/>
                      <w:color w:val="auto"/>
                    </w:rPr>
                  </w:pPr>
                  <w:r>
                    <w:rPr>
                      <w:color w:val="auto"/>
                    </w:rPr>
                    <w:t>1.2</w:t>
                  </w:r>
                </w:p>
              </w:tc>
              <w:tc>
                <w:tcPr>
                  <w:tcW w:w="663" w:type="dxa"/>
                  <w:tcBorders>
                    <w:tl2br w:val="nil"/>
                    <w:tr2bl w:val="nil"/>
                  </w:tcBorders>
                  <w:shd w:val="clear" w:color="auto" w:fill="FFFFFF"/>
                  <w:noWrap w:val="0"/>
                  <w:vAlign w:val="center"/>
                </w:tcPr>
                <w:p w14:paraId="613BE972">
                  <w:pPr>
                    <w:pStyle w:val="44"/>
                    <w:bidi w:val="0"/>
                    <w:rPr>
                      <w:rFonts w:hint="default"/>
                      <w:color w:val="auto"/>
                    </w:rPr>
                  </w:pPr>
                  <w:r>
                    <w:rPr>
                      <w:rFonts w:hint="default"/>
                      <w:color w:val="auto"/>
                    </w:rPr>
                    <w:t>1.2</w:t>
                  </w:r>
                </w:p>
              </w:tc>
              <w:tc>
                <w:tcPr>
                  <w:tcW w:w="919" w:type="dxa"/>
                  <w:tcBorders>
                    <w:tl2br w:val="nil"/>
                    <w:tr2bl w:val="nil"/>
                  </w:tcBorders>
                  <w:shd w:val="clear" w:color="auto" w:fill="FFFFFF"/>
                  <w:noWrap w:val="0"/>
                  <w:vAlign w:val="center"/>
                </w:tcPr>
                <w:p w14:paraId="6B1BB9BD">
                  <w:pPr>
                    <w:pStyle w:val="44"/>
                    <w:bidi w:val="0"/>
                    <w:rPr>
                      <w:rFonts w:hint="default"/>
                      <w:color w:val="auto"/>
                    </w:rPr>
                  </w:pPr>
                  <w:r>
                    <w:rPr>
                      <w:rFonts w:hint="default"/>
                      <w:color w:val="auto"/>
                    </w:rPr>
                    <w:t>昼间</w:t>
                  </w:r>
                </w:p>
              </w:tc>
              <w:tc>
                <w:tcPr>
                  <w:tcW w:w="1286" w:type="dxa"/>
                  <w:tcBorders>
                    <w:tl2br w:val="nil"/>
                    <w:tr2bl w:val="nil"/>
                  </w:tcBorders>
                  <w:shd w:val="clear" w:color="auto" w:fill="FFFFFF"/>
                  <w:noWrap w:val="0"/>
                  <w:vAlign w:val="center"/>
                </w:tcPr>
                <w:p w14:paraId="2DAE3670">
                  <w:pPr>
                    <w:pStyle w:val="44"/>
                    <w:bidi w:val="0"/>
                    <w:rPr>
                      <w:rFonts w:hint="default"/>
                      <w:color w:val="auto"/>
                      <w:lang w:val="en-US" w:eastAsia="zh-CN"/>
                    </w:rPr>
                  </w:pPr>
                  <w:r>
                    <w:rPr>
                      <w:rFonts w:hint="eastAsia"/>
                      <w:color w:val="auto"/>
                      <w:lang w:val="en-US" w:eastAsia="zh-CN"/>
                    </w:rPr>
                    <w:t>52.7</w:t>
                  </w:r>
                </w:p>
              </w:tc>
              <w:tc>
                <w:tcPr>
                  <w:tcW w:w="1225" w:type="dxa"/>
                  <w:tcBorders>
                    <w:tl2br w:val="nil"/>
                    <w:tr2bl w:val="nil"/>
                  </w:tcBorders>
                  <w:shd w:val="clear" w:color="auto" w:fill="FFFFFF"/>
                  <w:noWrap w:val="0"/>
                  <w:vAlign w:val="center"/>
                </w:tcPr>
                <w:p w14:paraId="334661A3">
                  <w:pPr>
                    <w:pStyle w:val="44"/>
                    <w:bidi w:val="0"/>
                    <w:rPr>
                      <w:rFonts w:hint="default"/>
                      <w:color w:val="auto"/>
                      <w:lang w:eastAsia="zh-CN"/>
                    </w:rPr>
                  </w:pPr>
                  <w:r>
                    <w:rPr>
                      <w:color w:val="auto"/>
                    </w:rPr>
                    <w:t>65</w:t>
                  </w:r>
                </w:p>
              </w:tc>
              <w:tc>
                <w:tcPr>
                  <w:tcW w:w="1155" w:type="dxa"/>
                  <w:tcBorders>
                    <w:tl2br w:val="nil"/>
                    <w:tr2bl w:val="nil"/>
                  </w:tcBorders>
                  <w:shd w:val="clear" w:color="auto" w:fill="FFFFFF"/>
                  <w:noWrap w:val="0"/>
                  <w:vAlign w:val="center"/>
                </w:tcPr>
                <w:p w14:paraId="774518D9">
                  <w:pPr>
                    <w:pStyle w:val="44"/>
                    <w:bidi w:val="0"/>
                    <w:rPr>
                      <w:rFonts w:hint="default"/>
                      <w:color w:val="auto"/>
                    </w:rPr>
                  </w:pPr>
                  <w:r>
                    <w:rPr>
                      <w:rFonts w:hint="default"/>
                      <w:color w:val="auto"/>
                    </w:rPr>
                    <w:t>达标</w:t>
                  </w:r>
                </w:p>
              </w:tc>
            </w:tr>
            <w:tr w14:paraId="268F7F6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3" w:hRule="exact"/>
                <w:jc w:val="center"/>
              </w:trPr>
              <w:tc>
                <w:tcPr>
                  <w:tcW w:w="710" w:type="dxa"/>
                  <w:tcBorders>
                    <w:tl2br w:val="nil"/>
                    <w:tr2bl w:val="nil"/>
                  </w:tcBorders>
                  <w:shd w:val="clear" w:color="auto" w:fill="FFFFFF"/>
                  <w:noWrap w:val="0"/>
                  <w:vAlign w:val="center"/>
                </w:tcPr>
                <w:p w14:paraId="7E8B7BCF">
                  <w:pPr>
                    <w:pStyle w:val="44"/>
                    <w:bidi w:val="0"/>
                    <w:rPr>
                      <w:rFonts w:hint="default"/>
                      <w:color w:val="auto"/>
                    </w:rPr>
                  </w:pPr>
                  <w:r>
                    <w:rPr>
                      <w:rFonts w:hint="default"/>
                      <w:color w:val="auto"/>
                    </w:rPr>
                    <w:t>北侧</w:t>
                  </w:r>
                </w:p>
              </w:tc>
              <w:tc>
                <w:tcPr>
                  <w:tcW w:w="945" w:type="dxa"/>
                  <w:tcBorders>
                    <w:tl2br w:val="nil"/>
                    <w:tr2bl w:val="nil"/>
                  </w:tcBorders>
                  <w:shd w:val="clear" w:color="auto" w:fill="FFFFFF"/>
                  <w:noWrap w:val="0"/>
                  <w:vAlign w:val="center"/>
                </w:tcPr>
                <w:p w14:paraId="5753CF65">
                  <w:pPr>
                    <w:pStyle w:val="44"/>
                    <w:bidi w:val="0"/>
                    <w:rPr>
                      <w:rFonts w:hint="default"/>
                      <w:color w:val="auto"/>
                    </w:rPr>
                  </w:pPr>
                  <w:r>
                    <w:rPr>
                      <w:color w:val="auto"/>
                    </w:rPr>
                    <w:t>-58.5</w:t>
                  </w:r>
                </w:p>
              </w:tc>
              <w:tc>
                <w:tcPr>
                  <w:tcW w:w="1074" w:type="dxa"/>
                  <w:tcBorders>
                    <w:tl2br w:val="nil"/>
                    <w:tr2bl w:val="nil"/>
                  </w:tcBorders>
                  <w:shd w:val="clear" w:color="auto" w:fill="FFFFFF"/>
                  <w:noWrap w:val="0"/>
                  <w:vAlign w:val="center"/>
                </w:tcPr>
                <w:p w14:paraId="409A7EE3">
                  <w:pPr>
                    <w:pStyle w:val="44"/>
                    <w:bidi w:val="0"/>
                    <w:rPr>
                      <w:rFonts w:hint="default"/>
                      <w:color w:val="auto"/>
                    </w:rPr>
                  </w:pPr>
                  <w:r>
                    <w:rPr>
                      <w:color w:val="auto"/>
                    </w:rPr>
                    <w:t>11</w:t>
                  </w:r>
                </w:p>
              </w:tc>
              <w:tc>
                <w:tcPr>
                  <w:tcW w:w="663" w:type="dxa"/>
                  <w:tcBorders>
                    <w:tl2br w:val="nil"/>
                    <w:tr2bl w:val="nil"/>
                  </w:tcBorders>
                  <w:shd w:val="clear" w:color="auto" w:fill="FFFFFF"/>
                  <w:noWrap w:val="0"/>
                  <w:vAlign w:val="center"/>
                </w:tcPr>
                <w:p w14:paraId="34D7DF0E">
                  <w:pPr>
                    <w:pStyle w:val="44"/>
                    <w:bidi w:val="0"/>
                    <w:rPr>
                      <w:rFonts w:hint="default"/>
                      <w:color w:val="auto"/>
                    </w:rPr>
                  </w:pPr>
                  <w:r>
                    <w:rPr>
                      <w:rFonts w:hint="default"/>
                      <w:color w:val="auto"/>
                    </w:rPr>
                    <w:t>1.2</w:t>
                  </w:r>
                </w:p>
              </w:tc>
              <w:tc>
                <w:tcPr>
                  <w:tcW w:w="919" w:type="dxa"/>
                  <w:tcBorders>
                    <w:tl2br w:val="nil"/>
                    <w:tr2bl w:val="nil"/>
                  </w:tcBorders>
                  <w:shd w:val="clear" w:color="auto" w:fill="FFFFFF"/>
                  <w:noWrap w:val="0"/>
                  <w:vAlign w:val="center"/>
                </w:tcPr>
                <w:p w14:paraId="3FE53E76">
                  <w:pPr>
                    <w:pStyle w:val="44"/>
                    <w:bidi w:val="0"/>
                    <w:rPr>
                      <w:rFonts w:hint="default"/>
                      <w:color w:val="auto"/>
                    </w:rPr>
                  </w:pPr>
                  <w:r>
                    <w:rPr>
                      <w:rFonts w:hint="default"/>
                      <w:color w:val="auto"/>
                    </w:rPr>
                    <w:t>昼间</w:t>
                  </w:r>
                </w:p>
              </w:tc>
              <w:tc>
                <w:tcPr>
                  <w:tcW w:w="1286" w:type="dxa"/>
                  <w:tcBorders>
                    <w:tl2br w:val="nil"/>
                    <w:tr2bl w:val="nil"/>
                  </w:tcBorders>
                  <w:shd w:val="clear" w:color="auto" w:fill="FFFFFF"/>
                  <w:noWrap w:val="0"/>
                  <w:vAlign w:val="center"/>
                </w:tcPr>
                <w:p w14:paraId="73C35AD5">
                  <w:pPr>
                    <w:pStyle w:val="44"/>
                    <w:bidi w:val="0"/>
                    <w:rPr>
                      <w:rFonts w:hint="default"/>
                      <w:color w:val="auto"/>
                      <w:lang w:val="en-US" w:eastAsia="zh-CN"/>
                    </w:rPr>
                  </w:pPr>
                  <w:r>
                    <w:rPr>
                      <w:rFonts w:hint="eastAsia"/>
                      <w:color w:val="auto"/>
                      <w:lang w:val="en-US" w:eastAsia="zh-CN"/>
                    </w:rPr>
                    <w:t>44.8</w:t>
                  </w:r>
                </w:p>
              </w:tc>
              <w:tc>
                <w:tcPr>
                  <w:tcW w:w="1225" w:type="dxa"/>
                  <w:tcBorders>
                    <w:tl2br w:val="nil"/>
                    <w:tr2bl w:val="nil"/>
                  </w:tcBorders>
                  <w:shd w:val="clear" w:color="auto" w:fill="FFFFFF"/>
                  <w:noWrap w:val="0"/>
                  <w:vAlign w:val="center"/>
                </w:tcPr>
                <w:p w14:paraId="623F7A33">
                  <w:pPr>
                    <w:pStyle w:val="44"/>
                    <w:bidi w:val="0"/>
                    <w:rPr>
                      <w:rFonts w:hint="default"/>
                      <w:color w:val="auto"/>
                      <w:lang w:eastAsia="zh-CN"/>
                    </w:rPr>
                  </w:pPr>
                  <w:r>
                    <w:rPr>
                      <w:color w:val="auto"/>
                    </w:rPr>
                    <w:t>65</w:t>
                  </w:r>
                </w:p>
              </w:tc>
              <w:tc>
                <w:tcPr>
                  <w:tcW w:w="1155" w:type="dxa"/>
                  <w:tcBorders>
                    <w:tl2br w:val="nil"/>
                    <w:tr2bl w:val="nil"/>
                  </w:tcBorders>
                  <w:shd w:val="clear" w:color="auto" w:fill="FFFFFF"/>
                  <w:noWrap w:val="0"/>
                  <w:vAlign w:val="center"/>
                </w:tcPr>
                <w:p w14:paraId="642A80A2">
                  <w:pPr>
                    <w:pStyle w:val="44"/>
                    <w:bidi w:val="0"/>
                    <w:rPr>
                      <w:rFonts w:hint="default"/>
                      <w:color w:val="auto"/>
                    </w:rPr>
                  </w:pPr>
                  <w:r>
                    <w:rPr>
                      <w:rFonts w:hint="default"/>
                      <w:color w:val="auto"/>
                    </w:rPr>
                    <w:t>达标</w:t>
                  </w:r>
                </w:p>
              </w:tc>
            </w:tr>
          </w:tbl>
          <w:p w14:paraId="7E4F6D42">
            <w:pPr>
              <w:adjustRightInd w:val="0"/>
              <w:snapToGrid w:val="0"/>
              <w:ind w:firstLine="480" w:firstLineChars="200"/>
              <w:rPr>
                <w:rFonts w:hint="default" w:ascii="Times New Roman" w:hAnsi="Times New Roman" w:cs="Times New Roman"/>
                <w:color w:val="auto"/>
              </w:rPr>
            </w:pPr>
            <w:r>
              <w:rPr>
                <w:rFonts w:hint="default" w:ascii="Times New Roman" w:hAnsi="Times New Roman" w:cs="Times New Roman"/>
                <w:color w:val="auto"/>
              </w:rPr>
              <w:t>通过上表可知，项目建成后，厂界噪声值符合《工业企业厂界环境噪声排放标准》（GB12348-2008）中</w:t>
            </w:r>
            <w:r>
              <w:rPr>
                <w:rFonts w:hint="default" w:ascii="Times New Roman" w:hAnsi="Times New Roman" w:cs="Times New Roman"/>
                <w:color w:val="auto"/>
                <w:lang w:val="en-US" w:eastAsia="zh-CN"/>
              </w:rPr>
              <w:t>3</w:t>
            </w:r>
            <w:r>
              <w:rPr>
                <w:rFonts w:hint="default" w:ascii="Times New Roman" w:hAnsi="Times New Roman" w:cs="Times New Roman"/>
                <w:color w:val="auto"/>
              </w:rPr>
              <w:t>类标准要求</w:t>
            </w:r>
            <w:r>
              <w:rPr>
                <w:rFonts w:hint="default" w:ascii="Times New Roman" w:hAnsi="Times New Roman" w:cs="Times New Roman"/>
                <w:color w:val="auto"/>
                <w:szCs w:val="21"/>
              </w:rPr>
              <w:t>，对周围环境影响较小</w:t>
            </w:r>
            <w:r>
              <w:rPr>
                <w:rFonts w:hint="default" w:ascii="Times New Roman" w:hAnsi="Times New Roman" w:cs="Times New Roman"/>
                <w:color w:val="auto"/>
              </w:rPr>
              <w:t>。</w:t>
            </w:r>
          </w:p>
          <w:p w14:paraId="5542E70C">
            <w:pPr>
              <w:pStyle w:val="5"/>
              <w:numPr>
                <w:ilvl w:val="0"/>
                <w:numId w:val="0"/>
              </w:numPr>
              <w:bidi w:val="0"/>
              <w:ind w:leftChars="200"/>
              <w:rPr>
                <w:rFonts w:hint="default" w:ascii="Times New Roman" w:hAnsi="Times New Roman" w:cs="Times New Roman"/>
                <w:color w:val="auto"/>
              </w:rPr>
            </w:pPr>
            <w:r>
              <w:rPr>
                <w:rFonts w:hint="default" w:ascii="Times New Roman" w:hAnsi="Times New Roman" w:cs="Times New Roman"/>
                <w:color w:val="auto"/>
              </w:rPr>
              <w:t>3、噪声防治措施</w:t>
            </w:r>
          </w:p>
          <w:p w14:paraId="36B7D722">
            <w:pPr>
              <w:pStyle w:val="89"/>
              <w:ind w:firstLine="480"/>
              <w:rPr>
                <w:rFonts w:hint="default" w:ascii="Times New Roman" w:hAnsi="Times New Roman" w:cs="Times New Roman"/>
                <w:color w:val="auto"/>
              </w:rPr>
            </w:pPr>
            <w:r>
              <w:rPr>
                <w:rFonts w:hint="default" w:ascii="Times New Roman" w:hAnsi="Times New Roman" w:cs="Times New Roman"/>
                <w:color w:val="auto"/>
              </w:rPr>
              <w:t>为了降低该项目噪声对环境的影响，企业应采取如下降噪措施：</w:t>
            </w:r>
          </w:p>
          <w:p w14:paraId="1BDF5A01">
            <w:pPr>
              <w:pStyle w:val="89"/>
              <w:ind w:firstLine="480"/>
              <w:rPr>
                <w:rFonts w:hint="default" w:ascii="Times New Roman" w:hAnsi="Times New Roman" w:cs="Times New Roman"/>
                <w:color w:val="auto"/>
              </w:rPr>
            </w:pPr>
            <w:r>
              <w:rPr>
                <w:rFonts w:hint="default" w:ascii="Times New Roman" w:hAnsi="Times New Roman" w:cs="Times New Roman"/>
                <w:color w:val="auto"/>
              </w:rPr>
              <w:t>（1）建设项目设备在满足生产的前提下，在采购设备时选用低噪声设备；</w:t>
            </w:r>
          </w:p>
          <w:p w14:paraId="6DACCED3">
            <w:pPr>
              <w:pStyle w:val="89"/>
              <w:ind w:firstLine="480"/>
              <w:rPr>
                <w:rFonts w:hint="default" w:ascii="Times New Roman" w:hAnsi="Times New Roman" w:cs="Times New Roman"/>
                <w:color w:val="auto"/>
              </w:rPr>
            </w:pPr>
            <w:r>
              <w:rPr>
                <w:rFonts w:hint="default" w:ascii="Times New Roman" w:hAnsi="Times New Roman" w:cs="Times New Roman"/>
                <w:color w:val="auto"/>
              </w:rPr>
              <w:t>（2）在设备安装时完全按照安装要求进行，避免设备的重心偏移和安装间隙，减少不必要的噪声。车间各种风机设置在独立空间内，并选用低噪声风机，采用减振基底，连接处采用柔性接头；定期进行设备维修，加装润滑剂，减轻设备运转时产生的噪声，确保噪声达标；</w:t>
            </w:r>
          </w:p>
          <w:p w14:paraId="2CD89CEE">
            <w:pPr>
              <w:pStyle w:val="89"/>
              <w:ind w:firstLine="480"/>
              <w:rPr>
                <w:rFonts w:hint="default" w:ascii="Times New Roman" w:hAnsi="Times New Roman" w:cs="Times New Roman"/>
                <w:color w:val="auto"/>
              </w:rPr>
            </w:pPr>
            <w:r>
              <w:rPr>
                <w:rFonts w:hint="default" w:ascii="Times New Roman" w:hAnsi="Times New Roman" w:cs="Times New Roman"/>
                <w:color w:val="auto"/>
              </w:rPr>
              <w:t>（3）设置隔声门，降低室内混响，增大隔声量；高噪声设备尽量不要安排在靠近厂界尤其是</w:t>
            </w:r>
            <w:r>
              <w:rPr>
                <w:rFonts w:hint="default" w:ascii="Times New Roman" w:hAnsi="Times New Roman" w:cs="Times New Roman"/>
                <w:color w:val="auto"/>
                <w:lang w:val="en-US" w:eastAsia="zh-CN"/>
              </w:rPr>
              <w:t>北</w:t>
            </w:r>
            <w:r>
              <w:rPr>
                <w:rFonts w:hint="default" w:ascii="Times New Roman" w:hAnsi="Times New Roman" w:cs="Times New Roman"/>
                <w:color w:val="auto"/>
              </w:rPr>
              <w:t>厂界的地方；</w:t>
            </w:r>
            <w:r>
              <w:rPr>
                <w:rFonts w:hint="default" w:ascii="Times New Roman" w:hAnsi="Times New Roman" w:cs="Times New Roman"/>
                <w:color w:val="auto"/>
                <w:lang w:val="en-US" w:eastAsia="zh-CN"/>
              </w:rPr>
              <w:t>处于高噪声设备工作区域的员工佩戴耳塞，进一步减轻噪声对车间工作人员的危害；</w:t>
            </w:r>
          </w:p>
          <w:p w14:paraId="3F07DB30">
            <w:pPr>
              <w:pStyle w:val="89"/>
              <w:ind w:firstLine="480"/>
              <w:rPr>
                <w:rFonts w:hint="default" w:ascii="Times New Roman" w:hAnsi="Times New Roman" w:eastAsia="宋体" w:cs="Times New Roman"/>
                <w:color w:val="auto"/>
                <w:lang w:val="en-US" w:eastAsia="zh-CN"/>
              </w:rPr>
            </w:pPr>
            <w:r>
              <w:rPr>
                <w:rFonts w:hint="default" w:ascii="Times New Roman" w:hAnsi="Times New Roman" w:cs="Times New Roman"/>
                <w:color w:val="auto"/>
              </w:rPr>
              <w:t>（4）生产过程中，加强车间门窗密闭、加强检查、维护和保养机械设备，保持润滑，紧固各部件，减少运行震动噪声；</w:t>
            </w:r>
          </w:p>
          <w:p w14:paraId="18C555A0">
            <w:pPr>
              <w:pStyle w:val="89"/>
              <w:ind w:firstLine="480"/>
              <w:rPr>
                <w:rFonts w:hint="default" w:ascii="Times New Roman" w:hAnsi="Times New Roman" w:cs="Times New Roman"/>
                <w:color w:val="auto"/>
              </w:rPr>
            </w:pPr>
            <w:r>
              <w:rPr>
                <w:rFonts w:hint="default" w:ascii="Times New Roman" w:hAnsi="Times New Roman" w:cs="Times New Roman"/>
                <w:color w:val="auto"/>
              </w:rPr>
              <w:t>（5）加强车间周围绿化，降低噪声；</w:t>
            </w:r>
          </w:p>
          <w:p w14:paraId="67A7F9EB">
            <w:pPr>
              <w:pStyle w:val="89"/>
              <w:ind w:firstLine="480"/>
              <w:rPr>
                <w:rFonts w:hint="default" w:ascii="Times New Roman" w:hAnsi="Times New Roman" w:eastAsia="宋体" w:cs="Times New Roman"/>
                <w:color w:val="auto"/>
                <w:lang w:val="en-US" w:eastAsia="zh-CN"/>
              </w:rPr>
            </w:pPr>
            <w:r>
              <w:rPr>
                <w:rFonts w:hint="default" w:ascii="Times New Roman" w:hAnsi="Times New Roman" w:cs="Times New Roman"/>
                <w:color w:val="auto"/>
              </w:rPr>
              <w:t>（6）厂区合理布局，以降低噪声的影响，噪声尽量远离办公区，降低生产噪声对厂界处影响</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加强车间周边噪声监控，运营期严格按照监测计划进行噪声例行监测。</w:t>
            </w:r>
          </w:p>
          <w:p w14:paraId="460A1CC1">
            <w:pPr>
              <w:pStyle w:val="5"/>
              <w:numPr>
                <w:ilvl w:val="0"/>
                <w:numId w:val="0"/>
              </w:numPr>
              <w:bidi w:val="0"/>
              <w:ind w:leftChars="200"/>
              <w:rPr>
                <w:rFonts w:hint="default" w:ascii="Times New Roman" w:hAnsi="Times New Roman" w:cs="Times New Roman"/>
                <w:color w:val="auto"/>
              </w:rPr>
            </w:pPr>
            <w:r>
              <w:rPr>
                <w:rFonts w:hint="default" w:ascii="Times New Roman" w:hAnsi="Times New Roman" w:cs="Times New Roman"/>
                <w:color w:val="auto"/>
              </w:rPr>
              <w:t>4、监测计划</w:t>
            </w:r>
          </w:p>
          <w:p w14:paraId="45BBB781">
            <w:pPr>
              <w:pStyle w:val="47"/>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表4-12 噪声监测计划一览表</w:t>
            </w:r>
          </w:p>
          <w:tbl>
            <w:tblPr>
              <w:tblStyle w:val="33"/>
              <w:tblW w:w="4998" w:type="pct"/>
              <w:tblInd w:w="15"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28" w:type="dxa"/>
                <w:bottom w:w="0" w:type="dxa"/>
                <w:right w:w="28" w:type="dxa"/>
              </w:tblCellMar>
            </w:tblPr>
            <w:tblGrid>
              <w:gridCol w:w="607"/>
              <w:gridCol w:w="1152"/>
              <w:gridCol w:w="1203"/>
              <w:gridCol w:w="1131"/>
              <w:gridCol w:w="2497"/>
              <w:gridCol w:w="1426"/>
            </w:tblGrid>
            <w:tr w14:paraId="29A5AA8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23" w:hRule="atLeast"/>
              </w:trPr>
              <w:tc>
                <w:tcPr>
                  <w:tcW w:w="379" w:type="pct"/>
                  <w:tcBorders>
                    <w:tl2br w:val="nil"/>
                    <w:tr2bl w:val="nil"/>
                  </w:tcBorders>
                  <w:noWrap w:val="0"/>
                  <w:vAlign w:val="center"/>
                </w:tcPr>
                <w:p w14:paraId="7C12F561">
                  <w:pPr>
                    <w:pStyle w:val="48"/>
                    <w:rPr>
                      <w:rFonts w:hint="default" w:ascii="Times New Roman" w:hAnsi="Times New Roman" w:cs="Times New Roman"/>
                      <w:b/>
                      <w:bCs/>
                      <w:color w:val="auto"/>
                    </w:rPr>
                  </w:pPr>
                  <w:r>
                    <w:rPr>
                      <w:rFonts w:hint="default" w:ascii="Times New Roman" w:hAnsi="Times New Roman" w:cs="Times New Roman"/>
                      <w:b/>
                      <w:bCs/>
                      <w:color w:val="auto"/>
                    </w:rPr>
                    <w:t>类型</w:t>
                  </w:r>
                </w:p>
              </w:tc>
              <w:tc>
                <w:tcPr>
                  <w:tcW w:w="718" w:type="pct"/>
                  <w:tcBorders>
                    <w:tl2br w:val="nil"/>
                    <w:tr2bl w:val="nil"/>
                  </w:tcBorders>
                  <w:noWrap w:val="0"/>
                  <w:vAlign w:val="center"/>
                </w:tcPr>
                <w:p w14:paraId="49F75797">
                  <w:pPr>
                    <w:pStyle w:val="48"/>
                    <w:rPr>
                      <w:rFonts w:hint="default" w:ascii="Times New Roman" w:hAnsi="Times New Roman" w:cs="Times New Roman"/>
                      <w:b/>
                      <w:bCs/>
                      <w:color w:val="auto"/>
                    </w:rPr>
                  </w:pPr>
                  <w:r>
                    <w:rPr>
                      <w:rFonts w:hint="default" w:ascii="Times New Roman" w:hAnsi="Times New Roman" w:cs="Times New Roman"/>
                      <w:b/>
                      <w:bCs/>
                      <w:color w:val="auto"/>
                    </w:rPr>
                    <w:t>监测位置</w:t>
                  </w:r>
                </w:p>
              </w:tc>
              <w:tc>
                <w:tcPr>
                  <w:tcW w:w="750" w:type="pct"/>
                  <w:tcBorders>
                    <w:tl2br w:val="nil"/>
                    <w:tr2bl w:val="nil"/>
                  </w:tcBorders>
                  <w:noWrap w:val="0"/>
                  <w:vAlign w:val="center"/>
                </w:tcPr>
                <w:p w14:paraId="04515380">
                  <w:pPr>
                    <w:pStyle w:val="48"/>
                    <w:rPr>
                      <w:rFonts w:hint="default" w:ascii="Times New Roman" w:hAnsi="Times New Roman" w:cs="Times New Roman"/>
                      <w:b/>
                      <w:bCs/>
                      <w:color w:val="auto"/>
                    </w:rPr>
                  </w:pPr>
                  <w:r>
                    <w:rPr>
                      <w:rFonts w:hint="default" w:ascii="Times New Roman" w:hAnsi="Times New Roman" w:cs="Times New Roman"/>
                      <w:b/>
                      <w:bCs/>
                      <w:color w:val="auto"/>
                    </w:rPr>
                    <w:t>监测项目</w:t>
                  </w:r>
                </w:p>
              </w:tc>
              <w:tc>
                <w:tcPr>
                  <w:tcW w:w="705" w:type="pct"/>
                  <w:tcBorders>
                    <w:tl2br w:val="nil"/>
                    <w:tr2bl w:val="nil"/>
                  </w:tcBorders>
                  <w:noWrap w:val="0"/>
                  <w:vAlign w:val="center"/>
                </w:tcPr>
                <w:p w14:paraId="47B4E88C">
                  <w:pPr>
                    <w:pStyle w:val="48"/>
                    <w:rPr>
                      <w:rFonts w:hint="default" w:ascii="Times New Roman" w:hAnsi="Times New Roman" w:cs="Times New Roman"/>
                      <w:b/>
                      <w:bCs/>
                      <w:color w:val="auto"/>
                    </w:rPr>
                  </w:pPr>
                  <w:r>
                    <w:rPr>
                      <w:rFonts w:hint="default" w:ascii="Times New Roman" w:hAnsi="Times New Roman" w:cs="Times New Roman"/>
                      <w:b/>
                      <w:bCs/>
                      <w:color w:val="auto"/>
                    </w:rPr>
                    <w:t>监测频次</w:t>
                  </w:r>
                </w:p>
              </w:tc>
              <w:tc>
                <w:tcPr>
                  <w:tcW w:w="1557" w:type="pct"/>
                  <w:tcBorders>
                    <w:tl2br w:val="nil"/>
                    <w:tr2bl w:val="nil"/>
                  </w:tcBorders>
                  <w:noWrap w:val="0"/>
                  <w:vAlign w:val="center"/>
                </w:tcPr>
                <w:p w14:paraId="48B3CA76">
                  <w:pPr>
                    <w:pStyle w:val="48"/>
                    <w:rPr>
                      <w:rFonts w:hint="default" w:ascii="Times New Roman" w:hAnsi="Times New Roman" w:cs="Times New Roman"/>
                      <w:b/>
                      <w:bCs/>
                      <w:color w:val="auto"/>
                    </w:rPr>
                  </w:pPr>
                  <w:r>
                    <w:rPr>
                      <w:rFonts w:hint="default" w:ascii="Times New Roman" w:hAnsi="Times New Roman" w:cs="Times New Roman"/>
                      <w:b/>
                      <w:bCs/>
                      <w:color w:val="auto"/>
                    </w:rPr>
                    <w:t>执行标准</w:t>
                  </w:r>
                </w:p>
              </w:tc>
              <w:tc>
                <w:tcPr>
                  <w:tcW w:w="889" w:type="pct"/>
                  <w:tcBorders>
                    <w:tl2br w:val="nil"/>
                    <w:tr2bl w:val="nil"/>
                  </w:tcBorders>
                  <w:noWrap w:val="0"/>
                  <w:vAlign w:val="center"/>
                </w:tcPr>
                <w:p w14:paraId="735E5039">
                  <w:pPr>
                    <w:pStyle w:val="48"/>
                    <w:rPr>
                      <w:rFonts w:hint="default" w:ascii="Times New Roman" w:hAnsi="Times New Roman" w:cs="Times New Roman"/>
                      <w:b/>
                      <w:bCs/>
                      <w:color w:val="auto"/>
                    </w:rPr>
                  </w:pPr>
                  <w:r>
                    <w:rPr>
                      <w:rFonts w:hint="default" w:ascii="Times New Roman" w:hAnsi="Times New Roman" w:cs="Times New Roman"/>
                      <w:b/>
                      <w:bCs/>
                      <w:color w:val="auto"/>
                    </w:rPr>
                    <w:t>备注</w:t>
                  </w:r>
                </w:p>
              </w:tc>
            </w:tr>
            <w:tr w14:paraId="04D76D8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23" w:hRule="atLeast"/>
              </w:trPr>
              <w:tc>
                <w:tcPr>
                  <w:tcW w:w="379" w:type="pct"/>
                  <w:tcBorders>
                    <w:tl2br w:val="nil"/>
                    <w:tr2bl w:val="nil"/>
                  </w:tcBorders>
                  <w:noWrap w:val="0"/>
                  <w:vAlign w:val="center"/>
                </w:tcPr>
                <w:p w14:paraId="5B7F620F">
                  <w:pPr>
                    <w:pStyle w:val="44"/>
                    <w:bidi w:val="0"/>
                    <w:rPr>
                      <w:rFonts w:hint="default" w:ascii="Times New Roman" w:hAnsi="Times New Roman" w:cs="Times New Roman"/>
                      <w:color w:val="auto"/>
                    </w:rPr>
                  </w:pPr>
                  <w:r>
                    <w:rPr>
                      <w:rFonts w:hint="default" w:ascii="Times New Roman" w:hAnsi="Times New Roman" w:cs="Times New Roman"/>
                      <w:color w:val="auto"/>
                    </w:rPr>
                    <w:t>噪声</w:t>
                  </w:r>
                </w:p>
              </w:tc>
              <w:tc>
                <w:tcPr>
                  <w:tcW w:w="718" w:type="pct"/>
                  <w:tcBorders>
                    <w:tl2br w:val="nil"/>
                    <w:tr2bl w:val="nil"/>
                  </w:tcBorders>
                  <w:noWrap w:val="0"/>
                  <w:vAlign w:val="center"/>
                </w:tcPr>
                <w:p w14:paraId="61974F65">
                  <w:pPr>
                    <w:pStyle w:val="44"/>
                    <w:bidi w:val="0"/>
                    <w:rPr>
                      <w:rFonts w:hint="default" w:ascii="Times New Roman" w:hAnsi="Times New Roman" w:cs="Times New Roman"/>
                      <w:color w:val="auto"/>
                    </w:rPr>
                  </w:pPr>
                  <w:r>
                    <w:rPr>
                      <w:rFonts w:hint="default" w:ascii="Times New Roman" w:hAnsi="Times New Roman" w:cs="Times New Roman"/>
                      <w:color w:val="auto"/>
                    </w:rPr>
                    <w:t>厂界外1m处</w:t>
                  </w:r>
                </w:p>
              </w:tc>
              <w:tc>
                <w:tcPr>
                  <w:tcW w:w="750" w:type="pct"/>
                  <w:tcBorders>
                    <w:tl2br w:val="nil"/>
                    <w:tr2bl w:val="nil"/>
                  </w:tcBorders>
                  <w:noWrap w:val="0"/>
                  <w:vAlign w:val="center"/>
                </w:tcPr>
                <w:p w14:paraId="1DE0E8F5">
                  <w:pPr>
                    <w:pStyle w:val="44"/>
                    <w:bidi w:val="0"/>
                    <w:rPr>
                      <w:rFonts w:hint="default" w:ascii="Times New Roman" w:hAnsi="Times New Roman" w:cs="Times New Roman"/>
                      <w:color w:val="auto"/>
                    </w:rPr>
                  </w:pPr>
                  <w:r>
                    <w:rPr>
                      <w:rFonts w:hint="default" w:ascii="Times New Roman" w:hAnsi="Times New Roman" w:cs="Times New Roman"/>
                      <w:color w:val="auto"/>
                    </w:rPr>
                    <w:t>昼间Leq</w:t>
                  </w:r>
                </w:p>
              </w:tc>
              <w:tc>
                <w:tcPr>
                  <w:tcW w:w="705" w:type="pct"/>
                  <w:tcBorders>
                    <w:tl2br w:val="nil"/>
                    <w:tr2bl w:val="nil"/>
                  </w:tcBorders>
                  <w:noWrap w:val="0"/>
                  <w:vAlign w:val="center"/>
                </w:tcPr>
                <w:p w14:paraId="26B6B8E1">
                  <w:pPr>
                    <w:pStyle w:val="44"/>
                    <w:bidi w:val="0"/>
                    <w:rPr>
                      <w:rFonts w:hint="default" w:ascii="Times New Roman" w:hAnsi="Times New Roman" w:cs="Times New Roman"/>
                      <w:color w:val="auto"/>
                    </w:rPr>
                  </w:pPr>
                  <w:r>
                    <w:rPr>
                      <w:rFonts w:hint="default" w:ascii="Times New Roman" w:hAnsi="Times New Roman" w:cs="Times New Roman"/>
                      <w:color w:val="auto"/>
                    </w:rPr>
                    <w:t>每季度一次</w:t>
                  </w:r>
                </w:p>
              </w:tc>
              <w:tc>
                <w:tcPr>
                  <w:tcW w:w="1557" w:type="pct"/>
                  <w:tcBorders>
                    <w:tl2br w:val="nil"/>
                    <w:tr2bl w:val="nil"/>
                  </w:tcBorders>
                  <w:noWrap w:val="0"/>
                  <w:vAlign w:val="center"/>
                </w:tcPr>
                <w:p w14:paraId="1AF62EBA">
                  <w:pPr>
                    <w:pStyle w:val="44"/>
                    <w:bidi w:val="0"/>
                    <w:rPr>
                      <w:rFonts w:hint="default" w:ascii="Times New Roman" w:hAnsi="Times New Roman" w:cs="Times New Roman"/>
                      <w:color w:val="auto"/>
                    </w:rPr>
                  </w:pPr>
                  <w:r>
                    <w:rPr>
                      <w:rFonts w:hint="default" w:ascii="Times New Roman" w:hAnsi="Times New Roman" w:cs="Times New Roman"/>
                      <w:color w:val="auto"/>
                    </w:rPr>
                    <w:t>《工业企业厂界环境噪声排放标准》（GB12348-2008）3类标准</w:t>
                  </w:r>
                </w:p>
              </w:tc>
              <w:tc>
                <w:tcPr>
                  <w:tcW w:w="889" w:type="pct"/>
                  <w:tcBorders>
                    <w:tl2br w:val="nil"/>
                    <w:tr2bl w:val="nil"/>
                  </w:tcBorders>
                  <w:noWrap w:val="0"/>
                  <w:vAlign w:val="center"/>
                </w:tcPr>
                <w:p w14:paraId="61D3A78F">
                  <w:pPr>
                    <w:pStyle w:val="44"/>
                    <w:bidi w:val="0"/>
                    <w:rPr>
                      <w:rFonts w:hint="default" w:ascii="Times New Roman" w:hAnsi="Times New Roman" w:cs="Times New Roman"/>
                      <w:color w:val="auto"/>
                    </w:rPr>
                  </w:pPr>
                  <w:r>
                    <w:rPr>
                      <w:rFonts w:hint="default" w:ascii="Times New Roman" w:hAnsi="Times New Roman" w:cs="Times New Roman"/>
                      <w:color w:val="auto"/>
                    </w:rPr>
                    <w:t>委托有资质的第三方进行</w:t>
                  </w:r>
                </w:p>
              </w:tc>
            </w:tr>
          </w:tbl>
          <w:p w14:paraId="74F7C480">
            <w:pPr>
              <w:pStyle w:val="5"/>
              <w:numPr>
                <w:ilvl w:val="0"/>
                <w:numId w:val="0"/>
              </w:numPr>
              <w:bidi w:val="0"/>
              <w:ind w:leftChars="200"/>
              <w:rPr>
                <w:rFonts w:hint="default" w:ascii="Times New Roman" w:hAnsi="Times New Roman" w:cs="Times New Roman"/>
                <w:color w:val="auto"/>
              </w:rPr>
            </w:pPr>
            <w:r>
              <w:rPr>
                <w:rFonts w:hint="default" w:ascii="Times New Roman" w:hAnsi="Times New Roman" w:cs="Times New Roman"/>
                <w:color w:val="auto"/>
              </w:rPr>
              <w:t>四、固体废物</w:t>
            </w:r>
          </w:p>
          <w:p w14:paraId="50FE46DF">
            <w:pPr>
              <w:pStyle w:val="5"/>
              <w:numPr>
                <w:ilvl w:val="0"/>
                <w:numId w:val="0"/>
              </w:numPr>
              <w:bidi w:val="0"/>
              <w:ind w:leftChars="200"/>
              <w:rPr>
                <w:rFonts w:hint="default" w:ascii="Times New Roman" w:hAnsi="Times New Roman" w:cs="Times New Roman"/>
                <w:color w:val="auto"/>
              </w:rPr>
            </w:pPr>
            <w:r>
              <w:rPr>
                <w:rFonts w:hint="default" w:ascii="Times New Roman" w:hAnsi="Times New Roman" w:cs="Times New Roman"/>
                <w:color w:val="auto"/>
              </w:rPr>
              <w:t>1、固废产生及处置情况</w:t>
            </w:r>
          </w:p>
          <w:p w14:paraId="00FC4254">
            <w:pPr>
              <w:ind w:firstLine="480" w:firstLineChars="200"/>
              <w:rPr>
                <w:rFonts w:hint="default" w:ascii="Times New Roman" w:hAnsi="Times New Roman" w:eastAsia="宋体" w:cs="Times New Roman"/>
                <w:color w:val="auto"/>
                <w:szCs w:val="24"/>
                <w:lang w:val="en-US" w:eastAsia="zh-CN"/>
              </w:rPr>
            </w:pPr>
            <w:r>
              <w:rPr>
                <w:rFonts w:hint="default" w:ascii="Times New Roman" w:hAnsi="Times New Roman" w:cs="Times New Roman"/>
                <w:color w:val="auto"/>
                <w:szCs w:val="24"/>
              </w:rPr>
              <w:t>项目产生的一般固废主要为</w:t>
            </w:r>
            <w:r>
              <w:rPr>
                <w:rFonts w:hint="default" w:ascii="Times New Roman" w:hAnsi="Times New Roman" w:cs="Times New Roman"/>
                <w:color w:val="auto"/>
                <w:szCs w:val="24"/>
                <w:lang w:val="en-US" w:eastAsia="zh-CN"/>
              </w:rPr>
              <w:t>普通</w:t>
            </w:r>
            <w:r>
              <w:rPr>
                <w:rFonts w:hint="default" w:ascii="Times New Roman" w:hAnsi="Times New Roman" w:cs="Times New Roman"/>
                <w:color w:val="auto"/>
                <w:szCs w:val="24"/>
              </w:rPr>
              <w:t>废</w:t>
            </w:r>
            <w:r>
              <w:rPr>
                <w:rFonts w:hint="default" w:ascii="Times New Roman" w:hAnsi="Times New Roman" w:cs="Times New Roman"/>
                <w:color w:val="auto"/>
                <w:szCs w:val="24"/>
                <w:lang w:val="en-US" w:eastAsia="zh-CN"/>
              </w:rPr>
              <w:t>包装、除尘器收尘</w:t>
            </w:r>
            <w:r>
              <w:rPr>
                <w:rFonts w:hint="eastAsia" w:cs="Times New Roman"/>
                <w:color w:val="auto"/>
                <w:szCs w:val="24"/>
                <w:lang w:val="en-US" w:eastAsia="zh-CN"/>
              </w:rPr>
              <w:t>、车间沉降粉尘、</w:t>
            </w:r>
            <w:r>
              <w:rPr>
                <w:rFonts w:hint="default" w:ascii="Times New Roman" w:hAnsi="Times New Roman" w:cs="Times New Roman"/>
                <w:color w:val="auto"/>
                <w:szCs w:val="24"/>
                <w:lang w:val="en-US" w:eastAsia="zh-CN"/>
              </w:rPr>
              <w:t>废布袋；危险废物为废包装桶、冷凝废液、废活性炭、废过滤棉、废机油以及废机油桶。</w:t>
            </w:r>
          </w:p>
          <w:p w14:paraId="25C89F32">
            <w:pPr>
              <w:autoSpaceDE w:val="0"/>
              <w:autoSpaceDN w:val="0"/>
              <w:ind w:firstLine="480" w:firstLineChars="200"/>
              <w:rPr>
                <w:rFonts w:hint="default" w:ascii="Times New Roman" w:hAnsi="Times New Roman" w:cs="Times New Roman"/>
                <w:bCs/>
                <w:color w:val="auto"/>
                <w:szCs w:val="24"/>
                <w:lang w:val="en-US"/>
              </w:rPr>
            </w:pPr>
            <w:r>
              <w:rPr>
                <w:rFonts w:hint="default" w:ascii="Times New Roman" w:hAnsi="Times New Roman" w:cs="Times New Roman"/>
                <w:color w:val="auto"/>
                <w:szCs w:val="24"/>
                <w:lang w:eastAsia="zh-CN"/>
              </w:rPr>
              <w:t>（</w:t>
            </w:r>
            <w:r>
              <w:rPr>
                <w:rFonts w:hint="default" w:ascii="Times New Roman" w:hAnsi="Times New Roman" w:cs="Times New Roman"/>
                <w:color w:val="auto"/>
                <w:szCs w:val="24"/>
                <w:lang w:val="en-US" w:eastAsia="zh-CN"/>
              </w:rPr>
              <w:t>1</w:t>
            </w:r>
            <w:r>
              <w:rPr>
                <w:rFonts w:hint="default" w:ascii="Times New Roman" w:hAnsi="Times New Roman" w:cs="Times New Roman"/>
                <w:color w:val="auto"/>
                <w:szCs w:val="24"/>
                <w:lang w:eastAsia="zh-CN"/>
              </w:rPr>
              <w:t>）</w:t>
            </w:r>
            <w:r>
              <w:rPr>
                <w:rFonts w:hint="default" w:ascii="Times New Roman" w:hAnsi="Times New Roman" w:cs="Times New Roman"/>
                <w:color w:val="auto"/>
                <w:szCs w:val="24"/>
                <w:lang w:val="en-US" w:eastAsia="zh-CN"/>
              </w:rPr>
              <w:t>普通</w:t>
            </w:r>
            <w:r>
              <w:rPr>
                <w:rFonts w:hint="default" w:ascii="Times New Roman" w:hAnsi="Times New Roman" w:cs="Times New Roman"/>
                <w:color w:val="auto"/>
                <w:szCs w:val="24"/>
              </w:rPr>
              <w:t>废</w:t>
            </w:r>
            <w:r>
              <w:rPr>
                <w:rFonts w:hint="default" w:ascii="Times New Roman" w:hAnsi="Times New Roman" w:cs="Times New Roman"/>
                <w:color w:val="auto"/>
                <w:szCs w:val="24"/>
                <w:lang w:val="en-US" w:eastAsia="zh-CN"/>
              </w:rPr>
              <w:t>包装：原料拆包产生的普通废包装材料产生量约2.0t/a，主要为废包装袋、包装纸箱。根据《固体废物分类与代码目录》（2024年），废包装属于一般工业固废，固体废物代码为900-099-S59，收集后外售。</w:t>
            </w:r>
          </w:p>
          <w:p w14:paraId="3F63231B">
            <w:pPr>
              <w:autoSpaceDE w:val="0"/>
              <w:autoSpaceDN w:val="0"/>
              <w:ind w:firstLine="480" w:firstLineChars="200"/>
              <w:rPr>
                <w:rFonts w:hint="default" w:ascii="Times New Roman" w:hAnsi="Times New Roman" w:cs="Times New Roman"/>
                <w:bCs/>
                <w:color w:val="auto"/>
                <w:szCs w:val="24"/>
                <w:lang w:val="en-US"/>
              </w:rPr>
            </w:pPr>
            <w:r>
              <w:rPr>
                <w:rFonts w:hint="default" w:ascii="Times New Roman" w:hAnsi="Times New Roman" w:cs="Times New Roman"/>
                <w:color w:val="auto"/>
                <w:szCs w:val="24"/>
                <w:lang w:eastAsia="zh-CN"/>
              </w:rPr>
              <w:t>（</w:t>
            </w:r>
            <w:r>
              <w:rPr>
                <w:rFonts w:hint="default" w:ascii="Times New Roman" w:hAnsi="Times New Roman" w:cs="Times New Roman"/>
                <w:color w:val="auto"/>
                <w:szCs w:val="24"/>
                <w:lang w:val="en-US" w:eastAsia="zh-CN"/>
              </w:rPr>
              <w:t>2</w:t>
            </w:r>
            <w:r>
              <w:rPr>
                <w:rFonts w:hint="default" w:ascii="Times New Roman" w:hAnsi="Times New Roman" w:cs="Times New Roman"/>
                <w:color w:val="auto"/>
                <w:szCs w:val="24"/>
                <w:lang w:eastAsia="zh-CN"/>
              </w:rPr>
              <w:t>）</w:t>
            </w:r>
            <w:r>
              <w:rPr>
                <w:rFonts w:hint="default" w:ascii="Times New Roman" w:hAnsi="Times New Roman" w:cs="Times New Roman"/>
                <w:color w:val="auto"/>
                <w:szCs w:val="24"/>
                <w:lang w:val="en-US" w:eastAsia="zh-CN"/>
              </w:rPr>
              <w:t>除尘器收尘：根据工程分析，项目袋式除尘器粉尘的收集量为9.1t/a，</w:t>
            </w:r>
            <w:r>
              <w:rPr>
                <w:rFonts w:hint="default" w:ascii="Times New Roman" w:hAnsi="Times New Roman" w:cs="Times New Roman"/>
                <w:color w:val="auto"/>
                <w:sz w:val="24"/>
              </w:rPr>
              <w:t>收集后作为原料返回生产线。根据《固体废物分类与代码目录》（2024年），收集尘代码为900-099-S59。根据《固体废物鉴别标准 通则》（GB34330-2017）第6.1（b）：不经过贮存或堆积过程，而在现场直接返回到原生产过程或返回其产生过程的物质不作为固体废物管理</w:t>
            </w:r>
            <w:r>
              <w:rPr>
                <w:rFonts w:hint="default" w:ascii="Times New Roman" w:hAnsi="Times New Roman" w:cs="Times New Roman"/>
                <w:color w:val="auto"/>
                <w:szCs w:val="24"/>
                <w:lang w:val="en-US" w:eastAsia="zh-CN"/>
              </w:rPr>
              <w:t>。</w:t>
            </w:r>
          </w:p>
          <w:p w14:paraId="7FD92015">
            <w:pPr>
              <w:ind w:firstLine="480" w:firstLineChars="200"/>
              <w:rPr>
                <w:rFonts w:hint="default" w:ascii="Times New Roman" w:hAnsi="Times New Roman" w:cs="Times New Roman"/>
                <w:color w:val="auto"/>
                <w:szCs w:val="24"/>
                <w:lang w:val="en-US" w:eastAsia="zh-CN"/>
              </w:rPr>
            </w:pPr>
            <w:r>
              <w:rPr>
                <w:rFonts w:hint="eastAsia" w:cs="Times New Roman"/>
                <w:color w:val="auto"/>
                <w:szCs w:val="24"/>
                <w:lang w:val="en-US" w:eastAsia="zh-CN"/>
              </w:rPr>
              <w:t>（3）车间沉降粉尘：</w:t>
            </w:r>
            <w:r>
              <w:rPr>
                <w:rFonts w:hint="default" w:ascii="Times New Roman" w:hAnsi="Times New Roman" w:cs="Times New Roman"/>
                <w:color w:val="auto"/>
                <w:szCs w:val="24"/>
                <w:lang w:val="en-US" w:eastAsia="zh-CN"/>
              </w:rPr>
              <w:t>根据</w:t>
            </w:r>
            <w:r>
              <w:rPr>
                <w:rFonts w:hint="eastAsia" w:ascii="Times New Roman" w:hAnsi="Times New Roman" w:cs="Times New Roman"/>
                <w:color w:val="auto"/>
                <w:szCs w:val="24"/>
                <w:lang w:val="en-US" w:eastAsia="zh-CN"/>
              </w:rPr>
              <w:t>前文</w:t>
            </w:r>
            <w:r>
              <w:rPr>
                <w:rFonts w:hint="default" w:ascii="Times New Roman" w:hAnsi="Times New Roman" w:cs="Times New Roman"/>
                <w:color w:val="auto"/>
                <w:szCs w:val="24"/>
                <w:lang w:val="en-US" w:eastAsia="zh-CN"/>
              </w:rPr>
              <w:t>工程分析，</w:t>
            </w:r>
            <w:r>
              <w:rPr>
                <w:rFonts w:hint="eastAsia" w:ascii="Times New Roman" w:hAnsi="Times New Roman" w:cs="Times New Roman"/>
                <w:color w:val="auto"/>
                <w:szCs w:val="24"/>
                <w:lang w:val="en-US" w:eastAsia="zh-CN"/>
              </w:rPr>
              <w:t>项目计量投料时未收集的粉尘，约有0.612</w:t>
            </w:r>
            <w:r>
              <w:rPr>
                <w:rFonts w:hint="default" w:ascii="Times New Roman" w:hAnsi="Times New Roman" w:cs="Times New Roman"/>
                <w:color w:val="auto"/>
                <w:sz w:val="24"/>
              </w:rPr>
              <w:t>t/a</w:t>
            </w:r>
            <w:r>
              <w:rPr>
                <w:rFonts w:hint="eastAsia" w:eastAsia="宋体" w:cs="Times New Roman"/>
                <w:bCs/>
                <w:color w:val="auto"/>
                <w:sz w:val="24"/>
                <w:szCs w:val="32"/>
                <w:lang w:val="en-US" w:eastAsia="zh-CN"/>
              </w:rPr>
              <w:t>经厂房阻隔沉降，该部分粉尘经清扫收集后</w:t>
            </w:r>
            <w:r>
              <w:rPr>
                <w:rFonts w:hint="default" w:ascii="Times New Roman" w:hAnsi="Times New Roman" w:cs="Times New Roman"/>
                <w:color w:val="auto"/>
                <w:sz w:val="24"/>
              </w:rPr>
              <w:t>作为原料返回生产线。根据《固体废物分类与代码目录》（2024年），收集尘代码为900-099-S59。根据《固体废物鉴别标准 通则》（GB34330-2017）第6.1（b）：不经过贮存或堆积过程，而在现场直接返回到原生产过程或返回其产生过程的物质不作为固体废物管理</w:t>
            </w:r>
            <w:r>
              <w:rPr>
                <w:rFonts w:hint="eastAsia" w:eastAsia="宋体" w:cs="Times New Roman"/>
                <w:bCs/>
                <w:color w:val="auto"/>
                <w:sz w:val="24"/>
                <w:szCs w:val="32"/>
                <w:lang w:val="en-US" w:eastAsia="zh-CN"/>
              </w:rPr>
              <w:t>。</w:t>
            </w:r>
          </w:p>
          <w:p w14:paraId="204085C5">
            <w:pPr>
              <w:ind w:firstLine="480" w:firstLineChars="200"/>
              <w:rPr>
                <w:rFonts w:hint="default" w:ascii="Times New Roman" w:hAnsi="Times New Roman" w:eastAsia="宋体" w:cs="Times New Roman"/>
                <w:color w:val="auto"/>
                <w:szCs w:val="24"/>
                <w:lang w:val="en-US" w:eastAsia="zh-CN"/>
              </w:rPr>
            </w:pPr>
            <w:r>
              <w:rPr>
                <w:rFonts w:hint="default" w:ascii="Times New Roman" w:hAnsi="Times New Roman" w:cs="Times New Roman"/>
                <w:color w:val="auto"/>
                <w:szCs w:val="24"/>
                <w:lang w:val="en-US" w:eastAsia="zh-CN"/>
              </w:rPr>
              <w:t>（</w:t>
            </w:r>
            <w:r>
              <w:rPr>
                <w:rFonts w:hint="eastAsia" w:cs="Times New Roman"/>
                <w:color w:val="auto"/>
                <w:szCs w:val="24"/>
                <w:lang w:val="en-US" w:eastAsia="zh-CN"/>
              </w:rPr>
              <w:t>4</w:t>
            </w:r>
            <w:r>
              <w:rPr>
                <w:rFonts w:hint="default" w:ascii="Times New Roman" w:hAnsi="Times New Roman" w:cs="Times New Roman"/>
                <w:color w:val="auto"/>
                <w:szCs w:val="24"/>
                <w:lang w:val="en-US" w:eastAsia="zh-CN"/>
              </w:rPr>
              <w:t>）废布袋：</w:t>
            </w:r>
            <w:r>
              <w:rPr>
                <w:rFonts w:hint="default" w:ascii="Times New Roman" w:hAnsi="Times New Roman" w:cs="Times New Roman"/>
                <w:color w:val="auto"/>
                <w:sz w:val="24"/>
              </w:rPr>
              <w:t>颗粒物经布袋除尘器处理，定期更换废旧布袋，废布袋产生量为0.2t/a，收集后外售处理</w:t>
            </w:r>
            <w:r>
              <w:rPr>
                <w:rFonts w:hint="default" w:ascii="Times New Roman" w:hAnsi="Times New Roman" w:cs="Times New Roman"/>
                <w:color w:val="auto"/>
                <w:szCs w:val="24"/>
                <w:lang w:val="en-US" w:eastAsia="zh-CN"/>
              </w:rPr>
              <w:t>。根据《固体废物分类与代码目录》（2024年），废布袋固体废物代码为</w:t>
            </w:r>
            <w:r>
              <w:rPr>
                <w:rFonts w:hint="default" w:ascii="Times New Roman" w:hAnsi="Times New Roman" w:cs="Times New Roman"/>
                <w:color w:val="auto"/>
                <w:sz w:val="24"/>
              </w:rPr>
              <w:t>900-099-S59</w:t>
            </w:r>
            <w:r>
              <w:rPr>
                <w:rFonts w:hint="default" w:ascii="Times New Roman" w:hAnsi="Times New Roman" w:cs="Times New Roman"/>
                <w:color w:val="auto"/>
                <w:sz w:val="24"/>
                <w:lang w:eastAsia="zh-CN"/>
              </w:rPr>
              <w:t>。</w:t>
            </w:r>
          </w:p>
          <w:p w14:paraId="07DA665B">
            <w:pPr>
              <w:ind w:firstLine="480" w:firstLineChars="200"/>
              <w:rPr>
                <w:rFonts w:hint="eastAsia" w:ascii="Times New Roman" w:hAnsi="Times New Roman" w:eastAsia="宋体" w:cs="Times New Roman"/>
                <w:color w:val="auto"/>
                <w:szCs w:val="24"/>
                <w:lang w:val="en-US" w:eastAsia="zh-CN"/>
              </w:rPr>
            </w:pPr>
            <w:r>
              <w:rPr>
                <w:rFonts w:hint="default" w:ascii="Times New Roman" w:hAnsi="Times New Roman" w:cs="Times New Roman"/>
                <w:color w:val="auto"/>
                <w:szCs w:val="24"/>
                <w:lang w:val="en-US" w:eastAsia="zh-CN"/>
              </w:rPr>
              <w:t>（</w:t>
            </w:r>
            <w:r>
              <w:rPr>
                <w:rFonts w:hint="eastAsia" w:cs="Times New Roman"/>
                <w:color w:val="auto"/>
                <w:szCs w:val="24"/>
                <w:lang w:val="en-US" w:eastAsia="zh-CN"/>
              </w:rPr>
              <w:t>5</w:t>
            </w:r>
            <w:r>
              <w:rPr>
                <w:rFonts w:hint="default" w:ascii="Times New Roman" w:hAnsi="Times New Roman" w:cs="Times New Roman"/>
                <w:color w:val="auto"/>
                <w:szCs w:val="24"/>
                <w:lang w:val="en-US" w:eastAsia="zh-CN"/>
              </w:rPr>
              <w:t>）废包装桶：</w:t>
            </w:r>
            <w:r>
              <w:rPr>
                <w:rFonts w:hint="eastAsia" w:cs="Times New Roman"/>
                <w:color w:val="auto"/>
                <w:szCs w:val="24"/>
                <w:lang w:val="en-US" w:eastAsia="zh-CN"/>
              </w:rPr>
              <w:t>项目生产过程中，产生的完好的包装桶由厂家回收。根据建设单位技术人员的经验分析并结合本项目生产能力，废包装桶产生量约为0.5</w:t>
            </w:r>
            <w:r>
              <w:rPr>
                <w:rFonts w:hint="default" w:ascii="Times New Roman" w:hAnsi="Times New Roman" w:cs="Times New Roman"/>
                <w:color w:val="auto"/>
                <w:szCs w:val="24"/>
                <w:lang w:val="en-US" w:eastAsia="zh-CN"/>
              </w:rPr>
              <w:t>t/a</w:t>
            </w:r>
            <w:r>
              <w:rPr>
                <w:rFonts w:hint="eastAsia" w:ascii="Times New Roman" w:hAnsi="Times New Roman" w:cs="Times New Roman"/>
                <w:color w:val="auto"/>
                <w:szCs w:val="24"/>
                <w:lang w:val="en-US" w:eastAsia="zh-CN"/>
              </w:rPr>
              <w:t>，</w:t>
            </w:r>
            <w:r>
              <w:rPr>
                <w:rFonts w:hint="default" w:ascii="Times New Roman" w:hAnsi="Times New Roman" w:cs="Times New Roman"/>
                <w:color w:val="auto"/>
                <w:sz w:val="24"/>
                <w:szCs w:val="22"/>
              </w:rPr>
              <w:t>根据</w:t>
            </w:r>
            <w:r>
              <w:rPr>
                <w:rFonts w:hint="default" w:ascii="Times New Roman" w:hAnsi="Times New Roman" w:cs="Times New Roman"/>
                <w:color w:val="auto"/>
                <w:szCs w:val="24"/>
                <w:lang w:val="en-US" w:eastAsia="zh-CN"/>
              </w:rPr>
              <w:t>《国家危险废物名录（202</w:t>
            </w:r>
            <w:r>
              <w:rPr>
                <w:rFonts w:hint="eastAsia" w:cs="Times New Roman"/>
                <w:color w:val="auto"/>
                <w:szCs w:val="24"/>
                <w:lang w:val="en-US" w:eastAsia="zh-CN"/>
              </w:rPr>
              <w:t>5</w:t>
            </w:r>
            <w:r>
              <w:rPr>
                <w:rFonts w:hint="default" w:ascii="Times New Roman" w:hAnsi="Times New Roman" w:cs="Times New Roman"/>
                <w:color w:val="auto"/>
                <w:szCs w:val="24"/>
                <w:lang w:val="en-US" w:eastAsia="zh-CN"/>
              </w:rPr>
              <w:t>年版）》</w:t>
            </w:r>
            <w:r>
              <w:rPr>
                <w:rFonts w:hint="default" w:ascii="Times New Roman" w:hAnsi="Times New Roman" w:cs="Times New Roman"/>
                <w:color w:val="auto"/>
                <w:sz w:val="24"/>
                <w:szCs w:val="22"/>
              </w:rPr>
              <w:t>，废包装桶属于危险废物（HW49其他废物），危废代码为900-041-49</w:t>
            </w:r>
            <w:r>
              <w:rPr>
                <w:rFonts w:hint="eastAsia" w:ascii="Times New Roman" w:hAnsi="Times New Roman" w:cs="Times New Roman"/>
                <w:color w:val="auto"/>
                <w:sz w:val="24"/>
                <w:szCs w:val="22"/>
                <w:lang w:eastAsia="zh-CN"/>
              </w:rPr>
              <w:t>，</w:t>
            </w:r>
            <w:r>
              <w:rPr>
                <w:rFonts w:hint="default" w:ascii="Times New Roman" w:hAnsi="Times New Roman" w:cs="Times New Roman"/>
                <w:color w:val="auto"/>
                <w:szCs w:val="24"/>
              </w:rPr>
              <w:t>危废间暂存后委托有资质单位进行处置</w:t>
            </w:r>
            <w:r>
              <w:rPr>
                <w:rFonts w:hint="eastAsia" w:cs="Times New Roman"/>
                <w:color w:val="auto"/>
                <w:szCs w:val="24"/>
                <w:lang w:eastAsia="zh-CN"/>
              </w:rPr>
              <w:t>。</w:t>
            </w:r>
          </w:p>
          <w:p w14:paraId="34283866">
            <w:pPr>
              <w:ind w:firstLine="480" w:firstLineChars="200"/>
              <w:rPr>
                <w:rFonts w:hint="default" w:ascii="Times New Roman" w:hAnsi="Times New Roman" w:cs="Times New Roman"/>
                <w:color w:val="auto"/>
                <w:szCs w:val="24"/>
                <w:lang w:val="en-US" w:eastAsia="zh-CN"/>
              </w:rPr>
            </w:pPr>
            <w:r>
              <w:rPr>
                <w:rFonts w:hint="default" w:ascii="Times New Roman" w:hAnsi="Times New Roman" w:cs="Times New Roman"/>
                <w:color w:val="auto"/>
                <w:szCs w:val="24"/>
                <w:lang w:val="en-US" w:eastAsia="zh-CN"/>
              </w:rPr>
              <w:t>（</w:t>
            </w:r>
            <w:r>
              <w:rPr>
                <w:rFonts w:hint="eastAsia" w:cs="Times New Roman"/>
                <w:color w:val="auto"/>
                <w:szCs w:val="24"/>
                <w:lang w:val="en-US" w:eastAsia="zh-CN"/>
              </w:rPr>
              <w:t>6</w:t>
            </w:r>
            <w:r>
              <w:rPr>
                <w:rFonts w:hint="default" w:ascii="Times New Roman" w:hAnsi="Times New Roman" w:cs="Times New Roman"/>
                <w:color w:val="auto"/>
                <w:szCs w:val="24"/>
                <w:lang w:val="en-US" w:eastAsia="zh-CN"/>
              </w:rPr>
              <w:t>）冷凝废液：项目抽真空过程中会有一定量的废液产生。根据建设单位提供资料以及类比同类项目，废液产生量约为产品量的0.5‰，则产生量为10t/a（有机溶剂含量约为3.87t/a）。</w:t>
            </w:r>
            <w:r>
              <w:rPr>
                <w:rFonts w:hint="default" w:ascii="Times New Roman" w:hAnsi="Times New Roman" w:cs="Times New Roman"/>
                <w:color w:val="auto"/>
                <w:sz w:val="24"/>
                <w:szCs w:val="22"/>
              </w:rPr>
              <w:t>根据</w:t>
            </w:r>
            <w:r>
              <w:rPr>
                <w:rFonts w:hint="default" w:ascii="Times New Roman" w:hAnsi="Times New Roman" w:cs="Times New Roman"/>
                <w:color w:val="auto"/>
                <w:szCs w:val="24"/>
                <w:lang w:val="en-US" w:eastAsia="zh-CN"/>
              </w:rPr>
              <w:t>《国家危险废物名录（202</w:t>
            </w:r>
            <w:r>
              <w:rPr>
                <w:rFonts w:hint="eastAsia" w:cs="Times New Roman"/>
                <w:color w:val="auto"/>
                <w:szCs w:val="24"/>
                <w:lang w:val="en-US" w:eastAsia="zh-CN"/>
              </w:rPr>
              <w:t>5</w:t>
            </w:r>
            <w:r>
              <w:rPr>
                <w:rFonts w:hint="default" w:ascii="Times New Roman" w:hAnsi="Times New Roman" w:cs="Times New Roman"/>
                <w:color w:val="auto"/>
                <w:szCs w:val="24"/>
                <w:lang w:val="en-US" w:eastAsia="zh-CN"/>
              </w:rPr>
              <w:t>年版）》</w:t>
            </w:r>
            <w:r>
              <w:rPr>
                <w:rFonts w:hint="default" w:ascii="Times New Roman" w:hAnsi="Times New Roman" w:cs="Times New Roman"/>
                <w:color w:val="auto"/>
                <w:sz w:val="24"/>
                <w:szCs w:val="22"/>
              </w:rPr>
              <w:t>，</w:t>
            </w:r>
            <w:r>
              <w:rPr>
                <w:rFonts w:hint="default" w:ascii="Times New Roman" w:hAnsi="Times New Roman" w:cs="Times New Roman"/>
                <w:color w:val="auto"/>
                <w:szCs w:val="24"/>
                <w:lang w:val="en-US" w:eastAsia="zh-CN"/>
              </w:rPr>
              <w:t>抽真空废液为危险废物（HW13有机树脂类废物），危废代码为265-103-13，</w:t>
            </w:r>
            <w:r>
              <w:rPr>
                <w:rFonts w:hint="default" w:ascii="Times New Roman" w:hAnsi="Times New Roman" w:cs="Times New Roman"/>
                <w:color w:val="auto"/>
                <w:szCs w:val="24"/>
              </w:rPr>
              <w:t>危废间暂存后委托有资质单位进行处置</w:t>
            </w:r>
            <w:r>
              <w:rPr>
                <w:rFonts w:hint="default" w:ascii="Times New Roman" w:hAnsi="Times New Roman" w:cs="Times New Roman"/>
                <w:color w:val="auto"/>
                <w:szCs w:val="24"/>
                <w:lang w:val="en-US" w:eastAsia="zh-CN"/>
              </w:rPr>
              <w:t>。</w:t>
            </w:r>
          </w:p>
          <w:p w14:paraId="56EE10CF">
            <w:pPr>
              <w:ind w:firstLine="480" w:firstLineChars="200"/>
              <w:rPr>
                <w:rFonts w:hint="default" w:ascii="Times New Roman" w:hAnsi="Times New Roman" w:cs="Times New Roman"/>
                <w:color w:val="auto"/>
                <w:szCs w:val="24"/>
                <w:lang w:val="en-US" w:eastAsia="zh-CN"/>
              </w:rPr>
            </w:pPr>
            <w:r>
              <w:rPr>
                <w:rFonts w:hint="default" w:ascii="Times New Roman" w:hAnsi="Times New Roman" w:cs="Times New Roman"/>
                <w:color w:val="auto"/>
                <w:szCs w:val="24"/>
                <w:lang w:val="en-US" w:eastAsia="zh-CN"/>
              </w:rPr>
              <w:t>（</w:t>
            </w:r>
            <w:r>
              <w:rPr>
                <w:rFonts w:hint="eastAsia" w:cs="Times New Roman"/>
                <w:color w:val="auto"/>
                <w:szCs w:val="24"/>
                <w:lang w:val="en-US" w:eastAsia="zh-CN"/>
              </w:rPr>
              <w:t>7</w:t>
            </w:r>
            <w:r>
              <w:rPr>
                <w:rFonts w:hint="default" w:ascii="Times New Roman" w:hAnsi="Times New Roman" w:cs="Times New Roman"/>
                <w:color w:val="auto"/>
                <w:szCs w:val="24"/>
                <w:lang w:val="en-US" w:eastAsia="zh-CN"/>
              </w:rPr>
              <w:t>）废活性炭：根据前文工程分析，项目有机废气产生量为8.6t/a，有机废气收集效率为90%，先冷凝（效率50%）后再经“二级活性炭吸附装置”吸附处理，二级活性炭装置吸附效率约90%，经工程分析计算，活性炭吸附有机废气</w:t>
            </w:r>
            <w:r>
              <w:rPr>
                <w:rFonts w:hint="default" w:ascii="Times New Roman" w:hAnsi="Times New Roman" w:eastAsia="宋体" w:cs="Times New Roman"/>
                <w:color w:val="auto"/>
                <w:sz w:val="24"/>
                <w:szCs w:val="24"/>
                <w:lang w:val="en-US" w:eastAsia="zh-CN"/>
              </w:rPr>
              <w:t>3.096t/a。</w:t>
            </w:r>
            <w:r>
              <w:rPr>
                <w:rFonts w:hint="default" w:ascii="Times New Roman" w:hAnsi="Times New Roman" w:cs="Times New Roman"/>
                <w:color w:val="auto"/>
                <w:szCs w:val="24"/>
                <w:lang w:val="en-US" w:eastAsia="zh-CN"/>
              </w:rPr>
              <w:t>参照《简明通风设计手册》，以1t活性炭可吸附0.24t的VOCs来估算废活性炭产生量，则本项目</w:t>
            </w:r>
            <w:r>
              <w:rPr>
                <w:rFonts w:hint="default" w:ascii="Times New Roman" w:hAnsi="Times New Roman" w:eastAsia="宋体" w:cs="Times New Roman"/>
                <w:color w:val="auto"/>
                <w:sz w:val="24"/>
                <w:szCs w:val="24"/>
                <w:lang w:val="en-US" w:eastAsia="zh-CN"/>
              </w:rPr>
              <w:t>需活性炭用量约为12.9t/a。</w:t>
            </w:r>
            <w:r>
              <w:rPr>
                <w:rFonts w:hint="default" w:ascii="Times New Roman" w:hAnsi="Times New Roman" w:cs="Times New Roman"/>
                <w:color w:val="auto"/>
                <w:szCs w:val="24"/>
                <w:lang w:val="en-US" w:eastAsia="zh-CN"/>
              </w:rPr>
              <w:t>目设置2个活性炭吸附箱，活性炭填充量</w:t>
            </w:r>
            <w:r>
              <w:rPr>
                <w:rFonts w:hint="eastAsia" w:cs="Times New Roman"/>
                <w:color w:val="auto"/>
                <w:szCs w:val="24"/>
                <w:lang w:val="en-US" w:eastAsia="zh-CN"/>
              </w:rPr>
              <w:t>5</w:t>
            </w:r>
            <w:r>
              <w:rPr>
                <w:rFonts w:hint="default" w:ascii="Times New Roman" w:hAnsi="Times New Roman" w:cs="Times New Roman"/>
                <w:color w:val="auto"/>
                <w:szCs w:val="24"/>
                <w:lang w:val="en-US" w:eastAsia="zh-CN"/>
              </w:rPr>
              <w:t>t，</w:t>
            </w:r>
            <w:r>
              <w:rPr>
                <w:rFonts w:hint="default" w:ascii="Times New Roman" w:hAnsi="Times New Roman" w:eastAsia="宋体" w:cs="Times New Roman"/>
                <w:color w:val="auto"/>
                <w:sz w:val="24"/>
                <w:szCs w:val="24"/>
                <w:lang w:val="en-US" w:eastAsia="zh-CN"/>
              </w:rPr>
              <w:t>为保证活性炭吸附装置的处理效果，</w:t>
            </w:r>
            <w:r>
              <w:rPr>
                <w:rFonts w:hint="default" w:ascii="Times New Roman" w:hAnsi="Times New Roman" w:cs="Times New Roman"/>
                <w:color w:val="auto"/>
                <w:szCs w:val="24"/>
                <w:lang w:val="en-US" w:eastAsia="zh-CN"/>
              </w:rPr>
              <w:t>活性炭每两个月更换一次，每次更换的第一道活性炭作为危废，第二道转移至第一道活性炭箱，向第二道活性炭箱填装新的活性炭</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Cs w:val="24"/>
                <w:lang w:val="en-US" w:eastAsia="zh-CN"/>
              </w:rPr>
              <w:t>每年更换六次，消耗</w:t>
            </w:r>
            <w:r>
              <w:rPr>
                <w:rFonts w:hint="default" w:ascii="Times New Roman" w:hAnsi="Times New Roman" w:cs="Times New Roman"/>
                <w:color w:val="auto"/>
                <w:szCs w:val="24"/>
                <w:lang w:val="en-US" w:eastAsia="zh-CN"/>
              </w:rPr>
              <w:t>1</w:t>
            </w:r>
            <w:r>
              <w:rPr>
                <w:rFonts w:hint="eastAsia" w:cs="Times New Roman"/>
                <w:color w:val="auto"/>
                <w:szCs w:val="24"/>
                <w:lang w:val="en-US" w:eastAsia="zh-CN"/>
              </w:rPr>
              <w:t>5</w:t>
            </w:r>
            <w:r>
              <w:rPr>
                <w:rFonts w:hint="default" w:ascii="Times New Roman" w:hAnsi="Times New Roman" w:cs="Times New Roman"/>
                <w:color w:val="auto"/>
                <w:szCs w:val="24"/>
                <w:lang w:val="en-US" w:eastAsia="zh-CN"/>
              </w:rPr>
              <w:t>t</w:t>
            </w:r>
            <w:r>
              <w:rPr>
                <w:rFonts w:hint="default" w:ascii="Times New Roman" w:hAnsi="Times New Roman" w:cs="Times New Roman"/>
                <w:color w:val="auto"/>
                <w:szCs w:val="24"/>
                <w:lang w:val="en-US" w:eastAsia="zh-CN"/>
              </w:rPr>
              <w:t>活性炭。</w:t>
            </w:r>
          </w:p>
          <w:p w14:paraId="5D98CFF2">
            <w:pPr>
              <w:ind w:firstLine="480" w:firstLineChars="200"/>
              <w:rPr>
                <w:rFonts w:hint="default" w:ascii="Times New Roman" w:hAnsi="Times New Roman" w:cs="Times New Roman"/>
                <w:color w:val="auto"/>
                <w:szCs w:val="24"/>
                <w:lang w:val="en-US" w:eastAsia="zh-CN"/>
              </w:rPr>
            </w:pPr>
            <w:r>
              <w:rPr>
                <w:rFonts w:hint="default" w:ascii="Times New Roman" w:hAnsi="Times New Roman" w:cs="Times New Roman"/>
                <w:color w:val="auto"/>
                <w:szCs w:val="24"/>
                <w:lang w:val="en-US" w:eastAsia="zh-CN"/>
              </w:rPr>
              <w:t>废活性炭为活性炭用量与吸收废气量总和，则项目废活性炭产生量约为</w:t>
            </w:r>
            <w:r>
              <w:rPr>
                <w:rFonts w:hint="default" w:ascii="Times New Roman" w:hAnsi="Times New Roman" w:cs="Times New Roman"/>
                <w:color w:val="auto"/>
                <w:szCs w:val="24"/>
                <w:lang w:val="en-US" w:eastAsia="zh-CN"/>
              </w:rPr>
              <w:t>1</w:t>
            </w:r>
            <w:r>
              <w:rPr>
                <w:rFonts w:hint="eastAsia" w:cs="Times New Roman"/>
                <w:color w:val="auto"/>
                <w:szCs w:val="24"/>
                <w:lang w:val="en-US" w:eastAsia="zh-CN"/>
              </w:rPr>
              <w:t>8</w:t>
            </w:r>
            <w:r>
              <w:rPr>
                <w:rFonts w:hint="default" w:ascii="Times New Roman" w:hAnsi="Times New Roman" w:cs="Times New Roman"/>
                <w:color w:val="auto"/>
                <w:szCs w:val="24"/>
                <w:lang w:val="en-US" w:eastAsia="zh-CN"/>
              </w:rPr>
              <w:t>.096t/a</w:t>
            </w:r>
            <w:r>
              <w:rPr>
                <w:rFonts w:hint="default" w:ascii="Times New Roman" w:hAnsi="Times New Roman" w:cs="Times New Roman"/>
                <w:color w:val="auto"/>
                <w:szCs w:val="24"/>
                <w:lang w:val="en-US" w:eastAsia="zh-CN"/>
              </w:rPr>
              <w:t>。根据《国家危险废物名录（202</w:t>
            </w:r>
            <w:r>
              <w:rPr>
                <w:rFonts w:hint="eastAsia" w:cs="Times New Roman"/>
                <w:color w:val="auto"/>
                <w:szCs w:val="24"/>
                <w:lang w:val="en-US" w:eastAsia="zh-CN"/>
              </w:rPr>
              <w:t>5</w:t>
            </w:r>
            <w:r>
              <w:rPr>
                <w:rFonts w:hint="default" w:ascii="Times New Roman" w:hAnsi="Times New Roman" w:cs="Times New Roman"/>
                <w:color w:val="auto"/>
                <w:szCs w:val="24"/>
                <w:lang w:val="en-US" w:eastAsia="zh-CN"/>
              </w:rPr>
              <w:t>年版）》，废活性炭属于危险废物，危废类别为HW49，废物代码900-039-49，</w:t>
            </w:r>
            <w:r>
              <w:rPr>
                <w:rFonts w:hint="default" w:ascii="Times New Roman" w:hAnsi="Times New Roman" w:cs="Times New Roman"/>
                <w:color w:val="auto"/>
                <w:szCs w:val="24"/>
              </w:rPr>
              <w:t>危废间暂存后委托有资质单位进行处置</w:t>
            </w:r>
            <w:r>
              <w:rPr>
                <w:rFonts w:hint="default" w:ascii="Times New Roman" w:hAnsi="Times New Roman" w:cs="Times New Roman"/>
                <w:color w:val="auto"/>
                <w:szCs w:val="24"/>
                <w:lang w:val="en-US" w:eastAsia="zh-CN"/>
              </w:rPr>
              <w:t>。</w:t>
            </w:r>
          </w:p>
          <w:p w14:paraId="1FACCDA8">
            <w:pPr>
              <w:ind w:firstLine="480" w:firstLineChars="200"/>
              <w:rPr>
                <w:rFonts w:hint="default" w:ascii="Times New Roman" w:hAnsi="Times New Roman" w:cs="Times New Roman"/>
                <w:color w:val="auto"/>
                <w:szCs w:val="24"/>
                <w:lang w:val="en-US" w:eastAsia="zh-CN"/>
              </w:rPr>
            </w:pPr>
            <w:r>
              <w:rPr>
                <w:rFonts w:hint="default" w:ascii="Times New Roman" w:hAnsi="Times New Roman" w:cs="Times New Roman"/>
                <w:color w:val="auto"/>
                <w:szCs w:val="24"/>
                <w:lang w:val="en-US" w:eastAsia="zh-CN"/>
              </w:rPr>
              <w:t>（</w:t>
            </w:r>
            <w:r>
              <w:rPr>
                <w:rFonts w:hint="eastAsia" w:cs="Times New Roman"/>
                <w:color w:val="auto"/>
                <w:szCs w:val="24"/>
                <w:lang w:val="en-US" w:eastAsia="zh-CN"/>
              </w:rPr>
              <w:t>8</w:t>
            </w:r>
            <w:r>
              <w:rPr>
                <w:rFonts w:hint="default" w:ascii="Times New Roman" w:hAnsi="Times New Roman" w:cs="Times New Roman"/>
                <w:color w:val="auto"/>
                <w:szCs w:val="24"/>
                <w:lang w:val="en-US" w:eastAsia="zh-CN"/>
              </w:rPr>
              <w:t>）废过滤棉：有机废气处理装置中的过滤棉需定期更换，半年更换一次，每年产生废过滤棉量约0.6t/a，根据《国家危险废物名录（202</w:t>
            </w:r>
            <w:r>
              <w:rPr>
                <w:rFonts w:hint="eastAsia" w:cs="Times New Roman"/>
                <w:color w:val="auto"/>
                <w:szCs w:val="24"/>
                <w:lang w:val="en-US" w:eastAsia="zh-CN"/>
              </w:rPr>
              <w:t>5</w:t>
            </w:r>
            <w:r>
              <w:rPr>
                <w:rFonts w:hint="default" w:ascii="Times New Roman" w:hAnsi="Times New Roman" w:cs="Times New Roman"/>
                <w:color w:val="auto"/>
                <w:szCs w:val="24"/>
                <w:lang w:val="en-US" w:eastAsia="zh-CN"/>
              </w:rPr>
              <w:t>版）》危废类别HW49，危废代码900-041-49，密封暂存于危废暂存间，定期委托有资质单位进行处置。</w:t>
            </w:r>
          </w:p>
          <w:p w14:paraId="215D4F5B">
            <w:pPr>
              <w:ind w:firstLine="480" w:firstLineChars="200"/>
              <w:rPr>
                <w:rFonts w:hint="default" w:ascii="Times New Roman" w:hAnsi="Times New Roman" w:cs="Times New Roman"/>
                <w:color w:val="auto"/>
                <w:szCs w:val="24"/>
                <w:lang w:val="en-US" w:eastAsia="zh-CN"/>
              </w:rPr>
            </w:pPr>
            <w:r>
              <w:rPr>
                <w:rFonts w:hint="default" w:ascii="Times New Roman" w:hAnsi="Times New Roman" w:cs="Times New Roman"/>
                <w:color w:val="auto"/>
                <w:szCs w:val="24"/>
                <w:lang w:val="en-US" w:eastAsia="zh-CN"/>
              </w:rPr>
              <w:t>（</w:t>
            </w:r>
            <w:r>
              <w:rPr>
                <w:rFonts w:hint="eastAsia" w:cs="Times New Roman"/>
                <w:color w:val="auto"/>
                <w:szCs w:val="24"/>
                <w:lang w:val="en-US" w:eastAsia="zh-CN"/>
              </w:rPr>
              <w:t>9</w:t>
            </w:r>
            <w:r>
              <w:rPr>
                <w:rFonts w:hint="default" w:ascii="Times New Roman" w:hAnsi="Times New Roman" w:cs="Times New Roman"/>
                <w:color w:val="auto"/>
                <w:szCs w:val="24"/>
                <w:lang w:val="en-US" w:eastAsia="zh-CN"/>
              </w:rPr>
              <w:t>）废机油：项目设备维护会产生废机油，废机油产生量为0.1t/a，根据《国家危险废物名录（202</w:t>
            </w:r>
            <w:r>
              <w:rPr>
                <w:rFonts w:hint="eastAsia" w:cs="Times New Roman"/>
                <w:color w:val="auto"/>
                <w:szCs w:val="24"/>
                <w:lang w:val="en-US" w:eastAsia="zh-CN"/>
              </w:rPr>
              <w:t>5</w:t>
            </w:r>
            <w:r>
              <w:rPr>
                <w:rFonts w:hint="default" w:ascii="Times New Roman" w:hAnsi="Times New Roman" w:cs="Times New Roman"/>
                <w:color w:val="auto"/>
                <w:szCs w:val="24"/>
                <w:lang w:val="en-US" w:eastAsia="zh-CN"/>
              </w:rPr>
              <w:t>年版）》，废机油属于危险废物（HW08废矿物油与含矿物油废物），危险代码为900-2</w:t>
            </w:r>
            <w:r>
              <w:rPr>
                <w:rFonts w:hint="eastAsia" w:cs="Times New Roman"/>
                <w:color w:val="auto"/>
                <w:szCs w:val="24"/>
                <w:lang w:val="en-US" w:eastAsia="zh-CN"/>
              </w:rPr>
              <w:t>14</w:t>
            </w:r>
            <w:r>
              <w:rPr>
                <w:rFonts w:hint="default" w:ascii="Times New Roman" w:hAnsi="Times New Roman" w:cs="Times New Roman"/>
                <w:color w:val="auto"/>
                <w:szCs w:val="24"/>
                <w:lang w:val="en-US" w:eastAsia="zh-CN"/>
              </w:rPr>
              <w:t>-08，</w:t>
            </w:r>
            <w:r>
              <w:rPr>
                <w:rFonts w:hint="default" w:ascii="Times New Roman" w:hAnsi="Times New Roman" w:cs="Times New Roman"/>
                <w:color w:val="auto"/>
                <w:szCs w:val="24"/>
              </w:rPr>
              <w:t>危废间暂存后委托有资质单位进行处置</w:t>
            </w:r>
            <w:r>
              <w:rPr>
                <w:rFonts w:hint="default" w:ascii="Times New Roman" w:hAnsi="Times New Roman" w:cs="Times New Roman"/>
                <w:color w:val="auto"/>
                <w:szCs w:val="24"/>
                <w:lang w:val="en-US" w:eastAsia="zh-CN"/>
              </w:rPr>
              <w:t>。</w:t>
            </w:r>
          </w:p>
          <w:p w14:paraId="38DBDCFF">
            <w:pPr>
              <w:ind w:firstLine="480" w:firstLineChars="200"/>
              <w:rPr>
                <w:rFonts w:hint="default" w:ascii="Times New Roman" w:hAnsi="Times New Roman" w:cs="Times New Roman"/>
                <w:color w:val="auto"/>
                <w:szCs w:val="24"/>
                <w:lang w:val="en-US" w:eastAsia="zh-CN"/>
              </w:rPr>
            </w:pPr>
            <w:r>
              <w:rPr>
                <w:rFonts w:hint="default" w:ascii="Times New Roman" w:hAnsi="Times New Roman" w:cs="Times New Roman"/>
                <w:color w:val="auto"/>
                <w:szCs w:val="24"/>
                <w:lang w:val="en-US" w:eastAsia="zh-CN"/>
              </w:rPr>
              <w:t>（</w:t>
            </w:r>
            <w:r>
              <w:rPr>
                <w:rFonts w:hint="eastAsia" w:cs="Times New Roman"/>
                <w:color w:val="auto"/>
                <w:szCs w:val="24"/>
                <w:lang w:val="en-US" w:eastAsia="zh-CN"/>
              </w:rPr>
              <w:t>10</w:t>
            </w:r>
            <w:r>
              <w:rPr>
                <w:rFonts w:hint="default" w:ascii="Times New Roman" w:hAnsi="Times New Roman" w:cs="Times New Roman"/>
                <w:color w:val="auto"/>
                <w:szCs w:val="24"/>
                <w:lang w:val="en-US" w:eastAsia="zh-CN"/>
              </w:rPr>
              <w:t>）废机油桶：项目废机油桶产生量约为0.01t/a，根据《国家危险废物名录（202</w:t>
            </w:r>
            <w:r>
              <w:rPr>
                <w:rFonts w:hint="eastAsia" w:cs="Times New Roman"/>
                <w:color w:val="auto"/>
                <w:szCs w:val="24"/>
                <w:lang w:val="en-US" w:eastAsia="zh-CN"/>
              </w:rPr>
              <w:t>5</w:t>
            </w:r>
            <w:r>
              <w:rPr>
                <w:rFonts w:hint="default" w:ascii="Times New Roman" w:hAnsi="Times New Roman" w:cs="Times New Roman"/>
                <w:color w:val="auto"/>
                <w:szCs w:val="24"/>
                <w:lang w:val="en-US" w:eastAsia="zh-CN"/>
              </w:rPr>
              <w:t>年版）》，废机油桶属于危险废物（HW08废矿物油与含矿物油废物），危险代码为900-249-08，</w:t>
            </w:r>
            <w:r>
              <w:rPr>
                <w:rFonts w:hint="default" w:ascii="Times New Roman" w:hAnsi="Times New Roman" w:cs="Times New Roman"/>
                <w:color w:val="auto"/>
                <w:szCs w:val="24"/>
              </w:rPr>
              <w:t>危废间暂存后委托有资质单位进行处置</w:t>
            </w:r>
            <w:r>
              <w:rPr>
                <w:rFonts w:hint="default" w:ascii="Times New Roman" w:hAnsi="Times New Roman" w:cs="Times New Roman"/>
                <w:color w:val="auto"/>
                <w:szCs w:val="24"/>
                <w:lang w:val="en-US" w:eastAsia="zh-CN"/>
              </w:rPr>
              <w:t>。</w:t>
            </w:r>
          </w:p>
          <w:p w14:paraId="249DD8EE">
            <w:pPr>
              <w:ind w:firstLine="480" w:firstLineChars="200"/>
              <w:rPr>
                <w:rFonts w:hint="default" w:ascii="Times New Roman" w:hAnsi="Times New Roman" w:cs="Times New Roman"/>
                <w:color w:val="auto"/>
                <w:szCs w:val="24"/>
                <w:lang w:val="en-US" w:eastAsia="zh-CN"/>
              </w:rPr>
            </w:pPr>
            <w:r>
              <w:rPr>
                <w:rFonts w:hint="default" w:ascii="Times New Roman" w:hAnsi="Times New Roman" w:cs="Times New Roman"/>
                <w:color w:val="auto"/>
                <w:szCs w:val="24"/>
                <w:lang w:val="en-US" w:eastAsia="zh-CN"/>
              </w:rPr>
              <w:t>（1</w:t>
            </w:r>
            <w:r>
              <w:rPr>
                <w:rFonts w:hint="eastAsia" w:cs="Times New Roman"/>
                <w:color w:val="auto"/>
                <w:szCs w:val="24"/>
                <w:lang w:val="en-US" w:eastAsia="zh-CN"/>
              </w:rPr>
              <w:t>1</w:t>
            </w:r>
            <w:r>
              <w:rPr>
                <w:rFonts w:hint="default" w:ascii="Times New Roman" w:hAnsi="Times New Roman" w:cs="Times New Roman"/>
                <w:color w:val="auto"/>
                <w:szCs w:val="24"/>
                <w:lang w:val="en-US" w:eastAsia="zh-CN"/>
              </w:rPr>
              <w:t>）生活垃圾：项目劳动定员50人，每日垃圾产生量0.5kg/人，年生产300天，则生活垃圾产生量为7.5t/a，收集后委托环卫部门清运处理。</w:t>
            </w:r>
          </w:p>
          <w:p w14:paraId="76CFA6C4">
            <w:pPr>
              <w:widowControl/>
              <w:spacing w:line="360" w:lineRule="auto"/>
              <w:ind w:firstLine="480" w:firstLineChars="200"/>
              <w:rPr>
                <w:rFonts w:hint="default" w:ascii="Times New Roman" w:hAnsi="Times New Roman" w:cs="Times New Roman"/>
                <w:color w:val="auto"/>
                <w:kern w:val="0"/>
                <w:szCs w:val="21"/>
                <w:lang w:bidi="ar"/>
              </w:rPr>
            </w:pPr>
            <w:r>
              <w:rPr>
                <w:rFonts w:hint="default" w:ascii="Times New Roman" w:hAnsi="Times New Roman" w:cs="Times New Roman"/>
                <w:color w:val="auto"/>
                <w:kern w:val="0"/>
                <w:szCs w:val="21"/>
                <w:lang w:bidi="ar"/>
              </w:rPr>
              <w:t>项目固体废物产生情况及治理情况见</w:t>
            </w:r>
            <w:r>
              <w:rPr>
                <w:rFonts w:hint="default" w:ascii="Times New Roman" w:hAnsi="Times New Roman" w:cs="Times New Roman"/>
                <w:color w:val="auto"/>
                <w:kern w:val="0"/>
                <w:szCs w:val="21"/>
                <w:lang w:val="en-US" w:eastAsia="zh-CN" w:bidi="ar"/>
              </w:rPr>
              <w:t>下</w:t>
            </w:r>
            <w:r>
              <w:rPr>
                <w:rFonts w:hint="default" w:ascii="Times New Roman" w:hAnsi="Times New Roman" w:cs="Times New Roman"/>
                <w:color w:val="auto"/>
                <w:kern w:val="0"/>
                <w:szCs w:val="21"/>
                <w:lang w:bidi="ar"/>
              </w:rPr>
              <w:t>表。</w:t>
            </w:r>
          </w:p>
          <w:p w14:paraId="7756F473">
            <w:pPr>
              <w:pStyle w:val="47"/>
              <w:bidi w:val="0"/>
              <w:rPr>
                <w:rFonts w:hint="default" w:ascii="Times New Roman" w:hAnsi="Times New Roman" w:cs="Times New Roman"/>
                <w:color w:val="auto"/>
              </w:rPr>
            </w:pPr>
            <w:r>
              <w:rPr>
                <w:rFonts w:hint="default" w:ascii="Times New Roman" w:hAnsi="Times New Roman" w:cs="Times New Roman"/>
                <w:color w:val="auto"/>
              </w:rPr>
              <w:t>表4-</w:t>
            </w:r>
            <w:r>
              <w:rPr>
                <w:rFonts w:hint="default" w:ascii="Times New Roman" w:hAnsi="Times New Roman" w:cs="Times New Roman"/>
                <w:color w:val="auto"/>
                <w:lang w:val="en-US" w:eastAsia="zh-CN"/>
              </w:rPr>
              <w:t xml:space="preserve">13 </w:t>
            </w:r>
            <w:r>
              <w:rPr>
                <w:rFonts w:hint="default" w:ascii="Times New Roman" w:hAnsi="Times New Roman" w:cs="Times New Roman"/>
                <w:color w:val="auto"/>
              </w:rPr>
              <w:t>项目固体废物产生及处置情况一览表</w:t>
            </w:r>
          </w:p>
          <w:tbl>
            <w:tblPr>
              <w:tblStyle w:val="33"/>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426"/>
              <w:gridCol w:w="1883"/>
              <w:gridCol w:w="1350"/>
              <w:gridCol w:w="857"/>
              <w:gridCol w:w="1149"/>
              <w:gridCol w:w="1352"/>
            </w:tblGrid>
            <w:tr w14:paraId="3BB7EE3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02" w:hRule="atLeast"/>
                <w:tblHeader/>
                <w:jc w:val="center"/>
              </w:trPr>
              <w:tc>
                <w:tcPr>
                  <w:tcW w:w="889" w:type="pct"/>
                  <w:tcBorders>
                    <w:tl2br w:val="nil"/>
                    <w:tr2bl w:val="nil"/>
                  </w:tcBorders>
                  <w:noWrap w:val="0"/>
                  <w:tcMar>
                    <w:left w:w="0" w:type="dxa"/>
                    <w:right w:w="0" w:type="dxa"/>
                  </w:tcMar>
                  <w:vAlign w:val="center"/>
                </w:tcPr>
                <w:p w14:paraId="4F8ACB3E">
                  <w:pPr>
                    <w:pStyle w:val="44"/>
                    <w:bidi w:val="0"/>
                    <w:rPr>
                      <w:rFonts w:hint="default" w:ascii="Times New Roman" w:hAnsi="Times New Roman" w:cs="Times New Roman"/>
                      <w:b/>
                      <w:bCs/>
                      <w:color w:val="auto"/>
                      <w:lang w:eastAsia="zh-CN"/>
                    </w:rPr>
                  </w:pPr>
                  <w:r>
                    <w:rPr>
                      <w:rFonts w:hint="default" w:ascii="Times New Roman" w:hAnsi="Times New Roman" w:cs="Times New Roman"/>
                      <w:b/>
                      <w:bCs/>
                      <w:color w:val="auto"/>
                    </w:rPr>
                    <w:t>固废</w:t>
                  </w:r>
                  <w:r>
                    <w:rPr>
                      <w:rFonts w:hint="default" w:ascii="Times New Roman" w:hAnsi="Times New Roman" w:cs="Times New Roman"/>
                      <w:b/>
                      <w:bCs/>
                      <w:color w:val="auto"/>
                      <w:lang w:val="en-US" w:eastAsia="zh-CN"/>
                    </w:rPr>
                    <w:t>名称</w:t>
                  </w:r>
                </w:p>
              </w:tc>
              <w:tc>
                <w:tcPr>
                  <w:tcW w:w="1174" w:type="pct"/>
                  <w:tcBorders>
                    <w:tl2br w:val="nil"/>
                    <w:tr2bl w:val="nil"/>
                  </w:tcBorders>
                  <w:noWrap w:val="0"/>
                  <w:vAlign w:val="center"/>
                </w:tcPr>
                <w:p w14:paraId="72C57A76">
                  <w:pPr>
                    <w:pStyle w:val="44"/>
                    <w:bidi w:val="0"/>
                    <w:rPr>
                      <w:rFonts w:hint="default" w:ascii="Times New Roman" w:hAnsi="Times New Roman" w:cs="Times New Roman"/>
                      <w:b/>
                      <w:bCs/>
                      <w:color w:val="auto"/>
                    </w:rPr>
                  </w:pPr>
                  <w:r>
                    <w:rPr>
                      <w:rFonts w:hint="default" w:ascii="Times New Roman" w:hAnsi="Times New Roman" w:cs="Times New Roman"/>
                      <w:b/>
                      <w:bCs/>
                      <w:color w:val="auto"/>
                    </w:rPr>
                    <w:t>产生工序</w:t>
                  </w:r>
                </w:p>
              </w:tc>
              <w:tc>
                <w:tcPr>
                  <w:tcW w:w="841" w:type="pct"/>
                  <w:tcBorders>
                    <w:tl2br w:val="nil"/>
                    <w:tr2bl w:val="nil"/>
                  </w:tcBorders>
                  <w:noWrap w:val="0"/>
                  <w:vAlign w:val="center"/>
                </w:tcPr>
                <w:p w14:paraId="0D579BDE">
                  <w:pPr>
                    <w:pStyle w:val="44"/>
                    <w:bidi w:val="0"/>
                    <w:rPr>
                      <w:rFonts w:hint="default" w:ascii="Times New Roman" w:hAnsi="Times New Roman" w:cs="Times New Roman"/>
                      <w:b/>
                      <w:bCs/>
                      <w:color w:val="auto"/>
                    </w:rPr>
                  </w:pPr>
                  <w:r>
                    <w:rPr>
                      <w:rFonts w:hint="default" w:ascii="Times New Roman" w:hAnsi="Times New Roman" w:cs="Times New Roman"/>
                      <w:b/>
                      <w:bCs/>
                      <w:color w:val="auto"/>
                    </w:rPr>
                    <w:t>代码</w:t>
                  </w:r>
                </w:p>
              </w:tc>
              <w:tc>
                <w:tcPr>
                  <w:tcW w:w="534" w:type="pct"/>
                  <w:tcBorders>
                    <w:tl2br w:val="nil"/>
                    <w:tr2bl w:val="nil"/>
                  </w:tcBorders>
                  <w:noWrap w:val="0"/>
                  <w:vAlign w:val="center"/>
                </w:tcPr>
                <w:p w14:paraId="1712FB84">
                  <w:pPr>
                    <w:pStyle w:val="44"/>
                    <w:bidi w:val="0"/>
                    <w:rPr>
                      <w:rFonts w:hint="default" w:ascii="Times New Roman" w:hAnsi="Times New Roman" w:cs="Times New Roman"/>
                      <w:b/>
                      <w:bCs/>
                      <w:color w:val="auto"/>
                    </w:rPr>
                  </w:pPr>
                  <w:r>
                    <w:rPr>
                      <w:rFonts w:hint="default" w:ascii="Times New Roman" w:hAnsi="Times New Roman" w:cs="Times New Roman"/>
                      <w:b/>
                      <w:bCs/>
                      <w:color w:val="auto"/>
                    </w:rPr>
                    <w:t>产生量（t/a）</w:t>
                  </w:r>
                </w:p>
              </w:tc>
              <w:tc>
                <w:tcPr>
                  <w:tcW w:w="716" w:type="pct"/>
                  <w:tcBorders>
                    <w:tl2br w:val="nil"/>
                    <w:tr2bl w:val="nil"/>
                  </w:tcBorders>
                  <w:noWrap w:val="0"/>
                  <w:vAlign w:val="center"/>
                </w:tcPr>
                <w:p w14:paraId="60CBFD68">
                  <w:pPr>
                    <w:pStyle w:val="44"/>
                    <w:bidi w:val="0"/>
                    <w:rPr>
                      <w:rFonts w:hint="default" w:ascii="Times New Roman" w:hAnsi="Times New Roman" w:cs="Times New Roman"/>
                      <w:b/>
                      <w:bCs/>
                      <w:color w:val="auto"/>
                    </w:rPr>
                  </w:pPr>
                  <w:r>
                    <w:rPr>
                      <w:rFonts w:hint="default" w:ascii="Times New Roman" w:hAnsi="Times New Roman" w:cs="Times New Roman"/>
                      <w:b/>
                      <w:bCs/>
                      <w:color w:val="auto"/>
                    </w:rPr>
                    <w:t>属性</w:t>
                  </w:r>
                </w:p>
              </w:tc>
              <w:tc>
                <w:tcPr>
                  <w:tcW w:w="843" w:type="pct"/>
                  <w:tcBorders>
                    <w:tl2br w:val="nil"/>
                    <w:tr2bl w:val="nil"/>
                  </w:tcBorders>
                  <w:noWrap w:val="0"/>
                  <w:tcMar>
                    <w:left w:w="0" w:type="dxa"/>
                    <w:right w:w="0" w:type="dxa"/>
                  </w:tcMar>
                  <w:vAlign w:val="center"/>
                </w:tcPr>
                <w:p w14:paraId="04EBA46A">
                  <w:pPr>
                    <w:pStyle w:val="44"/>
                    <w:bidi w:val="0"/>
                    <w:rPr>
                      <w:rFonts w:hint="default" w:ascii="Times New Roman" w:hAnsi="Times New Roman" w:cs="Times New Roman"/>
                      <w:b/>
                      <w:bCs/>
                      <w:color w:val="auto"/>
                    </w:rPr>
                  </w:pPr>
                  <w:r>
                    <w:rPr>
                      <w:rFonts w:hint="default" w:ascii="Times New Roman" w:hAnsi="Times New Roman" w:cs="Times New Roman"/>
                      <w:b/>
                      <w:bCs/>
                      <w:color w:val="auto"/>
                    </w:rPr>
                    <w:t>处理方式</w:t>
                  </w:r>
                </w:p>
              </w:tc>
            </w:tr>
            <w:tr w14:paraId="5C4A97A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89" w:type="pct"/>
                  <w:tcBorders>
                    <w:tl2br w:val="nil"/>
                    <w:tr2bl w:val="nil"/>
                  </w:tcBorders>
                  <w:noWrap w:val="0"/>
                  <w:tcMar>
                    <w:left w:w="0" w:type="dxa"/>
                    <w:right w:w="0" w:type="dxa"/>
                  </w:tcMar>
                  <w:vAlign w:val="center"/>
                </w:tcPr>
                <w:p w14:paraId="548577AE">
                  <w:pPr>
                    <w:pStyle w:val="44"/>
                    <w:bidi w:val="0"/>
                    <w:rPr>
                      <w:rFonts w:hint="default" w:ascii="Times New Roman" w:hAnsi="Times New Roman" w:cs="Times New Roman"/>
                      <w:color w:val="auto"/>
                    </w:rPr>
                  </w:pPr>
                  <w:r>
                    <w:rPr>
                      <w:rFonts w:hint="default" w:ascii="Times New Roman" w:hAnsi="Times New Roman" w:cs="Times New Roman"/>
                      <w:color w:val="auto"/>
                      <w:szCs w:val="24"/>
                      <w:lang w:val="en-US" w:eastAsia="zh-CN"/>
                    </w:rPr>
                    <w:t>普通</w:t>
                  </w:r>
                  <w:r>
                    <w:rPr>
                      <w:rFonts w:hint="default" w:ascii="Times New Roman" w:hAnsi="Times New Roman" w:cs="Times New Roman"/>
                      <w:color w:val="auto"/>
                      <w:szCs w:val="24"/>
                    </w:rPr>
                    <w:t>废</w:t>
                  </w:r>
                  <w:r>
                    <w:rPr>
                      <w:rFonts w:hint="default" w:ascii="Times New Roman" w:hAnsi="Times New Roman" w:cs="Times New Roman"/>
                      <w:color w:val="auto"/>
                      <w:szCs w:val="24"/>
                      <w:lang w:val="en-US" w:eastAsia="zh-CN"/>
                    </w:rPr>
                    <w:t>包装</w:t>
                  </w:r>
                </w:p>
              </w:tc>
              <w:tc>
                <w:tcPr>
                  <w:tcW w:w="1174" w:type="pct"/>
                  <w:tcBorders>
                    <w:tl2br w:val="nil"/>
                    <w:tr2bl w:val="nil"/>
                  </w:tcBorders>
                  <w:noWrap w:val="0"/>
                  <w:vAlign w:val="center"/>
                </w:tcPr>
                <w:p w14:paraId="3EA0B7B9">
                  <w:pPr>
                    <w:pStyle w:val="44"/>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原料拆包</w:t>
                  </w:r>
                </w:p>
              </w:tc>
              <w:tc>
                <w:tcPr>
                  <w:tcW w:w="841" w:type="pct"/>
                  <w:tcBorders>
                    <w:tl2br w:val="nil"/>
                    <w:tr2bl w:val="nil"/>
                  </w:tcBorders>
                  <w:noWrap w:val="0"/>
                  <w:vAlign w:val="center"/>
                </w:tcPr>
                <w:p w14:paraId="4DD2D558">
                  <w:pPr>
                    <w:pStyle w:val="44"/>
                    <w:bidi w:val="0"/>
                    <w:rPr>
                      <w:rFonts w:hint="default" w:ascii="Times New Roman" w:hAnsi="Times New Roman" w:cs="Times New Roman"/>
                      <w:color w:val="auto"/>
                    </w:rPr>
                  </w:pPr>
                  <w:r>
                    <w:rPr>
                      <w:rFonts w:hint="default" w:ascii="Times New Roman" w:hAnsi="Times New Roman" w:cs="Times New Roman"/>
                      <w:color w:val="auto"/>
                      <w:lang w:val="en-US" w:eastAsia="zh-CN"/>
                    </w:rPr>
                    <w:t>900-099-S59</w:t>
                  </w:r>
                </w:p>
              </w:tc>
              <w:tc>
                <w:tcPr>
                  <w:tcW w:w="534" w:type="pct"/>
                  <w:tcBorders>
                    <w:tl2br w:val="nil"/>
                    <w:tr2bl w:val="nil"/>
                  </w:tcBorders>
                  <w:noWrap w:val="0"/>
                  <w:vAlign w:val="center"/>
                </w:tcPr>
                <w:p w14:paraId="237E2A19">
                  <w:pPr>
                    <w:pStyle w:val="44"/>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2.0</w:t>
                  </w:r>
                </w:p>
              </w:tc>
              <w:tc>
                <w:tcPr>
                  <w:tcW w:w="716" w:type="pct"/>
                  <w:tcBorders>
                    <w:tl2br w:val="nil"/>
                    <w:tr2bl w:val="nil"/>
                  </w:tcBorders>
                  <w:noWrap w:val="0"/>
                  <w:vAlign w:val="center"/>
                </w:tcPr>
                <w:p w14:paraId="2FFD7153">
                  <w:pPr>
                    <w:pStyle w:val="44"/>
                    <w:bidi w:val="0"/>
                    <w:rPr>
                      <w:rFonts w:hint="default" w:ascii="Times New Roman" w:hAnsi="Times New Roman" w:cs="Times New Roman"/>
                      <w:color w:val="auto"/>
                    </w:rPr>
                  </w:pPr>
                  <w:r>
                    <w:rPr>
                      <w:rFonts w:hint="default" w:ascii="Times New Roman" w:hAnsi="Times New Roman" w:cs="Times New Roman"/>
                      <w:color w:val="auto"/>
                    </w:rPr>
                    <w:t>一般固废</w:t>
                  </w:r>
                </w:p>
              </w:tc>
              <w:tc>
                <w:tcPr>
                  <w:tcW w:w="843" w:type="pct"/>
                  <w:tcBorders>
                    <w:tl2br w:val="nil"/>
                    <w:tr2bl w:val="nil"/>
                  </w:tcBorders>
                  <w:noWrap w:val="0"/>
                  <w:tcMar>
                    <w:left w:w="0" w:type="dxa"/>
                    <w:right w:w="0" w:type="dxa"/>
                  </w:tcMar>
                  <w:vAlign w:val="center"/>
                </w:tcPr>
                <w:p w14:paraId="151BDDFE">
                  <w:pPr>
                    <w:pStyle w:val="44"/>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外售</w:t>
                  </w:r>
                </w:p>
              </w:tc>
            </w:tr>
            <w:tr w14:paraId="68ABBE2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89" w:type="pct"/>
                  <w:tcBorders>
                    <w:tl2br w:val="nil"/>
                    <w:tr2bl w:val="nil"/>
                  </w:tcBorders>
                  <w:noWrap w:val="0"/>
                  <w:tcMar>
                    <w:left w:w="0" w:type="dxa"/>
                    <w:right w:w="0" w:type="dxa"/>
                  </w:tcMar>
                  <w:vAlign w:val="center"/>
                </w:tcPr>
                <w:p w14:paraId="32572586">
                  <w:pPr>
                    <w:pStyle w:val="44"/>
                    <w:bidi w:val="0"/>
                    <w:rPr>
                      <w:rFonts w:hint="default" w:ascii="Times New Roman" w:hAnsi="Times New Roman" w:cs="Times New Roman"/>
                      <w:color w:val="auto"/>
                      <w:lang w:val="en-US" w:eastAsia="zh-CN"/>
                    </w:rPr>
                  </w:pPr>
                  <w:r>
                    <w:rPr>
                      <w:rFonts w:hint="default" w:ascii="Times New Roman" w:hAnsi="Times New Roman" w:cs="Times New Roman"/>
                      <w:color w:val="auto"/>
                      <w:szCs w:val="24"/>
                      <w:lang w:val="en-US" w:eastAsia="zh-CN"/>
                    </w:rPr>
                    <w:t>除尘器收尘</w:t>
                  </w:r>
                </w:p>
              </w:tc>
              <w:tc>
                <w:tcPr>
                  <w:tcW w:w="1174" w:type="pct"/>
                  <w:tcBorders>
                    <w:tl2br w:val="nil"/>
                    <w:tr2bl w:val="nil"/>
                  </w:tcBorders>
                  <w:noWrap w:val="0"/>
                  <w:vAlign w:val="center"/>
                </w:tcPr>
                <w:p w14:paraId="3EEEBA32">
                  <w:pPr>
                    <w:pStyle w:val="44"/>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废气治理</w:t>
                  </w:r>
                </w:p>
              </w:tc>
              <w:tc>
                <w:tcPr>
                  <w:tcW w:w="841" w:type="pct"/>
                  <w:tcBorders>
                    <w:tl2br w:val="nil"/>
                    <w:tr2bl w:val="nil"/>
                  </w:tcBorders>
                  <w:noWrap w:val="0"/>
                  <w:vAlign w:val="center"/>
                </w:tcPr>
                <w:p w14:paraId="5F032616">
                  <w:pPr>
                    <w:pStyle w:val="44"/>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900-099-S59</w:t>
                  </w:r>
                </w:p>
              </w:tc>
              <w:tc>
                <w:tcPr>
                  <w:tcW w:w="534" w:type="pct"/>
                  <w:tcBorders>
                    <w:tl2br w:val="nil"/>
                    <w:tr2bl w:val="nil"/>
                  </w:tcBorders>
                  <w:noWrap w:val="0"/>
                  <w:vAlign w:val="center"/>
                </w:tcPr>
                <w:p w14:paraId="758C2F0E">
                  <w:pPr>
                    <w:pStyle w:val="44"/>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9.1</w:t>
                  </w:r>
                </w:p>
              </w:tc>
              <w:tc>
                <w:tcPr>
                  <w:tcW w:w="716" w:type="pct"/>
                  <w:tcBorders>
                    <w:tl2br w:val="nil"/>
                    <w:tr2bl w:val="nil"/>
                  </w:tcBorders>
                  <w:noWrap w:val="0"/>
                  <w:vAlign w:val="center"/>
                </w:tcPr>
                <w:p w14:paraId="6AD9038E">
                  <w:pPr>
                    <w:pStyle w:val="44"/>
                    <w:bidi w:val="0"/>
                    <w:rPr>
                      <w:rFonts w:hint="default" w:ascii="Times New Roman" w:hAnsi="Times New Roman" w:cs="Times New Roman"/>
                      <w:color w:val="auto"/>
                      <w:lang w:val="en-US" w:eastAsia="zh-CN"/>
                    </w:rPr>
                  </w:pPr>
                  <w:r>
                    <w:rPr>
                      <w:rFonts w:hint="default" w:ascii="Times New Roman" w:hAnsi="Times New Roman" w:cs="Times New Roman"/>
                      <w:color w:val="auto"/>
                    </w:rPr>
                    <w:t>一般固废</w:t>
                  </w:r>
                </w:p>
              </w:tc>
              <w:tc>
                <w:tcPr>
                  <w:tcW w:w="843" w:type="pct"/>
                  <w:tcBorders>
                    <w:tl2br w:val="nil"/>
                    <w:tr2bl w:val="nil"/>
                  </w:tcBorders>
                  <w:noWrap w:val="0"/>
                  <w:tcMar>
                    <w:left w:w="0" w:type="dxa"/>
                    <w:right w:w="0" w:type="dxa"/>
                  </w:tcMar>
                  <w:vAlign w:val="center"/>
                </w:tcPr>
                <w:p w14:paraId="675774BC">
                  <w:pPr>
                    <w:pStyle w:val="44"/>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回用于生产</w:t>
                  </w:r>
                </w:p>
              </w:tc>
            </w:tr>
            <w:tr w14:paraId="22A937A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89" w:type="pct"/>
                  <w:tcBorders>
                    <w:tl2br w:val="nil"/>
                    <w:tr2bl w:val="nil"/>
                  </w:tcBorders>
                  <w:noWrap w:val="0"/>
                  <w:tcMar>
                    <w:left w:w="0" w:type="dxa"/>
                    <w:right w:w="0" w:type="dxa"/>
                  </w:tcMar>
                  <w:vAlign w:val="center"/>
                </w:tcPr>
                <w:p w14:paraId="4A1A607E">
                  <w:pPr>
                    <w:pStyle w:val="44"/>
                    <w:bidi w:val="0"/>
                    <w:rPr>
                      <w:rFonts w:hint="default" w:ascii="Times New Roman" w:hAnsi="Times New Roman" w:cs="Times New Roman"/>
                      <w:color w:val="auto"/>
                      <w:szCs w:val="24"/>
                      <w:lang w:val="en-US" w:eastAsia="zh-CN"/>
                    </w:rPr>
                  </w:pPr>
                  <w:r>
                    <w:rPr>
                      <w:rFonts w:hint="default" w:ascii="Times New Roman" w:hAnsi="Times New Roman" w:cs="Times New Roman"/>
                      <w:color w:val="auto"/>
                      <w:szCs w:val="24"/>
                      <w:lang w:val="en-US" w:eastAsia="zh-CN"/>
                    </w:rPr>
                    <w:t>车间沉降粉尘</w:t>
                  </w:r>
                </w:p>
              </w:tc>
              <w:tc>
                <w:tcPr>
                  <w:tcW w:w="1174" w:type="pct"/>
                  <w:tcBorders>
                    <w:tl2br w:val="nil"/>
                    <w:tr2bl w:val="nil"/>
                  </w:tcBorders>
                  <w:noWrap w:val="0"/>
                  <w:vAlign w:val="center"/>
                </w:tcPr>
                <w:p w14:paraId="7D86F787">
                  <w:pPr>
                    <w:pStyle w:val="44"/>
                    <w:bidi w:val="0"/>
                    <w:rPr>
                      <w:rFonts w:hint="default" w:ascii="Times New Roman" w:hAnsi="Times New Roman" w:cs="Times New Roman"/>
                      <w:color w:val="auto"/>
                      <w:lang w:val="en-US" w:eastAsia="zh-CN"/>
                    </w:rPr>
                  </w:pPr>
                  <w:r>
                    <w:rPr>
                      <w:rFonts w:hint="eastAsia" w:cs="Times New Roman"/>
                      <w:color w:val="auto"/>
                      <w:lang w:val="en-US" w:eastAsia="zh-CN"/>
                    </w:rPr>
                    <w:t>投料计量</w:t>
                  </w:r>
                </w:p>
              </w:tc>
              <w:tc>
                <w:tcPr>
                  <w:tcW w:w="841" w:type="pct"/>
                  <w:tcBorders>
                    <w:tl2br w:val="nil"/>
                    <w:tr2bl w:val="nil"/>
                  </w:tcBorders>
                  <w:noWrap w:val="0"/>
                  <w:vAlign w:val="center"/>
                </w:tcPr>
                <w:p w14:paraId="34451222">
                  <w:pPr>
                    <w:pStyle w:val="44"/>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900-099-S59</w:t>
                  </w:r>
                </w:p>
              </w:tc>
              <w:tc>
                <w:tcPr>
                  <w:tcW w:w="534" w:type="pct"/>
                  <w:tcBorders>
                    <w:tl2br w:val="nil"/>
                    <w:tr2bl w:val="nil"/>
                  </w:tcBorders>
                  <w:noWrap w:val="0"/>
                  <w:vAlign w:val="center"/>
                </w:tcPr>
                <w:p w14:paraId="453101CF">
                  <w:pPr>
                    <w:pStyle w:val="44"/>
                    <w:bidi w:val="0"/>
                    <w:rPr>
                      <w:rFonts w:hint="default" w:ascii="Times New Roman" w:hAnsi="Times New Roman" w:cs="Times New Roman"/>
                      <w:color w:val="auto"/>
                      <w:lang w:val="en-US" w:eastAsia="zh-CN"/>
                    </w:rPr>
                  </w:pPr>
                  <w:r>
                    <w:rPr>
                      <w:rFonts w:hint="eastAsia" w:cs="Times New Roman"/>
                      <w:color w:val="auto"/>
                      <w:lang w:val="en-US" w:eastAsia="zh-CN"/>
                    </w:rPr>
                    <w:t>0.612</w:t>
                  </w:r>
                </w:p>
              </w:tc>
              <w:tc>
                <w:tcPr>
                  <w:tcW w:w="716" w:type="pct"/>
                  <w:tcBorders>
                    <w:tl2br w:val="nil"/>
                    <w:tr2bl w:val="nil"/>
                  </w:tcBorders>
                  <w:shd w:val="clear" w:color="auto" w:fill="auto"/>
                  <w:noWrap w:val="0"/>
                  <w:vAlign w:val="center"/>
                </w:tcPr>
                <w:p w14:paraId="76C9A63F">
                  <w:pPr>
                    <w:pStyle w:val="44"/>
                    <w:bidi w:val="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rPr>
                    <w:t>一般固废</w:t>
                  </w:r>
                </w:p>
              </w:tc>
              <w:tc>
                <w:tcPr>
                  <w:tcW w:w="843" w:type="pct"/>
                  <w:tcBorders>
                    <w:tl2br w:val="nil"/>
                    <w:tr2bl w:val="nil"/>
                  </w:tcBorders>
                  <w:shd w:val="clear" w:color="auto" w:fill="auto"/>
                  <w:noWrap w:val="0"/>
                  <w:tcMar>
                    <w:left w:w="0" w:type="dxa"/>
                    <w:right w:w="0" w:type="dxa"/>
                  </w:tcMar>
                  <w:vAlign w:val="center"/>
                </w:tcPr>
                <w:p w14:paraId="18E87761">
                  <w:pPr>
                    <w:pStyle w:val="44"/>
                    <w:bidi w:val="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lang w:val="en-US" w:eastAsia="zh-CN"/>
                    </w:rPr>
                    <w:t>回用于生产</w:t>
                  </w:r>
                </w:p>
              </w:tc>
            </w:tr>
            <w:tr w14:paraId="7CAACAD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89" w:type="pct"/>
                  <w:tcBorders>
                    <w:tl2br w:val="nil"/>
                    <w:tr2bl w:val="nil"/>
                  </w:tcBorders>
                  <w:noWrap w:val="0"/>
                  <w:tcMar>
                    <w:left w:w="0" w:type="dxa"/>
                    <w:right w:w="0" w:type="dxa"/>
                  </w:tcMar>
                  <w:vAlign w:val="center"/>
                </w:tcPr>
                <w:p w14:paraId="77231AA4">
                  <w:pPr>
                    <w:pStyle w:val="44"/>
                    <w:bidi w:val="0"/>
                    <w:rPr>
                      <w:rFonts w:hint="default" w:ascii="Times New Roman" w:hAnsi="Times New Roman" w:cs="Times New Roman"/>
                      <w:color w:val="auto"/>
                      <w:szCs w:val="24"/>
                      <w:lang w:val="en-US" w:eastAsia="zh-CN"/>
                    </w:rPr>
                  </w:pPr>
                  <w:r>
                    <w:rPr>
                      <w:rFonts w:hint="default" w:ascii="Times New Roman" w:hAnsi="Times New Roman" w:cs="Times New Roman"/>
                      <w:color w:val="auto"/>
                      <w:szCs w:val="24"/>
                      <w:lang w:val="en-US" w:eastAsia="zh-CN"/>
                    </w:rPr>
                    <w:t>废布袋</w:t>
                  </w:r>
                </w:p>
              </w:tc>
              <w:tc>
                <w:tcPr>
                  <w:tcW w:w="1174" w:type="pct"/>
                  <w:tcBorders>
                    <w:tl2br w:val="nil"/>
                    <w:tr2bl w:val="nil"/>
                  </w:tcBorders>
                  <w:noWrap w:val="0"/>
                  <w:vAlign w:val="center"/>
                </w:tcPr>
                <w:p w14:paraId="0C837EB3">
                  <w:pPr>
                    <w:pStyle w:val="44"/>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废气治理</w:t>
                  </w:r>
                </w:p>
              </w:tc>
              <w:tc>
                <w:tcPr>
                  <w:tcW w:w="841" w:type="pct"/>
                  <w:tcBorders>
                    <w:tl2br w:val="nil"/>
                    <w:tr2bl w:val="nil"/>
                  </w:tcBorders>
                  <w:noWrap w:val="0"/>
                  <w:vAlign w:val="center"/>
                </w:tcPr>
                <w:p w14:paraId="553B15B0">
                  <w:pPr>
                    <w:pStyle w:val="44"/>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900-099-S59</w:t>
                  </w:r>
                </w:p>
              </w:tc>
              <w:tc>
                <w:tcPr>
                  <w:tcW w:w="534" w:type="pct"/>
                  <w:tcBorders>
                    <w:tl2br w:val="nil"/>
                    <w:tr2bl w:val="nil"/>
                  </w:tcBorders>
                  <w:noWrap w:val="0"/>
                  <w:vAlign w:val="center"/>
                </w:tcPr>
                <w:p w14:paraId="0DC385DB">
                  <w:pPr>
                    <w:pStyle w:val="44"/>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0.2</w:t>
                  </w:r>
                </w:p>
              </w:tc>
              <w:tc>
                <w:tcPr>
                  <w:tcW w:w="716" w:type="pct"/>
                  <w:tcBorders>
                    <w:tl2br w:val="nil"/>
                    <w:tr2bl w:val="nil"/>
                  </w:tcBorders>
                  <w:noWrap w:val="0"/>
                  <w:vAlign w:val="center"/>
                </w:tcPr>
                <w:p w14:paraId="722A4D0E">
                  <w:pPr>
                    <w:pStyle w:val="44"/>
                    <w:bidi w:val="0"/>
                    <w:rPr>
                      <w:rFonts w:hint="default" w:ascii="Times New Roman" w:hAnsi="Times New Roman" w:cs="Times New Roman"/>
                      <w:color w:val="auto"/>
                    </w:rPr>
                  </w:pPr>
                  <w:r>
                    <w:rPr>
                      <w:rFonts w:hint="default" w:ascii="Times New Roman" w:hAnsi="Times New Roman" w:cs="Times New Roman"/>
                      <w:color w:val="auto"/>
                    </w:rPr>
                    <w:t>一般固废</w:t>
                  </w:r>
                </w:p>
              </w:tc>
              <w:tc>
                <w:tcPr>
                  <w:tcW w:w="843" w:type="pct"/>
                  <w:tcBorders>
                    <w:tl2br w:val="nil"/>
                    <w:tr2bl w:val="nil"/>
                  </w:tcBorders>
                  <w:noWrap w:val="0"/>
                  <w:tcMar>
                    <w:left w:w="0" w:type="dxa"/>
                    <w:right w:w="0" w:type="dxa"/>
                  </w:tcMar>
                  <w:vAlign w:val="center"/>
                </w:tcPr>
                <w:p w14:paraId="354573A0">
                  <w:pPr>
                    <w:pStyle w:val="44"/>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外售</w:t>
                  </w:r>
                </w:p>
              </w:tc>
            </w:tr>
            <w:tr w14:paraId="52E677A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89" w:type="pct"/>
                  <w:tcBorders>
                    <w:tl2br w:val="nil"/>
                    <w:tr2bl w:val="nil"/>
                  </w:tcBorders>
                  <w:noWrap w:val="0"/>
                  <w:tcMar>
                    <w:left w:w="0" w:type="dxa"/>
                    <w:right w:w="0" w:type="dxa"/>
                  </w:tcMar>
                  <w:vAlign w:val="center"/>
                </w:tcPr>
                <w:p w14:paraId="31A82442">
                  <w:pPr>
                    <w:pStyle w:val="44"/>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生活垃圾</w:t>
                  </w:r>
                </w:p>
              </w:tc>
              <w:tc>
                <w:tcPr>
                  <w:tcW w:w="1174" w:type="pct"/>
                  <w:tcBorders>
                    <w:tl2br w:val="nil"/>
                    <w:tr2bl w:val="nil"/>
                  </w:tcBorders>
                  <w:noWrap w:val="0"/>
                  <w:vAlign w:val="center"/>
                </w:tcPr>
                <w:p w14:paraId="553F6212">
                  <w:pPr>
                    <w:pStyle w:val="44"/>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职工生活</w:t>
                  </w:r>
                </w:p>
              </w:tc>
              <w:tc>
                <w:tcPr>
                  <w:tcW w:w="841" w:type="pct"/>
                  <w:tcBorders>
                    <w:tl2br w:val="nil"/>
                    <w:tr2bl w:val="nil"/>
                  </w:tcBorders>
                  <w:noWrap w:val="0"/>
                  <w:vAlign w:val="center"/>
                </w:tcPr>
                <w:p w14:paraId="20B3F031">
                  <w:pPr>
                    <w:pStyle w:val="44"/>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w:t>
                  </w:r>
                </w:p>
              </w:tc>
              <w:tc>
                <w:tcPr>
                  <w:tcW w:w="534" w:type="pct"/>
                  <w:tcBorders>
                    <w:tl2br w:val="nil"/>
                    <w:tr2bl w:val="nil"/>
                  </w:tcBorders>
                  <w:noWrap w:val="0"/>
                  <w:vAlign w:val="center"/>
                </w:tcPr>
                <w:p w14:paraId="24AB4785">
                  <w:pPr>
                    <w:pStyle w:val="44"/>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7.5</w:t>
                  </w:r>
                </w:p>
              </w:tc>
              <w:tc>
                <w:tcPr>
                  <w:tcW w:w="716" w:type="pct"/>
                  <w:tcBorders>
                    <w:tl2br w:val="nil"/>
                    <w:tr2bl w:val="nil"/>
                  </w:tcBorders>
                  <w:noWrap w:val="0"/>
                  <w:vAlign w:val="center"/>
                </w:tcPr>
                <w:p w14:paraId="01B1C194">
                  <w:pPr>
                    <w:pStyle w:val="44"/>
                    <w:bidi w:val="0"/>
                    <w:rPr>
                      <w:rFonts w:hint="default" w:ascii="Times New Roman" w:hAnsi="Times New Roman" w:cs="Times New Roman"/>
                      <w:color w:val="auto"/>
                    </w:rPr>
                  </w:pPr>
                  <w:r>
                    <w:rPr>
                      <w:rFonts w:hint="default" w:ascii="Times New Roman" w:hAnsi="Times New Roman" w:cs="Times New Roman"/>
                      <w:color w:val="auto"/>
                    </w:rPr>
                    <w:t>一般固废</w:t>
                  </w:r>
                </w:p>
              </w:tc>
              <w:tc>
                <w:tcPr>
                  <w:tcW w:w="843" w:type="pct"/>
                  <w:tcBorders>
                    <w:tl2br w:val="nil"/>
                    <w:tr2bl w:val="nil"/>
                  </w:tcBorders>
                  <w:noWrap w:val="0"/>
                  <w:tcMar>
                    <w:left w:w="0" w:type="dxa"/>
                    <w:right w:w="0" w:type="dxa"/>
                  </w:tcMar>
                  <w:vAlign w:val="center"/>
                </w:tcPr>
                <w:p w14:paraId="3704B19D">
                  <w:pPr>
                    <w:pStyle w:val="44"/>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环卫部门清运</w:t>
                  </w:r>
                </w:p>
              </w:tc>
            </w:tr>
            <w:tr w14:paraId="15DA37E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89" w:type="pct"/>
                  <w:tcBorders>
                    <w:tl2br w:val="nil"/>
                    <w:tr2bl w:val="nil"/>
                  </w:tcBorders>
                  <w:noWrap w:val="0"/>
                  <w:tcMar>
                    <w:left w:w="0" w:type="dxa"/>
                    <w:right w:w="0" w:type="dxa"/>
                  </w:tcMar>
                  <w:vAlign w:val="center"/>
                </w:tcPr>
                <w:p w14:paraId="5EFAD990">
                  <w:pPr>
                    <w:pStyle w:val="44"/>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废包装桶</w:t>
                  </w:r>
                </w:p>
              </w:tc>
              <w:tc>
                <w:tcPr>
                  <w:tcW w:w="1174" w:type="pct"/>
                  <w:tcBorders>
                    <w:tl2br w:val="nil"/>
                    <w:tr2bl w:val="nil"/>
                  </w:tcBorders>
                  <w:noWrap w:val="0"/>
                  <w:vAlign w:val="center"/>
                </w:tcPr>
                <w:p w14:paraId="18B706AB">
                  <w:pPr>
                    <w:pStyle w:val="44"/>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液体化工原料使用</w:t>
                  </w:r>
                </w:p>
              </w:tc>
              <w:tc>
                <w:tcPr>
                  <w:tcW w:w="841" w:type="pct"/>
                  <w:tcBorders>
                    <w:tl2br w:val="nil"/>
                    <w:tr2bl w:val="nil"/>
                  </w:tcBorders>
                  <w:noWrap w:val="0"/>
                  <w:vAlign w:val="center"/>
                </w:tcPr>
                <w:p w14:paraId="4D05A8B9">
                  <w:pPr>
                    <w:pStyle w:val="44"/>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HW49，900-041-49</w:t>
                  </w:r>
                </w:p>
              </w:tc>
              <w:tc>
                <w:tcPr>
                  <w:tcW w:w="534" w:type="pct"/>
                  <w:tcBorders>
                    <w:tl2br w:val="nil"/>
                    <w:tr2bl w:val="nil"/>
                  </w:tcBorders>
                  <w:noWrap w:val="0"/>
                  <w:vAlign w:val="center"/>
                </w:tcPr>
                <w:p w14:paraId="2AE23F4F">
                  <w:pPr>
                    <w:pStyle w:val="44"/>
                    <w:bidi w:val="0"/>
                    <w:rPr>
                      <w:rFonts w:hint="default" w:ascii="Times New Roman" w:hAnsi="Times New Roman" w:cs="Times New Roman"/>
                      <w:color w:val="auto"/>
                      <w:lang w:val="en-US" w:eastAsia="zh-CN"/>
                    </w:rPr>
                  </w:pPr>
                  <w:r>
                    <w:rPr>
                      <w:rFonts w:hint="eastAsia" w:cs="Times New Roman"/>
                      <w:color w:val="auto"/>
                      <w:lang w:val="en-US" w:eastAsia="zh-CN"/>
                    </w:rPr>
                    <w:t>0.5</w:t>
                  </w:r>
                </w:p>
              </w:tc>
              <w:tc>
                <w:tcPr>
                  <w:tcW w:w="716" w:type="pct"/>
                  <w:tcBorders>
                    <w:tl2br w:val="nil"/>
                    <w:tr2bl w:val="nil"/>
                  </w:tcBorders>
                  <w:noWrap w:val="0"/>
                  <w:vAlign w:val="center"/>
                </w:tcPr>
                <w:p w14:paraId="71C0E6B7">
                  <w:pPr>
                    <w:pStyle w:val="44"/>
                    <w:bidi w:val="0"/>
                    <w:rPr>
                      <w:rFonts w:hint="default" w:ascii="Times New Roman" w:hAnsi="Times New Roman" w:cs="Times New Roman"/>
                      <w:color w:val="auto"/>
                    </w:rPr>
                  </w:pPr>
                  <w:r>
                    <w:rPr>
                      <w:rFonts w:hint="default" w:ascii="Times New Roman" w:hAnsi="Times New Roman" w:cs="Times New Roman"/>
                      <w:color w:val="auto"/>
                      <w:lang w:val="en-US" w:eastAsia="zh-CN"/>
                    </w:rPr>
                    <w:t>危险废物</w:t>
                  </w:r>
                </w:p>
              </w:tc>
              <w:tc>
                <w:tcPr>
                  <w:tcW w:w="843" w:type="pct"/>
                  <w:vMerge w:val="restart"/>
                  <w:tcBorders>
                    <w:tl2br w:val="nil"/>
                    <w:tr2bl w:val="nil"/>
                  </w:tcBorders>
                  <w:noWrap w:val="0"/>
                  <w:tcMar>
                    <w:left w:w="0" w:type="dxa"/>
                    <w:right w:w="0" w:type="dxa"/>
                  </w:tcMar>
                  <w:vAlign w:val="center"/>
                </w:tcPr>
                <w:p w14:paraId="5EE7708C">
                  <w:pPr>
                    <w:pStyle w:val="44"/>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委托有资质单位处置</w:t>
                  </w:r>
                </w:p>
              </w:tc>
            </w:tr>
            <w:tr w14:paraId="556ECDA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889" w:type="pct"/>
                  <w:tcBorders>
                    <w:tl2br w:val="nil"/>
                    <w:tr2bl w:val="nil"/>
                  </w:tcBorders>
                  <w:noWrap w:val="0"/>
                  <w:tcMar>
                    <w:left w:w="0" w:type="dxa"/>
                    <w:right w:w="0" w:type="dxa"/>
                  </w:tcMar>
                  <w:vAlign w:val="center"/>
                </w:tcPr>
                <w:p w14:paraId="751A16DB">
                  <w:pPr>
                    <w:pStyle w:val="44"/>
                    <w:bidi w:val="0"/>
                    <w:rPr>
                      <w:rFonts w:hint="default" w:ascii="Times New Roman" w:hAnsi="Times New Roman" w:cs="Times New Roman"/>
                      <w:color w:val="auto"/>
                      <w:lang w:val="en-US" w:eastAsia="zh-CN"/>
                    </w:rPr>
                  </w:pPr>
                  <w:r>
                    <w:rPr>
                      <w:rFonts w:hint="default" w:ascii="Times New Roman" w:hAnsi="Times New Roman" w:cs="Times New Roman"/>
                      <w:color w:val="auto"/>
                      <w:szCs w:val="24"/>
                      <w:lang w:val="en-US" w:eastAsia="zh-CN"/>
                    </w:rPr>
                    <w:t>冷凝废液</w:t>
                  </w:r>
                </w:p>
              </w:tc>
              <w:tc>
                <w:tcPr>
                  <w:tcW w:w="1174" w:type="pct"/>
                  <w:tcBorders>
                    <w:tl2br w:val="nil"/>
                    <w:tr2bl w:val="nil"/>
                  </w:tcBorders>
                  <w:noWrap w:val="0"/>
                  <w:vAlign w:val="center"/>
                </w:tcPr>
                <w:p w14:paraId="261B2D24">
                  <w:pPr>
                    <w:pStyle w:val="44"/>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抽真空过程</w:t>
                  </w:r>
                </w:p>
              </w:tc>
              <w:tc>
                <w:tcPr>
                  <w:tcW w:w="841" w:type="pct"/>
                  <w:tcBorders>
                    <w:tl2br w:val="nil"/>
                    <w:tr2bl w:val="nil"/>
                  </w:tcBorders>
                  <w:noWrap w:val="0"/>
                  <w:vAlign w:val="center"/>
                </w:tcPr>
                <w:p w14:paraId="1A783F93">
                  <w:pPr>
                    <w:pStyle w:val="44"/>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HW13，</w:t>
                  </w:r>
                  <w:r>
                    <w:rPr>
                      <w:rFonts w:hint="default" w:ascii="Times New Roman" w:hAnsi="Times New Roman" w:cs="Times New Roman"/>
                      <w:color w:val="auto"/>
                      <w:szCs w:val="24"/>
                      <w:lang w:val="en-US" w:eastAsia="zh-CN"/>
                    </w:rPr>
                    <w:t>265-103-13</w:t>
                  </w:r>
                </w:p>
              </w:tc>
              <w:tc>
                <w:tcPr>
                  <w:tcW w:w="534" w:type="pct"/>
                  <w:tcBorders>
                    <w:tl2br w:val="nil"/>
                    <w:tr2bl w:val="nil"/>
                  </w:tcBorders>
                  <w:noWrap w:val="0"/>
                  <w:vAlign w:val="center"/>
                </w:tcPr>
                <w:p w14:paraId="50E6F059">
                  <w:pPr>
                    <w:pStyle w:val="44"/>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10</w:t>
                  </w:r>
                </w:p>
              </w:tc>
              <w:tc>
                <w:tcPr>
                  <w:tcW w:w="716" w:type="pct"/>
                  <w:tcBorders>
                    <w:tl2br w:val="nil"/>
                    <w:tr2bl w:val="nil"/>
                  </w:tcBorders>
                  <w:noWrap w:val="0"/>
                  <w:vAlign w:val="center"/>
                </w:tcPr>
                <w:p w14:paraId="46AE03D2">
                  <w:pPr>
                    <w:pStyle w:val="44"/>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危险废物</w:t>
                  </w:r>
                </w:p>
              </w:tc>
              <w:tc>
                <w:tcPr>
                  <w:tcW w:w="843" w:type="pct"/>
                  <w:vMerge w:val="continue"/>
                  <w:tcBorders>
                    <w:tl2br w:val="nil"/>
                    <w:tr2bl w:val="nil"/>
                  </w:tcBorders>
                  <w:noWrap w:val="0"/>
                  <w:tcMar>
                    <w:left w:w="0" w:type="dxa"/>
                    <w:right w:w="0" w:type="dxa"/>
                  </w:tcMar>
                  <w:vAlign w:val="center"/>
                </w:tcPr>
                <w:p w14:paraId="1CE12585">
                  <w:pPr>
                    <w:pStyle w:val="44"/>
                    <w:bidi w:val="0"/>
                    <w:rPr>
                      <w:rFonts w:hint="default" w:ascii="Times New Roman" w:hAnsi="Times New Roman" w:cs="Times New Roman"/>
                      <w:color w:val="auto"/>
                      <w:lang w:val="en-US" w:eastAsia="zh-CN"/>
                    </w:rPr>
                  </w:pPr>
                </w:p>
              </w:tc>
            </w:tr>
            <w:tr w14:paraId="05CB907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74" w:hRule="atLeast"/>
                <w:jc w:val="center"/>
              </w:trPr>
              <w:tc>
                <w:tcPr>
                  <w:tcW w:w="889" w:type="pct"/>
                  <w:tcBorders>
                    <w:tl2br w:val="nil"/>
                    <w:tr2bl w:val="nil"/>
                  </w:tcBorders>
                  <w:noWrap w:val="0"/>
                  <w:tcMar>
                    <w:left w:w="0" w:type="dxa"/>
                    <w:right w:w="0" w:type="dxa"/>
                  </w:tcMar>
                  <w:vAlign w:val="center"/>
                </w:tcPr>
                <w:p w14:paraId="6FF52C5F">
                  <w:pPr>
                    <w:pStyle w:val="44"/>
                    <w:bidi w:val="0"/>
                    <w:rPr>
                      <w:rFonts w:hint="default" w:ascii="Times New Roman" w:hAnsi="Times New Roman" w:cs="Times New Roman"/>
                      <w:color w:val="auto"/>
                      <w:lang w:val="en-US" w:eastAsia="zh-CN"/>
                    </w:rPr>
                  </w:pPr>
                  <w:r>
                    <w:rPr>
                      <w:rFonts w:hint="default" w:ascii="Times New Roman" w:hAnsi="Times New Roman" w:cs="Times New Roman"/>
                      <w:color w:val="auto"/>
                      <w:szCs w:val="24"/>
                      <w:lang w:val="en-US" w:eastAsia="zh-CN"/>
                    </w:rPr>
                    <w:t>废活性炭</w:t>
                  </w:r>
                </w:p>
              </w:tc>
              <w:tc>
                <w:tcPr>
                  <w:tcW w:w="1174" w:type="pct"/>
                  <w:tcBorders>
                    <w:tl2br w:val="nil"/>
                    <w:tr2bl w:val="nil"/>
                  </w:tcBorders>
                  <w:noWrap w:val="0"/>
                  <w:vAlign w:val="center"/>
                </w:tcPr>
                <w:p w14:paraId="1042DF3E">
                  <w:pPr>
                    <w:pStyle w:val="44"/>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有机废气治理</w:t>
                  </w:r>
                </w:p>
              </w:tc>
              <w:tc>
                <w:tcPr>
                  <w:tcW w:w="841" w:type="pct"/>
                  <w:tcBorders>
                    <w:tl2br w:val="nil"/>
                    <w:tr2bl w:val="nil"/>
                  </w:tcBorders>
                  <w:noWrap w:val="0"/>
                  <w:vAlign w:val="center"/>
                </w:tcPr>
                <w:p w14:paraId="0C22C988">
                  <w:pPr>
                    <w:pStyle w:val="44"/>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HW49，900-039-49</w:t>
                  </w:r>
                </w:p>
              </w:tc>
              <w:tc>
                <w:tcPr>
                  <w:tcW w:w="534" w:type="pct"/>
                  <w:tcBorders>
                    <w:tl2br w:val="nil"/>
                    <w:tr2bl w:val="nil"/>
                  </w:tcBorders>
                  <w:noWrap w:val="0"/>
                  <w:vAlign w:val="center"/>
                </w:tcPr>
                <w:p w14:paraId="2785BA35">
                  <w:pPr>
                    <w:pStyle w:val="44"/>
                    <w:bidi w:val="0"/>
                    <w:rPr>
                      <w:rFonts w:hint="default" w:ascii="Times New Roman" w:hAnsi="Times New Roman" w:cs="Times New Roman"/>
                      <w:color w:val="auto"/>
                      <w:lang w:val="en-US" w:eastAsia="zh-CN"/>
                    </w:rPr>
                  </w:pPr>
                  <w:r>
                    <w:rPr>
                      <w:rFonts w:hint="eastAsia" w:cs="Times New Roman"/>
                      <w:color w:val="auto"/>
                      <w:lang w:val="en-US" w:eastAsia="zh-CN"/>
                    </w:rPr>
                    <w:t>18.096</w:t>
                  </w:r>
                </w:p>
              </w:tc>
              <w:tc>
                <w:tcPr>
                  <w:tcW w:w="716" w:type="pct"/>
                  <w:tcBorders>
                    <w:tl2br w:val="nil"/>
                    <w:tr2bl w:val="nil"/>
                  </w:tcBorders>
                  <w:noWrap w:val="0"/>
                  <w:vAlign w:val="center"/>
                </w:tcPr>
                <w:p w14:paraId="49BAFA4E">
                  <w:pPr>
                    <w:pStyle w:val="44"/>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危险废物</w:t>
                  </w:r>
                </w:p>
              </w:tc>
              <w:tc>
                <w:tcPr>
                  <w:tcW w:w="843" w:type="pct"/>
                  <w:vMerge w:val="continue"/>
                  <w:tcBorders>
                    <w:tl2br w:val="nil"/>
                    <w:tr2bl w:val="nil"/>
                  </w:tcBorders>
                  <w:noWrap w:val="0"/>
                  <w:tcMar>
                    <w:left w:w="0" w:type="dxa"/>
                    <w:right w:w="0" w:type="dxa"/>
                  </w:tcMar>
                  <w:vAlign w:val="center"/>
                </w:tcPr>
                <w:p w14:paraId="5CEEF359">
                  <w:pPr>
                    <w:pStyle w:val="44"/>
                    <w:bidi w:val="0"/>
                    <w:rPr>
                      <w:rFonts w:hint="default" w:ascii="Times New Roman" w:hAnsi="Times New Roman" w:cs="Times New Roman"/>
                      <w:color w:val="auto"/>
                      <w:lang w:val="en-US" w:eastAsia="zh-CN"/>
                    </w:rPr>
                  </w:pPr>
                </w:p>
              </w:tc>
            </w:tr>
            <w:tr w14:paraId="24C0222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89" w:type="pct"/>
                  <w:tcBorders>
                    <w:tl2br w:val="nil"/>
                    <w:tr2bl w:val="nil"/>
                  </w:tcBorders>
                  <w:noWrap w:val="0"/>
                  <w:tcMar>
                    <w:left w:w="0" w:type="dxa"/>
                    <w:right w:w="0" w:type="dxa"/>
                  </w:tcMar>
                  <w:vAlign w:val="center"/>
                </w:tcPr>
                <w:p w14:paraId="19BF555E">
                  <w:pPr>
                    <w:pStyle w:val="44"/>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废过滤棉</w:t>
                  </w:r>
                </w:p>
              </w:tc>
              <w:tc>
                <w:tcPr>
                  <w:tcW w:w="1174" w:type="pct"/>
                  <w:tcBorders>
                    <w:tl2br w:val="nil"/>
                    <w:tr2bl w:val="nil"/>
                  </w:tcBorders>
                  <w:noWrap w:val="0"/>
                  <w:vAlign w:val="center"/>
                </w:tcPr>
                <w:p w14:paraId="6E3117B3">
                  <w:pPr>
                    <w:pStyle w:val="44"/>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有机废气治理</w:t>
                  </w:r>
                </w:p>
              </w:tc>
              <w:tc>
                <w:tcPr>
                  <w:tcW w:w="841" w:type="pct"/>
                  <w:tcBorders>
                    <w:tl2br w:val="nil"/>
                    <w:tr2bl w:val="nil"/>
                  </w:tcBorders>
                  <w:noWrap w:val="0"/>
                  <w:vAlign w:val="center"/>
                </w:tcPr>
                <w:p w14:paraId="6A162920">
                  <w:pPr>
                    <w:pStyle w:val="44"/>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HW49，900-041-49</w:t>
                  </w:r>
                </w:p>
              </w:tc>
              <w:tc>
                <w:tcPr>
                  <w:tcW w:w="534" w:type="pct"/>
                  <w:tcBorders>
                    <w:tl2br w:val="nil"/>
                    <w:tr2bl w:val="nil"/>
                  </w:tcBorders>
                  <w:noWrap w:val="0"/>
                  <w:vAlign w:val="center"/>
                </w:tcPr>
                <w:p w14:paraId="673B4018">
                  <w:pPr>
                    <w:pStyle w:val="44"/>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0.6</w:t>
                  </w:r>
                </w:p>
              </w:tc>
              <w:tc>
                <w:tcPr>
                  <w:tcW w:w="716" w:type="pct"/>
                  <w:tcBorders>
                    <w:tl2br w:val="nil"/>
                    <w:tr2bl w:val="nil"/>
                  </w:tcBorders>
                  <w:noWrap w:val="0"/>
                  <w:vAlign w:val="center"/>
                </w:tcPr>
                <w:p w14:paraId="1684F55D">
                  <w:pPr>
                    <w:pStyle w:val="44"/>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危险废物</w:t>
                  </w:r>
                </w:p>
              </w:tc>
              <w:tc>
                <w:tcPr>
                  <w:tcW w:w="843" w:type="pct"/>
                  <w:vMerge w:val="continue"/>
                  <w:tcBorders>
                    <w:tl2br w:val="nil"/>
                    <w:tr2bl w:val="nil"/>
                  </w:tcBorders>
                  <w:noWrap w:val="0"/>
                  <w:tcMar>
                    <w:left w:w="0" w:type="dxa"/>
                    <w:right w:w="0" w:type="dxa"/>
                  </w:tcMar>
                  <w:vAlign w:val="center"/>
                </w:tcPr>
                <w:p w14:paraId="41F17551">
                  <w:pPr>
                    <w:pStyle w:val="44"/>
                    <w:bidi w:val="0"/>
                    <w:rPr>
                      <w:rFonts w:hint="default" w:ascii="Times New Roman" w:hAnsi="Times New Roman" w:cs="Times New Roman"/>
                      <w:color w:val="auto"/>
                      <w:lang w:val="en-US" w:eastAsia="zh-CN"/>
                    </w:rPr>
                  </w:pPr>
                </w:p>
              </w:tc>
            </w:tr>
            <w:tr w14:paraId="4236B65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89" w:type="pct"/>
                  <w:tcBorders>
                    <w:tl2br w:val="nil"/>
                    <w:tr2bl w:val="nil"/>
                  </w:tcBorders>
                  <w:noWrap w:val="0"/>
                  <w:tcMar>
                    <w:left w:w="0" w:type="dxa"/>
                    <w:right w:w="0" w:type="dxa"/>
                  </w:tcMar>
                  <w:vAlign w:val="center"/>
                </w:tcPr>
                <w:p w14:paraId="62D039D9">
                  <w:pPr>
                    <w:pStyle w:val="44"/>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废机油</w:t>
                  </w:r>
                </w:p>
              </w:tc>
              <w:tc>
                <w:tcPr>
                  <w:tcW w:w="1174" w:type="pct"/>
                  <w:tcBorders>
                    <w:tl2br w:val="nil"/>
                    <w:tr2bl w:val="nil"/>
                  </w:tcBorders>
                  <w:noWrap w:val="0"/>
                  <w:vAlign w:val="center"/>
                </w:tcPr>
                <w:p w14:paraId="73F85CFA">
                  <w:pPr>
                    <w:pStyle w:val="44"/>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设备维护</w:t>
                  </w:r>
                </w:p>
              </w:tc>
              <w:tc>
                <w:tcPr>
                  <w:tcW w:w="841" w:type="pct"/>
                  <w:tcBorders>
                    <w:tl2br w:val="nil"/>
                    <w:tr2bl w:val="nil"/>
                  </w:tcBorders>
                  <w:noWrap w:val="0"/>
                  <w:vAlign w:val="center"/>
                </w:tcPr>
                <w:p w14:paraId="4F964F68">
                  <w:pPr>
                    <w:pStyle w:val="44"/>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HW08，900-2</w:t>
                  </w:r>
                  <w:r>
                    <w:rPr>
                      <w:rFonts w:hint="eastAsia" w:cs="Times New Roman"/>
                      <w:color w:val="auto"/>
                      <w:lang w:val="en-US" w:eastAsia="zh-CN"/>
                    </w:rPr>
                    <w:t>14</w:t>
                  </w:r>
                  <w:r>
                    <w:rPr>
                      <w:rFonts w:hint="default" w:ascii="Times New Roman" w:hAnsi="Times New Roman" w:cs="Times New Roman"/>
                      <w:color w:val="auto"/>
                      <w:lang w:val="en-US" w:eastAsia="zh-CN"/>
                    </w:rPr>
                    <w:t>-08</w:t>
                  </w:r>
                </w:p>
              </w:tc>
              <w:tc>
                <w:tcPr>
                  <w:tcW w:w="534" w:type="pct"/>
                  <w:tcBorders>
                    <w:tl2br w:val="nil"/>
                    <w:tr2bl w:val="nil"/>
                  </w:tcBorders>
                  <w:noWrap w:val="0"/>
                  <w:vAlign w:val="center"/>
                </w:tcPr>
                <w:p w14:paraId="42D1C01C">
                  <w:pPr>
                    <w:pStyle w:val="44"/>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0.1</w:t>
                  </w:r>
                </w:p>
              </w:tc>
              <w:tc>
                <w:tcPr>
                  <w:tcW w:w="716" w:type="pct"/>
                  <w:tcBorders>
                    <w:tl2br w:val="nil"/>
                    <w:tr2bl w:val="nil"/>
                  </w:tcBorders>
                  <w:noWrap w:val="0"/>
                  <w:vAlign w:val="center"/>
                </w:tcPr>
                <w:p w14:paraId="3C372F01">
                  <w:pPr>
                    <w:pStyle w:val="44"/>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危险废物</w:t>
                  </w:r>
                </w:p>
              </w:tc>
              <w:tc>
                <w:tcPr>
                  <w:tcW w:w="843" w:type="pct"/>
                  <w:vMerge w:val="continue"/>
                  <w:tcBorders>
                    <w:tl2br w:val="nil"/>
                    <w:tr2bl w:val="nil"/>
                  </w:tcBorders>
                  <w:noWrap w:val="0"/>
                  <w:tcMar>
                    <w:left w:w="0" w:type="dxa"/>
                    <w:right w:w="0" w:type="dxa"/>
                  </w:tcMar>
                  <w:vAlign w:val="center"/>
                </w:tcPr>
                <w:p w14:paraId="40FDCFF9">
                  <w:pPr>
                    <w:pStyle w:val="44"/>
                    <w:bidi w:val="0"/>
                    <w:rPr>
                      <w:rFonts w:hint="default" w:ascii="Times New Roman" w:hAnsi="Times New Roman" w:cs="Times New Roman"/>
                      <w:color w:val="auto"/>
                      <w:lang w:val="en-US" w:eastAsia="zh-CN"/>
                    </w:rPr>
                  </w:pPr>
                </w:p>
              </w:tc>
            </w:tr>
            <w:tr w14:paraId="5B47E18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89" w:type="pct"/>
                  <w:tcBorders>
                    <w:tl2br w:val="nil"/>
                    <w:tr2bl w:val="nil"/>
                  </w:tcBorders>
                  <w:noWrap w:val="0"/>
                  <w:tcMar>
                    <w:left w:w="0" w:type="dxa"/>
                    <w:right w:w="0" w:type="dxa"/>
                  </w:tcMar>
                  <w:vAlign w:val="center"/>
                </w:tcPr>
                <w:p w14:paraId="18E0E47E">
                  <w:pPr>
                    <w:pStyle w:val="44"/>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废机油桶</w:t>
                  </w:r>
                </w:p>
              </w:tc>
              <w:tc>
                <w:tcPr>
                  <w:tcW w:w="1174" w:type="pct"/>
                  <w:tcBorders>
                    <w:tl2br w:val="nil"/>
                    <w:tr2bl w:val="nil"/>
                  </w:tcBorders>
                  <w:noWrap w:val="0"/>
                  <w:vAlign w:val="center"/>
                </w:tcPr>
                <w:p w14:paraId="1DE9B198">
                  <w:pPr>
                    <w:pStyle w:val="44"/>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设备维护</w:t>
                  </w:r>
                </w:p>
              </w:tc>
              <w:tc>
                <w:tcPr>
                  <w:tcW w:w="841" w:type="pct"/>
                  <w:tcBorders>
                    <w:tl2br w:val="nil"/>
                    <w:tr2bl w:val="nil"/>
                  </w:tcBorders>
                  <w:noWrap w:val="0"/>
                  <w:vAlign w:val="center"/>
                </w:tcPr>
                <w:p w14:paraId="09F87EDC">
                  <w:pPr>
                    <w:pStyle w:val="44"/>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HW08，900-249-08</w:t>
                  </w:r>
                </w:p>
              </w:tc>
              <w:tc>
                <w:tcPr>
                  <w:tcW w:w="534" w:type="pct"/>
                  <w:tcBorders>
                    <w:tl2br w:val="nil"/>
                    <w:tr2bl w:val="nil"/>
                  </w:tcBorders>
                  <w:noWrap w:val="0"/>
                  <w:vAlign w:val="center"/>
                </w:tcPr>
                <w:p w14:paraId="3E51280A">
                  <w:pPr>
                    <w:pStyle w:val="44"/>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0.01</w:t>
                  </w:r>
                </w:p>
              </w:tc>
              <w:tc>
                <w:tcPr>
                  <w:tcW w:w="716" w:type="pct"/>
                  <w:tcBorders>
                    <w:tl2br w:val="nil"/>
                    <w:tr2bl w:val="nil"/>
                  </w:tcBorders>
                  <w:noWrap w:val="0"/>
                  <w:vAlign w:val="center"/>
                </w:tcPr>
                <w:p w14:paraId="62DA5FCB">
                  <w:pPr>
                    <w:pStyle w:val="44"/>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危险废物</w:t>
                  </w:r>
                </w:p>
              </w:tc>
              <w:tc>
                <w:tcPr>
                  <w:tcW w:w="843" w:type="pct"/>
                  <w:vMerge w:val="continue"/>
                  <w:tcBorders>
                    <w:tl2br w:val="nil"/>
                    <w:tr2bl w:val="nil"/>
                  </w:tcBorders>
                  <w:noWrap w:val="0"/>
                  <w:tcMar>
                    <w:left w:w="0" w:type="dxa"/>
                    <w:right w:w="0" w:type="dxa"/>
                  </w:tcMar>
                  <w:vAlign w:val="center"/>
                </w:tcPr>
                <w:p w14:paraId="6942F9BA">
                  <w:pPr>
                    <w:pStyle w:val="44"/>
                    <w:bidi w:val="0"/>
                    <w:rPr>
                      <w:rFonts w:hint="default" w:ascii="Times New Roman" w:hAnsi="Times New Roman" w:cs="Times New Roman"/>
                      <w:color w:val="auto"/>
                      <w:lang w:val="en-US" w:eastAsia="zh-CN"/>
                    </w:rPr>
                  </w:pPr>
                </w:p>
              </w:tc>
            </w:tr>
          </w:tbl>
          <w:p w14:paraId="344E4C01">
            <w:pPr>
              <w:bidi w:val="0"/>
              <w:ind w:firstLine="480" w:firstLineChars="200"/>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本项目危险废物产生情况汇总见下表：</w:t>
            </w:r>
          </w:p>
          <w:p w14:paraId="62444840">
            <w:pPr>
              <w:pStyle w:val="47"/>
              <w:bidi w:val="0"/>
              <w:rPr>
                <w:rFonts w:hint="default" w:ascii="Times New Roman" w:hAnsi="Times New Roman" w:cs="Times New Roman"/>
                <w:color w:val="auto"/>
              </w:rPr>
            </w:pPr>
            <w:r>
              <w:rPr>
                <w:rFonts w:hint="default" w:ascii="Times New Roman" w:hAnsi="Times New Roman" w:cs="Times New Roman"/>
                <w:color w:val="auto"/>
              </w:rPr>
              <w:t>表4-</w:t>
            </w:r>
            <w:r>
              <w:rPr>
                <w:rFonts w:hint="default" w:ascii="Times New Roman" w:hAnsi="Times New Roman" w:cs="Times New Roman"/>
                <w:color w:val="auto"/>
                <w:lang w:val="en-US" w:eastAsia="zh-CN"/>
              </w:rPr>
              <w:t xml:space="preserve">14 </w:t>
            </w:r>
            <w:r>
              <w:rPr>
                <w:rFonts w:hint="default" w:ascii="Times New Roman" w:hAnsi="Times New Roman" w:cs="Times New Roman"/>
                <w:color w:val="auto"/>
              </w:rPr>
              <w:t>项目危险废物产生及治理情况</w:t>
            </w:r>
            <w:r>
              <w:rPr>
                <w:rFonts w:hint="default" w:ascii="Times New Roman" w:hAnsi="Times New Roman" w:cs="Times New Roman"/>
                <w:color w:val="auto"/>
                <w:lang w:val="en-US" w:eastAsia="zh-CN"/>
              </w:rPr>
              <w:t>汇总</w:t>
            </w:r>
            <w:r>
              <w:rPr>
                <w:rFonts w:hint="default" w:ascii="Times New Roman" w:hAnsi="Times New Roman" w:cs="Times New Roman"/>
                <w:color w:val="auto"/>
              </w:rPr>
              <w:t>表</w:t>
            </w:r>
          </w:p>
          <w:tbl>
            <w:tblPr>
              <w:tblStyle w:val="33"/>
              <w:tblW w:w="4995"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320"/>
              <w:gridCol w:w="550"/>
              <w:gridCol w:w="793"/>
              <w:gridCol w:w="1062"/>
              <w:gridCol w:w="733"/>
              <w:gridCol w:w="981"/>
              <w:gridCol w:w="305"/>
              <w:gridCol w:w="1085"/>
              <w:gridCol w:w="821"/>
              <w:gridCol w:w="653"/>
              <w:gridCol w:w="709"/>
            </w:tblGrid>
            <w:tr w14:paraId="73BEAFB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99" w:type="pct"/>
                  <w:tcBorders>
                    <w:tl2br w:val="nil"/>
                    <w:tr2bl w:val="nil"/>
                  </w:tcBorders>
                  <w:noWrap w:val="0"/>
                  <w:vAlign w:val="center"/>
                </w:tcPr>
                <w:p w14:paraId="0D87BA87">
                  <w:pPr>
                    <w:pStyle w:val="44"/>
                    <w:bidi w:val="0"/>
                    <w:jc w:val="center"/>
                    <w:rPr>
                      <w:rFonts w:hint="default" w:ascii="Times New Roman" w:hAnsi="Times New Roman" w:cs="Times New Roman"/>
                      <w:b/>
                      <w:bCs/>
                      <w:color w:val="auto"/>
                    </w:rPr>
                  </w:pPr>
                  <w:r>
                    <w:rPr>
                      <w:rFonts w:hint="default" w:ascii="Times New Roman" w:hAnsi="Times New Roman" w:cs="Times New Roman"/>
                      <w:b/>
                      <w:bCs/>
                      <w:color w:val="auto"/>
                    </w:rPr>
                    <w:t>序号</w:t>
                  </w:r>
                </w:p>
              </w:tc>
              <w:tc>
                <w:tcPr>
                  <w:tcW w:w="343" w:type="pct"/>
                  <w:tcBorders>
                    <w:tl2br w:val="nil"/>
                    <w:tr2bl w:val="nil"/>
                  </w:tcBorders>
                  <w:noWrap w:val="0"/>
                  <w:vAlign w:val="center"/>
                </w:tcPr>
                <w:p w14:paraId="3C961068">
                  <w:pPr>
                    <w:pStyle w:val="44"/>
                    <w:bidi w:val="0"/>
                    <w:jc w:val="center"/>
                    <w:rPr>
                      <w:rFonts w:hint="default" w:ascii="Times New Roman" w:hAnsi="Times New Roman" w:cs="Times New Roman"/>
                      <w:b/>
                      <w:bCs/>
                      <w:color w:val="auto"/>
                    </w:rPr>
                  </w:pPr>
                  <w:r>
                    <w:rPr>
                      <w:rFonts w:hint="default" w:ascii="Times New Roman" w:hAnsi="Times New Roman" w:cs="Times New Roman"/>
                      <w:b/>
                      <w:bCs/>
                      <w:color w:val="auto"/>
                    </w:rPr>
                    <w:t>名称</w:t>
                  </w:r>
                </w:p>
              </w:tc>
              <w:tc>
                <w:tcPr>
                  <w:tcW w:w="494" w:type="pct"/>
                  <w:tcBorders>
                    <w:tl2br w:val="nil"/>
                    <w:tr2bl w:val="nil"/>
                  </w:tcBorders>
                  <w:noWrap w:val="0"/>
                  <w:vAlign w:val="center"/>
                </w:tcPr>
                <w:p w14:paraId="2AF0FED0">
                  <w:pPr>
                    <w:pStyle w:val="44"/>
                    <w:bidi w:val="0"/>
                    <w:jc w:val="center"/>
                    <w:rPr>
                      <w:rFonts w:hint="default" w:ascii="Times New Roman" w:hAnsi="Times New Roman" w:cs="Times New Roman"/>
                      <w:b/>
                      <w:bCs/>
                      <w:color w:val="auto"/>
                    </w:rPr>
                  </w:pPr>
                  <w:r>
                    <w:rPr>
                      <w:rFonts w:hint="default" w:ascii="Times New Roman" w:hAnsi="Times New Roman" w:cs="Times New Roman"/>
                      <w:b/>
                      <w:bCs/>
                      <w:color w:val="auto"/>
                    </w:rPr>
                    <w:t>废物</w:t>
                  </w:r>
                </w:p>
                <w:p w14:paraId="73AAC957">
                  <w:pPr>
                    <w:pStyle w:val="44"/>
                    <w:bidi w:val="0"/>
                    <w:jc w:val="center"/>
                    <w:rPr>
                      <w:rFonts w:hint="default" w:ascii="Times New Roman" w:hAnsi="Times New Roman" w:cs="Times New Roman"/>
                      <w:b/>
                      <w:bCs/>
                      <w:color w:val="auto"/>
                    </w:rPr>
                  </w:pPr>
                  <w:r>
                    <w:rPr>
                      <w:rFonts w:hint="default" w:ascii="Times New Roman" w:hAnsi="Times New Roman" w:cs="Times New Roman"/>
                      <w:b/>
                      <w:bCs/>
                      <w:color w:val="auto"/>
                    </w:rPr>
                    <w:t>类别</w:t>
                  </w:r>
                </w:p>
              </w:tc>
              <w:tc>
                <w:tcPr>
                  <w:tcW w:w="662" w:type="pct"/>
                  <w:tcBorders>
                    <w:tl2br w:val="nil"/>
                    <w:tr2bl w:val="nil"/>
                  </w:tcBorders>
                  <w:noWrap w:val="0"/>
                  <w:vAlign w:val="center"/>
                </w:tcPr>
                <w:p w14:paraId="7098EE78">
                  <w:pPr>
                    <w:pStyle w:val="44"/>
                    <w:bidi w:val="0"/>
                    <w:jc w:val="center"/>
                    <w:rPr>
                      <w:rFonts w:hint="default" w:ascii="Times New Roman" w:hAnsi="Times New Roman" w:cs="Times New Roman"/>
                      <w:b/>
                      <w:bCs/>
                      <w:color w:val="auto"/>
                    </w:rPr>
                  </w:pPr>
                  <w:r>
                    <w:rPr>
                      <w:rFonts w:hint="default" w:ascii="Times New Roman" w:hAnsi="Times New Roman" w:cs="Times New Roman"/>
                      <w:b/>
                      <w:bCs/>
                      <w:color w:val="auto"/>
                    </w:rPr>
                    <w:t>废物代码</w:t>
                  </w:r>
                </w:p>
              </w:tc>
              <w:tc>
                <w:tcPr>
                  <w:tcW w:w="457" w:type="pct"/>
                  <w:tcBorders>
                    <w:tl2br w:val="nil"/>
                    <w:tr2bl w:val="nil"/>
                  </w:tcBorders>
                  <w:noWrap w:val="0"/>
                  <w:vAlign w:val="center"/>
                </w:tcPr>
                <w:p w14:paraId="485D6B62">
                  <w:pPr>
                    <w:pStyle w:val="44"/>
                    <w:bidi w:val="0"/>
                    <w:jc w:val="center"/>
                    <w:rPr>
                      <w:rFonts w:hint="default" w:ascii="Times New Roman" w:hAnsi="Times New Roman" w:cs="Times New Roman"/>
                      <w:b/>
                      <w:bCs/>
                      <w:color w:val="auto"/>
                      <w:lang w:val="en-US" w:eastAsia="zh-CN"/>
                    </w:rPr>
                  </w:pPr>
                  <w:r>
                    <w:rPr>
                      <w:rFonts w:hint="default" w:ascii="Times New Roman" w:hAnsi="Times New Roman" w:cs="Times New Roman"/>
                      <w:b/>
                      <w:bCs/>
                      <w:color w:val="auto"/>
                    </w:rPr>
                    <w:t>产生量（t/a）</w:t>
                  </w:r>
                </w:p>
              </w:tc>
              <w:tc>
                <w:tcPr>
                  <w:tcW w:w="612" w:type="pct"/>
                  <w:tcBorders>
                    <w:tl2br w:val="nil"/>
                    <w:tr2bl w:val="nil"/>
                  </w:tcBorders>
                  <w:noWrap w:val="0"/>
                  <w:vAlign w:val="center"/>
                </w:tcPr>
                <w:p w14:paraId="0C7EC4F9">
                  <w:pPr>
                    <w:pStyle w:val="44"/>
                    <w:bidi w:val="0"/>
                    <w:jc w:val="center"/>
                    <w:rPr>
                      <w:rFonts w:hint="default" w:ascii="Times New Roman" w:hAnsi="Times New Roman" w:cs="Times New Roman"/>
                      <w:b/>
                      <w:bCs/>
                      <w:color w:val="auto"/>
                    </w:rPr>
                  </w:pPr>
                  <w:r>
                    <w:rPr>
                      <w:rFonts w:hint="default" w:ascii="Times New Roman" w:hAnsi="Times New Roman" w:cs="Times New Roman"/>
                      <w:b/>
                      <w:bCs/>
                      <w:color w:val="auto"/>
                    </w:rPr>
                    <w:t>产生</w:t>
                  </w:r>
                </w:p>
                <w:p w14:paraId="369024B4">
                  <w:pPr>
                    <w:pStyle w:val="44"/>
                    <w:bidi w:val="0"/>
                    <w:jc w:val="center"/>
                    <w:rPr>
                      <w:rFonts w:hint="default" w:ascii="Times New Roman" w:hAnsi="Times New Roman" w:cs="Times New Roman"/>
                      <w:b/>
                      <w:bCs/>
                      <w:color w:val="auto"/>
                      <w:lang w:val="en-US" w:eastAsia="zh-CN"/>
                    </w:rPr>
                  </w:pPr>
                  <w:r>
                    <w:rPr>
                      <w:rFonts w:hint="default" w:ascii="Times New Roman" w:hAnsi="Times New Roman" w:cs="Times New Roman"/>
                      <w:b/>
                      <w:bCs/>
                      <w:color w:val="auto"/>
                    </w:rPr>
                    <w:t>工序</w:t>
                  </w:r>
                  <w:r>
                    <w:rPr>
                      <w:rFonts w:hint="default" w:ascii="Times New Roman" w:hAnsi="Times New Roman" w:cs="Times New Roman"/>
                      <w:b/>
                      <w:bCs/>
                      <w:color w:val="auto"/>
                      <w:lang w:val="en-US" w:eastAsia="zh-CN"/>
                    </w:rPr>
                    <w:t>及装置</w:t>
                  </w:r>
                </w:p>
              </w:tc>
              <w:tc>
                <w:tcPr>
                  <w:tcW w:w="190" w:type="pct"/>
                  <w:tcBorders>
                    <w:tl2br w:val="nil"/>
                    <w:tr2bl w:val="nil"/>
                  </w:tcBorders>
                  <w:noWrap w:val="0"/>
                  <w:vAlign w:val="center"/>
                </w:tcPr>
                <w:p w14:paraId="215E94A4">
                  <w:pPr>
                    <w:pStyle w:val="44"/>
                    <w:bidi w:val="0"/>
                    <w:jc w:val="center"/>
                    <w:rPr>
                      <w:rFonts w:hint="default" w:ascii="Times New Roman" w:hAnsi="Times New Roman" w:cs="Times New Roman"/>
                      <w:b/>
                      <w:bCs/>
                      <w:color w:val="auto"/>
                    </w:rPr>
                  </w:pPr>
                  <w:r>
                    <w:rPr>
                      <w:rFonts w:hint="default" w:ascii="Times New Roman" w:hAnsi="Times New Roman" w:cs="Times New Roman"/>
                      <w:b/>
                      <w:bCs/>
                      <w:color w:val="auto"/>
                    </w:rPr>
                    <w:t>形态</w:t>
                  </w:r>
                </w:p>
              </w:tc>
              <w:tc>
                <w:tcPr>
                  <w:tcW w:w="677" w:type="pct"/>
                  <w:tcBorders>
                    <w:tl2br w:val="nil"/>
                    <w:tr2bl w:val="nil"/>
                  </w:tcBorders>
                  <w:noWrap w:val="0"/>
                  <w:vAlign w:val="center"/>
                </w:tcPr>
                <w:p w14:paraId="0056CFDD">
                  <w:pPr>
                    <w:pStyle w:val="44"/>
                    <w:bidi w:val="0"/>
                    <w:jc w:val="center"/>
                    <w:rPr>
                      <w:rFonts w:hint="default" w:ascii="Times New Roman" w:hAnsi="Times New Roman" w:cs="Times New Roman"/>
                      <w:b/>
                      <w:bCs/>
                      <w:color w:val="auto"/>
                    </w:rPr>
                  </w:pPr>
                  <w:r>
                    <w:rPr>
                      <w:rFonts w:hint="default" w:ascii="Times New Roman" w:hAnsi="Times New Roman" w:cs="Times New Roman"/>
                      <w:b/>
                      <w:bCs/>
                      <w:color w:val="auto"/>
                    </w:rPr>
                    <w:t>主要有毒有害物质名称</w:t>
                  </w:r>
                </w:p>
              </w:tc>
              <w:tc>
                <w:tcPr>
                  <w:tcW w:w="512" w:type="pct"/>
                  <w:tcBorders>
                    <w:tl2br w:val="nil"/>
                    <w:tr2bl w:val="nil"/>
                  </w:tcBorders>
                  <w:noWrap w:val="0"/>
                  <w:vAlign w:val="center"/>
                </w:tcPr>
                <w:p w14:paraId="49C2515C">
                  <w:pPr>
                    <w:pStyle w:val="44"/>
                    <w:bidi w:val="0"/>
                    <w:jc w:val="center"/>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产废周期</w:t>
                  </w:r>
                </w:p>
              </w:tc>
              <w:tc>
                <w:tcPr>
                  <w:tcW w:w="407" w:type="pct"/>
                  <w:tcBorders>
                    <w:tl2br w:val="nil"/>
                    <w:tr2bl w:val="nil"/>
                  </w:tcBorders>
                  <w:noWrap w:val="0"/>
                  <w:vAlign w:val="center"/>
                </w:tcPr>
                <w:p w14:paraId="07456359">
                  <w:pPr>
                    <w:pStyle w:val="44"/>
                    <w:bidi w:val="0"/>
                    <w:jc w:val="center"/>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危险特性</w:t>
                  </w:r>
                </w:p>
              </w:tc>
              <w:tc>
                <w:tcPr>
                  <w:tcW w:w="442" w:type="pct"/>
                  <w:tcBorders>
                    <w:tl2br w:val="nil"/>
                    <w:tr2bl w:val="nil"/>
                  </w:tcBorders>
                  <w:noWrap w:val="0"/>
                  <w:vAlign w:val="center"/>
                </w:tcPr>
                <w:p w14:paraId="62CBFC6C">
                  <w:pPr>
                    <w:pStyle w:val="44"/>
                    <w:bidi w:val="0"/>
                    <w:jc w:val="center"/>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污染防治措施</w:t>
                  </w:r>
                </w:p>
              </w:tc>
            </w:tr>
            <w:tr w14:paraId="0A3B8AB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99" w:type="pct"/>
                  <w:tcBorders>
                    <w:tl2br w:val="nil"/>
                    <w:tr2bl w:val="nil"/>
                  </w:tcBorders>
                  <w:noWrap w:val="0"/>
                  <w:vAlign w:val="center"/>
                </w:tcPr>
                <w:p w14:paraId="455AC8EA">
                  <w:pPr>
                    <w:pStyle w:val="44"/>
                    <w:bidi w:val="0"/>
                    <w:jc w:val="center"/>
                    <w:rPr>
                      <w:rFonts w:hint="default" w:ascii="Times New Roman" w:hAnsi="Times New Roman" w:cs="Times New Roman"/>
                      <w:color w:val="auto"/>
                      <w:lang w:eastAsia="zh-CN"/>
                    </w:rPr>
                  </w:pPr>
                  <w:r>
                    <w:rPr>
                      <w:rFonts w:hint="default" w:ascii="Times New Roman" w:hAnsi="Times New Roman" w:cs="Times New Roman"/>
                      <w:color w:val="auto"/>
                      <w:lang w:val="en-US" w:eastAsia="zh-CN"/>
                    </w:rPr>
                    <w:t>1</w:t>
                  </w:r>
                </w:p>
              </w:tc>
              <w:tc>
                <w:tcPr>
                  <w:tcW w:w="343" w:type="pct"/>
                  <w:tcBorders>
                    <w:tl2br w:val="nil"/>
                    <w:tr2bl w:val="nil"/>
                  </w:tcBorders>
                  <w:shd w:val="clear" w:color="auto" w:fill="auto"/>
                  <w:noWrap w:val="0"/>
                  <w:vAlign w:val="center"/>
                </w:tcPr>
                <w:p w14:paraId="299AB030">
                  <w:pPr>
                    <w:pStyle w:val="44"/>
                    <w:bidi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lang w:val="en-US" w:eastAsia="zh-CN"/>
                    </w:rPr>
                    <w:t>废包装桶</w:t>
                  </w:r>
                </w:p>
              </w:tc>
              <w:tc>
                <w:tcPr>
                  <w:tcW w:w="494" w:type="pct"/>
                  <w:tcBorders>
                    <w:tl2br w:val="nil"/>
                    <w:tr2bl w:val="nil"/>
                  </w:tcBorders>
                  <w:noWrap w:val="0"/>
                  <w:vAlign w:val="center"/>
                </w:tcPr>
                <w:p w14:paraId="40FE4562">
                  <w:pPr>
                    <w:pStyle w:val="44"/>
                    <w:bidi w:val="0"/>
                    <w:jc w:val="center"/>
                    <w:rPr>
                      <w:rFonts w:hint="default" w:ascii="Times New Roman" w:hAnsi="Times New Roman" w:cs="Times New Roman"/>
                      <w:color w:val="auto"/>
                      <w:lang w:val="en-US" w:eastAsia="zh-CN"/>
                    </w:rPr>
                  </w:pPr>
                  <w:r>
                    <w:rPr>
                      <w:rFonts w:hint="default" w:ascii="Times New Roman" w:hAnsi="Times New Roman" w:cs="Times New Roman"/>
                      <w:color w:val="auto"/>
                    </w:rPr>
                    <w:t>HW</w:t>
                  </w:r>
                  <w:r>
                    <w:rPr>
                      <w:rFonts w:hint="default" w:ascii="Times New Roman" w:hAnsi="Times New Roman" w:cs="Times New Roman"/>
                      <w:color w:val="auto"/>
                      <w:lang w:val="en-US" w:eastAsia="zh-CN"/>
                    </w:rPr>
                    <w:t>49</w:t>
                  </w:r>
                </w:p>
              </w:tc>
              <w:tc>
                <w:tcPr>
                  <w:tcW w:w="662" w:type="pct"/>
                  <w:tcBorders>
                    <w:tl2br w:val="nil"/>
                    <w:tr2bl w:val="nil"/>
                  </w:tcBorders>
                  <w:noWrap w:val="0"/>
                  <w:vAlign w:val="center"/>
                </w:tcPr>
                <w:p w14:paraId="67E2E317">
                  <w:pPr>
                    <w:pStyle w:val="44"/>
                    <w:bidi w:val="0"/>
                    <w:jc w:val="center"/>
                    <w:rPr>
                      <w:rFonts w:hint="default" w:ascii="Times New Roman" w:hAnsi="Times New Roman" w:cs="Times New Roman"/>
                      <w:color w:val="auto"/>
                    </w:rPr>
                  </w:pPr>
                  <w:r>
                    <w:rPr>
                      <w:rFonts w:hint="default" w:ascii="Times New Roman" w:hAnsi="Times New Roman" w:cs="Times New Roman"/>
                      <w:color w:val="auto"/>
                    </w:rPr>
                    <w:t>900-041-49</w:t>
                  </w:r>
                </w:p>
              </w:tc>
              <w:tc>
                <w:tcPr>
                  <w:tcW w:w="457" w:type="pct"/>
                  <w:tcBorders>
                    <w:tl2br w:val="nil"/>
                    <w:tr2bl w:val="nil"/>
                  </w:tcBorders>
                  <w:noWrap w:val="0"/>
                  <w:vAlign w:val="center"/>
                </w:tcPr>
                <w:p w14:paraId="2FC4C05C">
                  <w:pPr>
                    <w:pStyle w:val="44"/>
                    <w:bidi w:val="0"/>
                    <w:jc w:val="center"/>
                    <w:rPr>
                      <w:rFonts w:hint="default" w:ascii="Times New Roman" w:hAnsi="Times New Roman" w:cs="Times New Roman"/>
                      <w:color w:val="auto"/>
                      <w:lang w:val="en-US" w:eastAsia="zh-CN"/>
                    </w:rPr>
                  </w:pPr>
                  <w:r>
                    <w:rPr>
                      <w:rFonts w:hint="eastAsia" w:cs="Times New Roman"/>
                      <w:color w:val="auto"/>
                      <w:lang w:val="en-US" w:eastAsia="zh-CN"/>
                    </w:rPr>
                    <w:t>0.5</w:t>
                  </w:r>
                </w:p>
              </w:tc>
              <w:tc>
                <w:tcPr>
                  <w:tcW w:w="612" w:type="pct"/>
                  <w:tcBorders>
                    <w:tl2br w:val="nil"/>
                    <w:tr2bl w:val="nil"/>
                  </w:tcBorders>
                  <w:noWrap w:val="0"/>
                  <w:vAlign w:val="center"/>
                </w:tcPr>
                <w:p w14:paraId="6C926EA8">
                  <w:pPr>
                    <w:pStyle w:val="44"/>
                    <w:bidi w:val="0"/>
                    <w:rPr>
                      <w:rFonts w:hint="default" w:ascii="Times New Roman" w:hAnsi="Times New Roman" w:cs="Times New Roman"/>
                      <w:color w:val="auto"/>
                    </w:rPr>
                  </w:pPr>
                  <w:r>
                    <w:rPr>
                      <w:rFonts w:hint="default" w:ascii="Times New Roman" w:hAnsi="Times New Roman" w:cs="Times New Roman"/>
                      <w:color w:val="auto"/>
                      <w:lang w:val="en-US" w:eastAsia="zh-CN"/>
                    </w:rPr>
                    <w:t>液体化工原料使用</w:t>
                  </w:r>
                </w:p>
              </w:tc>
              <w:tc>
                <w:tcPr>
                  <w:tcW w:w="190" w:type="pct"/>
                  <w:tcBorders>
                    <w:tl2br w:val="nil"/>
                    <w:tr2bl w:val="nil"/>
                  </w:tcBorders>
                  <w:noWrap w:val="0"/>
                  <w:vAlign w:val="center"/>
                </w:tcPr>
                <w:p w14:paraId="21997AAF">
                  <w:pPr>
                    <w:pStyle w:val="44"/>
                    <w:bidi w:val="0"/>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固</w:t>
                  </w:r>
                </w:p>
              </w:tc>
              <w:tc>
                <w:tcPr>
                  <w:tcW w:w="677" w:type="pct"/>
                  <w:tcBorders>
                    <w:tl2br w:val="nil"/>
                    <w:tr2bl w:val="nil"/>
                  </w:tcBorders>
                  <w:noWrap w:val="0"/>
                  <w:vAlign w:val="center"/>
                </w:tcPr>
                <w:p w14:paraId="72BF844F">
                  <w:pPr>
                    <w:pStyle w:val="44"/>
                    <w:bidi w:val="0"/>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有机物</w:t>
                  </w:r>
                </w:p>
              </w:tc>
              <w:tc>
                <w:tcPr>
                  <w:tcW w:w="512" w:type="pct"/>
                  <w:tcBorders>
                    <w:tl2br w:val="nil"/>
                    <w:tr2bl w:val="nil"/>
                  </w:tcBorders>
                  <w:noWrap w:val="0"/>
                  <w:vAlign w:val="center"/>
                </w:tcPr>
                <w:p w14:paraId="50EBA669">
                  <w:pPr>
                    <w:pStyle w:val="44"/>
                    <w:bidi w:val="0"/>
                    <w:jc w:val="center"/>
                    <w:rPr>
                      <w:rFonts w:hint="default" w:ascii="Times New Roman" w:hAnsi="Times New Roman" w:cs="Times New Roman"/>
                      <w:color w:val="auto"/>
                      <w:lang w:val="en-US"/>
                    </w:rPr>
                  </w:pPr>
                  <w:r>
                    <w:rPr>
                      <w:rFonts w:hint="default" w:ascii="Times New Roman" w:hAnsi="Times New Roman" w:cs="Times New Roman"/>
                      <w:color w:val="auto"/>
                      <w:lang w:val="en-US" w:eastAsia="zh-CN"/>
                    </w:rPr>
                    <w:t>1周/次</w:t>
                  </w:r>
                </w:p>
              </w:tc>
              <w:tc>
                <w:tcPr>
                  <w:tcW w:w="407" w:type="pct"/>
                  <w:tcBorders>
                    <w:tl2br w:val="nil"/>
                    <w:tr2bl w:val="nil"/>
                  </w:tcBorders>
                  <w:noWrap w:val="0"/>
                  <w:vAlign w:val="center"/>
                </w:tcPr>
                <w:p w14:paraId="4FDB4057">
                  <w:pPr>
                    <w:pStyle w:val="44"/>
                    <w:bidi w:val="0"/>
                    <w:jc w:val="center"/>
                    <w:rPr>
                      <w:rFonts w:hint="default" w:ascii="Times New Roman" w:hAnsi="Times New Roman" w:cs="Times New Roman"/>
                      <w:color w:val="auto"/>
                    </w:rPr>
                  </w:pPr>
                  <w:r>
                    <w:rPr>
                      <w:rFonts w:hint="default" w:ascii="Times New Roman" w:hAnsi="Times New Roman" w:cs="Times New Roman"/>
                      <w:color w:val="auto"/>
                    </w:rPr>
                    <w:t>T/In</w:t>
                  </w:r>
                </w:p>
              </w:tc>
              <w:tc>
                <w:tcPr>
                  <w:tcW w:w="442" w:type="pct"/>
                  <w:vMerge w:val="restart"/>
                  <w:tcBorders>
                    <w:tl2br w:val="nil"/>
                    <w:tr2bl w:val="nil"/>
                  </w:tcBorders>
                  <w:noWrap w:val="0"/>
                  <w:vAlign w:val="center"/>
                </w:tcPr>
                <w:p w14:paraId="5012326D">
                  <w:pPr>
                    <w:pStyle w:val="44"/>
                    <w:bidi w:val="0"/>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危废间暂存，委托有资质的单位处理</w:t>
                  </w:r>
                </w:p>
              </w:tc>
            </w:tr>
            <w:tr w14:paraId="13EF841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99" w:type="pct"/>
                  <w:tcBorders>
                    <w:tl2br w:val="nil"/>
                    <w:tr2bl w:val="nil"/>
                  </w:tcBorders>
                  <w:noWrap w:val="0"/>
                  <w:vAlign w:val="center"/>
                </w:tcPr>
                <w:p w14:paraId="1C792BC3">
                  <w:pPr>
                    <w:pStyle w:val="44"/>
                    <w:bidi w:val="0"/>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w:t>
                  </w:r>
                </w:p>
              </w:tc>
              <w:tc>
                <w:tcPr>
                  <w:tcW w:w="343" w:type="pct"/>
                  <w:tcBorders>
                    <w:tl2br w:val="nil"/>
                    <w:tr2bl w:val="nil"/>
                  </w:tcBorders>
                  <w:shd w:val="clear" w:color="auto" w:fill="auto"/>
                  <w:noWrap w:val="0"/>
                  <w:vAlign w:val="center"/>
                </w:tcPr>
                <w:p w14:paraId="668FB9D7">
                  <w:pPr>
                    <w:pStyle w:val="44"/>
                    <w:bidi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4"/>
                      <w:lang w:val="en-US" w:eastAsia="zh-CN"/>
                    </w:rPr>
                    <w:t>冷凝废液</w:t>
                  </w:r>
                </w:p>
              </w:tc>
              <w:tc>
                <w:tcPr>
                  <w:tcW w:w="494" w:type="pct"/>
                  <w:tcBorders>
                    <w:tl2br w:val="nil"/>
                    <w:tr2bl w:val="nil"/>
                  </w:tcBorders>
                  <w:noWrap w:val="0"/>
                  <w:vAlign w:val="center"/>
                </w:tcPr>
                <w:p w14:paraId="6B71C882">
                  <w:pPr>
                    <w:pStyle w:val="44"/>
                    <w:bidi w:val="0"/>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HW13</w:t>
                  </w:r>
                </w:p>
              </w:tc>
              <w:tc>
                <w:tcPr>
                  <w:tcW w:w="662" w:type="pct"/>
                  <w:tcBorders>
                    <w:tl2br w:val="nil"/>
                    <w:tr2bl w:val="nil"/>
                  </w:tcBorders>
                  <w:noWrap w:val="0"/>
                  <w:vAlign w:val="center"/>
                </w:tcPr>
                <w:p w14:paraId="732961B1">
                  <w:pPr>
                    <w:pStyle w:val="44"/>
                    <w:bidi w:val="0"/>
                    <w:jc w:val="center"/>
                    <w:rPr>
                      <w:rFonts w:hint="default" w:ascii="Times New Roman" w:hAnsi="Times New Roman" w:cs="Times New Roman"/>
                      <w:color w:val="auto"/>
                    </w:rPr>
                  </w:pPr>
                  <w:r>
                    <w:rPr>
                      <w:rFonts w:hint="default" w:ascii="Times New Roman" w:hAnsi="Times New Roman" w:cs="Times New Roman"/>
                      <w:color w:val="auto"/>
                      <w:szCs w:val="24"/>
                      <w:lang w:val="en-US" w:eastAsia="zh-CN"/>
                    </w:rPr>
                    <w:t>265-103-13</w:t>
                  </w:r>
                </w:p>
              </w:tc>
              <w:tc>
                <w:tcPr>
                  <w:tcW w:w="457" w:type="pct"/>
                  <w:tcBorders>
                    <w:tl2br w:val="nil"/>
                    <w:tr2bl w:val="nil"/>
                  </w:tcBorders>
                  <w:noWrap w:val="0"/>
                  <w:vAlign w:val="center"/>
                </w:tcPr>
                <w:p w14:paraId="74C6A140">
                  <w:pPr>
                    <w:pStyle w:val="44"/>
                    <w:bidi w:val="0"/>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10</w:t>
                  </w:r>
                </w:p>
              </w:tc>
              <w:tc>
                <w:tcPr>
                  <w:tcW w:w="612" w:type="pct"/>
                  <w:tcBorders>
                    <w:tl2br w:val="nil"/>
                    <w:tr2bl w:val="nil"/>
                  </w:tcBorders>
                  <w:noWrap w:val="0"/>
                  <w:vAlign w:val="center"/>
                </w:tcPr>
                <w:p w14:paraId="41C470C3">
                  <w:pPr>
                    <w:pStyle w:val="44"/>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抽真空过程</w:t>
                  </w:r>
                </w:p>
              </w:tc>
              <w:tc>
                <w:tcPr>
                  <w:tcW w:w="190" w:type="pct"/>
                  <w:tcBorders>
                    <w:tl2br w:val="nil"/>
                    <w:tr2bl w:val="nil"/>
                  </w:tcBorders>
                  <w:noWrap w:val="0"/>
                  <w:vAlign w:val="center"/>
                </w:tcPr>
                <w:p w14:paraId="0C6A07DF">
                  <w:pPr>
                    <w:pStyle w:val="44"/>
                    <w:bidi w:val="0"/>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液</w:t>
                  </w:r>
                </w:p>
              </w:tc>
              <w:tc>
                <w:tcPr>
                  <w:tcW w:w="677" w:type="pct"/>
                  <w:tcBorders>
                    <w:tl2br w:val="nil"/>
                    <w:tr2bl w:val="nil"/>
                  </w:tcBorders>
                  <w:noWrap w:val="0"/>
                  <w:vAlign w:val="center"/>
                </w:tcPr>
                <w:p w14:paraId="0C946526">
                  <w:pPr>
                    <w:pStyle w:val="44"/>
                    <w:bidi w:val="0"/>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有机物</w:t>
                  </w:r>
                </w:p>
              </w:tc>
              <w:tc>
                <w:tcPr>
                  <w:tcW w:w="512" w:type="pct"/>
                  <w:tcBorders>
                    <w:tl2br w:val="nil"/>
                    <w:tr2bl w:val="nil"/>
                  </w:tcBorders>
                  <w:noWrap w:val="0"/>
                  <w:vAlign w:val="center"/>
                </w:tcPr>
                <w:p w14:paraId="51E45622">
                  <w:pPr>
                    <w:pStyle w:val="44"/>
                    <w:bidi w:val="0"/>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1月/次</w:t>
                  </w:r>
                </w:p>
              </w:tc>
              <w:tc>
                <w:tcPr>
                  <w:tcW w:w="407" w:type="pct"/>
                  <w:tcBorders>
                    <w:tl2br w:val="nil"/>
                    <w:tr2bl w:val="nil"/>
                  </w:tcBorders>
                  <w:noWrap w:val="0"/>
                  <w:vAlign w:val="center"/>
                </w:tcPr>
                <w:p w14:paraId="4EF45863">
                  <w:pPr>
                    <w:pStyle w:val="44"/>
                    <w:bidi w:val="0"/>
                    <w:jc w:val="center"/>
                    <w:rPr>
                      <w:rFonts w:hint="default" w:ascii="Times New Roman" w:hAnsi="Times New Roman" w:cs="Times New Roman"/>
                      <w:color w:val="auto"/>
                    </w:rPr>
                  </w:pPr>
                  <w:r>
                    <w:rPr>
                      <w:rFonts w:hint="default" w:ascii="Times New Roman" w:hAnsi="Times New Roman" w:cs="Times New Roman"/>
                      <w:color w:val="auto"/>
                    </w:rPr>
                    <w:t>T/In</w:t>
                  </w:r>
                </w:p>
              </w:tc>
              <w:tc>
                <w:tcPr>
                  <w:tcW w:w="442" w:type="pct"/>
                  <w:vMerge w:val="continue"/>
                  <w:tcBorders>
                    <w:tl2br w:val="nil"/>
                    <w:tr2bl w:val="nil"/>
                  </w:tcBorders>
                  <w:noWrap w:val="0"/>
                  <w:vAlign w:val="center"/>
                </w:tcPr>
                <w:p w14:paraId="613A1661">
                  <w:pPr>
                    <w:pStyle w:val="44"/>
                    <w:bidi w:val="0"/>
                    <w:jc w:val="center"/>
                    <w:rPr>
                      <w:rFonts w:hint="default" w:ascii="Times New Roman" w:hAnsi="Times New Roman" w:cs="Times New Roman"/>
                      <w:color w:val="auto"/>
                      <w:lang w:val="en-US" w:eastAsia="zh-CN"/>
                    </w:rPr>
                  </w:pPr>
                </w:p>
              </w:tc>
            </w:tr>
            <w:tr w14:paraId="4D78C7B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99" w:type="pct"/>
                  <w:tcBorders>
                    <w:tl2br w:val="nil"/>
                    <w:tr2bl w:val="nil"/>
                  </w:tcBorders>
                  <w:noWrap w:val="0"/>
                  <w:vAlign w:val="center"/>
                </w:tcPr>
                <w:p w14:paraId="31E50CFA">
                  <w:pPr>
                    <w:pStyle w:val="44"/>
                    <w:bidi w:val="0"/>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3</w:t>
                  </w:r>
                </w:p>
              </w:tc>
              <w:tc>
                <w:tcPr>
                  <w:tcW w:w="343" w:type="pct"/>
                  <w:tcBorders>
                    <w:tl2br w:val="nil"/>
                    <w:tr2bl w:val="nil"/>
                  </w:tcBorders>
                  <w:shd w:val="clear" w:color="auto" w:fill="auto"/>
                  <w:noWrap w:val="0"/>
                  <w:vAlign w:val="center"/>
                </w:tcPr>
                <w:p w14:paraId="251C8F0E">
                  <w:pPr>
                    <w:pStyle w:val="44"/>
                    <w:bidi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4"/>
                      <w:lang w:val="en-US" w:eastAsia="zh-CN"/>
                    </w:rPr>
                    <w:t>废活性炭</w:t>
                  </w:r>
                </w:p>
              </w:tc>
              <w:tc>
                <w:tcPr>
                  <w:tcW w:w="494" w:type="pct"/>
                  <w:tcBorders>
                    <w:tl2br w:val="nil"/>
                    <w:tr2bl w:val="nil"/>
                  </w:tcBorders>
                  <w:noWrap w:val="0"/>
                  <w:vAlign w:val="center"/>
                </w:tcPr>
                <w:p w14:paraId="5FF743FD">
                  <w:pPr>
                    <w:pStyle w:val="44"/>
                    <w:bidi w:val="0"/>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HW49</w:t>
                  </w:r>
                </w:p>
              </w:tc>
              <w:tc>
                <w:tcPr>
                  <w:tcW w:w="662" w:type="pct"/>
                  <w:tcBorders>
                    <w:tl2br w:val="nil"/>
                    <w:tr2bl w:val="nil"/>
                  </w:tcBorders>
                  <w:noWrap w:val="0"/>
                  <w:vAlign w:val="center"/>
                </w:tcPr>
                <w:p w14:paraId="25002A1C">
                  <w:pPr>
                    <w:pStyle w:val="44"/>
                    <w:bidi w:val="0"/>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900-039-49</w:t>
                  </w:r>
                </w:p>
              </w:tc>
              <w:tc>
                <w:tcPr>
                  <w:tcW w:w="457" w:type="pct"/>
                  <w:tcBorders>
                    <w:tl2br w:val="nil"/>
                    <w:tr2bl w:val="nil"/>
                  </w:tcBorders>
                  <w:noWrap w:val="0"/>
                  <w:vAlign w:val="center"/>
                </w:tcPr>
                <w:p w14:paraId="2784D4EB">
                  <w:pPr>
                    <w:pStyle w:val="44"/>
                    <w:bidi w:val="0"/>
                    <w:jc w:val="center"/>
                    <w:rPr>
                      <w:rFonts w:hint="default" w:ascii="Times New Roman" w:hAnsi="Times New Roman" w:cs="Times New Roman"/>
                      <w:color w:val="auto"/>
                    </w:rPr>
                  </w:pPr>
                  <w:r>
                    <w:rPr>
                      <w:rFonts w:hint="eastAsia" w:cs="Times New Roman"/>
                      <w:color w:val="auto"/>
                      <w:lang w:val="en-US" w:eastAsia="zh-CN"/>
                    </w:rPr>
                    <w:t>18.096</w:t>
                  </w:r>
                </w:p>
              </w:tc>
              <w:tc>
                <w:tcPr>
                  <w:tcW w:w="612" w:type="pct"/>
                  <w:tcBorders>
                    <w:tl2br w:val="nil"/>
                    <w:tr2bl w:val="nil"/>
                  </w:tcBorders>
                  <w:noWrap w:val="0"/>
                  <w:vAlign w:val="center"/>
                </w:tcPr>
                <w:p w14:paraId="685A565C">
                  <w:pPr>
                    <w:pStyle w:val="44"/>
                    <w:bidi w:val="0"/>
                    <w:rPr>
                      <w:rFonts w:hint="default" w:ascii="Times New Roman" w:hAnsi="Times New Roman" w:cs="Times New Roman"/>
                      <w:color w:val="auto"/>
                    </w:rPr>
                  </w:pPr>
                  <w:r>
                    <w:rPr>
                      <w:rFonts w:hint="default" w:ascii="Times New Roman" w:hAnsi="Times New Roman" w:cs="Times New Roman"/>
                      <w:color w:val="auto"/>
                      <w:lang w:val="en-US" w:eastAsia="zh-CN"/>
                    </w:rPr>
                    <w:t>有机废气治理</w:t>
                  </w:r>
                </w:p>
              </w:tc>
              <w:tc>
                <w:tcPr>
                  <w:tcW w:w="190" w:type="pct"/>
                  <w:tcBorders>
                    <w:tl2br w:val="nil"/>
                    <w:tr2bl w:val="nil"/>
                  </w:tcBorders>
                  <w:noWrap w:val="0"/>
                  <w:vAlign w:val="center"/>
                </w:tcPr>
                <w:p w14:paraId="7AA0B9C4">
                  <w:pPr>
                    <w:pStyle w:val="44"/>
                    <w:bidi w:val="0"/>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固</w:t>
                  </w:r>
                </w:p>
              </w:tc>
              <w:tc>
                <w:tcPr>
                  <w:tcW w:w="677" w:type="pct"/>
                  <w:tcBorders>
                    <w:tl2br w:val="nil"/>
                    <w:tr2bl w:val="nil"/>
                  </w:tcBorders>
                  <w:noWrap w:val="0"/>
                  <w:vAlign w:val="center"/>
                </w:tcPr>
                <w:p w14:paraId="60812A3F">
                  <w:pPr>
                    <w:pStyle w:val="44"/>
                    <w:bidi w:val="0"/>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有机物</w:t>
                  </w:r>
                </w:p>
              </w:tc>
              <w:tc>
                <w:tcPr>
                  <w:tcW w:w="512" w:type="pct"/>
                  <w:tcBorders>
                    <w:tl2br w:val="nil"/>
                    <w:tr2bl w:val="nil"/>
                  </w:tcBorders>
                  <w:noWrap w:val="0"/>
                  <w:vAlign w:val="center"/>
                </w:tcPr>
                <w:p w14:paraId="0CF89C83">
                  <w:pPr>
                    <w:pStyle w:val="44"/>
                    <w:bidi w:val="0"/>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2月/次</w:t>
                  </w:r>
                </w:p>
              </w:tc>
              <w:tc>
                <w:tcPr>
                  <w:tcW w:w="407" w:type="pct"/>
                  <w:tcBorders>
                    <w:tl2br w:val="nil"/>
                    <w:tr2bl w:val="nil"/>
                  </w:tcBorders>
                  <w:noWrap w:val="0"/>
                  <w:vAlign w:val="center"/>
                </w:tcPr>
                <w:p w14:paraId="07A5DB20">
                  <w:pPr>
                    <w:pStyle w:val="44"/>
                    <w:bidi w:val="0"/>
                    <w:jc w:val="center"/>
                    <w:rPr>
                      <w:rFonts w:hint="default" w:ascii="Times New Roman" w:hAnsi="Times New Roman" w:cs="Times New Roman"/>
                      <w:color w:val="auto"/>
                    </w:rPr>
                  </w:pPr>
                  <w:r>
                    <w:rPr>
                      <w:rFonts w:hint="default" w:ascii="Times New Roman" w:hAnsi="Times New Roman" w:cs="Times New Roman"/>
                      <w:color w:val="auto"/>
                      <w:lang w:val="en-US" w:eastAsia="zh-CN"/>
                    </w:rPr>
                    <w:t>T/In</w:t>
                  </w:r>
                </w:p>
              </w:tc>
              <w:tc>
                <w:tcPr>
                  <w:tcW w:w="442" w:type="pct"/>
                  <w:vMerge w:val="continue"/>
                  <w:tcBorders>
                    <w:tl2br w:val="nil"/>
                    <w:tr2bl w:val="nil"/>
                  </w:tcBorders>
                  <w:noWrap w:val="0"/>
                  <w:vAlign w:val="center"/>
                </w:tcPr>
                <w:p w14:paraId="408D4A60">
                  <w:pPr>
                    <w:pStyle w:val="44"/>
                    <w:bidi w:val="0"/>
                    <w:jc w:val="center"/>
                    <w:rPr>
                      <w:rFonts w:hint="default" w:ascii="Times New Roman" w:hAnsi="Times New Roman" w:cs="Times New Roman"/>
                      <w:color w:val="auto"/>
                      <w:lang w:val="en-US" w:eastAsia="zh-CN"/>
                    </w:rPr>
                  </w:pPr>
                </w:p>
              </w:tc>
            </w:tr>
            <w:tr w14:paraId="1900B8B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99" w:type="pct"/>
                  <w:tcBorders>
                    <w:tl2br w:val="nil"/>
                    <w:tr2bl w:val="nil"/>
                  </w:tcBorders>
                  <w:noWrap w:val="0"/>
                  <w:vAlign w:val="center"/>
                </w:tcPr>
                <w:p w14:paraId="7222F197">
                  <w:pPr>
                    <w:pStyle w:val="44"/>
                    <w:bidi w:val="0"/>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4</w:t>
                  </w:r>
                </w:p>
              </w:tc>
              <w:tc>
                <w:tcPr>
                  <w:tcW w:w="343" w:type="pct"/>
                  <w:tcBorders>
                    <w:tl2br w:val="nil"/>
                    <w:tr2bl w:val="nil"/>
                  </w:tcBorders>
                  <w:shd w:val="clear" w:color="auto" w:fill="auto"/>
                  <w:noWrap w:val="0"/>
                  <w:vAlign w:val="center"/>
                </w:tcPr>
                <w:p w14:paraId="71BEF7CD">
                  <w:pPr>
                    <w:pStyle w:val="44"/>
                    <w:bidi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lang w:val="en-US" w:eastAsia="zh-CN"/>
                    </w:rPr>
                    <w:t>废过滤棉</w:t>
                  </w:r>
                </w:p>
              </w:tc>
              <w:tc>
                <w:tcPr>
                  <w:tcW w:w="494" w:type="pct"/>
                  <w:tcBorders>
                    <w:tl2br w:val="nil"/>
                    <w:tr2bl w:val="nil"/>
                  </w:tcBorders>
                  <w:noWrap w:val="0"/>
                  <w:vAlign w:val="center"/>
                </w:tcPr>
                <w:p w14:paraId="26A18035">
                  <w:pPr>
                    <w:pStyle w:val="44"/>
                    <w:bidi w:val="0"/>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HW49</w:t>
                  </w:r>
                </w:p>
              </w:tc>
              <w:tc>
                <w:tcPr>
                  <w:tcW w:w="662" w:type="pct"/>
                  <w:tcBorders>
                    <w:tl2br w:val="nil"/>
                    <w:tr2bl w:val="nil"/>
                  </w:tcBorders>
                  <w:noWrap w:val="0"/>
                  <w:vAlign w:val="center"/>
                </w:tcPr>
                <w:p w14:paraId="5E0AA32A">
                  <w:pPr>
                    <w:pStyle w:val="44"/>
                    <w:bidi w:val="0"/>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900-041-49</w:t>
                  </w:r>
                </w:p>
              </w:tc>
              <w:tc>
                <w:tcPr>
                  <w:tcW w:w="457" w:type="pct"/>
                  <w:tcBorders>
                    <w:tl2br w:val="nil"/>
                    <w:tr2bl w:val="nil"/>
                  </w:tcBorders>
                  <w:noWrap w:val="0"/>
                  <w:vAlign w:val="center"/>
                </w:tcPr>
                <w:p w14:paraId="23735AB8">
                  <w:pPr>
                    <w:pStyle w:val="44"/>
                    <w:bidi w:val="0"/>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0.6</w:t>
                  </w:r>
                </w:p>
              </w:tc>
              <w:tc>
                <w:tcPr>
                  <w:tcW w:w="612" w:type="pct"/>
                  <w:tcBorders>
                    <w:tl2br w:val="nil"/>
                    <w:tr2bl w:val="nil"/>
                  </w:tcBorders>
                  <w:noWrap w:val="0"/>
                  <w:vAlign w:val="center"/>
                </w:tcPr>
                <w:p w14:paraId="7FEB9FA5">
                  <w:pPr>
                    <w:pStyle w:val="44"/>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有机废气治理</w:t>
                  </w:r>
                </w:p>
              </w:tc>
              <w:tc>
                <w:tcPr>
                  <w:tcW w:w="190" w:type="pct"/>
                  <w:tcBorders>
                    <w:tl2br w:val="nil"/>
                    <w:tr2bl w:val="nil"/>
                  </w:tcBorders>
                  <w:noWrap w:val="0"/>
                  <w:vAlign w:val="center"/>
                </w:tcPr>
                <w:p w14:paraId="5C5D89C1">
                  <w:pPr>
                    <w:pStyle w:val="44"/>
                    <w:bidi w:val="0"/>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固</w:t>
                  </w:r>
                </w:p>
              </w:tc>
              <w:tc>
                <w:tcPr>
                  <w:tcW w:w="677" w:type="pct"/>
                  <w:tcBorders>
                    <w:tl2br w:val="nil"/>
                    <w:tr2bl w:val="nil"/>
                  </w:tcBorders>
                  <w:noWrap w:val="0"/>
                  <w:vAlign w:val="center"/>
                </w:tcPr>
                <w:p w14:paraId="27C999FE">
                  <w:pPr>
                    <w:pStyle w:val="44"/>
                    <w:bidi w:val="0"/>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有机物</w:t>
                  </w:r>
                </w:p>
              </w:tc>
              <w:tc>
                <w:tcPr>
                  <w:tcW w:w="512" w:type="pct"/>
                  <w:tcBorders>
                    <w:tl2br w:val="nil"/>
                    <w:tr2bl w:val="nil"/>
                  </w:tcBorders>
                  <w:noWrap w:val="0"/>
                  <w:vAlign w:val="center"/>
                </w:tcPr>
                <w:p w14:paraId="54DA45A2">
                  <w:pPr>
                    <w:pStyle w:val="44"/>
                    <w:bidi w:val="0"/>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1a/6次</w:t>
                  </w:r>
                </w:p>
              </w:tc>
              <w:tc>
                <w:tcPr>
                  <w:tcW w:w="407" w:type="pct"/>
                  <w:tcBorders>
                    <w:tl2br w:val="nil"/>
                    <w:tr2bl w:val="nil"/>
                  </w:tcBorders>
                  <w:noWrap w:val="0"/>
                  <w:vAlign w:val="center"/>
                </w:tcPr>
                <w:p w14:paraId="79A9473A">
                  <w:pPr>
                    <w:pStyle w:val="44"/>
                    <w:bidi w:val="0"/>
                    <w:jc w:val="center"/>
                    <w:rPr>
                      <w:rFonts w:hint="default" w:ascii="Times New Roman" w:hAnsi="Times New Roman" w:cs="Times New Roman"/>
                      <w:color w:val="auto"/>
                      <w:lang w:val="en-US" w:eastAsia="zh-CN"/>
                    </w:rPr>
                  </w:pPr>
                  <w:r>
                    <w:rPr>
                      <w:rFonts w:hint="default" w:ascii="Times New Roman" w:hAnsi="Times New Roman" w:cs="Times New Roman"/>
                      <w:color w:val="auto"/>
                    </w:rPr>
                    <w:t>T</w:t>
                  </w:r>
                </w:p>
              </w:tc>
              <w:tc>
                <w:tcPr>
                  <w:tcW w:w="442" w:type="pct"/>
                  <w:vMerge w:val="continue"/>
                  <w:tcBorders>
                    <w:tl2br w:val="nil"/>
                    <w:tr2bl w:val="nil"/>
                  </w:tcBorders>
                  <w:noWrap w:val="0"/>
                  <w:vAlign w:val="center"/>
                </w:tcPr>
                <w:p w14:paraId="33BA224C">
                  <w:pPr>
                    <w:pStyle w:val="44"/>
                    <w:bidi w:val="0"/>
                    <w:jc w:val="center"/>
                    <w:rPr>
                      <w:rFonts w:hint="default" w:ascii="Times New Roman" w:hAnsi="Times New Roman" w:cs="Times New Roman"/>
                      <w:color w:val="auto"/>
                      <w:lang w:val="en-US" w:eastAsia="zh-CN"/>
                    </w:rPr>
                  </w:pPr>
                </w:p>
              </w:tc>
            </w:tr>
            <w:tr w14:paraId="1FA8103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99" w:type="pct"/>
                  <w:tcBorders>
                    <w:tl2br w:val="nil"/>
                    <w:tr2bl w:val="nil"/>
                  </w:tcBorders>
                  <w:noWrap w:val="0"/>
                  <w:vAlign w:val="center"/>
                </w:tcPr>
                <w:p w14:paraId="172F556B">
                  <w:pPr>
                    <w:pStyle w:val="44"/>
                    <w:bidi w:val="0"/>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5</w:t>
                  </w:r>
                </w:p>
              </w:tc>
              <w:tc>
                <w:tcPr>
                  <w:tcW w:w="343" w:type="pct"/>
                  <w:tcBorders>
                    <w:tl2br w:val="nil"/>
                    <w:tr2bl w:val="nil"/>
                  </w:tcBorders>
                  <w:shd w:val="clear" w:color="auto" w:fill="auto"/>
                  <w:noWrap w:val="0"/>
                  <w:vAlign w:val="center"/>
                </w:tcPr>
                <w:p w14:paraId="56773596">
                  <w:pPr>
                    <w:pStyle w:val="44"/>
                    <w:bidi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lang w:val="en-US" w:eastAsia="zh-CN"/>
                    </w:rPr>
                    <w:t>废机油</w:t>
                  </w:r>
                </w:p>
              </w:tc>
              <w:tc>
                <w:tcPr>
                  <w:tcW w:w="494" w:type="pct"/>
                  <w:tcBorders>
                    <w:tl2br w:val="nil"/>
                    <w:tr2bl w:val="nil"/>
                  </w:tcBorders>
                  <w:noWrap w:val="0"/>
                  <w:vAlign w:val="center"/>
                </w:tcPr>
                <w:p w14:paraId="3C39C9ED">
                  <w:pPr>
                    <w:pStyle w:val="44"/>
                    <w:bidi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lang w:val="en-US" w:eastAsia="zh-CN"/>
                    </w:rPr>
                    <w:t>HW08</w:t>
                  </w:r>
                </w:p>
              </w:tc>
              <w:tc>
                <w:tcPr>
                  <w:tcW w:w="662" w:type="pct"/>
                  <w:tcBorders>
                    <w:tl2br w:val="nil"/>
                    <w:tr2bl w:val="nil"/>
                  </w:tcBorders>
                  <w:noWrap w:val="0"/>
                  <w:vAlign w:val="center"/>
                </w:tcPr>
                <w:p w14:paraId="67BA2586">
                  <w:pPr>
                    <w:pStyle w:val="44"/>
                    <w:bidi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lang w:val="en-US" w:eastAsia="zh-CN"/>
                    </w:rPr>
                    <w:t>900-2</w:t>
                  </w:r>
                  <w:r>
                    <w:rPr>
                      <w:rFonts w:hint="eastAsia" w:cs="Times New Roman"/>
                      <w:color w:val="auto"/>
                      <w:lang w:val="en-US" w:eastAsia="zh-CN"/>
                    </w:rPr>
                    <w:t>14</w:t>
                  </w:r>
                  <w:r>
                    <w:rPr>
                      <w:rFonts w:hint="default" w:ascii="Times New Roman" w:hAnsi="Times New Roman" w:cs="Times New Roman"/>
                      <w:color w:val="auto"/>
                      <w:lang w:val="en-US" w:eastAsia="zh-CN"/>
                    </w:rPr>
                    <w:t>-08</w:t>
                  </w:r>
                </w:p>
              </w:tc>
              <w:tc>
                <w:tcPr>
                  <w:tcW w:w="457" w:type="pct"/>
                  <w:tcBorders>
                    <w:tl2br w:val="nil"/>
                    <w:tr2bl w:val="nil"/>
                  </w:tcBorders>
                  <w:noWrap w:val="0"/>
                  <w:vAlign w:val="center"/>
                </w:tcPr>
                <w:p w14:paraId="4EC2506B">
                  <w:pPr>
                    <w:pStyle w:val="44"/>
                    <w:bidi w:val="0"/>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0.1</w:t>
                  </w:r>
                </w:p>
              </w:tc>
              <w:tc>
                <w:tcPr>
                  <w:tcW w:w="612" w:type="pct"/>
                  <w:tcBorders>
                    <w:tl2br w:val="nil"/>
                    <w:tr2bl w:val="nil"/>
                  </w:tcBorders>
                  <w:noWrap w:val="0"/>
                  <w:vAlign w:val="center"/>
                </w:tcPr>
                <w:p w14:paraId="2980A850">
                  <w:pPr>
                    <w:pStyle w:val="44"/>
                    <w:bidi w:val="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lang w:val="en-US" w:eastAsia="zh-CN"/>
                    </w:rPr>
                    <w:t>设备维护</w:t>
                  </w:r>
                </w:p>
              </w:tc>
              <w:tc>
                <w:tcPr>
                  <w:tcW w:w="190" w:type="pct"/>
                  <w:tcBorders>
                    <w:tl2br w:val="nil"/>
                    <w:tr2bl w:val="nil"/>
                  </w:tcBorders>
                  <w:noWrap w:val="0"/>
                  <w:vAlign w:val="center"/>
                </w:tcPr>
                <w:p w14:paraId="7451FEA7">
                  <w:pPr>
                    <w:pStyle w:val="44"/>
                    <w:bidi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液</w:t>
                  </w:r>
                </w:p>
              </w:tc>
              <w:tc>
                <w:tcPr>
                  <w:tcW w:w="677" w:type="pct"/>
                  <w:tcBorders>
                    <w:tl2br w:val="nil"/>
                    <w:tr2bl w:val="nil"/>
                  </w:tcBorders>
                  <w:noWrap w:val="0"/>
                  <w:vAlign w:val="center"/>
                </w:tcPr>
                <w:p w14:paraId="412526DC">
                  <w:pPr>
                    <w:pStyle w:val="44"/>
                    <w:bidi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lang w:val="en-US" w:eastAsia="zh-CN"/>
                    </w:rPr>
                    <w:t>矿物油</w:t>
                  </w:r>
                </w:p>
              </w:tc>
              <w:tc>
                <w:tcPr>
                  <w:tcW w:w="512" w:type="pct"/>
                  <w:tcBorders>
                    <w:tl2br w:val="nil"/>
                    <w:tr2bl w:val="nil"/>
                  </w:tcBorders>
                  <w:noWrap w:val="0"/>
                  <w:vAlign w:val="center"/>
                </w:tcPr>
                <w:p w14:paraId="119BC7B3">
                  <w:pPr>
                    <w:pStyle w:val="44"/>
                    <w:bidi w:val="0"/>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1a/1次</w:t>
                  </w:r>
                </w:p>
              </w:tc>
              <w:tc>
                <w:tcPr>
                  <w:tcW w:w="407" w:type="pct"/>
                  <w:tcBorders>
                    <w:tl2br w:val="nil"/>
                    <w:tr2bl w:val="nil"/>
                  </w:tcBorders>
                  <w:noWrap w:val="0"/>
                  <w:vAlign w:val="center"/>
                </w:tcPr>
                <w:p w14:paraId="7246BC5B">
                  <w:pPr>
                    <w:pStyle w:val="44"/>
                    <w:bidi w:val="0"/>
                    <w:jc w:val="center"/>
                    <w:rPr>
                      <w:rFonts w:hint="default" w:ascii="Times New Roman" w:hAnsi="Times New Roman" w:cs="Times New Roman"/>
                      <w:color w:val="auto"/>
                    </w:rPr>
                  </w:pPr>
                  <w:r>
                    <w:rPr>
                      <w:rFonts w:hint="default" w:ascii="Times New Roman" w:hAnsi="Times New Roman" w:cs="Times New Roman"/>
                      <w:color w:val="auto"/>
                      <w:sz w:val="21"/>
                      <w:szCs w:val="21"/>
                    </w:rPr>
                    <w:t>T/In</w:t>
                  </w:r>
                </w:p>
              </w:tc>
              <w:tc>
                <w:tcPr>
                  <w:tcW w:w="442" w:type="pct"/>
                  <w:vMerge w:val="continue"/>
                  <w:tcBorders>
                    <w:tl2br w:val="nil"/>
                    <w:tr2bl w:val="nil"/>
                  </w:tcBorders>
                  <w:noWrap w:val="0"/>
                  <w:vAlign w:val="center"/>
                </w:tcPr>
                <w:p w14:paraId="0272CDDB">
                  <w:pPr>
                    <w:pStyle w:val="44"/>
                    <w:bidi w:val="0"/>
                    <w:jc w:val="center"/>
                    <w:rPr>
                      <w:rFonts w:hint="default" w:ascii="Times New Roman" w:hAnsi="Times New Roman" w:cs="Times New Roman"/>
                      <w:color w:val="auto"/>
                      <w:lang w:val="en-US" w:eastAsia="zh-CN"/>
                    </w:rPr>
                  </w:pPr>
                </w:p>
              </w:tc>
            </w:tr>
            <w:tr w14:paraId="62037C1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0" w:type="auto"/>
                  <w:vAlign w:val="center"/>
                </w:tcPr>
                <w:p w14:paraId="6F5ECA6C">
                  <w:pPr>
                    <w:pStyle w:val="44"/>
                    <w:bidi w:val="0"/>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6</w:t>
                  </w:r>
                </w:p>
              </w:tc>
              <w:tc>
                <w:tcPr>
                  <w:tcW w:w="0" w:type="auto"/>
                  <w:shd w:val="clear" w:color="auto" w:fill="auto"/>
                  <w:vAlign w:val="center"/>
                </w:tcPr>
                <w:p w14:paraId="6F1164E0">
                  <w:pPr>
                    <w:pStyle w:val="44"/>
                    <w:bidi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lang w:val="en-US" w:eastAsia="zh-CN"/>
                    </w:rPr>
                    <w:t>废机油桶</w:t>
                  </w:r>
                </w:p>
              </w:tc>
              <w:tc>
                <w:tcPr>
                  <w:tcW w:w="0" w:type="auto"/>
                  <w:vAlign w:val="center"/>
                </w:tcPr>
                <w:p w14:paraId="3D816CC7">
                  <w:pPr>
                    <w:pStyle w:val="44"/>
                    <w:bidi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lang w:val="en-US" w:eastAsia="zh-CN"/>
                    </w:rPr>
                    <w:t>HW08</w:t>
                  </w:r>
                </w:p>
              </w:tc>
              <w:tc>
                <w:tcPr>
                  <w:tcW w:w="0" w:type="auto"/>
                  <w:vAlign w:val="center"/>
                </w:tcPr>
                <w:p w14:paraId="77224586">
                  <w:pPr>
                    <w:pStyle w:val="44"/>
                    <w:bidi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lang w:val="en-US" w:eastAsia="zh-CN"/>
                    </w:rPr>
                    <w:t>900-249-08</w:t>
                  </w:r>
                </w:p>
              </w:tc>
              <w:tc>
                <w:tcPr>
                  <w:tcW w:w="457" w:type="pct"/>
                  <w:vAlign w:val="center"/>
                </w:tcPr>
                <w:p w14:paraId="412F64CD">
                  <w:pPr>
                    <w:pStyle w:val="44"/>
                    <w:bidi w:val="0"/>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0.01</w:t>
                  </w:r>
                </w:p>
              </w:tc>
              <w:tc>
                <w:tcPr>
                  <w:tcW w:w="612" w:type="pct"/>
                  <w:vAlign w:val="center"/>
                </w:tcPr>
                <w:p w14:paraId="6B4CB61D">
                  <w:pPr>
                    <w:pStyle w:val="44"/>
                    <w:bidi w:val="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lang w:val="en-US" w:eastAsia="zh-CN"/>
                    </w:rPr>
                    <w:t>设备维护</w:t>
                  </w:r>
                </w:p>
              </w:tc>
              <w:tc>
                <w:tcPr>
                  <w:tcW w:w="0" w:type="auto"/>
                  <w:vAlign w:val="center"/>
                </w:tcPr>
                <w:p w14:paraId="76E53001">
                  <w:pPr>
                    <w:pStyle w:val="44"/>
                    <w:bidi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lang w:val="en-US" w:eastAsia="zh-CN"/>
                    </w:rPr>
                    <w:t>固</w:t>
                  </w:r>
                </w:p>
              </w:tc>
              <w:tc>
                <w:tcPr>
                  <w:tcW w:w="0" w:type="auto"/>
                  <w:vAlign w:val="center"/>
                </w:tcPr>
                <w:p w14:paraId="147E0BC1">
                  <w:pPr>
                    <w:pStyle w:val="44"/>
                    <w:bidi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lang w:val="en-US" w:eastAsia="zh-CN"/>
                    </w:rPr>
                    <w:t>矿物油</w:t>
                  </w:r>
                </w:p>
              </w:tc>
              <w:tc>
                <w:tcPr>
                  <w:tcW w:w="0" w:type="auto"/>
                  <w:vAlign w:val="center"/>
                </w:tcPr>
                <w:p w14:paraId="24EF4EF6">
                  <w:pPr>
                    <w:pStyle w:val="44"/>
                    <w:bidi w:val="0"/>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1a/1次</w:t>
                  </w:r>
                </w:p>
              </w:tc>
              <w:tc>
                <w:tcPr>
                  <w:tcW w:w="0" w:type="auto"/>
                  <w:vAlign w:val="center"/>
                </w:tcPr>
                <w:p w14:paraId="72823B6E">
                  <w:pPr>
                    <w:pStyle w:val="44"/>
                    <w:bidi w:val="0"/>
                    <w:jc w:val="center"/>
                    <w:rPr>
                      <w:rFonts w:hint="default" w:ascii="Times New Roman" w:hAnsi="Times New Roman" w:cs="Times New Roman"/>
                      <w:color w:val="auto"/>
                    </w:rPr>
                  </w:pPr>
                  <w:r>
                    <w:rPr>
                      <w:rFonts w:hint="default" w:ascii="Times New Roman" w:hAnsi="Times New Roman" w:cs="Times New Roman"/>
                      <w:color w:val="auto"/>
                      <w:sz w:val="21"/>
                      <w:szCs w:val="21"/>
                    </w:rPr>
                    <w:t>T/In</w:t>
                  </w:r>
                </w:p>
              </w:tc>
              <w:tc>
                <w:tcPr>
                  <w:tcW w:w="442" w:type="pct"/>
                  <w:vMerge w:val="continue"/>
                  <w:tcBorders/>
                  <w:vAlign w:val="center"/>
                </w:tcPr>
                <w:p w14:paraId="030D3EDD">
                  <w:pPr>
                    <w:pStyle w:val="44"/>
                    <w:bidi w:val="0"/>
                    <w:jc w:val="center"/>
                    <w:rPr>
                      <w:rFonts w:hint="default" w:ascii="Times New Roman" w:hAnsi="Times New Roman" w:cs="Times New Roman"/>
                      <w:color w:val="auto"/>
                      <w:lang w:val="en-US" w:eastAsia="zh-CN"/>
                    </w:rPr>
                  </w:pPr>
                </w:p>
              </w:tc>
            </w:tr>
          </w:tbl>
          <w:p w14:paraId="625F899E">
            <w:pPr>
              <w:pStyle w:val="5"/>
              <w:numPr>
                <w:ilvl w:val="0"/>
                <w:numId w:val="0"/>
              </w:numPr>
              <w:bidi w:val="0"/>
              <w:ind w:leftChars="200"/>
              <w:rPr>
                <w:rFonts w:hint="default" w:ascii="Times New Roman" w:hAnsi="Times New Roman" w:cs="Times New Roman"/>
                <w:color w:val="auto"/>
              </w:rPr>
            </w:pPr>
            <w:r>
              <w:rPr>
                <w:rFonts w:hint="default" w:ascii="Times New Roman" w:hAnsi="Times New Roman" w:cs="Times New Roman"/>
                <w:color w:val="auto"/>
              </w:rPr>
              <w:t>2、环境管理要求</w:t>
            </w:r>
          </w:p>
          <w:p w14:paraId="62DF5C21">
            <w:pPr>
              <w:pStyle w:val="105"/>
              <w:ind w:firstLine="480"/>
              <w:rPr>
                <w:rFonts w:hint="default" w:ascii="Times New Roman" w:hAnsi="Times New Roman" w:cs="Times New Roman"/>
                <w:color w:val="auto"/>
              </w:rPr>
            </w:pPr>
            <w:r>
              <w:rPr>
                <w:rFonts w:hint="default" w:ascii="Times New Roman" w:hAnsi="Times New Roman" w:cs="Times New Roman"/>
                <w:color w:val="auto"/>
              </w:rPr>
              <w:t>本项目固体废物的收集及贮存等应按照</w:t>
            </w:r>
            <w:r>
              <w:rPr>
                <w:rFonts w:hint="default" w:ascii="Times New Roman" w:hAnsi="Times New Roman" w:cs="Times New Roman"/>
                <w:color w:val="auto"/>
                <w:lang w:eastAsia="zh-CN"/>
              </w:rPr>
              <w:t>《中华人民共和国固体废物污染环境防治法》（2020年4月29日修订）中关于一般工业固体废物贮存相关要求、</w:t>
            </w:r>
            <w:r>
              <w:rPr>
                <w:rFonts w:hint="default" w:ascii="Times New Roman" w:hAnsi="Times New Roman" w:cs="Times New Roman"/>
                <w:color w:val="auto"/>
              </w:rPr>
              <w:t>《一般工业固体废物贮存和填埋污染控制标准》（GB18599-2020）</w:t>
            </w:r>
            <w:r>
              <w:rPr>
                <w:rFonts w:hint="default" w:ascii="Times New Roman" w:hAnsi="Times New Roman" w:cs="Times New Roman"/>
                <w:color w:val="auto"/>
                <w:lang w:val="en-US" w:eastAsia="zh-CN"/>
              </w:rPr>
              <w:t>以及</w:t>
            </w:r>
            <w:r>
              <w:rPr>
                <w:rFonts w:hint="default" w:ascii="Times New Roman" w:hAnsi="Times New Roman" w:cs="Times New Roman"/>
                <w:color w:val="auto"/>
              </w:rPr>
              <w:t>《危险废物贮存污染控制标准》（GB18597-2023）要求建设。</w:t>
            </w:r>
          </w:p>
          <w:p w14:paraId="7C7B262A">
            <w:pPr>
              <w:bidi w:val="0"/>
              <w:ind w:firstLine="480" w:firstLineChars="200"/>
              <w:rPr>
                <w:rFonts w:hint="default" w:ascii="Times New Roman" w:hAnsi="Times New Roman" w:eastAsia="宋体" w:cs="Times New Roman"/>
                <w:color w:val="auto"/>
                <w:szCs w:val="21"/>
                <w:lang w:val="en-US" w:eastAsia="zh-CN"/>
              </w:rPr>
            </w:pPr>
            <w:r>
              <w:rPr>
                <w:rFonts w:hint="default" w:ascii="Times New Roman" w:hAnsi="Times New Roman" w:cs="Times New Roman"/>
                <w:bCs/>
                <w:color w:val="auto"/>
                <w:szCs w:val="24"/>
                <w:lang w:eastAsia="zh-CN"/>
              </w:rPr>
              <w:t>（</w:t>
            </w:r>
            <w:r>
              <w:rPr>
                <w:rFonts w:hint="default" w:ascii="Times New Roman" w:hAnsi="Times New Roman" w:cs="Times New Roman"/>
                <w:bCs/>
                <w:color w:val="auto"/>
                <w:szCs w:val="24"/>
                <w:lang w:val="en-US" w:eastAsia="zh-CN"/>
              </w:rPr>
              <w:t>1</w:t>
            </w:r>
            <w:r>
              <w:rPr>
                <w:rFonts w:hint="default" w:ascii="Times New Roman" w:hAnsi="Times New Roman" w:cs="Times New Roman"/>
                <w:bCs/>
                <w:color w:val="auto"/>
                <w:szCs w:val="24"/>
                <w:lang w:eastAsia="zh-CN"/>
              </w:rPr>
              <w:t>）</w:t>
            </w:r>
            <w:r>
              <w:rPr>
                <w:rFonts w:hint="default" w:ascii="Times New Roman" w:hAnsi="Times New Roman" w:cs="Times New Roman"/>
                <w:bCs/>
                <w:color w:val="auto"/>
                <w:szCs w:val="24"/>
              </w:rPr>
              <w:t>一</w:t>
            </w:r>
            <w:r>
              <w:rPr>
                <w:rFonts w:hint="default" w:ascii="Times New Roman" w:hAnsi="Times New Roman" w:cs="Times New Roman"/>
                <w:bCs/>
                <w:color w:val="auto"/>
                <w:szCs w:val="22"/>
                <w:lang w:val="en-GB"/>
              </w:rPr>
              <w:t>般工业固体废物</w:t>
            </w:r>
            <w:r>
              <w:rPr>
                <w:rFonts w:hint="default" w:ascii="Times New Roman" w:hAnsi="Times New Roman" w:cs="Times New Roman"/>
                <w:bCs/>
                <w:color w:val="auto"/>
                <w:szCs w:val="22"/>
                <w:lang w:val="en-GB" w:eastAsia="zh-CN"/>
              </w:rPr>
              <w:t>：</w:t>
            </w:r>
            <w:r>
              <w:rPr>
                <w:rFonts w:hint="default" w:ascii="Times New Roman" w:hAnsi="Times New Roman" w:cs="Times New Roman"/>
                <w:bCs/>
                <w:color w:val="auto"/>
                <w:szCs w:val="22"/>
              </w:rPr>
              <w:t>采用室内贮存方式，做到防雨、防流失、防二次污染等措施。</w:t>
            </w:r>
            <w:r>
              <w:rPr>
                <w:rFonts w:hint="default" w:ascii="Times New Roman" w:hAnsi="Times New Roman" w:cs="Times New Roman"/>
                <w:bCs/>
                <w:color w:val="auto"/>
                <w:szCs w:val="22"/>
                <w:lang w:val="en-GB"/>
              </w:rPr>
              <w:t>建设固</w:t>
            </w:r>
            <w:r>
              <w:rPr>
                <w:rFonts w:hint="default" w:ascii="Times New Roman" w:hAnsi="Times New Roman" w:cs="Times New Roman"/>
                <w:bCs/>
                <w:color w:val="auto"/>
                <w:szCs w:val="22"/>
              </w:rPr>
              <w:t>废暂存场所</w:t>
            </w:r>
            <w:r>
              <w:rPr>
                <w:rFonts w:hint="default" w:ascii="Times New Roman" w:hAnsi="Times New Roman" w:cs="Times New Roman"/>
                <w:bCs/>
                <w:color w:val="auto"/>
                <w:szCs w:val="22"/>
                <w:lang w:val="en-US" w:eastAsia="zh-CN"/>
              </w:rPr>
              <w:t>应</w:t>
            </w:r>
            <w:r>
              <w:rPr>
                <w:rFonts w:hint="default" w:ascii="Times New Roman" w:hAnsi="Times New Roman" w:cs="Times New Roman"/>
                <w:bCs/>
                <w:color w:val="auto"/>
                <w:szCs w:val="22"/>
                <w:lang w:val="en-GB"/>
              </w:rPr>
              <w:t>参照《一般工业固体废物贮存和填埋污染控制标准》（GB18599-2020）相关要求制定防渗措施：等效黏土防渗层Mb≥1.5m，K≤1×10</w:t>
            </w:r>
            <w:r>
              <w:rPr>
                <w:rFonts w:hint="default" w:ascii="Times New Roman" w:hAnsi="Times New Roman" w:cs="Times New Roman"/>
                <w:bCs/>
                <w:color w:val="auto"/>
                <w:szCs w:val="22"/>
                <w:vertAlign w:val="superscript"/>
                <w:lang w:val="en-GB"/>
              </w:rPr>
              <w:t>-7</w:t>
            </w:r>
            <w:r>
              <w:rPr>
                <w:rFonts w:hint="default" w:ascii="Times New Roman" w:hAnsi="Times New Roman" w:cs="Times New Roman"/>
                <w:bCs/>
                <w:color w:val="auto"/>
                <w:szCs w:val="22"/>
                <w:lang w:val="en-GB"/>
              </w:rPr>
              <w:t>cm/s或抗渗混凝土的抗渗等级不宜小于P8，其厚度不宜小于100mm。</w:t>
            </w:r>
          </w:p>
          <w:p w14:paraId="55731F55">
            <w:pPr>
              <w:ind w:firstLine="480"/>
              <w:rPr>
                <w:rFonts w:hint="default" w:ascii="Times New Roman" w:hAnsi="Times New Roman" w:cs="Times New Roman"/>
                <w:bCs/>
                <w:color w:val="auto"/>
                <w:szCs w:val="24"/>
                <w:lang w:eastAsia="zh-CN"/>
              </w:rPr>
            </w:pPr>
            <w:r>
              <w:rPr>
                <w:rFonts w:hint="default" w:ascii="Times New Roman" w:hAnsi="Times New Roman" w:cs="Times New Roman"/>
                <w:bCs/>
                <w:color w:val="auto"/>
                <w:szCs w:val="24"/>
                <w:lang w:eastAsia="zh-CN"/>
              </w:rPr>
              <w:t>（</w:t>
            </w:r>
            <w:r>
              <w:rPr>
                <w:rFonts w:hint="default" w:ascii="Times New Roman" w:hAnsi="Times New Roman" w:cs="Times New Roman"/>
                <w:bCs/>
                <w:color w:val="auto"/>
                <w:szCs w:val="24"/>
                <w:lang w:val="en-US" w:eastAsia="zh-CN"/>
              </w:rPr>
              <w:t>2</w:t>
            </w:r>
            <w:r>
              <w:rPr>
                <w:rFonts w:hint="default" w:ascii="Times New Roman" w:hAnsi="Times New Roman" w:cs="Times New Roman"/>
                <w:bCs/>
                <w:color w:val="auto"/>
                <w:szCs w:val="24"/>
                <w:lang w:eastAsia="zh-CN"/>
              </w:rPr>
              <w:t>）</w:t>
            </w:r>
            <w:r>
              <w:rPr>
                <w:rFonts w:hint="default" w:ascii="Times New Roman" w:hAnsi="Times New Roman" w:eastAsia="宋体" w:cs="Times New Roman"/>
                <w:color w:val="auto"/>
                <w:sz w:val="24"/>
                <w:szCs w:val="24"/>
                <w:highlight w:val="none"/>
                <w:lang w:val="en-US" w:eastAsia="zh-CN"/>
              </w:rPr>
              <w:t>危险废物贮存场所（设施）污染防治措施：</w:t>
            </w:r>
          </w:p>
          <w:p w14:paraId="5DCD443C">
            <w:pPr>
              <w:ind w:firstLine="480"/>
              <w:rPr>
                <w:rFonts w:hint="default" w:ascii="Times New Roman" w:hAnsi="Times New Roman" w:cs="Times New Roman"/>
                <w:bCs/>
                <w:color w:val="auto"/>
                <w:szCs w:val="24"/>
                <w:lang w:eastAsia="zh-CN"/>
              </w:rPr>
            </w:pPr>
            <w:r>
              <w:rPr>
                <w:rFonts w:hint="default" w:ascii="Times New Roman" w:hAnsi="Times New Roman" w:cs="Times New Roman"/>
                <w:bCs/>
                <w:color w:val="auto"/>
                <w:szCs w:val="24"/>
                <w:lang w:eastAsia="zh-CN"/>
              </w:rPr>
              <w:t>①贮存物质相容性要求：在常温常压下不水解、不挥发的固体危险废物可在贮存场所内分别堆放，除此之外的其他危险废物必须存放于容器中，存放用容器也需符合《危险废物贮存污染控制标准》（GB 18597-2023）的相关规定；禁止将不相容(相互反应)的危险废物在同一容器中存放；无法装入常用容器的危险废物可用防漏胶袋等盛装。</w:t>
            </w:r>
          </w:p>
          <w:p w14:paraId="7826BBA9">
            <w:pPr>
              <w:ind w:firstLine="480"/>
              <w:rPr>
                <w:rFonts w:hint="default" w:ascii="Times New Roman" w:hAnsi="Times New Roman" w:cs="Times New Roman"/>
                <w:bCs/>
                <w:color w:val="auto"/>
                <w:szCs w:val="24"/>
                <w:lang w:eastAsia="zh-CN"/>
              </w:rPr>
            </w:pPr>
            <w:r>
              <w:rPr>
                <w:rFonts w:hint="default" w:ascii="Times New Roman" w:hAnsi="Times New Roman" w:cs="Times New Roman"/>
                <w:bCs/>
                <w:color w:val="auto"/>
                <w:szCs w:val="24"/>
                <w:lang w:eastAsia="zh-CN"/>
              </w:rPr>
              <w:t>②包装容器要求：危险废物贮存容器应当使用符合标准的容器盛装危险废物，装载危险废物的容器及材质要满足相应的强度要求，完好无损，盛装危险废物的容器材质和衬里要与危险废物相容。</w:t>
            </w:r>
          </w:p>
          <w:p w14:paraId="57D7F16C">
            <w:pPr>
              <w:ind w:firstLine="480"/>
              <w:rPr>
                <w:rFonts w:hint="default" w:ascii="Times New Roman" w:hAnsi="Times New Roman" w:cs="Times New Roman"/>
                <w:bCs/>
                <w:color w:val="auto"/>
                <w:szCs w:val="24"/>
                <w:lang w:eastAsia="zh-CN"/>
              </w:rPr>
            </w:pPr>
            <w:r>
              <w:rPr>
                <w:rFonts w:hint="default" w:ascii="Times New Roman" w:hAnsi="Times New Roman" w:cs="Times New Roman"/>
                <w:bCs/>
                <w:color w:val="auto"/>
                <w:szCs w:val="24"/>
                <w:lang w:eastAsia="zh-CN"/>
              </w:rPr>
              <w:t>③危险废物贮存场所要求：对于危险废物暂存区域应严格按照《危险废物贮存污染控制标准》（GB 18597-2023）中的相关规定，地面进行耐腐蚀硬化处理，地基须防渗，地面表面无裂缝；不相容的危险废物需分类存放，并设置隔离间隔断；满足（防风、防雨、防晒、防渗漏），具备警示标识等方面内容。</w:t>
            </w:r>
          </w:p>
          <w:p w14:paraId="55BB3D3F">
            <w:pPr>
              <w:ind w:firstLine="48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④危险废物暂存管理要求：危废暂存间设立危险废物进出入台账登记管理制度，记录每次运送流程和处置去向，严格执行危险废物电子联单制度，实行对危险废物从源头到终端处理的全过程监管，确保危险废物100%得到安全处置。</w:t>
            </w:r>
          </w:p>
          <w:p w14:paraId="1678922C">
            <w:pPr>
              <w:spacing w:line="360" w:lineRule="auto"/>
              <w:ind w:firstLine="480" w:firstLineChars="200"/>
              <w:rPr>
                <w:rFonts w:hint="default" w:ascii="Times New Roman" w:hAnsi="Times New Roman" w:eastAsia="宋体" w:cs="Times New Roman"/>
                <w:color w:val="auto"/>
                <w:kern w:val="0"/>
                <w:szCs w:val="21"/>
                <w:lang w:eastAsia="zh-CN" w:bidi="ar"/>
              </w:rPr>
            </w:pPr>
            <w:r>
              <w:rPr>
                <w:rFonts w:hint="default" w:ascii="Times New Roman" w:hAnsi="Times New Roman" w:eastAsia="宋体" w:cs="Times New Roman"/>
                <w:color w:val="auto"/>
                <w:sz w:val="24"/>
                <w:lang w:val="en-US" w:eastAsia="zh-CN"/>
              </w:rPr>
              <w:t>⑤运输过程的污染防治措施</w:t>
            </w:r>
            <w:r>
              <w:rPr>
                <w:rFonts w:hint="default" w:ascii="Times New Roman" w:hAnsi="Times New Roman" w:cs="Times New Roman"/>
                <w:color w:val="auto"/>
                <w:sz w:val="24"/>
                <w:lang w:val="en-US" w:eastAsia="zh-CN"/>
              </w:rPr>
              <w:t>：危险废物的收集、运输按照《危险废物收集、贮存、运输技术规范》(HJ2025-2012)的要求进行，有效防止危险废物转移过程中污染环境。项目需处理的危险废物采用专门的车辆，密闭运输，严格禁止抛洒滴漏，杜绝在运输过程中造成环境的二次污染。在危险废物的运输中执行《危险废物转移管理办法》中有关的规定和要求。</w:t>
            </w:r>
          </w:p>
          <w:p w14:paraId="1E8808A0">
            <w:pPr>
              <w:pStyle w:val="45"/>
              <w:bidi w:val="0"/>
              <w:rPr>
                <w:rFonts w:hint="default" w:ascii="Times New Roman" w:hAnsi="Times New Roman" w:cs="Times New Roman"/>
                <w:b/>
                <w:color w:val="auto"/>
                <w:szCs w:val="21"/>
              </w:rPr>
            </w:pPr>
            <w:r>
              <w:rPr>
                <w:rFonts w:hint="default" w:ascii="Times New Roman" w:hAnsi="Times New Roman" w:cs="Times New Roman"/>
                <w:color w:val="auto"/>
                <w:lang w:val="en-US" w:eastAsia="zh-CN"/>
              </w:rPr>
              <w:t>表4-1</w:t>
            </w:r>
            <w:r>
              <w:rPr>
                <w:rFonts w:hint="eastAsia" w:ascii="Times New Roman" w:hAnsi="Times New Roman" w:cs="Times New Roman"/>
                <w:color w:val="auto"/>
                <w:lang w:val="en-US" w:eastAsia="zh-CN"/>
              </w:rPr>
              <w:t>5</w:t>
            </w:r>
            <w:r>
              <w:rPr>
                <w:rFonts w:hint="default" w:ascii="Times New Roman" w:hAnsi="Times New Roman" w:cs="Times New Roman"/>
                <w:color w:val="auto"/>
                <w:lang w:val="en-US" w:eastAsia="zh-CN"/>
              </w:rPr>
              <w:t xml:space="preserve"> </w:t>
            </w:r>
            <w:r>
              <w:rPr>
                <w:rFonts w:hint="default" w:ascii="Times New Roman" w:hAnsi="Times New Roman" w:cs="Times New Roman"/>
                <w:color w:val="auto"/>
              </w:rPr>
              <w:t>危险废物贮存场所基本情况</w:t>
            </w:r>
          </w:p>
          <w:tbl>
            <w:tblPr>
              <w:tblStyle w:val="33"/>
              <w:tblW w:w="799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193"/>
              <w:gridCol w:w="833"/>
              <w:gridCol w:w="1373"/>
              <w:gridCol w:w="1054"/>
              <w:gridCol w:w="446"/>
              <w:gridCol w:w="686"/>
              <w:gridCol w:w="850"/>
              <w:gridCol w:w="695"/>
            </w:tblGrid>
            <w:tr w14:paraId="75865D9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67" w:type="dxa"/>
                  <w:tcBorders>
                    <w:tl2br w:val="nil"/>
                    <w:tr2bl w:val="nil"/>
                  </w:tcBorders>
                  <w:noWrap w:val="0"/>
                  <w:vAlign w:val="center"/>
                </w:tcPr>
                <w:p w14:paraId="51480C23">
                  <w:pPr>
                    <w:pStyle w:val="44"/>
                    <w:bidi w:val="0"/>
                    <w:rPr>
                      <w:rFonts w:hint="default" w:ascii="Times New Roman" w:hAnsi="Times New Roman" w:cs="Times New Roman"/>
                      <w:b/>
                      <w:bCs/>
                      <w:color w:val="auto"/>
                    </w:rPr>
                  </w:pPr>
                  <w:r>
                    <w:rPr>
                      <w:rFonts w:hint="default" w:ascii="Times New Roman" w:hAnsi="Times New Roman" w:cs="Times New Roman"/>
                      <w:b/>
                      <w:bCs/>
                      <w:color w:val="auto"/>
                    </w:rPr>
                    <w:t>贮存场所名称</w:t>
                  </w:r>
                </w:p>
              </w:tc>
              <w:tc>
                <w:tcPr>
                  <w:tcW w:w="1193" w:type="dxa"/>
                  <w:tcBorders>
                    <w:tl2br w:val="nil"/>
                    <w:tr2bl w:val="nil"/>
                  </w:tcBorders>
                  <w:noWrap w:val="0"/>
                  <w:vAlign w:val="center"/>
                </w:tcPr>
                <w:p w14:paraId="244EE6A9">
                  <w:pPr>
                    <w:pStyle w:val="44"/>
                    <w:bidi w:val="0"/>
                    <w:rPr>
                      <w:rFonts w:hint="default" w:ascii="Times New Roman" w:hAnsi="Times New Roman" w:cs="Times New Roman"/>
                      <w:b/>
                      <w:bCs/>
                      <w:color w:val="auto"/>
                    </w:rPr>
                  </w:pPr>
                  <w:r>
                    <w:rPr>
                      <w:rFonts w:hint="default" w:ascii="Times New Roman" w:hAnsi="Times New Roman" w:cs="Times New Roman"/>
                      <w:b/>
                      <w:bCs/>
                      <w:color w:val="auto"/>
                    </w:rPr>
                    <w:t>危险废物</w:t>
                  </w:r>
                </w:p>
                <w:p w14:paraId="62BA6BB2">
                  <w:pPr>
                    <w:pStyle w:val="44"/>
                    <w:bidi w:val="0"/>
                    <w:rPr>
                      <w:rFonts w:hint="default" w:ascii="Times New Roman" w:hAnsi="Times New Roman" w:cs="Times New Roman"/>
                      <w:b/>
                      <w:bCs/>
                      <w:color w:val="auto"/>
                    </w:rPr>
                  </w:pPr>
                  <w:r>
                    <w:rPr>
                      <w:rFonts w:hint="default" w:ascii="Times New Roman" w:hAnsi="Times New Roman" w:cs="Times New Roman"/>
                      <w:b/>
                      <w:bCs/>
                      <w:color w:val="auto"/>
                    </w:rPr>
                    <w:t>名称</w:t>
                  </w:r>
                </w:p>
              </w:tc>
              <w:tc>
                <w:tcPr>
                  <w:tcW w:w="833" w:type="dxa"/>
                  <w:tcBorders>
                    <w:tl2br w:val="nil"/>
                    <w:tr2bl w:val="nil"/>
                  </w:tcBorders>
                  <w:noWrap w:val="0"/>
                  <w:vAlign w:val="center"/>
                </w:tcPr>
                <w:p w14:paraId="4C2AC729">
                  <w:pPr>
                    <w:pStyle w:val="44"/>
                    <w:bidi w:val="0"/>
                    <w:rPr>
                      <w:rFonts w:hint="default" w:ascii="Times New Roman" w:hAnsi="Times New Roman" w:cs="Times New Roman"/>
                      <w:b/>
                      <w:bCs/>
                      <w:color w:val="auto"/>
                    </w:rPr>
                  </w:pPr>
                  <w:r>
                    <w:rPr>
                      <w:rFonts w:hint="default" w:ascii="Times New Roman" w:hAnsi="Times New Roman" w:cs="Times New Roman"/>
                      <w:b/>
                      <w:bCs/>
                      <w:color w:val="auto"/>
                    </w:rPr>
                    <w:t>危废类别</w:t>
                  </w:r>
                </w:p>
              </w:tc>
              <w:tc>
                <w:tcPr>
                  <w:tcW w:w="1373" w:type="dxa"/>
                  <w:tcBorders>
                    <w:tl2br w:val="nil"/>
                    <w:tr2bl w:val="nil"/>
                  </w:tcBorders>
                  <w:noWrap w:val="0"/>
                  <w:vAlign w:val="center"/>
                </w:tcPr>
                <w:p w14:paraId="79C01259">
                  <w:pPr>
                    <w:pStyle w:val="44"/>
                    <w:bidi w:val="0"/>
                    <w:rPr>
                      <w:rFonts w:hint="default" w:ascii="Times New Roman" w:hAnsi="Times New Roman" w:cs="Times New Roman"/>
                      <w:b/>
                      <w:bCs/>
                      <w:color w:val="auto"/>
                    </w:rPr>
                  </w:pPr>
                  <w:r>
                    <w:rPr>
                      <w:rFonts w:hint="default" w:ascii="Times New Roman" w:hAnsi="Times New Roman" w:cs="Times New Roman"/>
                      <w:b/>
                      <w:bCs/>
                      <w:color w:val="auto"/>
                    </w:rPr>
                    <w:t>废物代码</w:t>
                  </w:r>
                </w:p>
              </w:tc>
              <w:tc>
                <w:tcPr>
                  <w:tcW w:w="1054" w:type="dxa"/>
                  <w:tcBorders>
                    <w:tl2br w:val="nil"/>
                    <w:tr2bl w:val="nil"/>
                  </w:tcBorders>
                  <w:noWrap w:val="0"/>
                  <w:vAlign w:val="center"/>
                </w:tcPr>
                <w:p w14:paraId="4D472E5A">
                  <w:pPr>
                    <w:pStyle w:val="44"/>
                    <w:bidi w:val="0"/>
                    <w:rPr>
                      <w:rFonts w:hint="default" w:ascii="Times New Roman" w:hAnsi="Times New Roman" w:cs="Times New Roman"/>
                      <w:b/>
                      <w:bCs/>
                      <w:color w:val="auto"/>
                    </w:rPr>
                  </w:pPr>
                  <w:r>
                    <w:rPr>
                      <w:rFonts w:hint="default" w:ascii="Times New Roman" w:hAnsi="Times New Roman" w:cs="Times New Roman"/>
                      <w:b/>
                      <w:bCs/>
                      <w:color w:val="auto"/>
                    </w:rPr>
                    <w:t>产生量</w:t>
                  </w:r>
                  <w:r>
                    <w:rPr>
                      <w:rFonts w:hint="default" w:ascii="Times New Roman" w:hAnsi="Times New Roman" w:cs="Times New Roman"/>
                      <w:b/>
                      <w:bCs/>
                      <w:color w:val="auto"/>
                      <w:lang w:val="en-US" w:eastAsia="zh-CN"/>
                    </w:rPr>
                    <w:t>t/a</w:t>
                  </w:r>
                </w:p>
              </w:tc>
              <w:tc>
                <w:tcPr>
                  <w:tcW w:w="446" w:type="dxa"/>
                  <w:tcBorders>
                    <w:tl2br w:val="nil"/>
                    <w:tr2bl w:val="nil"/>
                  </w:tcBorders>
                  <w:noWrap w:val="0"/>
                  <w:vAlign w:val="center"/>
                </w:tcPr>
                <w:p w14:paraId="6A4D8D79">
                  <w:pPr>
                    <w:pStyle w:val="44"/>
                    <w:bidi w:val="0"/>
                    <w:rPr>
                      <w:rFonts w:hint="default" w:ascii="Times New Roman" w:hAnsi="Times New Roman" w:cs="Times New Roman"/>
                      <w:b/>
                      <w:bCs/>
                      <w:color w:val="auto"/>
                    </w:rPr>
                  </w:pPr>
                  <w:r>
                    <w:rPr>
                      <w:rFonts w:hint="default" w:ascii="Times New Roman" w:hAnsi="Times New Roman" w:cs="Times New Roman"/>
                      <w:b/>
                      <w:bCs/>
                      <w:color w:val="auto"/>
                    </w:rPr>
                    <w:t>位置</w:t>
                  </w:r>
                </w:p>
              </w:tc>
              <w:tc>
                <w:tcPr>
                  <w:tcW w:w="686" w:type="dxa"/>
                  <w:tcBorders>
                    <w:tl2br w:val="nil"/>
                    <w:tr2bl w:val="nil"/>
                  </w:tcBorders>
                  <w:noWrap w:val="0"/>
                  <w:vAlign w:val="center"/>
                </w:tcPr>
                <w:p w14:paraId="43A8C6C7">
                  <w:pPr>
                    <w:pStyle w:val="44"/>
                    <w:bidi w:val="0"/>
                    <w:rPr>
                      <w:rFonts w:hint="default" w:ascii="Times New Roman" w:hAnsi="Times New Roman" w:cs="Times New Roman"/>
                      <w:b/>
                      <w:bCs/>
                      <w:color w:val="auto"/>
                    </w:rPr>
                  </w:pPr>
                  <w:r>
                    <w:rPr>
                      <w:rFonts w:hint="default" w:ascii="Times New Roman" w:hAnsi="Times New Roman" w:cs="Times New Roman"/>
                      <w:b/>
                      <w:bCs/>
                      <w:color w:val="auto"/>
                    </w:rPr>
                    <w:t>占地</w:t>
                  </w:r>
                </w:p>
                <w:p w14:paraId="00D3837B">
                  <w:pPr>
                    <w:pStyle w:val="44"/>
                    <w:bidi w:val="0"/>
                    <w:rPr>
                      <w:rFonts w:hint="default" w:ascii="Times New Roman" w:hAnsi="Times New Roman" w:cs="Times New Roman"/>
                      <w:b/>
                      <w:bCs/>
                      <w:color w:val="auto"/>
                    </w:rPr>
                  </w:pPr>
                  <w:r>
                    <w:rPr>
                      <w:rFonts w:hint="default" w:ascii="Times New Roman" w:hAnsi="Times New Roman" w:cs="Times New Roman"/>
                      <w:b/>
                      <w:bCs/>
                      <w:color w:val="auto"/>
                    </w:rPr>
                    <w:t>面积</w:t>
                  </w:r>
                </w:p>
              </w:tc>
              <w:tc>
                <w:tcPr>
                  <w:tcW w:w="850" w:type="dxa"/>
                  <w:tcBorders>
                    <w:tl2br w:val="nil"/>
                    <w:tr2bl w:val="nil"/>
                  </w:tcBorders>
                  <w:noWrap w:val="0"/>
                  <w:vAlign w:val="center"/>
                </w:tcPr>
                <w:p w14:paraId="53C59C78">
                  <w:pPr>
                    <w:pStyle w:val="44"/>
                    <w:bidi w:val="0"/>
                    <w:rPr>
                      <w:rFonts w:hint="default" w:ascii="Times New Roman" w:hAnsi="Times New Roman" w:cs="Times New Roman"/>
                      <w:b/>
                      <w:bCs/>
                      <w:color w:val="auto"/>
                    </w:rPr>
                  </w:pPr>
                  <w:r>
                    <w:rPr>
                      <w:rFonts w:hint="default" w:ascii="Times New Roman" w:hAnsi="Times New Roman" w:cs="Times New Roman"/>
                      <w:b/>
                      <w:bCs/>
                      <w:color w:val="auto"/>
                    </w:rPr>
                    <w:t>贮存方式</w:t>
                  </w:r>
                </w:p>
              </w:tc>
              <w:tc>
                <w:tcPr>
                  <w:tcW w:w="695" w:type="dxa"/>
                  <w:tcBorders>
                    <w:tl2br w:val="nil"/>
                    <w:tr2bl w:val="nil"/>
                  </w:tcBorders>
                  <w:noWrap w:val="0"/>
                  <w:vAlign w:val="center"/>
                </w:tcPr>
                <w:p w14:paraId="344885AE">
                  <w:pPr>
                    <w:pStyle w:val="44"/>
                    <w:bidi w:val="0"/>
                    <w:rPr>
                      <w:rFonts w:hint="default" w:ascii="Times New Roman" w:hAnsi="Times New Roman" w:cs="Times New Roman"/>
                      <w:b/>
                      <w:bCs/>
                      <w:color w:val="auto"/>
                    </w:rPr>
                  </w:pPr>
                  <w:r>
                    <w:rPr>
                      <w:rFonts w:hint="default" w:ascii="Times New Roman" w:hAnsi="Times New Roman" w:cs="Times New Roman"/>
                      <w:b/>
                      <w:bCs/>
                      <w:color w:val="auto"/>
                    </w:rPr>
                    <w:t>贮存</w:t>
                  </w:r>
                </w:p>
                <w:p w14:paraId="1426C06F">
                  <w:pPr>
                    <w:pStyle w:val="44"/>
                    <w:bidi w:val="0"/>
                    <w:rPr>
                      <w:rFonts w:hint="default" w:ascii="Times New Roman" w:hAnsi="Times New Roman" w:cs="Times New Roman"/>
                      <w:b/>
                      <w:bCs/>
                      <w:color w:val="auto"/>
                    </w:rPr>
                  </w:pPr>
                  <w:r>
                    <w:rPr>
                      <w:rFonts w:hint="default" w:ascii="Times New Roman" w:hAnsi="Times New Roman" w:cs="Times New Roman"/>
                      <w:b/>
                      <w:bCs/>
                      <w:color w:val="auto"/>
                    </w:rPr>
                    <w:t>周期</w:t>
                  </w:r>
                </w:p>
              </w:tc>
            </w:tr>
            <w:tr w14:paraId="656E841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67" w:type="dxa"/>
                  <w:vMerge w:val="restart"/>
                  <w:tcBorders>
                    <w:tl2br w:val="nil"/>
                    <w:tr2bl w:val="nil"/>
                  </w:tcBorders>
                  <w:noWrap w:val="0"/>
                  <w:vAlign w:val="center"/>
                </w:tcPr>
                <w:p w14:paraId="7E5C9B2C">
                  <w:pPr>
                    <w:pStyle w:val="44"/>
                    <w:bidi w:val="0"/>
                    <w:rPr>
                      <w:rFonts w:hint="default" w:ascii="Times New Roman" w:hAnsi="Times New Roman" w:cs="Times New Roman"/>
                      <w:color w:val="auto"/>
                    </w:rPr>
                  </w:pPr>
                  <w:r>
                    <w:rPr>
                      <w:rFonts w:hint="default" w:ascii="Times New Roman" w:hAnsi="Times New Roman" w:cs="Times New Roman"/>
                      <w:color w:val="auto"/>
                    </w:rPr>
                    <w:t>危废</w:t>
                  </w:r>
                </w:p>
                <w:p w14:paraId="4AC8B7BC">
                  <w:pPr>
                    <w:pStyle w:val="44"/>
                    <w:bidi w:val="0"/>
                    <w:rPr>
                      <w:rFonts w:hint="default" w:ascii="Times New Roman" w:hAnsi="Times New Roman" w:cs="Times New Roman"/>
                      <w:color w:val="auto"/>
                    </w:rPr>
                  </w:pPr>
                  <w:r>
                    <w:rPr>
                      <w:rFonts w:hint="default" w:ascii="Times New Roman" w:hAnsi="Times New Roman" w:cs="Times New Roman"/>
                      <w:color w:val="auto"/>
                    </w:rPr>
                    <w:t>暂存间</w:t>
                  </w:r>
                </w:p>
              </w:tc>
              <w:tc>
                <w:tcPr>
                  <w:tcW w:w="1193" w:type="dxa"/>
                  <w:tcBorders>
                    <w:tl2br w:val="nil"/>
                    <w:tr2bl w:val="nil"/>
                  </w:tcBorders>
                  <w:shd w:val="clear" w:color="auto" w:fill="auto"/>
                  <w:noWrap w:val="0"/>
                  <w:vAlign w:val="center"/>
                </w:tcPr>
                <w:p w14:paraId="5E53E208">
                  <w:pPr>
                    <w:pStyle w:val="44"/>
                    <w:bidi w:val="0"/>
                    <w:rPr>
                      <w:rFonts w:hint="default" w:ascii="Times New Roman" w:hAnsi="Times New Roman" w:eastAsia="宋体"/>
                      <w:color w:val="auto"/>
                      <w:kern w:val="2"/>
                      <w:sz w:val="21"/>
                      <w:szCs w:val="21"/>
                      <w:lang w:val="en-US" w:eastAsia="zh-CN" w:bidi="ar-SA"/>
                    </w:rPr>
                  </w:pPr>
                  <w:r>
                    <w:rPr>
                      <w:rFonts w:hint="eastAsia"/>
                      <w:color w:val="auto"/>
                      <w:lang w:val="en-US" w:eastAsia="zh-CN"/>
                    </w:rPr>
                    <w:t>废包装桶</w:t>
                  </w:r>
                </w:p>
              </w:tc>
              <w:tc>
                <w:tcPr>
                  <w:tcW w:w="833" w:type="dxa"/>
                  <w:tcBorders>
                    <w:tl2br w:val="nil"/>
                    <w:tr2bl w:val="nil"/>
                  </w:tcBorders>
                  <w:noWrap w:val="0"/>
                  <w:vAlign w:val="center"/>
                </w:tcPr>
                <w:p w14:paraId="63CFCB4B">
                  <w:pPr>
                    <w:pStyle w:val="44"/>
                    <w:bidi w:val="0"/>
                    <w:jc w:val="center"/>
                    <w:rPr>
                      <w:rFonts w:hint="default" w:ascii="Times New Roman" w:hAnsi="Times New Roman" w:cs="Times New Roman"/>
                      <w:color w:val="auto"/>
                      <w:lang w:val="en-US" w:eastAsia="zh-CN"/>
                    </w:rPr>
                  </w:pPr>
                  <w:r>
                    <w:rPr>
                      <w:rFonts w:hint="default" w:ascii="Times New Roman" w:hAnsi="Times New Roman" w:cs="Times New Roman"/>
                      <w:color w:val="auto"/>
                    </w:rPr>
                    <w:t>HW</w:t>
                  </w:r>
                  <w:r>
                    <w:rPr>
                      <w:rFonts w:hint="default" w:ascii="Times New Roman" w:hAnsi="Times New Roman" w:cs="Times New Roman"/>
                      <w:color w:val="auto"/>
                      <w:lang w:val="en-US" w:eastAsia="zh-CN"/>
                    </w:rPr>
                    <w:t>49</w:t>
                  </w:r>
                </w:p>
              </w:tc>
              <w:tc>
                <w:tcPr>
                  <w:tcW w:w="1373" w:type="dxa"/>
                  <w:tcBorders>
                    <w:tl2br w:val="nil"/>
                    <w:tr2bl w:val="nil"/>
                  </w:tcBorders>
                  <w:noWrap w:val="0"/>
                  <w:vAlign w:val="center"/>
                </w:tcPr>
                <w:p w14:paraId="6B171A6E">
                  <w:pPr>
                    <w:pStyle w:val="44"/>
                    <w:bidi w:val="0"/>
                    <w:jc w:val="center"/>
                    <w:rPr>
                      <w:rFonts w:hint="default" w:ascii="Times New Roman" w:hAnsi="Times New Roman" w:cs="Times New Roman"/>
                      <w:color w:val="auto"/>
                      <w:lang w:val="en-US" w:eastAsia="zh-CN"/>
                    </w:rPr>
                  </w:pPr>
                  <w:r>
                    <w:rPr>
                      <w:rFonts w:hint="default" w:ascii="Times New Roman" w:hAnsi="Times New Roman" w:cs="Times New Roman"/>
                      <w:color w:val="auto"/>
                    </w:rPr>
                    <w:t>900-041-49</w:t>
                  </w:r>
                </w:p>
              </w:tc>
              <w:tc>
                <w:tcPr>
                  <w:tcW w:w="1054" w:type="dxa"/>
                  <w:tcBorders>
                    <w:tl2br w:val="nil"/>
                    <w:tr2bl w:val="nil"/>
                  </w:tcBorders>
                  <w:noWrap w:val="0"/>
                  <w:vAlign w:val="center"/>
                </w:tcPr>
                <w:p w14:paraId="38353570">
                  <w:pPr>
                    <w:pStyle w:val="44"/>
                    <w:bidi w:val="0"/>
                    <w:jc w:val="center"/>
                    <w:rPr>
                      <w:rFonts w:hint="default" w:ascii="Times New Roman" w:hAnsi="Times New Roman" w:cs="Times New Roman"/>
                      <w:color w:val="auto"/>
                      <w:lang w:val="en-US" w:eastAsia="zh-CN"/>
                    </w:rPr>
                  </w:pPr>
                  <w:r>
                    <w:rPr>
                      <w:rFonts w:hint="eastAsia" w:cs="Times New Roman"/>
                      <w:color w:val="auto"/>
                      <w:lang w:val="en-US" w:eastAsia="zh-CN"/>
                    </w:rPr>
                    <w:t>0.5</w:t>
                  </w:r>
                </w:p>
              </w:tc>
              <w:tc>
                <w:tcPr>
                  <w:tcW w:w="446" w:type="dxa"/>
                  <w:vMerge w:val="restart"/>
                  <w:tcBorders>
                    <w:tl2br w:val="nil"/>
                    <w:tr2bl w:val="nil"/>
                  </w:tcBorders>
                  <w:noWrap w:val="0"/>
                  <w:vAlign w:val="center"/>
                </w:tcPr>
                <w:p w14:paraId="71679A8A">
                  <w:pPr>
                    <w:pStyle w:val="44"/>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车间</w:t>
                  </w:r>
                </w:p>
                <w:p w14:paraId="5F9C84EA">
                  <w:pPr>
                    <w:pStyle w:val="44"/>
                    <w:bidi w:val="0"/>
                    <w:rPr>
                      <w:rFonts w:hint="default" w:ascii="Times New Roman" w:hAnsi="Times New Roman" w:cs="Times New Roman"/>
                      <w:color w:val="auto"/>
                      <w:lang w:val="en-US" w:eastAsia="zh-CN"/>
                    </w:rPr>
                  </w:pPr>
                  <w:r>
                    <w:rPr>
                      <w:rFonts w:hint="eastAsia" w:cs="Times New Roman"/>
                      <w:color w:val="auto"/>
                      <w:lang w:val="en-US" w:eastAsia="zh-CN"/>
                    </w:rPr>
                    <w:t>南</w:t>
                  </w:r>
                  <w:r>
                    <w:rPr>
                      <w:rFonts w:hint="default" w:ascii="Times New Roman" w:hAnsi="Times New Roman" w:cs="Times New Roman"/>
                      <w:color w:val="auto"/>
                      <w:lang w:val="en-US" w:eastAsia="zh-CN"/>
                    </w:rPr>
                    <w:t>侧</w:t>
                  </w:r>
                </w:p>
              </w:tc>
              <w:tc>
                <w:tcPr>
                  <w:tcW w:w="686" w:type="dxa"/>
                  <w:vMerge w:val="restart"/>
                  <w:tcBorders>
                    <w:tl2br w:val="nil"/>
                    <w:tr2bl w:val="nil"/>
                  </w:tcBorders>
                  <w:noWrap w:val="0"/>
                  <w:vAlign w:val="center"/>
                </w:tcPr>
                <w:p w14:paraId="4D37E64C">
                  <w:pPr>
                    <w:pStyle w:val="44"/>
                    <w:bidi w:val="0"/>
                    <w:rPr>
                      <w:rFonts w:hint="default" w:ascii="Times New Roman" w:hAnsi="Times New Roman" w:cs="Times New Roman"/>
                      <w:color w:val="auto"/>
                      <w:lang w:val="en-US" w:eastAsia="zh-CN"/>
                    </w:rPr>
                  </w:pPr>
                  <w:r>
                    <w:rPr>
                      <w:rFonts w:hint="eastAsia" w:cs="Times New Roman"/>
                      <w:color w:val="auto"/>
                      <w:lang w:val="en-US" w:eastAsia="zh-CN"/>
                    </w:rPr>
                    <w:t>50</w:t>
                  </w:r>
                  <w:r>
                    <w:rPr>
                      <w:rFonts w:hint="default" w:ascii="Times New Roman" w:hAnsi="Times New Roman" w:cs="Times New Roman"/>
                      <w:color w:val="auto"/>
                    </w:rPr>
                    <w:t>m</w:t>
                  </w:r>
                  <w:r>
                    <w:rPr>
                      <w:rFonts w:hint="default" w:ascii="Times New Roman" w:hAnsi="Times New Roman" w:cs="Times New Roman"/>
                      <w:color w:val="auto"/>
                      <w:vertAlign w:val="superscript"/>
                    </w:rPr>
                    <w:t>2</w:t>
                  </w:r>
                </w:p>
              </w:tc>
              <w:tc>
                <w:tcPr>
                  <w:tcW w:w="850" w:type="dxa"/>
                  <w:vMerge w:val="restart"/>
                  <w:tcBorders>
                    <w:tl2br w:val="nil"/>
                    <w:tr2bl w:val="nil"/>
                  </w:tcBorders>
                  <w:noWrap w:val="0"/>
                  <w:vAlign w:val="center"/>
                </w:tcPr>
                <w:p w14:paraId="74255127">
                  <w:pPr>
                    <w:pStyle w:val="44"/>
                    <w:bidi w:val="0"/>
                    <w:rPr>
                      <w:rFonts w:hint="default" w:ascii="Times New Roman" w:hAnsi="Times New Roman" w:cs="Times New Roman"/>
                      <w:color w:val="auto"/>
                    </w:rPr>
                  </w:pPr>
                  <w:r>
                    <w:rPr>
                      <w:rFonts w:hint="default" w:ascii="Times New Roman" w:hAnsi="Times New Roman" w:cs="Times New Roman"/>
                      <w:color w:val="auto"/>
                    </w:rPr>
                    <w:t>专用容器</w:t>
                  </w:r>
                  <w:r>
                    <w:rPr>
                      <w:rFonts w:hint="default" w:ascii="Times New Roman" w:hAnsi="Times New Roman" w:cs="Times New Roman"/>
                      <w:color w:val="auto"/>
                      <w:lang w:val="en-US" w:eastAsia="zh-CN"/>
                    </w:rPr>
                    <w:t>/包装物</w:t>
                  </w:r>
                  <w:r>
                    <w:rPr>
                      <w:rFonts w:hint="default" w:ascii="Times New Roman" w:hAnsi="Times New Roman" w:cs="Times New Roman"/>
                      <w:color w:val="auto"/>
                    </w:rPr>
                    <w:t>密闭</w:t>
                  </w:r>
                  <w:r>
                    <w:rPr>
                      <w:rFonts w:hint="default" w:ascii="Times New Roman" w:hAnsi="Times New Roman" w:cs="Times New Roman"/>
                      <w:color w:val="auto"/>
                      <w:lang w:val="en-US" w:eastAsia="zh-CN"/>
                    </w:rPr>
                    <w:t>分区</w:t>
                  </w:r>
                  <w:r>
                    <w:rPr>
                      <w:rFonts w:hint="default" w:ascii="Times New Roman" w:hAnsi="Times New Roman" w:cs="Times New Roman"/>
                      <w:color w:val="auto"/>
                    </w:rPr>
                    <w:t>存放</w:t>
                  </w:r>
                </w:p>
              </w:tc>
              <w:tc>
                <w:tcPr>
                  <w:tcW w:w="695" w:type="dxa"/>
                  <w:tcBorders>
                    <w:tl2br w:val="nil"/>
                    <w:tr2bl w:val="nil"/>
                  </w:tcBorders>
                  <w:noWrap w:val="0"/>
                  <w:vAlign w:val="center"/>
                </w:tcPr>
                <w:p w14:paraId="0A5ADC5C">
                  <w:pPr>
                    <w:pStyle w:val="44"/>
                    <w:bidi w:val="0"/>
                    <w:rPr>
                      <w:rFonts w:hint="default" w:ascii="Times New Roman" w:hAnsi="Times New Roman" w:cs="Times New Roman"/>
                      <w:color w:val="auto"/>
                      <w:lang w:val="en-US"/>
                    </w:rPr>
                  </w:pPr>
                  <w:r>
                    <w:rPr>
                      <w:rFonts w:hint="eastAsia" w:cs="Times New Roman"/>
                      <w:color w:val="auto"/>
                      <w:lang w:val="en-US" w:eastAsia="zh-CN"/>
                    </w:rPr>
                    <w:t>1周</w:t>
                  </w:r>
                </w:p>
              </w:tc>
            </w:tr>
            <w:tr w14:paraId="19C5963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67" w:type="dxa"/>
                  <w:vMerge w:val="continue"/>
                  <w:tcBorders>
                    <w:tl2br w:val="nil"/>
                    <w:tr2bl w:val="nil"/>
                  </w:tcBorders>
                  <w:noWrap w:val="0"/>
                  <w:vAlign w:val="center"/>
                </w:tcPr>
                <w:p w14:paraId="7A92E062">
                  <w:pPr>
                    <w:pStyle w:val="44"/>
                    <w:bidi w:val="0"/>
                    <w:rPr>
                      <w:rFonts w:hint="default" w:ascii="Times New Roman" w:hAnsi="Times New Roman" w:cs="Times New Roman"/>
                      <w:color w:val="auto"/>
                    </w:rPr>
                  </w:pPr>
                </w:p>
              </w:tc>
              <w:tc>
                <w:tcPr>
                  <w:tcW w:w="1193" w:type="dxa"/>
                  <w:tcBorders>
                    <w:tl2br w:val="nil"/>
                    <w:tr2bl w:val="nil"/>
                  </w:tcBorders>
                  <w:shd w:val="clear" w:color="auto" w:fill="auto"/>
                  <w:noWrap w:val="0"/>
                  <w:vAlign w:val="center"/>
                </w:tcPr>
                <w:p w14:paraId="5B412E2F">
                  <w:pPr>
                    <w:pStyle w:val="44"/>
                    <w:bidi w:val="0"/>
                    <w:rPr>
                      <w:rFonts w:hint="default" w:ascii="Times New Roman" w:hAnsi="Times New Roman" w:eastAsia="宋体"/>
                      <w:color w:val="auto"/>
                      <w:kern w:val="2"/>
                      <w:sz w:val="21"/>
                      <w:szCs w:val="21"/>
                      <w:lang w:val="en-US" w:eastAsia="zh-CN" w:bidi="ar-SA"/>
                    </w:rPr>
                  </w:pPr>
                  <w:r>
                    <w:rPr>
                      <w:rFonts w:hint="eastAsia" w:cs="Times New Roman"/>
                      <w:color w:val="auto"/>
                      <w:szCs w:val="24"/>
                      <w:lang w:val="en-US" w:eastAsia="zh-CN"/>
                    </w:rPr>
                    <w:t>冷凝废液</w:t>
                  </w:r>
                </w:p>
              </w:tc>
              <w:tc>
                <w:tcPr>
                  <w:tcW w:w="833" w:type="dxa"/>
                  <w:tcBorders>
                    <w:tl2br w:val="nil"/>
                    <w:tr2bl w:val="nil"/>
                  </w:tcBorders>
                  <w:noWrap w:val="0"/>
                  <w:vAlign w:val="center"/>
                </w:tcPr>
                <w:p w14:paraId="2F2CD727">
                  <w:pPr>
                    <w:pStyle w:val="44"/>
                    <w:bidi w:val="0"/>
                    <w:jc w:val="center"/>
                    <w:rPr>
                      <w:rFonts w:hint="default" w:ascii="Times New Roman" w:hAnsi="Times New Roman" w:cs="Times New Roman"/>
                      <w:color w:val="auto"/>
                      <w:lang w:eastAsia="zh-CN"/>
                    </w:rPr>
                  </w:pPr>
                  <w:r>
                    <w:rPr>
                      <w:rFonts w:hint="default" w:ascii="Times New Roman" w:hAnsi="Times New Roman" w:cs="Times New Roman"/>
                      <w:color w:val="auto"/>
                      <w:lang w:val="en-US" w:eastAsia="zh-CN"/>
                    </w:rPr>
                    <w:t>HW13</w:t>
                  </w:r>
                </w:p>
              </w:tc>
              <w:tc>
                <w:tcPr>
                  <w:tcW w:w="1373" w:type="dxa"/>
                  <w:tcBorders>
                    <w:tl2br w:val="nil"/>
                    <w:tr2bl w:val="nil"/>
                  </w:tcBorders>
                  <w:noWrap w:val="0"/>
                  <w:vAlign w:val="center"/>
                </w:tcPr>
                <w:p w14:paraId="6A73B13D">
                  <w:pPr>
                    <w:pStyle w:val="44"/>
                    <w:bidi w:val="0"/>
                    <w:jc w:val="center"/>
                    <w:rPr>
                      <w:rFonts w:hint="default" w:ascii="Times New Roman" w:hAnsi="Times New Roman" w:cs="Times New Roman"/>
                      <w:color w:val="auto"/>
                      <w:lang w:val="en-US" w:eastAsia="zh-CN"/>
                    </w:rPr>
                  </w:pPr>
                  <w:r>
                    <w:rPr>
                      <w:rFonts w:hint="default" w:ascii="Times New Roman" w:hAnsi="Times New Roman" w:cs="Times New Roman"/>
                      <w:color w:val="auto"/>
                      <w:szCs w:val="24"/>
                      <w:lang w:val="en-US" w:eastAsia="zh-CN"/>
                    </w:rPr>
                    <w:t>265-103-13</w:t>
                  </w:r>
                </w:p>
              </w:tc>
              <w:tc>
                <w:tcPr>
                  <w:tcW w:w="1054" w:type="dxa"/>
                  <w:tcBorders>
                    <w:tl2br w:val="nil"/>
                    <w:tr2bl w:val="nil"/>
                  </w:tcBorders>
                  <w:noWrap w:val="0"/>
                  <w:vAlign w:val="center"/>
                </w:tcPr>
                <w:p w14:paraId="4E45644A">
                  <w:pPr>
                    <w:pStyle w:val="44"/>
                    <w:bidi w:val="0"/>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10</w:t>
                  </w:r>
                </w:p>
              </w:tc>
              <w:tc>
                <w:tcPr>
                  <w:tcW w:w="446" w:type="dxa"/>
                  <w:vMerge w:val="continue"/>
                  <w:tcBorders>
                    <w:tl2br w:val="nil"/>
                    <w:tr2bl w:val="nil"/>
                  </w:tcBorders>
                  <w:noWrap w:val="0"/>
                  <w:vAlign w:val="center"/>
                </w:tcPr>
                <w:p w14:paraId="29E52DA7">
                  <w:pPr>
                    <w:pStyle w:val="44"/>
                    <w:bidi w:val="0"/>
                    <w:rPr>
                      <w:rFonts w:hint="default" w:ascii="Times New Roman" w:hAnsi="Times New Roman" w:cs="Times New Roman"/>
                      <w:color w:val="auto"/>
                      <w:lang w:val="en-US" w:eastAsia="zh-CN"/>
                    </w:rPr>
                  </w:pPr>
                </w:p>
              </w:tc>
              <w:tc>
                <w:tcPr>
                  <w:tcW w:w="686" w:type="dxa"/>
                  <w:vMerge w:val="continue"/>
                  <w:tcBorders>
                    <w:tl2br w:val="nil"/>
                    <w:tr2bl w:val="nil"/>
                  </w:tcBorders>
                  <w:noWrap w:val="0"/>
                  <w:vAlign w:val="center"/>
                </w:tcPr>
                <w:p w14:paraId="30EA4195">
                  <w:pPr>
                    <w:pStyle w:val="44"/>
                    <w:bidi w:val="0"/>
                    <w:rPr>
                      <w:rFonts w:hint="default" w:ascii="Times New Roman" w:hAnsi="Times New Roman" w:cs="Times New Roman"/>
                      <w:color w:val="auto"/>
                      <w:lang w:val="en-US" w:eastAsia="zh-CN"/>
                    </w:rPr>
                  </w:pPr>
                </w:p>
              </w:tc>
              <w:tc>
                <w:tcPr>
                  <w:tcW w:w="850" w:type="dxa"/>
                  <w:vMerge w:val="continue"/>
                  <w:tcBorders>
                    <w:tl2br w:val="nil"/>
                    <w:tr2bl w:val="nil"/>
                  </w:tcBorders>
                  <w:noWrap w:val="0"/>
                  <w:vAlign w:val="center"/>
                </w:tcPr>
                <w:p w14:paraId="489E6760">
                  <w:pPr>
                    <w:pStyle w:val="44"/>
                    <w:bidi w:val="0"/>
                    <w:rPr>
                      <w:rFonts w:hint="default" w:ascii="Times New Roman" w:hAnsi="Times New Roman" w:cs="Times New Roman"/>
                      <w:color w:val="auto"/>
                    </w:rPr>
                  </w:pPr>
                </w:p>
              </w:tc>
              <w:tc>
                <w:tcPr>
                  <w:tcW w:w="695" w:type="dxa"/>
                  <w:tcBorders>
                    <w:tl2br w:val="nil"/>
                    <w:tr2bl w:val="nil"/>
                  </w:tcBorders>
                  <w:noWrap w:val="0"/>
                  <w:vAlign w:val="center"/>
                </w:tcPr>
                <w:p w14:paraId="727C04DF">
                  <w:pPr>
                    <w:pStyle w:val="44"/>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1年</w:t>
                  </w:r>
                </w:p>
              </w:tc>
            </w:tr>
            <w:tr w14:paraId="0DF8E22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67" w:type="dxa"/>
                  <w:vMerge w:val="continue"/>
                  <w:tcBorders>
                    <w:tl2br w:val="nil"/>
                    <w:tr2bl w:val="nil"/>
                  </w:tcBorders>
                  <w:noWrap w:val="0"/>
                  <w:vAlign w:val="center"/>
                </w:tcPr>
                <w:p w14:paraId="738683B8">
                  <w:pPr>
                    <w:pStyle w:val="44"/>
                    <w:bidi w:val="0"/>
                    <w:rPr>
                      <w:rFonts w:hint="default" w:ascii="Times New Roman" w:hAnsi="Times New Roman" w:cs="Times New Roman"/>
                      <w:color w:val="auto"/>
                    </w:rPr>
                  </w:pPr>
                </w:p>
              </w:tc>
              <w:tc>
                <w:tcPr>
                  <w:tcW w:w="1193" w:type="dxa"/>
                  <w:tcBorders>
                    <w:tl2br w:val="nil"/>
                    <w:tr2bl w:val="nil"/>
                  </w:tcBorders>
                  <w:shd w:val="clear" w:color="auto" w:fill="auto"/>
                  <w:noWrap w:val="0"/>
                  <w:vAlign w:val="center"/>
                </w:tcPr>
                <w:p w14:paraId="7EB415A9">
                  <w:pPr>
                    <w:pStyle w:val="44"/>
                    <w:bidi w:val="0"/>
                    <w:rPr>
                      <w:rFonts w:hint="default" w:ascii="Times New Roman" w:hAnsi="Times New Roman" w:eastAsia="宋体"/>
                      <w:color w:val="auto"/>
                      <w:kern w:val="2"/>
                      <w:sz w:val="21"/>
                      <w:szCs w:val="21"/>
                      <w:lang w:val="en-US" w:eastAsia="zh-CN" w:bidi="ar-SA"/>
                    </w:rPr>
                  </w:pPr>
                  <w:r>
                    <w:rPr>
                      <w:rFonts w:hint="eastAsia" w:cs="Times New Roman"/>
                      <w:color w:val="auto"/>
                      <w:szCs w:val="24"/>
                      <w:lang w:val="en-US" w:eastAsia="zh-CN"/>
                    </w:rPr>
                    <w:t>废活性炭</w:t>
                  </w:r>
                </w:p>
              </w:tc>
              <w:tc>
                <w:tcPr>
                  <w:tcW w:w="833" w:type="dxa"/>
                  <w:tcBorders>
                    <w:tl2br w:val="nil"/>
                    <w:tr2bl w:val="nil"/>
                  </w:tcBorders>
                  <w:noWrap w:val="0"/>
                  <w:vAlign w:val="center"/>
                </w:tcPr>
                <w:p w14:paraId="35CF890A">
                  <w:pPr>
                    <w:pStyle w:val="44"/>
                    <w:bidi w:val="0"/>
                    <w:jc w:val="center"/>
                    <w:rPr>
                      <w:rFonts w:hint="default" w:ascii="Times New Roman" w:hAnsi="Times New Roman" w:cs="Times New Roman"/>
                      <w:color w:val="auto"/>
                      <w:lang w:eastAsia="zh-CN"/>
                    </w:rPr>
                  </w:pPr>
                  <w:r>
                    <w:rPr>
                      <w:rFonts w:hint="default" w:ascii="Times New Roman" w:hAnsi="Times New Roman" w:cs="Times New Roman"/>
                      <w:color w:val="auto"/>
                      <w:lang w:val="en-US" w:eastAsia="zh-CN"/>
                    </w:rPr>
                    <w:t>HW49</w:t>
                  </w:r>
                </w:p>
              </w:tc>
              <w:tc>
                <w:tcPr>
                  <w:tcW w:w="1373" w:type="dxa"/>
                  <w:tcBorders>
                    <w:tl2br w:val="nil"/>
                    <w:tr2bl w:val="nil"/>
                  </w:tcBorders>
                  <w:noWrap w:val="0"/>
                  <w:vAlign w:val="center"/>
                </w:tcPr>
                <w:p w14:paraId="2437FDAA">
                  <w:pPr>
                    <w:pStyle w:val="44"/>
                    <w:bidi w:val="0"/>
                    <w:jc w:val="center"/>
                    <w:rPr>
                      <w:rFonts w:hint="default" w:ascii="Times New Roman" w:hAnsi="Times New Roman" w:cs="Times New Roman"/>
                      <w:color w:val="auto"/>
                      <w:lang w:eastAsia="zh-CN"/>
                    </w:rPr>
                  </w:pPr>
                  <w:r>
                    <w:rPr>
                      <w:rFonts w:hint="default" w:ascii="Times New Roman" w:hAnsi="Times New Roman" w:cs="Times New Roman"/>
                      <w:color w:val="auto"/>
                      <w:lang w:val="en-US" w:eastAsia="zh-CN"/>
                    </w:rPr>
                    <w:t>900-039-49</w:t>
                  </w:r>
                </w:p>
              </w:tc>
              <w:tc>
                <w:tcPr>
                  <w:tcW w:w="1054" w:type="dxa"/>
                  <w:tcBorders>
                    <w:tl2br w:val="nil"/>
                    <w:tr2bl w:val="nil"/>
                  </w:tcBorders>
                  <w:noWrap w:val="0"/>
                  <w:vAlign w:val="center"/>
                </w:tcPr>
                <w:p w14:paraId="62A3099A">
                  <w:pPr>
                    <w:pStyle w:val="44"/>
                    <w:bidi w:val="0"/>
                    <w:jc w:val="center"/>
                    <w:rPr>
                      <w:rFonts w:hint="default" w:ascii="Times New Roman" w:hAnsi="Times New Roman" w:cs="Times New Roman"/>
                      <w:color w:val="auto"/>
                      <w:lang w:val="en-US" w:eastAsia="zh-CN"/>
                    </w:rPr>
                  </w:pPr>
                  <w:r>
                    <w:rPr>
                      <w:rFonts w:hint="eastAsia" w:cs="Times New Roman"/>
                      <w:color w:val="auto"/>
                      <w:lang w:val="en-US" w:eastAsia="zh-CN"/>
                    </w:rPr>
                    <w:t>18.096</w:t>
                  </w:r>
                </w:p>
              </w:tc>
              <w:tc>
                <w:tcPr>
                  <w:tcW w:w="446" w:type="dxa"/>
                  <w:vMerge w:val="continue"/>
                  <w:tcBorders>
                    <w:tl2br w:val="nil"/>
                    <w:tr2bl w:val="nil"/>
                  </w:tcBorders>
                  <w:noWrap w:val="0"/>
                  <w:vAlign w:val="center"/>
                </w:tcPr>
                <w:p w14:paraId="4D7A481E">
                  <w:pPr>
                    <w:pStyle w:val="44"/>
                    <w:bidi w:val="0"/>
                    <w:rPr>
                      <w:rFonts w:hint="default" w:ascii="Times New Roman" w:hAnsi="Times New Roman" w:cs="Times New Roman"/>
                      <w:color w:val="auto"/>
                      <w:lang w:val="en-US" w:eastAsia="zh-CN"/>
                    </w:rPr>
                  </w:pPr>
                </w:p>
              </w:tc>
              <w:tc>
                <w:tcPr>
                  <w:tcW w:w="686" w:type="dxa"/>
                  <w:vMerge w:val="continue"/>
                  <w:tcBorders>
                    <w:tl2br w:val="nil"/>
                    <w:tr2bl w:val="nil"/>
                  </w:tcBorders>
                  <w:noWrap w:val="0"/>
                  <w:vAlign w:val="center"/>
                </w:tcPr>
                <w:p w14:paraId="7B6A1C33">
                  <w:pPr>
                    <w:pStyle w:val="44"/>
                    <w:bidi w:val="0"/>
                    <w:rPr>
                      <w:rFonts w:hint="default" w:ascii="Times New Roman" w:hAnsi="Times New Roman" w:cs="Times New Roman"/>
                      <w:color w:val="auto"/>
                      <w:lang w:val="en-US" w:eastAsia="zh-CN"/>
                    </w:rPr>
                  </w:pPr>
                </w:p>
              </w:tc>
              <w:tc>
                <w:tcPr>
                  <w:tcW w:w="850" w:type="dxa"/>
                  <w:vMerge w:val="continue"/>
                  <w:tcBorders>
                    <w:tl2br w:val="nil"/>
                    <w:tr2bl w:val="nil"/>
                  </w:tcBorders>
                  <w:noWrap w:val="0"/>
                  <w:vAlign w:val="center"/>
                </w:tcPr>
                <w:p w14:paraId="7D46D0ED">
                  <w:pPr>
                    <w:pStyle w:val="44"/>
                    <w:bidi w:val="0"/>
                    <w:rPr>
                      <w:rFonts w:hint="default" w:ascii="Times New Roman" w:hAnsi="Times New Roman" w:cs="Times New Roman"/>
                      <w:color w:val="auto"/>
                    </w:rPr>
                  </w:pPr>
                </w:p>
              </w:tc>
              <w:tc>
                <w:tcPr>
                  <w:tcW w:w="695" w:type="dxa"/>
                  <w:tcBorders>
                    <w:tl2br w:val="nil"/>
                    <w:tr2bl w:val="nil"/>
                  </w:tcBorders>
                  <w:noWrap w:val="0"/>
                  <w:vAlign w:val="center"/>
                </w:tcPr>
                <w:p w14:paraId="100B5E0D">
                  <w:pPr>
                    <w:pStyle w:val="44"/>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2月</w:t>
                  </w:r>
                </w:p>
              </w:tc>
            </w:tr>
            <w:tr w14:paraId="26E8CCC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67" w:type="dxa"/>
                  <w:vMerge w:val="continue"/>
                  <w:tcBorders>
                    <w:tl2br w:val="nil"/>
                    <w:tr2bl w:val="nil"/>
                  </w:tcBorders>
                  <w:noWrap w:val="0"/>
                  <w:vAlign w:val="center"/>
                </w:tcPr>
                <w:p w14:paraId="07459302">
                  <w:pPr>
                    <w:pStyle w:val="44"/>
                    <w:bidi w:val="0"/>
                    <w:rPr>
                      <w:rFonts w:hint="default" w:ascii="Times New Roman" w:hAnsi="Times New Roman" w:cs="Times New Roman"/>
                      <w:color w:val="auto"/>
                    </w:rPr>
                  </w:pPr>
                </w:p>
              </w:tc>
              <w:tc>
                <w:tcPr>
                  <w:tcW w:w="1193" w:type="dxa"/>
                  <w:tcBorders>
                    <w:tl2br w:val="nil"/>
                    <w:tr2bl w:val="nil"/>
                  </w:tcBorders>
                  <w:shd w:val="clear" w:color="auto" w:fill="auto"/>
                  <w:noWrap w:val="0"/>
                  <w:vAlign w:val="center"/>
                </w:tcPr>
                <w:p w14:paraId="3F65A210">
                  <w:pPr>
                    <w:pStyle w:val="44"/>
                    <w:bidi w:val="0"/>
                    <w:rPr>
                      <w:rFonts w:hint="default" w:ascii="Times New Roman" w:hAnsi="Times New Roman" w:eastAsia="宋体"/>
                      <w:color w:val="auto"/>
                      <w:kern w:val="2"/>
                      <w:sz w:val="21"/>
                      <w:szCs w:val="21"/>
                      <w:lang w:val="en-US" w:eastAsia="zh-CN" w:bidi="ar-SA"/>
                    </w:rPr>
                  </w:pPr>
                  <w:r>
                    <w:rPr>
                      <w:rFonts w:hint="eastAsia"/>
                      <w:color w:val="auto"/>
                      <w:lang w:val="en-US" w:eastAsia="zh-CN"/>
                    </w:rPr>
                    <w:t>废过滤棉</w:t>
                  </w:r>
                </w:p>
              </w:tc>
              <w:tc>
                <w:tcPr>
                  <w:tcW w:w="833" w:type="dxa"/>
                  <w:tcBorders>
                    <w:tl2br w:val="nil"/>
                    <w:tr2bl w:val="nil"/>
                  </w:tcBorders>
                  <w:noWrap w:val="0"/>
                  <w:vAlign w:val="center"/>
                </w:tcPr>
                <w:p w14:paraId="70420F78">
                  <w:pPr>
                    <w:pStyle w:val="44"/>
                    <w:bidi w:val="0"/>
                    <w:jc w:val="center"/>
                    <w:rPr>
                      <w:rFonts w:hint="default" w:ascii="Times New Roman" w:hAnsi="Times New Roman" w:cs="Times New Roman"/>
                      <w:color w:val="auto"/>
                    </w:rPr>
                  </w:pPr>
                  <w:r>
                    <w:rPr>
                      <w:rFonts w:hint="default" w:ascii="Times New Roman" w:hAnsi="Times New Roman" w:cs="Times New Roman"/>
                      <w:color w:val="auto"/>
                      <w:lang w:val="en-US" w:eastAsia="zh-CN"/>
                    </w:rPr>
                    <w:t>HW49</w:t>
                  </w:r>
                </w:p>
              </w:tc>
              <w:tc>
                <w:tcPr>
                  <w:tcW w:w="1373" w:type="dxa"/>
                  <w:tcBorders>
                    <w:tl2br w:val="nil"/>
                    <w:tr2bl w:val="nil"/>
                  </w:tcBorders>
                  <w:noWrap w:val="0"/>
                  <w:vAlign w:val="center"/>
                </w:tcPr>
                <w:p w14:paraId="5036C25B">
                  <w:pPr>
                    <w:pStyle w:val="44"/>
                    <w:bidi w:val="0"/>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900-041-49</w:t>
                  </w:r>
                </w:p>
              </w:tc>
              <w:tc>
                <w:tcPr>
                  <w:tcW w:w="1054" w:type="dxa"/>
                  <w:tcBorders>
                    <w:tl2br w:val="nil"/>
                    <w:tr2bl w:val="nil"/>
                  </w:tcBorders>
                  <w:noWrap w:val="0"/>
                  <w:vAlign w:val="center"/>
                </w:tcPr>
                <w:p w14:paraId="35112733">
                  <w:pPr>
                    <w:pStyle w:val="44"/>
                    <w:bidi w:val="0"/>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0.6</w:t>
                  </w:r>
                </w:p>
              </w:tc>
              <w:tc>
                <w:tcPr>
                  <w:tcW w:w="446" w:type="dxa"/>
                  <w:vMerge w:val="continue"/>
                  <w:tcBorders>
                    <w:tl2br w:val="nil"/>
                    <w:tr2bl w:val="nil"/>
                  </w:tcBorders>
                  <w:noWrap w:val="0"/>
                  <w:vAlign w:val="center"/>
                </w:tcPr>
                <w:p w14:paraId="3897E0CF">
                  <w:pPr>
                    <w:pStyle w:val="44"/>
                    <w:bidi w:val="0"/>
                    <w:rPr>
                      <w:rFonts w:hint="default" w:ascii="Times New Roman" w:hAnsi="Times New Roman" w:cs="Times New Roman"/>
                      <w:color w:val="auto"/>
                      <w:lang w:val="en-US" w:eastAsia="zh-CN"/>
                    </w:rPr>
                  </w:pPr>
                </w:p>
              </w:tc>
              <w:tc>
                <w:tcPr>
                  <w:tcW w:w="686" w:type="dxa"/>
                  <w:vMerge w:val="continue"/>
                  <w:tcBorders>
                    <w:tl2br w:val="nil"/>
                    <w:tr2bl w:val="nil"/>
                  </w:tcBorders>
                  <w:noWrap w:val="0"/>
                  <w:vAlign w:val="center"/>
                </w:tcPr>
                <w:p w14:paraId="6A9FD24C">
                  <w:pPr>
                    <w:pStyle w:val="44"/>
                    <w:bidi w:val="0"/>
                    <w:rPr>
                      <w:rFonts w:hint="default" w:ascii="Times New Roman" w:hAnsi="Times New Roman" w:cs="Times New Roman"/>
                      <w:color w:val="auto"/>
                      <w:lang w:val="en-US" w:eastAsia="zh-CN"/>
                    </w:rPr>
                  </w:pPr>
                </w:p>
              </w:tc>
              <w:tc>
                <w:tcPr>
                  <w:tcW w:w="850" w:type="dxa"/>
                  <w:vMerge w:val="continue"/>
                  <w:tcBorders>
                    <w:tl2br w:val="nil"/>
                    <w:tr2bl w:val="nil"/>
                  </w:tcBorders>
                  <w:noWrap w:val="0"/>
                  <w:vAlign w:val="center"/>
                </w:tcPr>
                <w:p w14:paraId="344727A6">
                  <w:pPr>
                    <w:pStyle w:val="44"/>
                    <w:bidi w:val="0"/>
                    <w:rPr>
                      <w:rFonts w:hint="default" w:ascii="Times New Roman" w:hAnsi="Times New Roman" w:cs="Times New Roman"/>
                      <w:color w:val="auto"/>
                    </w:rPr>
                  </w:pPr>
                </w:p>
              </w:tc>
              <w:tc>
                <w:tcPr>
                  <w:tcW w:w="695" w:type="dxa"/>
                  <w:tcBorders>
                    <w:tl2br w:val="nil"/>
                    <w:tr2bl w:val="nil"/>
                  </w:tcBorders>
                  <w:noWrap w:val="0"/>
                  <w:vAlign w:val="center"/>
                </w:tcPr>
                <w:p w14:paraId="35FD0455">
                  <w:pPr>
                    <w:pStyle w:val="44"/>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半年</w:t>
                  </w:r>
                </w:p>
              </w:tc>
            </w:tr>
            <w:tr w14:paraId="378EC93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67" w:type="dxa"/>
                  <w:vMerge w:val="continue"/>
                  <w:tcBorders>
                    <w:tl2br w:val="nil"/>
                    <w:tr2bl w:val="nil"/>
                  </w:tcBorders>
                  <w:noWrap w:val="0"/>
                  <w:vAlign w:val="center"/>
                </w:tcPr>
                <w:p w14:paraId="42081D86">
                  <w:pPr>
                    <w:pStyle w:val="44"/>
                    <w:bidi w:val="0"/>
                    <w:rPr>
                      <w:rFonts w:hint="default" w:ascii="Times New Roman" w:hAnsi="Times New Roman" w:cs="Times New Roman"/>
                      <w:color w:val="auto"/>
                    </w:rPr>
                  </w:pPr>
                </w:p>
              </w:tc>
              <w:tc>
                <w:tcPr>
                  <w:tcW w:w="1193" w:type="dxa"/>
                  <w:tcBorders>
                    <w:tl2br w:val="nil"/>
                    <w:tr2bl w:val="nil"/>
                  </w:tcBorders>
                  <w:shd w:val="clear" w:color="auto" w:fill="auto"/>
                  <w:noWrap w:val="0"/>
                  <w:vAlign w:val="center"/>
                </w:tcPr>
                <w:p w14:paraId="0DA2F74A">
                  <w:pPr>
                    <w:pStyle w:val="44"/>
                    <w:bidi w:val="0"/>
                    <w:rPr>
                      <w:rFonts w:hint="default" w:ascii="Times New Roman" w:hAnsi="Times New Roman" w:eastAsia="宋体"/>
                      <w:color w:val="auto"/>
                      <w:kern w:val="2"/>
                      <w:sz w:val="21"/>
                      <w:szCs w:val="21"/>
                      <w:lang w:val="en-US" w:eastAsia="zh-CN" w:bidi="ar-SA"/>
                    </w:rPr>
                  </w:pPr>
                  <w:r>
                    <w:rPr>
                      <w:rFonts w:hint="eastAsia"/>
                      <w:color w:val="auto"/>
                      <w:lang w:val="en-US" w:eastAsia="zh-CN"/>
                    </w:rPr>
                    <w:t>废机油</w:t>
                  </w:r>
                </w:p>
              </w:tc>
              <w:tc>
                <w:tcPr>
                  <w:tcW w:w="833" w:type="dxa"/>
                  <w:tcBorders>
                    <w:tl2br w:val="nil"/>
                    <w:tr2bl w:val="nil"/>
                  </w:tcBorders>
                  <w:noWrap w:val="0"/>
                  <w:vAlign w:val="center"/>
                </w:tcPr>
                <w:p w14:paraId="4A799D6D">
                  <w:pPr>
                    <w:pStyle w:val="44"/>
                    <w:bidi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lang w:val="en-US" w:eastAsia="zh-CN"/>
                    </w:rPr>
                    <w:t>HW08</w:t>
                  </w:r>
                </w:p>
              </w:tc>
              <w:tc>
                <w:tcPr>
                  <w:tcW w:w="1373" w:type="dxa"/>
                  <w:tcBorders>
                    <w:tl2br w:val="nil"/>
                    <w:tr2bl w:val="nil"/>
                  </w:tcBorders>
                  <w:noWrap w:val="0"/>
                  <w:vAlign w:val="center"/>
                </w:tcPr>
                <w:p w14:paraId="29A6390A">
                  <w:pPr>
                    <w:pStyle w:val="44"/>
                    <w:bidi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lang w:val="en-US" w:eastAsia="zh-CN"/>
                    </w:rPr>
                    <w:t>900-2</w:t>
                  </w:r>
                  <w:r>
                    <w:rPr>
                      <w:rFonts w:hint="eastAsia" w:cs="Times New Roman"/>
                      <w:color w:val="auto"/>
                      <w:lang w:val="en-US" w:eastAsia="zh-CN"/>
                    </w:rPr>
                    <w:t>14</w:t>
                  </w:r>
                  <w:r>
                    <w:rPr>
                      <w:rFonts w:hint="default" w:ascii="Times New Roman" w:hAnsi="Times New Roman" w:cs="Times New Roman"/>
                      <w:color w:val="auto"/>
                      <w:lang w:val="en-US" w:eastAsia="zh-CN"/>
                    </w:rPr>
                    <w:t>-08</w:t>
                  </w:r>
                </w:p>
              </w:tc>
              <w:tc>
                <w:tcPr>
                  <w:tcW w:w="1054" w:type="dxa"/>
                  <w:tcBorders>
                    <w:tl2br w:val="nil"/>
                    <w:tr2bl w:val="nil"/>
                  </w:tcBorders>
                  <w:noWrap w:val="0"/>
                  <w:vAlign w:val="center"/>
                </w:tcPr>
                <w:p w14:paraId="4D16C3DF">
                  <w:pPr>
                    <w:pStyle w:val="44"/>
                    <w:bidi w:val="0"/>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0.1</w:t>
                  </w:r>
                </w:p>
              </w:tc>
              <w:tc>
                <w:tcPr>
                  <w:tcW w:w="446" w:type="dxa"/>
                  <w:vMerge w:val="continue"/>
                  <w:tcBorders>
                    <w:tl2br w:val="nil"/>
                    <w:tr2bl w:val="nil"/>
                  </w:tcBorders>
                  <w:noWrap w:val="0"/>
                  <w:vAlign w:val="center"/>
                </w:tcPr>
                <w:p w14:paraId="69BDDA22">
                  <w:pPr>
                    <w:pStyle w:val="44"/>
                    <w:bidi w:val="0"/>
                    <w:rPr>
                      <w:rFonts w:hint="default" w:ascii="Times New Roman" w:hAnsi="Times New Roman" w:cs="Times New Roman"/>
                      <w:color w:val="auto"/>
                      <w:lang w:val="en-US" w:eastAsia="zh-CN"/>
                    </w:rPr>
                  </w:pPr>
                </w:p>
              </w:tc>
              <w:tc>
                <w:tcPr>
                  <w:tcW w:w="686" w:type="dxa"/>
                  <w:vMerge w:val="continue"/>
                  <w:tcBorders>
                    <w:tl2br w:val="nil"/>
                    <w:tr2bl w:val="nil"/>
                  </w:tcBorders>
                  <w:noWrap w:val="0"/>
                  <w:vAlign w:val="center"/>
                </w:tcPr>
                <w:p w14:paraId="56AA6F7F">
                  <w:pPr>
                    <w:pStyle w:val="44"/>
                    <w:bidi w:val="0"/>
                    <w:rPr>
                      <w:rFonts w:hint="default" w:ascii="Times New Roman" w:hAnsi="Times New Roman" w:cs="Times New Roman"/>
                      <w:color w:val="auto"/>
                      <w:lang w:val="en-US" w:eastAsia="zh-CN"/>
                    </w:rPr>
                  </w:pPr>
                </w:p>
              </w:tc>
              <w:tc>
                <w:tcPr>
                  <w:tcW w:w="850" w:type="dxa"/>
                  <w:vMerge w:val="continue"/>
                  <w:tcBorders>
                    <w:tl2br w:val="nil"/>
                    <w:tr2bl w:val="nil"/>
                  </w:tcBorders>
                  <w:noWrap w:val="0"/>
                  <w:vAlign w:val="center"/>
                </w:tcPr>
                <w:p w14:paraId="6186C1FF">
                  <w:pPr>
                    <w:pStyle w:val="44"/>
                    <w:bidi w:val="0"/>
                    <w:rPr>
                      <w:rFonts w:hint="default" w:ascii="Times New Roman" w:hAnsi="Times New Roman" w:cs="Times New Roman"/>
                      <w:color w:val="auto"/>
                    </w:rPr>
                  </w:pPr>
                </w:p>
              </w:tc>
              <w:tc>
                <w:tcPr>
                  <w:tcW w:w="695" w:type="dxa"/>
                  <w:tcBorders>
                    <w:tl2br w:val="nil"/>
                    <w:tr2bl w:val="nil"/>
                  </w:tcBorders>
                  <w:noWrap w:val="0"/>
                  <w:vAlign w:val="center"/>
                </w:tcPr>
                <w:p w14:paraId="7DF036A6">
                  <w:pPr>
                    <w:pStyle w:val="44"/>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1年</w:t>
                  </w:r>
                </w:p>
              </w:tc>
            </w:tr>
            <w:tr w14:paraId="282F796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67" w:type="dxa"/>
                  <w:vMerge w:val="continue"/>
                </w:tcPr>
                <w:p w14:paraId="4D7943A3">
                  <w:pPr>
                    <w:pStyle w:val="44"/>
                    <w:bidi w:val="0"/>
                    <w:rPr>
                      <w:rFonts w:hint="default" w:ascii="Times New Roman" w:hAnsi="Times New Roman" w:cs="Times New Roman"/>
                      <w:color w:val="auto"/>
                    </w:rPr>
                  </w:pPr>
                </w:p>
              </w:tc>
              <w:tc>
                <w:tcPr>
                  <w:tcW w:w="0" w:type="auto"/>
                  <w:shd w:val="clear" w:color="auto" w:fill="auto"/>
                  <w:vAlign w:val="center"/>
                </w:tcPr>
                <w:p w14:paraId="7015678A">
                  <w:pPr>
                    <w:pStyle w:val="44"/>
                    <w:bidi w:val="0"/>
                    <w:rPr>
                      <w:rFonts w:hint="default" w:ascii="Times New Roman" w:hAnsi="Times New Roman" w:eastAsia="宋体"/>
                      <w:color w:val="auto"/>
                      <w:kern w:val="2"/>
                      <w:sz w:val="21"/>
                      <w:szCs w:val="21"/>
                      <w:lang w:val="en-US" w:eastAsia="zh-CN" w:bidi="ar-SA"/>
                    </w:rPr>
                  </w:pPr>
                  <w:r>
                    <w:rPr>
                      <w:rFonts w:hint="eastAsia"/>
                      <w:color w:val="auto"/>
                      <w:lang w:val="en-US" w:eastAsia="zh-CN"/>
                    </w:rPr>
                    <w:t>废机油桶</w:t>
                  </w:r>
                </w:p>
              </w:tc>
              <w:tc>
                <w:tcPr>
                  <w:tcW w:w="833" w:type="dxa"/>
                  <w:vAlign w:val="center"/>
                </w:tcPr>
                <w:p w14:paraId="090000BA">
                  <w:pPr>
                    <w:pStyle w:val="44"/>
                    <w:bidi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lang w:val="en-US" w:eastAsia="zh-CN"/>
                    </w:rPr>
                    <w:t>HW08</w:t>
                  </w:r>
                </w:p>
              </w:tc>
              <w:tc>
                <w:tcPr>
                  <w:tcW w:w="1373" w:type="dxa"/>
                  <w:vAlign w:val="center"/>
                </w:tcPr>
                <w:p w14:paraId="1B711E38">
                  <w:pPr>
                    <w:pStyle w:val="44"/>
                    <w:bidi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lang w:val="en-US" w:eastAsia="zh-CN"/>
                    </w:rPr>
                    <w:t>900-249-08</w:t>
                  </w:r>
                </w:p>
              </w:tc>
              <w:tc>
                <w:tcPr>
                  <w:tcW w:w="1054" w:type="dxa"/>
                  <w:vAlign w:val="center"/>
                </w:tcPr>
                <w:p w14:paraId="00432602">
                  <w:pPr>
                    <w:pStyle w:val="44"/>
                    <w:bidi w:val="0"/>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0.01</w:t>
                  </w:r>
                </w:p>
              </w:tc>
              <w:tc>
                <w:tcPr>
                  <w:tcW w:w="446" w:type="dxa"/>
                  <w:vMerge w:val="continue"/>
                </w:tcPr>
                <w:p w14:paraId="044C0FC8">
                  <w:pPr>
                    <w:pStyle w:val="44"/>
                    <w:bidi w:val="0"/>
                    <w:rPr>
                      <w:rFonts w:hint="default" w:ascii="Times New Roman" w:hAnsi="Times New Roman" w:cs="Times New Roman"/>
                      <w:color w:val="auto"/>
                      <w:lang w:val="en-US" w:eastAsia="zh-CN"/>
                    </w:rPr>
                  </w:pPr>
                </w:p>
              </w:tc>
              <w:tc>
                <w:tcPr>
                  <w:tcW w:w="686" w:type="dxa"/>
                  <w:vMerge w:val="continue"/>
                </w:tcPr>
                <w:p w14:paraId="76F6D076">
                  <w:pPr>
                    <w:pStyle w:val="44"/>
                    <w:bidi w:val="0"/>
                    <w:rPr>
                      <w:rFonts w:hint="default" w:ascii="Times New Roman" w:hAnsi="Times New Roman" w:cs="Times New Roman"/>
                      <w:color w:val="auto"/>
                      <w:lang w:val="en-US" w:eastAsia="zh-CN"/>
                    </w:rPr>
                  </w:pPr>
                </w:p>
              </w:tc>
              <w:tc>
                <w:tcPr>
                  <w:tcW w:w="850" w:type="dxa"/>
                  <w:vMerge w:val="continue"/>
                </w:tcPr>
                <w:p w14:paraId="7A3AD1F9">
                  <w:pPr>
                    <w:pStyle w:val="44"/>
                    <w:bidi w:val="0"/>
                    <w:rPr>
                      <w:rFonts w:hint="default" w:ascii="Times New Roman" w:hAnsi="Times New Roman" w:cs="Times New Roman"/>
                      <w:color w:val="auto"/>
                    </w:rPr>
                  </w:pPr>
                </w:p>
              </w:tc>
              <w:tc>
                <w:tcPr>
                  <w:tcW w:w="0" w:type="auto"/>
                </w:tcPr>
                <w:p w14:paraId="420E8D0F">
                  <w:pPr>
                    <w:pStyle w:val="44"/>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1年</w:t>
                  </w:r>
                </w:p>
              </w:tc>
            </w:tr>
          </w:tbl>
          <w:p w14:paraId="6078C310">
            <w:pPr>
              <w:pStyle w:val="46"/>
              <w:numPr>
                <w:ilvl w:val="0"/>
                <w:numId w:val="0"/>
              </w:numPr>
              <w:bidi w:val="0"/>
              <w:ind w:leftChars="0"/>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表4-1</w:t>
            </w:r>
            <w:r>
              <w:rPr>
                <w:rFonts w:hint="eastAsia" w:ascii="Times New Roman" w:hAnsi="Times New Roman" w:cs="Times New Roman"/>
                <w:color w:val="auto"/>
                <w:lang w:val="en-US" w:eastAsia="zh-CN"/>
              </w:rPr>
              <w:t>6</w:t>
            </w:r>
            <w:r>
              <w:rPr>
                <w:rFonts w:hint="default" w:ascii="Times New Roman" w:hAnsi="Times New Roman" w:cs="Times New Roman"/>
                <w:color w:val="auto"/>
                <w:lang w:val="en-US" w:eastAsia="zh-CN"/>
              </w:rPr>
              <w:t>危险废物标识要求</w:t>
            </w:r>
          </w:p>
          <w:tbl>
            <w:tblPr>
              <w:tblStyle w:val="33"/>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85"/>
              <w:gridCol w:w="3632"/>
              <w:gridCol w:w="3099"/>
            </w:tblGrid>
            <w:tr w14:paraId="044C6DE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01" w:type="pct"/>
                  <w:tcBorders>
                    <w:tl2br w:val="nil"/>
                    <w:tr2bl w:val="nil"/>
                  </w:tcBorders>
                  <w:noWrap w:val="0"/>
                  <w:vAlign w:val="center"/>
                </w:tcPr>
                <w:p w14:paraId="2F5D7CD6">
                  <w:pPr>
                    <w:pStyle w:val="44"/>
                    <w:bidi w:val="0"/>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标识名称</w:t>
                  </w:r>
                </w:p>
              </w:tc>
              <w:tc>
                <w:tcPr>
                  <w:tcW w:w="2265" w:type="pct"/>
                  <w:tcBorders>
                    <w:tl2br w:val="nil"/>
                    <w:tr2bl w:val="nil"/>
                  </w:tcBorders>
                  <w:noWrap w:val="0"/>
                  <w:vAlign w:val="center"/>
                </w:tcPr>
                <w:p w14:paraId="54F3BADB">
                  <w:pPr>
                    <w:pStyle w:val="44"/>
                    <w:bidi w:val="0"/>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样式</w:t>
                  </w:r>
                </w:p>
              </w:tc>
              <w:tc>
                <w:tcPr>
                  <w:tcW w:w="1933" w:type="pct"/>
                  <w:tcBorders>
                    <w:tl2br w:val="nil"/>
                    <w:tr2bl w:val="nil"/>
                  </w:tcBorders>
                  <w:noWrap w:val="0"/>
                  <w:vAlign w:val="center"/>
                </w:tcPr>
                <w:p w14:paraId="2CE26D2E">
                  <w:pPr>
                    <w:pStyle w:val="44"/>
                    <w:bidi w:val="0"/>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要求</w:t>
                  </w:r>
                </w:p>
              </w:tc>
            </w:tr>
            <w:tr w14:paraId="141166E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01" w:type="pct"/>
                  <w:tcBorders>
                    <w:tl2br w:val="nil"/>
                    <w:tr2bl w:val="nil"/>
                  </w:tcBorders>
                  <w:noWrap w:val="0"/>
                  <w:vAlign w:val="center"/>
                </w:tcPr>
                <w:p w14:paraId="506BF40B">
                  <w:pPr>
                    <w:pStyle w:val="44"/>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危险废物</w:t>
                  </w:r>
                </w:p>
                <w:p w14:paraId="70C7A3F0">
                  <w:pPr>
                    <w:pStyle w:val="44"/>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贮存标识</w:t>
                  </w:r>
                </w:p>
              </w:tc>
              <w:tc>
                <w:tcPr>
                  <w:tcW w:w="2265" w:type="pct"/>
                  <w:tcBorders>
                    <w:tl2br w:val="nil"/>
                    <w:tr2bl w:val="nil"/>
                  </w:tcBorders>
                  <w:noWrap w:val="0"/>
                  <w:vAlign w:val="center"/>
                </w:tcPr>
                <w:p w14:paraId="5A806B64">
                  <w:pPr>
                    <w:pStyle w:val="44"/>
                    <w:bidi w:val="0"/>
                    <w:rPr>
                      <w:rFonts w:hint="default" w:ascii="Times New Roman" w:hAnsi="Times New Roman" w:cs="Times New Roman"/>
                      <w:color w:val="auto"/>
                    </w:rPr>
                  </w:pPr>
                  <w:r>
                    <w:rPr>
                      <w:rFonts w:hint="default" w:ascii="Times New Roman" w:hAnsi="Times New Roman" w:cs="Times New Roman"/>
                      <w:color w:val="auto"/>
                    </w:rPr>
                    <w:drawing>
                      <wp:inline distT="0" distB="0" distL="114300" distR="114300">
                        <wp:extent cx="2219960" cy="1416685"/>
                        <wp:effectExtent l="0" t="0" r="8890" b="12065"/>
                        <wp:docPr id="11" name="图片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64"/>
                                <pic:cNvPicPr>
                                  <a:picLocks noChangeAspect="1"/>
                                </pic:cNvPicPr>
                              </pic:nvPicPr>
                              <pic:blipFill>
                                <a:blip r:embed="rId18"/>
                                <a:stretch>
                                  <a:fillRect/>
                                </a:stretch>
                              </pic:blipFill>
                              <pic:spPr>
                                <a:xfrm>
                                  <a:off x="0" y="0"/>
                                  <a:ext cx="2219960" cy="1416685"/>
                                </a:xfrm>
                                <a:prstGeom prst="rect">
                                  <a:avLst/>
                                </a:prstGeom>
                                <a:noFill/>
                                <a:ln>
                                  <a:noFill/>
                                </a:ln>
                              </pic:spPr>
                            </pic:pic>
                          </a:graphicData>
                        </a:graphic>
                      </wp:inline>
                    </w:drawing>
                  </w:r>
                </w:p>
              </w:tc>
              <w:tc>
                <w:tcPr>
                  <w:tcW w:w="1933" w:type="pct"/>
                  <w:tcBorders>
                    <w:tl2br w:val="nil"/>
                    <w:tr2bl w:val="nil"/>
                  </w:tcBorders>
                  <w:noWrap w:val="0"/>
                  <w:vAlign w:val="center"/>
                </w:tcPr>
                <w:p w14:paraId="2CAFD2F6">
                  <w:pPr>
                    <w:pStyle w:val="44"/>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设置在室内，观察距离小于等于4m，则标志牌整体外形最小尺寸300×186mm，三角形外边长140mm、内边长105mm、外角圆弧半径8.4mm；设施类型名称文字最低16mm，其他文字最低8mm。</w:t>
                  </w:r>
                </w:p>
              </w:tc>
            </w:tr>
            <w:tr w14:paraId="650306B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01" w:type="pct"/>
                  <w:tcBorders>
                    <w:tl2br w:val="nil"/>
                    <w:tr2bl w:val="nil"/>
                  </w:tcBorders>
                  <w:noWrap w:val="0"/>
                  <w:vAlign w:val="center"/>
                </w:tcPr>
                <w:p w14:paraId="1B2F0499">
                  <w:pPr>
                    <w:pStyle w:val="44"/>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危险废物标签</w:t>
                  </w:r>
                </w:p>
              </w:tc>
              <w:tc>
                <w:tcPr>
                  <w:tcW w:w="2265" w:type="pct"/>
                  <w:tcBorders>
                    <w:tl2br w:val="nil"/>
                    <w:tr2bl w:val="nil"/>
                  </w:tcBorders>
                  <w:noWrap w:val="0"/>
                  <w:vAlign w:val="center"/>
                </w:tcPr>
                <w:p w14:paraId="4C56BA24">
                  <w:pPr>
                    <w:pStyle w:val="44"/>
                    <w:bidi w:val="0"/>
                    <w:rPr>
                      <w:rFonts w:hint="default" w:ascii="Times New Roman" w:hAnsi="Times New Roman" w:cs="Times New Roman"/>
                      <w:color w:val="auto"/>
                    </w:rPr>
                  </w:pPr>
                  <w:r>
                    <w:rPr>
                      <w:rFonts w:hint="default" w:ascii="Times New Roman" w:hAnsi="Times New Roman" w:cs="Times New Roman"/>
                      <w:color w:val="auto"/>
                    </w:rPr>
                    <w:drawing>
                      <wp:inline distT="0" distB="0" distL="114300" distR="114300">
                        <wp:extent cx="1982470" cy="1985010"/>
                        <wp:effectExtent l="0" t="0" r="17780" b="15240"/>
                        <wp:docPr id="12" name="图片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65"/>
                                <pic:cNvPicPr>
                                  <a:picLocks noChangeAspect="1"/>
                                </pic:cNvPicPr>
                              </pic:nvPicPr>
                              <pic:blipFill>
                                <a:blip r:embed="rId19"/>
                                <a:stretch>
                                  <a:fillRect/>
                                </a:stretch>
                              </pic:blipFill>
                              <pic:spPr>
                                <a:xfrm>
                                  <a:off x="0" y="0"/>
                                  <a:ext cx="1982470" cy="1985010"/>
                                </a:xfrm>
                                <a:prstGeom prst="rect">
                                  <a:avLst/>
                                </a:prstGeom>
                                <a:noFill/>
                                <a:ln>
                                  <a:noFill/>
                                </a:ln>
                              </pic:spPr>
                            </pic:pic>
                          </a:graphicData>
                        </a:graphic>
                      </wp:inline>
                    </w:drawing>
                  </w:r>
                </w:p>
              </w:tc>
              <w:tc>
                <w:tcPr>
                  <w:tcW w:w="1933" w:type="pct"/>
                  <w:tcBorders>
                    <w:tl2br w:val="nil"/>
                    <w:tr2bl w:val="nil"/>
                  </w:tcBorders>
                  <w:noWrap w:val="0"/>
                  <w:vAlign w:val="center"/>
                </w:tcPr>
                <w:p w14:paraId="2E83B956">
                  <w:pPr>
                    <w:pStyle w:val="44"/>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1、容器或包装物容积≤50L，标签最小尺寸100×100mm，文字最低3mm；</w:t>
                  </w:r>
                </w:p>
                <w:p w14:paraId="6E80F02F">
                  <w:pPr>
                    <w:pStyle w:val="44"/>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2、容器或包装物容积≤450L，标签最小尺寸150×150mm，文字最低5mm；</w:t>
                  </w:r>
                </w:p>
                <w:p w14:paraId="5E8F8427">
                  <w:pPr>
                    <w:pStyle w:val="44"/>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3、容器或包装物容积≥450L，标签最小尺寸200×200mm，文字最低6mm。</w:t>
                  </w:r>
                </w:p>
              </w:tc>
            </w:tr>
            <w:tr w14:paraId="7721EEA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01" w:type="pct"/>
                  <w:tcBorders>
                    <w:tl2br w:val="nil"/>
                    <w:tr2bl w:val="nil"/>
                  </w:tcBorders>
                  <w:noWrap w:val="0"/>
                  <w:vAlign w:val="center"/>
                </w:tcPr>
                <w:p w14:paraId="7FF672FD">
                  <w:pPr>
                    <w:pStyle w:val="44"/>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危险废物</w:t>
                  </w:r>
                </w:p>
                <w:p w14:paraId="73AF865E">
                  <w:pPr>
                    <w:pStyle w:val="44"/>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贮存分区标志</w:t>
                  </w:r>
                </w:p>
              </w:tc>
              <w:tc>
                <w:tcPr>
                  <w:tcW w:w="2265" w:type="pct"/>
                  <w:tcBorders>
                    <w:tl2br w:val="nil"/>
                    <w:tr2bl w:val="nil"/>
                  </w:tcBorders>
                  <w:noWrap w:val="0"/>
                  <w:vAlign w:val="center"/>
                </w:tcPr>
                <w:p w14:paraId="4CC2F7D4">
                  <w:pPr>
                    <w:pStyle w:val="44"/>
                    <w:bidi w:val="0"/>
                    <w:rPr>
                      <w:rFonts w:hint="default" w:ascii="Times New Roman" w:hAnsi="Times New Roman" w:cs="Times New Roman"/>
                      <w:color w:val="auto"/>
                    </w:rPr>
                  </w:pPr>
                  <w:r>
                    <w:rPr>
                      <w:rFonts w:hint="default" w:ascii="Times New Roman" w:hAnsi="Times New Roman" w:cs="Times New Roman"/>
                      <w:color w:val="auto"/>
                    </w:rPr>
                    <w:drawing>
                      <wp:inline distT="0" distB="0" distL="114300" distR="114300">
                        <wp:extent cx="2073275" cy="1742440"/>
                        <wp:effectExtent l="0" t="0" r="3175" b="10160"/>
                        <wp:docPr id="13" name="图片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66"/>
                                <pic:cNvPicPr>
                                  <a:picLocks noChangeAspect="1"/>
                                </pic:cNvPicPr>
                              </pic:nvPicPr>
                              <pic:blipFill>
                                <a:blip r:embed="rId20"/>
                                <a:stretch>
                                  <a:fillRect/>
                                </a:stretch>
                              </pic:blipFill>
                              <pic:spPr>
                                <a:xfrm>
                                  <a:off x="0" y="0"/>
                                  <a:ext cx="2073275" cy="1742440"/>
                                </a:xfrm>
                                <a:prstGeom prst="rect">
                                  <a:avLst/>
                                </a:prstGeom>
                                <a:noFill/>
                                <a:ln>
                                  <a:noFill/>
                                </a:ln>
                              </pic:spPr>
                            </pic:pic>
                          </a:graphicData>
                        </a:graphic>
                      </wp:inline>
                    </w:drawing>
                  </w:r>
                </w:p>
              </w:tc>
              <w:tc>
                <w:tcPr>
                  <w:tcW w:w="1933" w:type="pct"/>
                  <w:tcBorders>
                    <w:tl2br w:val="nil"/>
                    <w:tr2bl w:val="nil"/>
                  </w:tcBorders>
                  <w:noWrap w:val="0"/>
                  <w:vAlign w:val="center"/>
                </w:tcPr>
                <w:p w14:paraId="7C0F32B5">
                  <w:pPr>
                    <w:pStyle w:val="44"/>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观察距离≤2.5m，则标志整体外形最小尺寸300×300mm，贮存分区标志最低20mm，其他文字最低6mm。</w:t>
                  </w:r>
                </w:p>
              </w:tc>
            </w:tr>
          </w:tbl>
          <w:p w14:paraId="7B395D88">
            <w:pPr>
              <w:spacing w:line="360" w:lineRule="auto"/>
              <w:ind w:firstLine="480" w:firstLineChars="200"/>
              <w:rPr>
                <w:rFonts w:hint="default" w:ascii="Times New Roman" w:hAnsi="Times New Roman" w:cs="Times New Roman"/>
                <w:color w:val="auto"/>
                <w:szCs w:val="21"/>
              </w:rPr>
            </w:pPr>
            <w:r>
              <w:rPr>
                <w:rFonts w:hint="default" w:ascii="Times New Roman" w:hAnsi="Times New Roman" w:cs="Times New Roman"/>
                <w:color w:val="auto"/>
                <w:kern w:val="0"/>
                <w:szCs w:val="21"/>
                <w:lang w:bidi="ar"/>
              </w:rPr>
              <w:t>综上所述，建设单位只要认真做好各类固体废物的收集、分类存放和定点处置，项目固废均能够得到合理妥善处置，不产生二次污染</w:t>
            </w:r>
            <w:r>
              <w:rPr>
                <w:rFonts w:hint="default" w:ascii="Times New Roman" w:hAnsi="Times New Roman" w:cs="Times New Roman"/>
                <w:color w:val="auto"/>
                <w:szCs w:val="21"/>
              </w:rPr>
              <w:t>。</w:t>
            </w:r>
          </w:p>
          <w:p w14:paraId="0768BEC1">
            <w:pPr>
              <w:pStyle w:val="5"/>
              <w:numPr>
                <w:ilvl w:val="0"/>
                <w:numId w:val="0"/>
              </w:numPr>
              <w:bidi w:val="0"/>
              <w:ind w:leftChars="200"/>
              <w:rPr>
                <w:rFonts w:hint="default" w:ascii="Times New Roman" w:hAnsi="Times New Roman" w:cs="Times New Roman"/>
                <w:color w:val="auto"/>
              </w:rPr>
            </w:pPr>
            <w:r>
              <w:rPr>
                <w:rFonts w:hint="default" w:ascii="Times New Roman" w:hAnsi="Times New Roman" w:cs="Times New Roman"/>
                <w:color w:val="auto"/>
              </w:rPr>
              <w:t>五、地下水、土壤</w:t>
            </w:r>
          </w:p>
          <w:p w14:paraId="133B5E09">
            <w:pPr>
              <w:pStyle w:val="5"/>
              <w:numPr>
                <w:ilvl w:val="0"/>
                <w:numId w:val="0"/>
              </w:numPr>
              <w:bidi w:val="0"/>
              <w:ind w:leftChars="200"/>
              <w:rPr>
                <w:rFonts w:hint="default" w:ascii="Times New Roman" w:hAnsi="Times New Roman" w:eastAsia="黑体" w:cs="Times New Roman"/>
                <w:color w:val="auto"/>
                <w:lang w:val="en-US" w:eastAsia="zh-CN"/>
              </w:rPr>
            </w:pPr>
            <w:r>
              <w:rPr>
                <w:rFonts w:hint="default" w:ascii="Times New Roman" w:hAnsi="Times New Roman" w:cs="Times New Roman"/>
                <w:color w:val="auto"/>
              </w:rPr>
              <w:t>1、污染源</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污染途径及危害</w:t>
            </w:r>
          </w:p>
          <w:p w14:paraId="7D51FACF">
            <w:pPr>
              <w:pStyle w:val="3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left"/>
              <w:textAlignment w:val="auto"/>
              <w:rPr>
                <w:rFonts w:hint="default" w:ascii="Times New Roman" w:hAnsi="Times New Roman" w:eastAsia="宋体" w:cs="Times New Roman"/>
                <w:bCs/>
                <w:color w:val="auto"/>
                <w:kern w:val="2"/>
                <w:sz w:val="24"/>
                <w:szCs w:val="24"/>
                <w:lang w:val="en-US" w:eastAsia="zh-CN" w:bidi="ar-SA"/>
              </w:rPr>
            </w:pPr>
            <w:r>
              <w:rPr>
                <w:rFonts w:hint="default" w:ascii="Times New Roman" w:hAnsi="Times New Roman" w:eastAsia="宋体" w:cs="Times New Roman"/>
                <w:bCs/>
                <w:color w:val="auto"/>
                <w:kern w:val="2"/>
                <w:sz w:val="24"/>
                <w:szCs w:val="24"/>
                <w:lang w:val="en-US" w:eastAsia="zh-CN" w:bidi="ar-SA"/>
              </w:rPr>
              <w:t>土壤污染途径主要包括大气沉降、地面漫流和垂直入渗，地下水污染途径主要包括可能会发生污染物/原辅料跑冒滴漏的工艺、管道、设备、污水储存及处理构筑物。</w:t>
            </w:r>
          </w:p>
          <w:p w14:paraId="650A1BAC">
            <w:pPr>
              <w:pStyle w:val="3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left"/>
              <w:textAlignment w:val="auto"/>
              <w:rPr>
                <w:rFonts w:hint="default" w:ascii="Times New Roman" w:hAnsi="Times New Roman" w:eastAsia="宋体" w:cs="Times New Roman"/>
                <w:bCs/>
                <w:color w:val="auto"/>
                <w:kern w:val="2"/>
                <w:sz w:val="24"/>
                <w:szCs w:val="24"/>
                <w:lang w:val="en-US" w:eastAsia="zh-CN" w:bidi="ar-SA"/>
              </w:rPr>
            </w:pPr>
            <w:r>
              <w:rPr>
                <w:rFonts w:hint="default" w:ascii="Times New Roman" w:hAnsi="Times New Roman" w:eastAsia="宋体" w:cs="Times New Roman"/>
                <w:bCs/>
                <w:color w:val="auto"/>
                <w:kern w:val="2"/>
                <w:sz w:val="24"/>
                <w:szCs w:val="24"/>
                <w:lang w:val="en-US" w:eastAsia="zh-CN" w:bidi="ar-SA"/>
              </w:rPr>
              <w:t>项目建成后，生产车间等建筑物均做好地面硬化，采取防渗措施，切断了污染途径，不与土壤、地下水直接接触，故本项目对土壤、地下水不存在地面漫流、垂直入渗的污染途径，影响较小，本项目可能土壤、地下水环境的影响主要为事故状态下的下渗以及大气沉降。</w:t>
            </w:r>
          </w:p>
          <w:p w14:paraId="3622F6B1">
            <w:pPr>
              <w:pStyle w:val="3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left"/>
              <w:textAlignment w:val="auto"/>
              <w:rPr>
                <w:rFonts w:hint="default" w:ascii="Times New Roman" w:hAnsi="Times New Roman" w:eastAsia="宋体" w:cs="Times New Roman"/>
                <w:bCs/>
                <w:color w:val="auto"/>
                <w:kern w:val="2"/>
                <w:sz w:val="24"/>
                <w:szCs w:val="24"/>
                <w:lang w:val="en-US" w:eastAsia="zh-CN" w:bidi="ar-SA"/>
              </w:rPr>
            </w:pPr>
            <w:r>
              <w:rPr>
                <w:rFonts w:hint="default" w:ascii="Times New Roman" w:hAnsi="Times New Roman" w:eastAsia="宋体" w:cs="Times New Roman"/>
                <w:bCs/>
                <w:color w:val="auto"/>
                <w:kern w:val="2"/>
                <w:sz w:val="24"/>
                <w:szCs w:val="24"/>
                <w:lang w:val="en-US" w:eastAsia="zh-CN" w:bidi="ar-SA"/>
              </w:rPr>
              <w:t>可能影响地下水、土壤途径主要包括以下几个方面内容：</w:t>
            </w:r>
          </w:p>
          <w:p w14:paraId="41BB9B6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Cs/>
                <w:color w:val="auto"/>
                <w:kern w:val="2"/>
                <w:sz w:val="24"/>
                <w:szCs w:val="24"/>
                <w:lang w:val="en-US" w:eastAsia="zh-CN" w:bidi="ar-SA"/>
              </w:rPr>
            </w:pPr>
            <w:r>
              <w:rPr>
                <w:rFonts w:hint="default" w:ascii="Times New Roman" w:hAnsi="Times New Roman" w:eastAsia="宋体" w:cs="Times New Roman"/>
                <w:bCs/>
                <w:color w:val="auto"/>
                <w:kern w:val="2"/>
                <w:sz w:val="24"/>
                <w:szCs w:val="24"/>
                <w:lang w:val="en-US" w:eastAsia="zh-CN" w:bidi="ar-SA"/>
              </w:rPr>
              <w:fldChar w:fldCharType="begin"/>
            </w:r>
            <w:r>
              <w:rPr>
                <w:rFonts w:hint="default" w:ascii="Times New Roman" w:hAnsi="Times New Roman" w:eastAsia="宋体" w:cs="Times New Roman"/>
                <w:bCs/>
                <w:color w:val="auto"/>
                <w:kern w:val="2"/>
                <w:sz w:val="24"/>
                <w:szCs w:val="24"/>
                <w:lang w:val="en-US" w:eastAsia="zh-CN" w:bidi="ar-SA"/>
              </w:rPr>
              <w:instrText xml:space="preserve"> = 1 \* GB3 </w:instrText>
            </w:r>
            <w:r>
              <w:rPr>
                <w:rFonts w:hint="default" w:ascii="Times New Roman" w:hAnsi="Times New Roman" w:eastAsia="宋体" w:cs="Times New Roman"/>
                <w:bCs/>
                <w:color w:val="auto"/>
                <w:kern w:val="2"/>
                <w:sz w:val="24"/>
                <w:szCs w:val="24"/>
                <w:lang w:val="en-US" w:eastAsia="zh-CN" w:bidi="ar-SA"/>
              </w:rPr>
              <w:fldChar w:fldCharType="separate"/>
            </w:r>
            <w:r>
              <w:rPr>
                <w:rFonts w:hint="default" w:ascii="Times New Roman" w:hAnsi="Times New Roman" w:eastAsia="宋体" w:cs="Times New Roman"/>
                <w:bCs/>
                <w:color w:val="auto"/>
                <w:kern w:val="2"/>
                <w:sz w:val="24"/>
                <w:szCs w:val="24"/>
                <w:lang w:val="en-US" w:eastAsia="zh-CN" w:bidi="ar-SA"/>
              </w:rPr>
              <w:t>①</w:t>
            </w:r>
            <w:r>
              <w:rPr>
                <w:rFonts w:hint="default" w:ascii="Times New Roman" w:hAnsi="Times New Roman" w:eastAsia="宋体" w:cs="Times New Roman"/>
                <w:bCs/>
                <w:color w:val="auto"/>
                <w:kern w:val="2"/>
                <w:sz w:val="24"/>
                <w:szCs w:val="24"/>
                <w:lang w:val="en-US" w:eastAsia="zh-CN" w:bidi="ar-SA"/>
              </w:rPr>
              <w:fldChar w:fldCharType="end"/>
            </w:r>
            <w:r>
              <w:rPr>
                <w:rFonts w:hint="eastAsia" w:eastAsia="宋体" w:cs="Times New Roman"/>
                <w:bCs/>
                <w:color w:val="auto"/>
                <w:kern w:val="2"/>
                <w:sz w:val="24"/>
                <w:szCs w:val="24"/>
                <w:lang w:val="en-US" w:eastAsia="zh-CN" w:bidi="ar-SA"/>
              </w:rPr>
              <w:t>原料暂存区防渗不当，液体原料</w:t>
            </w:r>
            <w:r>
              <w:rPr>
                <w:color w:val="auto"/>
              </w:rPr>
              <w:t>通过地坪裂隙下渗对周围地下水、土壤造成污染</w:t>
            </w:r>
            <w:r>
              <w:rPr>
                <w:rFonts w:hint="eastAsia"/>
                <w:color w:val="auto"/>
                <w:lang w:eastAsia="zh-CN"/>
              </w:rPr>
              <w:t>；</w:t>
            </w:r>
            <w:r>
              <w:rPr>
                <w:rFonts w:hint="default" w:ascii="Times New Roman" w:hAnsi="Times New Roman" w:eastAsia="宋体" w:cs="Times New Roman"/>
                <w:bCs/>
                <w:color w:val="auto"/>
                <w:kern w:val="2"/>
                <w:sz w:val="24"/>
                <w:szCs w:val="24"/>
                <w:lang w:val="en-US" w:eastAsia="zh-CN" w:bidi="ar-SA"/>
              </w:rPr>
              <w:fldChar w:fldCharType="begin"/>
            </w:r>
            <w:r>
              <w:rPr>
                <w:rFonts w:hint="default" w:ascii="Times New Roman" w:hAnsi="Times New Roman" w:eastAsia="宋体" w:cs="Times New Roman"/>
                <w:bCs/>
                <w:color w:val="auto"/>
                <w:kern w:val="2"/>
                <w:sz w:val="24"/>
                <w:szCs w:val="24"/>
                <w:lang w:val="en-US" w:eastAsia="zh-CN" w:bidi="ar-SA"/>
              </w:rPr>
              <w:instrText xml:space="preserve"> = 2 \* GB3 </w:instrText>
            </w:r>
            <w:r>
              <w:rPr>
                <w:rFonts w:hint="default" w:ascii="Times New Roman" w:hAnsi="Times New Roman" w:eastAsia="宋体" w:cs="Times New Roman"/>
                <w:bCs/>
                <w:color w:val="auto"/>
                <w:kern w:val="2"/>
                <w:sz w:val="24"/>
                <w:szCs w:val="24"/>
                <w:lang w:val="en-US" w:eastAsia="zh-CN" w:bidi="ar-SA"/>
              </w:rPr>
              <w:fldChar w:fldCharType="separate"/>
            </w:r>
            <w:r>
              <w:rPr>
                <w:rFonts w:hint="default" w:ascii="Times New Roman" w:hAnsi="Times New Roman" w:eastAsia="宋体" w:cs="Times New Roman"/>
                <w:bCs/>
                <w:color w:val="auto"/>
                <w:kern w:val="2"/>
                <w:sz w:val="24"/>
                <w:szCs w:val="24"/>
                <w:lang w:val="en-US" w:eastAsia="zh-CN" w:bidi="ar-SA"/>
              </w:rPr>
              <w:t>②</w:t>
            </w:r>
            <w:r>
              <w:rPr>
                <w:rFonts w:hint="default" w:ascii="Times New Roman" w:hAnsi="Times New Roman" w:eastAsia="宋体" w:cs="Times New Roman"/>
                <w:bCs/>
                <w:color w:val="auto"/>
                <w:kern w:val="2"/>
                <w:sz w:val="24"/>
                <w:szCs w:val="24"/>
                <w:lang w:val="en-US" w:eastAsia="zh-CN" w:bidi="ar-SA"/>
              </w:rPr>
              <w:fldChar w:fldCharType="end"/>
            </w:r>
            <w:r>
              <w:rPr>
                <w:rFonts w:hint="default" w:ascii="Times New Roman" w:hAnsi="Times New Roman" w:eastAsia="宋体" w:cs="Times New Roman"/>
                <w:bCs/>
                <w:color w:val="auto"/>
                <w:sz w:val="24"/>
                <w:lang w:val="en-US" w:eastAsia="zh-CN"/>
              </w:rPr>
              <w:t>危废间</w:t>
            </w:r>
            <w:r>
              <w:rPr>
                <w:rFonts w:hint="default" w:ascii="Times New Roman" w:hAnsi="Times New Roman" w:eastAsia="宋体" w:cs="Times New Roman"/>
                <w:bCs/>
                <w:color w:val="auto"/>
                <w:sz w:val="24"/>
                <w:lang w:eastAsia="zh-CN"/>
              </w:rPr>
              <w:t>防渗不当，</w:t>
            </w:r>
            <w:r>
              <w:rPr>
                <w:rFonts w:hint="eastAsia" w:ascii="Times New Roman" w:hAnsi="Times New Roman" w:eastAsia="宋体" w:cs="Times New Roman"/>
                <w:bCs/>
                <w:color w:val="auto"/>
                <w:sz w:val="24"/>
                <w:lang w:val="en-US" w:eastAsia="zh-CN"/>
              </w:rPr>
              <w:t>危废泄露</w:t>
            </w:r>
            <w:r>
              <w:rPr>
                <w:color w:val="auto"/>
              </w:rPr>
              <w:t>对周围地下水、土壤造成污染</w:t>
            </w:r>
            <w:r>
              <w:rPr>
                <w:rFonts w:hint="default" w:ascii="Times New Roman" w:hAnsi="Times New Roman" w:eastAsia="宋体" w:cs="Times New Roman"/>
                <w:bCs/>
                <w:color w:val="auto"/>
                <w:sz w:val="24"/>
                <w:lang w:eastAsia="zh-CN"/>
              </w:rPr>
              <w:t>；</w:t>
            </w:r>
            <w:r>
              <w:rPr>
                <w:rFonts w:hint="default" w:ascii="Times New Roman" w:hAnsi="Times New Roman" w:cs="Times New Roman"/>
                <w:bCs/>
                <w:color w:val="auto"/>
                <w:szCs w:val="24"/>
                <w:lang w:eastAsia="zh-CN"/>
              </w:rPr>
              <w:t>③</w:t>
            </w:r>
            <w:r>
              <w:rPr>
                <w:rFonts w:hint="default" w:ascii="Times New Roman" w:hAnsi="Times New Roman" w:eastAsia="宋体" w:cs="Times New Roman"/>
                <w:bCs/>
                <w:color w:val="auto"/>
                <w:kern w:val="2"/>
                <w:sz w:val="24"/>
                <w:szCs w:val="24"/>
                <w:lang w:val="en-US" w:eastAsia="zh-CN" w:bidi="ar-SA"/>
              </w:rPr>
              <w:t>化粪池</w:t>
            </w:r>
            <w:r>
              <w:rPr>
                <w:rFonts w:hint="eastAsia" w:ascii="Times New Roman" w:hAnsi="Times New Roman" w:eastAsia="宋体" w:cs="Times New Roman"/>
                <w:bCs/>
                <w:color w:val="auto"/>
                <w:kern w:val="2"/>
                <w:sz w:val="24"/>
                <w:szCs w:val="24"/>
                <w:lang w:val="en-US" w:eastAsia="zh-CN" w:bidi="ar-SA"/>
              </w:rPr>
              <w:t>、凉水塔</w:t>
            </w:r>
            <w:r>
              <w:rPr>
                <w:rFonts w:hint="default" w:ascii="Times New Roman" w:hAnsi="Times New Roman" w:eastAsia="宋体" w:cs="Times New Roman"/>
                <w:bCs/>
                <w:color w:val="auto"/>
                <w:kern w:val="2"/>
                <w:sz w:val="24"/>
                <w:szCs w:val="24"/>
                <w:lang w:val="en-US" w:eastAsia="zh-CN" w:bidi="ar-SA"/>
              </w:rPr>
              <w:t>及管道、阀门等发生泄漏造成污染物质渗漏</w:t>
            </w:r>
            <w:r>
              <w:rPr>
                <w:rFonts w:hint="eastAsia" w:ascii="Times New Roman" w:hAnsi="Times New Roman" w:eastAsia="宋体" w:cs="Times New Roman"/>
                <w:bCs/>
                <w:color w:val="auto"/>
                <w:kern w:val="2"/>
                <w:sz w:val="24"/>
                <w:szCs w:val="24"/>
                <w:lang w:val="en-US" w:eastAsia="zh-CN" w:bidi="ar-SA"/>
              </w:rPr>
              <w:t>。</w:t>
            </w:r>
          </w:p>
          <w:p w14:paraId="6C00F250">
            <w:pPr>
              <w:pStyle w:val="5"/>
              <w:numPr>
                <w:ilvl w:val="0"/>
                <w:numId w:val="0"/>
              </w:numPr>
              <w:bidi w:val="0"/>
              <w:ind w:leftChars="200"/>
              <w:rPr>
                <w:rFonts w:hint="default" w:ascii="Times New Roman" w:hAnsi="Times New Roman" w:cs="Times New Roman"/>
                <w:color w:val="auto"/>
              </w:rPr>
            </w:pPr>
            <w:r>
              <w:rPr>
                <w:rFonts w:hint="default" w:ascii="Times New Roman" w:hAnsi="Times New Roman" w:cs="Times New Roman"/>
                <w:color w:val="auto"/>
              </w:rPr>
              <w:t>3、采取的防渗措施</w:t>
            </w:r>
          </w:p>
          <w:p w14:paraId="3A1BC9E5">
            <w:pPr>
              <w:widowControl/>
              <w:ind w:firstLine="480" w:firstLineChars="200"/>
              <w:rPr>
                <w:rFonts w:hint="default" w:ascii="Times New Roman" w:hAnsi="Times New Roman" w:cs="Times New Roman"/>
                <w:bCs/>
                <w:color w:val="auto"/>
              </w:rPr>
            </w:pPr>
            <w:r>
              <w:rPr>
                <w:rFonts w:hint="default" w:ascii="Times New Roman" w:hAnsi="Times New Roman" w:cs="Times New Roman"/>
                <w:bCs/>
                <w:color w:val="auto"/>
              </w:rPr>
              <w:t>根据《环境影响评价技术导则地下水环境》（HJ610-2016）中污染防治区分的规定，根据装置、单元的特点和所处的区域及部位，本项目</w:t>
            </w:r>
            <w:r>
              <w:rPr>
                <w:rFonts w:hint="default" w:ascii="Times New Roman" w:hAnsi="Times New Roman" w:cs="Times New Roman"/>
                <w:bCs/>
                <w:color w:val="auto"/>
                <w:lang w:val="en-US" w:eastAsia="zh-CN"/>
              </w:rPr>
              <w:t>利用现有车间建设，</w:t>
            </w:r>
            <w:r>
              <w:rPr>
                <w:rFonts w:hint="default" w:ascii="Times New Roman" w:hAnsi="Times New Roman" w:cs="Times New Roman"/>
                <w:bCs/>
                <w:color w:val="auto"/>
              </w:rPr>
              <w:t>场地划分为简单防渗区、一般防渗区和重点防渗区。具体见</w:t>
            </w:r>
            <w:r>
              <w:rPr>
                <w:rFonts w:hint="default" w:ascii="Times New Roman" w:hAnsi="Times New Roman" w:cs="Times New Roman"/>
                <w:bCs/>
                <w:color w:val="auto"/>
                <w:lang w:val="en-US" w:eastAsia="zh-CN"/>
              </w:rPr>
              <w:t>下</w:t>
            </w:r>
            <w:r>
              <w:rPr>
                <w:rFonts w:hint="default" w:ascii="Times New Roman" w:hAnsi="Times New Roman" w:cs="Times New Roman"/>
                <w:bCs/>
                <w:color w:val="auto"/>
              </w:rPr>
              <w:t>表。</w:t>
            </w:r>
          </w:p>
          <w:p w14:paraId="6DD24628">
            <w:pPr>
              <w:pStyle w:val="47"/>
              <w:bidi w:val="0"/>
              <w:rPr>
                <w:rFonts w:hint="default" w:ascii="Times New Roman" w:hAnsi="Times New Roman" w:cs="Times New Roman"/>
                <w:color w:val="auto"/>
              </w:rPr>
            </w:pPr>
            <w:r>
              <w:rPr>
                <w:rFonts w:hint="default" w:ascii="Times New Roman" w:hAnsi="Times New Roman" w:cs="Times New Roman"/>
                <w:color w:val="auto"/>
              </w:rPr>
              <w:t>表4-</w:t>
            </w:r>
            <w:r>
              <w:rPr>
                <w:rFonts w:hint="default" w:ascii="Times New Roman" w:hAnsi="Times New Roman" w:cs="Times New Roman"/>
                <w:color w:val="auto"/>
                <w:lang w:val="en-US" w:eastAsia="zh-CN"/>
              </w:rPr>
              <w:t>17</w:t>
            </w:r>
            <w:r>
              <w:rPr>
                <w:rFonts w:hint="default" w:ascii="Times New Roman" w:hAnsi="Times New Roman" w:cs="Times New Roman"/>
                <w:color w:val="auto"/>
              </w:rPr>
              <w:t xml:space="preserve"> 本项目污染防治分区情况</w:t>
            </w:r>
          </w:p>
          <w:tbl>
            <w:tblPr>
              <w:tblStyle w:val="33"/>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2495"/>
              <w:gridCol w:w="4175"/>
            </w:tblGrid>
            <w:tr w14:paraId="686485C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9" w:type="pct"/>
                  <w:tcBorders>
                    <w:tl2br w:val="nil"/>
                    <w:tr2bl w:val="nil"/>
                  </w:tcBorders>
                  <w:noWrap w:val="0"/>
                  <w:vAlign w:val="center"/>
                </w:tcPr>
                <w:p w14:paraId="086CDC66">
                  <w:pPr>
                    <w:pStyle w:val="44"/>
                    <w:bidi w:val="0"/>
                    <w:rPr>
                      <w:rFonts w:hint="default" w:ascii="Times New Roman" w:hAnsi="Times New Roman" w:cs="Times New Roman"/>
                      <w:b/>
                      <w:bCs/>
                      <w:color w:val="auto"/>
                    </w:rPr>
                  </w:pPr>
                  <w:r>
                    <w:rPr>
                      <w:rFonts w:hint="default" w:ascii="Times New Roman" w:hAnsi="Times New Roman" w:cs="Times New Roman"/>
                      <w:b/>
                      <w:bCs/>
                      <w:color w:val="auto"/>
                    </w:rPr>
                    <w:t>防渗类别</w:t>
                  </w:r>
                </w:p>
              </w:tc>
              <w:tc>
                <w:tcPr>
                  <w:tcW w:w="1556" w:type="pct"/>
                  <w:tcBorders>
                    <w:tl2br w:val="nil"/>
                    <w:tr2bl w:val="nil"/>
                  </w:tcBorders>
                  <w:noWrap w:val="0"/>
                  <w:vAlign w:val="center"/>
                </w:tcPr>
                <w:p w14:paraId="15640AF5">
                  <w:pPr>
                    <w:pStyle w:val="44"/>
                    <w:bidi w:val="0"/>
                    <w:rPr>
                      <w:rFonts w:hint="default" w:ascii="Times New Roman" w:hAnsi="Times New Roman" w:cs="Times New Roman"/>
                      <w:b/>
                      <w:bCs/>
                      <w:color w:val="auto"/>
                    </w:rPr>
                  </w:pPr>
                  <w:r>
                    <w:rPr>
                      <w:rFonts w:hint="default" w:ascii="Times New Roman" w:hAnsi="Times New Roman" w:cs="Times New Roman"/>
                      <w:b/>
                      <w:bCs/>
                      <w:color w:val="auto"/>
                    </w:rPr>
                    <w:t>污染防治区域及部位</w:t>
                  </w:r>
                </w:p>
              </w:tc>
              <w:tc>
                <w:tcPr>
                  <w:tcW w:w="2604" w:type="pct"/>
                  <w:tcBorders>
                    <w:tl2br w:val="nil"/>
                    <w:tr2bl w:val="nil"/>
                  </w:tcBorders>
                  <w:noWrap w:val="0"/>
                  <w:vAlign w:val="center"/>
                </w:tcPr>
                <w:p w14:paraId="7893811C">
                  <w:pPr>
                    <w:pStyle w:val="44"/>
                    <w:bidi w:val="0"/>
                    <w:rPr>
                      <w:rFonts w:hint="default" w:ascii="Times New Roman" w:hAnsi="Times New Roman" w:cs="Times New Roman"/>
                      <w:b/>
                      <w:bCs/>
                      <w:color w:val="auto"/>
                    </w:rPr>
                  </w:pPr>
                  <w:r>
                    <w:rPr>
                      <w:rFonts w:hint="default" w:ascii="Times New Roman" w:hAnsi="Times New Roman" w:cs="Times New Roman"/>
                      <w:b/>
                      <w:bCs/>
                      <w:color w:val="auto"/>
                    </w:rPr>
                    <w:t>防渗技术要求</w:t>
                  </w:r>
                </w:p>
              </w:tc>
            </w:tr>
            <w:tr w14:paraId="1434F2B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39" w:type="pct"/>
                  <w:tcBorders>
                    <w:tl2br w:val="nil"/>
                    <w:tr2bl w:val="nil"/>
                  </w:tcBorders>
                  <w:noWrap w:val="0"/>
                  <w:vAlign w:val="center"/>
                </w:tcPr>
                <w:p w14:paraId="5EB60520">
                  <w:pPr>
                    <w:pStyle w:val="44"/>
                    <w:bidi w:val="0"/>
                    <w:rPr>
                      <w:rFonts w:hint="default" w:ascii="Times New Roman" w:hAnsi="Times New Roman" w:cs="Times New Roman"/>
                      <w:color w:val="auto"/>
                    </w:rPr>
                  </w:pPr>
                  <w:r>
                    <w:rPr>
                      <w:rFonts w:hint="default" w:ascii="Times New Roman" w:hAnsi="Times New Roman" w:cs="Times New Roman"/>
                      <w:color w:val="auto"/>
                    </w:rPr>
                    <w:t>重点防渗区</w:t>
                  </w:r>
                </w:p>
              </w:tc>
              <w:tc>
                <w:tcPr>
                  <w:tcW w:w="1556" w:type="pct"/>
                  <w:tcBorders>
                    <w:tl2br w:val="nil"/>
                    <w:tr2bl w:val="nil"/>
                  </w:tcBorders>
                  <w:noWrap w:val="0"/>
                  <w:vAlign w:val="center"/>
                </w:tcPr>
                <w:p w14:paraId="06C6ECC3">
                  <w:pPr>
                    <w:pStyle w:val="44"/>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化粪池、</w:t>
                  </w:r>
                  <w:r>
                    <w:rPr>
                      <w:rFonts w:hint="eastAsia" w:cs="Times New Roman"/>
                      <w:color w:val="auto"/>
                      <w:lang w:val="en-US" w:eastAsia="zh-CN"/>
                    </w:rPr>
                    <w:t>凉水塔</w:t>
                  </w:r>
                  <w:r>
                    <w:rPr>
                      <w:rFonts w:hint="default" w:ascii="Times New Roman" w:hAnsi="Times New Roman" w:cs="Times New Roman"/>
                      <w:color w:val="auto"/>
                      <w:lang w:val="en-US" w:eastAsia="zh-CN"/>
                    </w:rPr>
                    <w:t>、</w:t>
                  </w:r>
                  <w:r>
                    <w:rPr>
                      <w:rFonts w:hint="eastAsia" w:cs="Times New Roman"/>
                      <w:color w:val="auto"/>
                      <w:lang w:val="en-US" w:eastAsia="zh-CN"/>
                    </w:rPr>
                    <w:t>液体原料区</w:t>
                  </w:r>
                  <w:r>
                    <w:rPr>
                      <w:rFonts w:hint="default" w:ascii="Times New Roman" w:hAnsi="Times New Roman" w:cs="Times New Roman"/>
                      <w:color w:val="auto"/>
                      <w:lang w:val="en-US" w:eastAsia="zh-CN"/>
                    </w:rPr>
                    <w:t>、危废间、</w:t>
                  </w:r>
                  <w:r>
                    <w:rPr>
                      <w:rFonts w:hint="eastAsia" w:cs="Times New Roman"/>
                      <w:color w:val="auto"/>
                      <w:lang w:val="en-US" w:eastAsia="zh-CN"/>
                    </w:rPr>
                    <w:t>仓库</w:t>
                  </w:r>
                </w:p>
              </w:tc>
              <w:tc>
                <w:tcPr>
                  <w:tcW w:w="2604" w:type="pct"/>
                  <w:tcBorders>
                    <w:tl2br w:val="nil"/>
                    <w:tr2bl w:val="nil"/>
                  </w:tcBorders>
                  <w:noWrap w:val="0"/>
                  <w:vAlign w:val="center"/>
                </w:tcPr>
                <w:p w14:paraId="58A02029">
                  <w:pPr>
                    <w:pStyle w:val="44"/>
                    <w:bidi w:val="0"/>
                    <w:rPr>
                      <w:rFonts w:hint="default" w:ascii="Times New Roman" w:hAnsi="Times New Roman" w:cs="Times New Roman"/>
                      <w:color w:val="auto"/>
                      <w:lang w:val="en-US" w:eastAsia="zh-CN"/>
                    </w:rPr>
                  </w:pPr>
                  <w:r>
                    <w:rPr>
                      <w:rFonts w:hint="default" w:ascii="Times New Roman" w:hAnsi="Times New Roman" w:cs="Times New Roman"/>
                      <w:color w:val="auto"/>
                    </w:rPr>
                    <w:t>等效黏土防渗层Mb≥6.0m，K≤1×10</w:t>
                  </w:r>
                  <w:r>
                    <w:rPr>
                      <w:rFonts w:hint="default" w:ascii="Times New Roman" w:hAnsi="Times New Roman" w:cs="Times New Roman"/>
                      <w:color w:val="auto"/>
                      <w:vertAlign w:val="superscript"/>
                    </w:rPr>
                    <w:t>-7</w:t>
                  </w:r>
                  <w:r>
                    <w:rPr>
                      <w:rFonts w:hint="default" w:ascii="Times New Roman" w:hAnsi="Times New Roman" w:cs="Times New Roman"/>
                      <w:color w:val="auto"/>
                    </w:rPr>
                    <w:t xml:space="preserve"> cm/s；或参照GB18598执行</w:t>
                  </w:r>
                </w:p>
              </w:tc>
            </w:tr>
            <w:tr w14:paraId="29AF1AA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9" w:type="pct"/>
                  <w:tcBorders>
                    <w:tl2br w:val="nil"/>
                    <w:tr2bl w:val="nil"/>
                  </w:tcBorders>
                  <w:noWrap w:val="0"/>
                  <w:vAlign w:val="center"/>
                </w:tcPr>
                <w:p w14:paraId="09A83F9F">
                  <w:pPr>
                    <w:pStyle w:val="44"/>
                    <w:bidi w:val="0"/>
                    <w:rPr>
                      <w:rFonts w:hint="default" w:ascii="Times New Roman" w:hAnsi="Times New Roman" w:cs="Times New Roman"/>
                      <w:color w:val="auto"/>
                    </w:rPr>
                  </w:pPr>
                  <w:r>
                    <w:rPr>
                      <w:rFonts w:hint="default" w:ascii="Times New Roman" w:hAnsi="Times New Roman" w:cs="Times New Roman"/>
                      <w:color w:val="auto"/>
                    </w:rPr>
                    <w:t>一般防渗区</w:t>
                  </w:r>
                </w:p>
              </w:tc>
              <w:tc>
                <w:tcPr>
                  <w:tcW w:w="1556" w:type="pct"/>
                  <w:tcBorders>
                    <w:tl2br w:val="nil"/>
                    <w:tr2bl w:val="nil"/>
                  </w:tcBorders>
                  <w:noWrap w:val="0"/>
                  <w:vAlign w:val="center"/>
                </w:tcPr>
                <w:p w14:paraId="78E58790">
                  <w:pPr>
                    <w:pStyle w:val="44"/>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生产车间</w:t>
                  </w:r>
                </w:p>
              </w:tc>
              <w:tc>
                <w:tcPr>
                  <w:tcW w:w="2604" w:type="pct"/>
                  <w:tcBorders>
                    <w:tl2br w:val="nil"/>
                    <w:tr2bl w:val="nil"/>
                  </w:tcBorders>
                  <w:noWrap w:val="0"/>
                  <w:vAlign w:val="center"/>
                </w:tcPr>
                <w:p w14:paraId="164AE822">
                  <w:pPr>
                    <w:pStyle w:val="44"/>
                    <w:bidi w:val="0"/>
                    <w:rPr>
                      <w:rFonts w:hint="default" w:ascii="Times New Roman" w:hAnsi="Times New Roman" w:cs="Times New Roman"/>
                      <w:color w:val="auto"/>
                      <w:lang w:val="en-US" w:eastAsia="zh-CN"/>
                    </w:rPr>
                  </w:pPr>
                  <w:r>
                    <w:rPr>
                      <w:rFonts w:hint="default" w:ascii="Times New Roman" w:hAnsi="Times New Roman" w:cs="Times New Roman"/>
                      <w:color w:val="auto"/>
                    </w:rPr>
                    <w:t>等效黏土防渗层Mb≥1.5m</w:t>
                  </w:r>
                  <w:r>
                    <w:rPr>
                      <w:rFonts w:hint="default" w:ascii="Times New Roman" w:hAnsi="Times New Roman" w:cs="Times New Roman"/>
                      <w:color w:val="auto"/>
                      <w:lang w:eastAsia="zh-CN"/>
                    </w:rPr>
                    <w:t>，</w:t>
                  </w:r>
                  <w:r>
                    <w:rPr>
                      <w:rFonts w:hint="default" w:ascii="Times New Roman" w:hAnsi="Times New Roman" w:cs="Times New Roman"/>
                      <w:color w:val="auto"/>
                    </w:rPr>
                    <w:t>K≤1×10-7cm/s；或参照GB16889执行</w:t>
                  </w:r>
                </w:p>
              </w:tc>
            </w:tr>
            <w:tr w14:paraId="1EF6A37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9" w:type="pct"/>
                  <w:tcBorders>
                    <w:tl2br w:val="nil"/>
                    <w:tr2bl w:val="nil"/>
                  </w:tcBorders>
                  <w:noWrap w:val="0"/>
                  <w:vAlign w:val="center"/>
                </w:tcPr>
                <w:p w14:paraId="13190244">
                  <w:pPr>
                    <w:pStyle w:val="44"/>
                    <w:bidi w:val="0"/>
                    <w:rPr>
                      <w:rFonts w:hint="default" w:ascii="Times New Roman" w:hAnsi="Times New Roman" w:cs="Times New Roman"/>
                      <w:color w:val="auto"/>
                    </w:rPr>
                  </w:pPr>
                  <w:r>
                    <w:rPr>
                      <w:rFonts w:hint="default" w:ascii="Times New Roman" w:hAnsi="Times New Roman" w:cs="Times New Roman"/>
                      <w:color w:val="auto"/>
                    </w:rPr>
                    <w:t>简单防渗区</w:t>
                  </w:r>
                </w:p>
              </w:tc>
              <w:tc>
                <w:tcPr>
                  <w:tcW w:w="1556" w:type="pct"/>
                  <w:tcBorders>
                    <w:tl2br w:val="nil"/>
                    <w:tr2bl w:val="nil"/>
                  </w:tcBorders>
                  <w:noWrap w:val="0"/>
                  <w:vAlign w:val="center"/>
                </w:tcPr>
                <w:p w14:paraId="168CD82F">
                  <w:pPr>
                    <w:pStyle w:val="44"/>
                    <w:bidi w:val="0"/>
                    <w:rPr>
                      <w:rFonts w:hint="default" w:ascii="Times New Roman" w:hAnsi="Times New Roman" w:cs="Times New Roman"/>
                      <w:color w:val="auto"/>
                    </w:rPr>
                  </w:pPr>
                  <w:r>
                    <w:rPr>
                      <w:rFonts w:hint="default" w:ascii="Times New Roman" w:hAnsi="Times New Roman" w:cs="Times New Roman"/>
                      <w:color w:val="auto"/>
                    </w:rPr>
                    <w:t>一般和重点防渗区以外的区域</w:t>
                  </w:r>
                </w:p>
              </w:tc>
              <w:tc>
                <w:tcPr>
                  <w:tcW w:w="2604" w:type="pct"/>
                  <w:tcBorders>
                    <w:tl2br w:val="nil"/>
                    <w:tr2bl w:val="nil"/>
                  </w:tcBorders>
                  <w:noWrap w:val="0"/>
                  <w:vAlign w:val="center"/>
                </w:tcPr>
                <w:p w14:paraId="658D0A1C">
                  <w:pPr>
                    <w:pStyle w:val="44"/>
                    <w:bidi w:val="0"/>
                    <w:rPr>
                      <w:rFonts w:hint="default" w:ascii="Times New Roman" w:hAnsi="Times New Roman" w:cs="Times New Roman"/>
                      <w:color w:val="auto"/>
                    </w:rPr>
                  </w:pPr>
                  <w:r>
                    <w:rPr>
                      <w:rFonts w:hint="default" w:ascii="Times New Roman" w:hAnsi="Times New Roman" w:cs="Times New Roman"/>
                      <w:color w:val="auto"/>
                      <w:lang w:val="en-US" w:eastAsia="zh-CN"/>
                    </w:rPr>
                    <w:t>一般地面硬化</w:t>
                  </w:r>
                </w:p>
              </w:tc>
            </w:tr>
          </w:tbl>
          <w:p w14:paraId="52C8BFF2">
            <w:pPr>
              <w:bidi w:val="0"/>
              <w:ind w:firstLine="480" w:firstLineChars="200"/>
              <w:rPr>
                <w:rFonts w:hint="default" w:ascii="Times New Roman" w:hAnsi="Times New Roman" w:cs="Times New Roman"/>
                <w:color w:val="auto"/>
              </w:rPr>
            </w:pPr>
            <w:r>
              <w:rPr>
                <w:rFonts w:hint="default" w:ascii="Times New Roman" w:hAnsi="Times New Roman" w:cs="Times New Roman"/>
                <w:color w:val="auto"/>
                <w:lang w:val="en-US" w:eastAsia="zh-CN"/>
              </w:rPr>
              <w:t>项目</w:t>
            </w:r>
            <w:r>
              <w:rPr>
                <w:rFonts w:hint="default" w:ascii="Times New Roman" w:hAnsi="Times New Roman" w:cs="Times New Roman"/>
                <w:color w:val="auto"/>
              </w:rPr>
              <w:t>按照不同分区要求采取不同等级的防渗措施，并确保其可靠性和有效性。项目区域内地面全部混凝土硬化，通过采取地面防渗和严格的生产组织管理，项目建设不会对所在区域地下水和土壤产生影响。</w:t>
            </w:r>
          </w:p>
          <w:p w14:paraId="3497CAF5">
            <w:pPr>
              <w:pStyle w:val="5"/>
              <w:numPr>
                <w:ilvl w:val="0"/>
                <w:numId w:val="0"/>
              </w:numPr>
              <w:bidi w:val="0"/>
              <w:ind w:leftChars="200"/>
              <w:rPr>
                <w:rFonts w:hint="default" w:ascii="Times New Roman" w:hAnsi="Times New Roman" w:cs="Times New Roman"/>
                <w:color w:val="auto"/>
              </w:rPr>
            </w:pPr>
            <w:r>
              <w:rPr>
                <w:rFonts w:hint="default" w:ascii="Times New Roman" w:hAnsi="Times New Roman" w:cs="Times New Roman"/>
                <w:color w:val="auto"/>
              </w:rPr>
              <w:t>六、生态</w:t>
            </w:r>
          </w:p>
          <w:p w14:paraId="3B986EAD">
            <w:pPr>
              <w:ind w:firstLine="480" w:firstLineChars="200"/>
              <w:rPr>
                <w:rFonts w:hint="default" w:ascii="Times New Roman" w:hAnsi="Times New Roman" w:cs="Times New Roman"/>
                <w:color w:val="auto"/>
                <w:kern w:val="0"/>
                <w:szCs w:val="24"/>
              </w:rPr>
            </w:pPr>
            <w:r>
              <w:rPr>
                <w:rFonts w:hint="default" w:ascii="Times New Roman" w:hAnsi="Times New Roman" w:eastAsia="宋体" w:cs="Times New Roman"/>
                <w:b w:val="0"/>
                <w:bCs w:val="0"/>
                <w:color w:val="auto"/>
                <w:lang w:val="en-US" w:eastAsia="zh-CN"/>
              </w:rPr>
              <w:t>本项目</w:t>
            </w:r>
            <w:r>
              <w:rPr>
                <w:rFonts w:hint="default" w:ascii="Times New Roman" w:hAnsi="Times New Roman" w:cs="Times New Roman"/>
                <w:bCs/>
                <w:color w:val="auto"/>
                <w:spacing w:val="-10"/>
                <w:sz w:val="24"/>
                <w:szCs w:val="24"/>
                <w:lang w:eastAsia="zh-CN"/>
              </w:rPr>
              <w:t>所在地为建设用地</w:t>
            </w:r>
            <w:r>
              <w:rPr>
                <w:rFonts w:hint="default" w:ascii="Times New Roman" w:hAnsi="Times New Roman" w:eastAsia="宋体" w:cs="Times New Roman"/>
                <w:b w:val="0"/>
                <w:bCs w:val="0"/>
                <w:color w:val="auto"/>
                <w:lang w:val="en-US" w:eastAsia="zh-CN"/>
              </w:rPr>
              <w:t>，占地范围内不含生态环境保护目标，废气采用合理的处理措施，能够达标排放，厂区内种植灌木、花草，减少裸露地面，能隔声、吸尘、吸收有害气体。能起到降低扬尘、净化空气、改善环境的作用。因此，本项目对周围生态环境影响较小</w:t>
            </w:r>
            <w:r>
              <w:rPr>
                <w:rFonts w:hint="default" w:ascii="Times New Roman" w:hAnsi="Times New Roman" w:cs="Times New Roman"/>
                <w:color w:val="auto"/>
                <w:kern w:val="0"/>
                <w:szCs w:val="24"/>
              </w:rPr>
              <w:t>。</w:t>
            </w:r>
          </w:p>
          <w:p w14:paraId="3255DA48">
            <w:pPr>
              <w:rPr>
                <w:rFonts w:hint="default" w:ascii="Times New Roman" w:hAnsi="Times New Roman" w:cs="Times New Roman"/>
                <w:b/>
                <w:bCs/>
                <w:color w:val="auto"/>
                <w:szCs w:val="24"/>
              </w:rPr>
            </w:pPr>
            <w:r>
              <w:rPr>
                <w:rFonts w:hint="default" w:ascii="Times New Roman" w:hAnsi="Times New Roman" w:cs="Times New Roman"/>
                <w:color w:val="auto"/>
                <w:szCs w:val="24"/>
              </w:rPr>
              <w:t xml:space="preserve">    </w:t>
            </w:r>
            <w:r>
              <w:rPr>
                <w:rStyle w:val="43"/>
                <w:rFonts w:hint="default" w:ascii="Times New Roman" w:hAnsi="Times New Roman" w:cs="Times New Roman"/>
                <w:color w:val="auto"/>
              </w:rPr>
              <w:t>七、环境风险分析</w:t>
            </w:r>
          </w:p>
          <w:p w14:paraId="357E47D9">
            <w:pPr>
              <w:snapToGrid w:val="0"/>
              <w:ind w:firstLine="480" w:firstLineChars="200"/>
              <w:rPr>
                <w:rFonts w:hint="default" w:ascii="Times New Roman" w:hAnsi="Times New Roman" w:cs="Times New Roman"/>
                <w:color w:val="auto"/>
                <w:szCs w:val="24"/>
              </w:rPr>
            </w:pPr>
            <w:r>
              <w:rPr>
                <w:rFonts w:hint="default" w:ascii="Times New Roman" w:hAnsi="Times New Roman" w:cs="Times New Roman"/>
                <w:color w:val="auto"/>
                <w:szCs w:val="24"/>
              </w:rPr>
              <w:t>环境风险评价的目的是分析和预测建设项目存在的潜在危险、有害因素，建设项目建设和运行期间可能发生的突发性事件或事故（一般不包括人为破坏及自然灾害），引起有毒有害和易燃易爆等物质泄漏，所造成的人身安全与环境影响和损害程度，提出合理可行的防范、应急与减缓措施，以使建设项目事故率、损失和环境影响达到可接受水平。本次评价遵照环境保护部环发[2012]77号文《关于进一步加强环境影响评价管理防范环境风险的通知》精神，以《建设项目环境风险评价技术导则》（HJ 169-2018）为指导，通过对建设项目进行风险识别和源项分析，提出切实可行的风险防范措施。</w:t>
            </w:r>
          </w:p>
          <w:p w14:paraId="7B7B54C3">
            <w:pPr>
              <w:pStyle w:val="5"/>
              <w:numPr>
                <w:ilvl w:val="0"/>
                <w:numId w:val="0"/>
              </w:numPr>
              <w:bidi w:val="0"/>
              <w:ind w:leftChars="200"/>
              <w:rPr>
                <w:rFonts w:hint="default" w:ascii="Times New Roman" w:hAnsi="Times New Roman" w:cs="Times New Roman"/>
                <w:color w:val="auto"/>
              </w:rPr>
            </w:pPr>
            <w:r>
              <w:rPr>
                <w:rFonts w:hint="default" w:ascii="Times New Roman" w:hAnsi="Times New Roman" w:cs="Times New Roman"/>
                <w:color w:val="auto"/>
              </w:rPr>
              <w:t>1、评价依据</w:t>
            </w:r>
          </w:p>
          <w:p w14:paraId="097B34CB">
            <w:pPr>
              <w:pStyle w:val="5"/>
              <w:numPr>
                <w:ilvl w:val="0"/>
                <w:numId w:val="0"/>
              </w:numPr>
              <w:bidi w:val="0"/>
              <w:ind w:leftChars="200"/>
              <w:rPr>
                <w:rFonts w:hint="default" w:ascii="Times New Roman" w:hAnsi="Times New Roman" w:cs="Times New Roman"/>
                <w:color w:val="auto"/>
              </w:rPr>
            </w:pPr>
            <w:r>
              <w:rPr>
                <w:rFonts w:hint="default" w:ascii="Times New Roman" w:hAnsi="Times New Roman" w:cs="Times New Roman"/>
                <w:color w:val="auto"/>
              </w:rPr>
              <w:t>（1）风险调查</w:t>
            </w:r>
          </w:p>
          <w:p w14:paraId="13DC6BC2">
            <w:pPr>
              <w:pStyle w:val="114"/>
              <w:snapToGrid w:val="0"/>
              <w:ind w:firstLine="480" w:firstLineChars="200"/>
              <w:jc w:val="both"/>
              <w:rPr>
                <w:rFonts w:hint="default" w:ascii="Times New Roman" w:hAnsi="Times New Roman" w:cs="Times New Roman"/>
                <w:b w:val="0"/>
                <w:snapToGrid w:val="0"/>
                <w:color w:val="auto"/>
                <w:kern w:val="0"/>
                <w:szCs w:val="24"/>
              </w:rPr>
            </w:pPr>
            <w:r>
              <w:rPr>
                <w:rFonts w:hint="default" w:ascii="Times New Roman" w:hAnsi="Times New Roman" w:cs="Times New Roman"/>
                <w:b w:val="0"/>
                <w:snapToGrid w:val="0"/>
                <w:color w:val="auto"/>
                <w:kern w:val="0"/>
                <w:szCs w:val="24"/>
              </w:rPr>
              <w:t>风险调查包括建设项目危险物质数量和分布情况、生产工艺特点。</w:t>
            </w:r>
          </w:p>
          <w:p w14:paraId="524166CD">
            <w:pPr>
              <w:bidi w:val="0"/>
              <w:ind w:firstLine="480" w:firstLineChars="200"/>
              <w:rPr>
                <w:rFonts w:hint="default" w:ascii="Times New Roman" w:hAnsi="Times New Roman" w:eastAsia="宋体" w:cs="Times New Roman"/>
                <w:color w:val="auto"/>
              </w:rPr>
            </w:pPr>
            <w:r>
              <w:rPr>
                <w:rFonts w:hint="default" w:ascii="Times New Roman" w:hAnsi="Times New Roman" w:cs="Times New Roman"/>
                <w:color w:val="auto"/>
              </w:rPr>
              <w:t>①物质危险性识别</w:t>
            </w:r>
            <w:r>
              <w:rPr>
                <w:rFonts w:hint="eastAsia" w:cs="Times New Roman"/>
                <w:color w:val="auto"/>
                <w:lang w:eastAsia="zh-CN"/>
              </w:rPr>
              <w:t>：</w:t>
            </w:r>
            <w:r>
              <w:rPr>
                <w:rFonts w:hint="default" w:ascii="Times New Roman" w:hAnsi="Times New Roman" w:cs="Times New Roman"/>
                <w:color w:val="auto"/>
              </w:rPr>
              <w:t>根据《建设项目环境风险评价技术导则》（HJ169-2018）附录B中B.1突发环境事件风险物质，对照表</w:t>
            </w:r>
            <w:r>
              <w:rPr>
                <w:rFonts w:hint="default" w:ascii="Times New Roman" w:hAnsi="Times New Roman" w:cs="Times New Roman"/>
                <w:color w:val="auto"/>
              </w:rPr>
              <w:t>B.</w:t>
            </w:r>
            <w:r>
              <w:rPr>
                <w:rFonts w:hint="eastAsia" w:cs="Times New Roman"/>
                <w:color w:val="auto"/>
                <w:lang w:val="en-US" w:eastAsia="zh-CN"/>
              </w:rPr>
              <w:t>1突发环境事件风险物质及临界量</w:t>
            </w:r>
            <w:r>
              <w:rPr>
                <w:rFonts w:hint="default" w:ascii="Times New Roman" w:hAnsi="Times New Roman" w:cs="Times New Roman"/>
                <w:color w:val="auto"/>
              </w:rPr>
              <w:t>，</w:t>
            </w:r>
            <w:r>
              <w:rPr>
                <w:rFonts w:hint="default" w:ascii="Times New Roman" w:hAnsi="Times New Roman" w:cs="Times New Roman"/>
                <w:color w:val="auto"/>
                <w:lang w:val="en-US" w:eastAsia="zh-CN"/>
              </w:rPr>
              <w:t>为废机油</w:t>
            </w:r>
            <w:r>
              <w:rPr>
                <w:rFonts w:hint="default" w:ascii="Times New Roman" w:hAnsi="Times New Roman" w:eastAsia="宋体" w:cs="Times New Roman"/>
                <w:color w:val="auto"/>
                <w:spacing w:val="-4"/>
                <w:szCs w:val="24"/>
              </w:rPr>
              <w:t>。</w:t>
            </w:r>
          </w:p>
          <w:p w14:paraId="0BC31A20">
            <w:pPr>
              <w:pStyle w:val="45"/>
              <w:bidi w:val="0"/>
              <w:rPr>
                <w:rFonts w:hint="default" w:ascii="Times New Roman" w:hAnsi="Times New Roman" w:cs="Times New Roman"/>
                <w:color w:val="auto"/>
              </w:rPr>
            </w:pPr>
            <w:r>
              <w:rPr>
                <w:rFonts w:hint="default" w:ascii="Times New Roman" w:hAnsi="Times New Roman" w:cs="Times New Roman"/>
                <w:color w:val="auto"/>
              </w:rPr>
              <w:t>表4-</w:t>
            </w:r>
            <w:r>
              <w:rPr>
                <w:rFonts w:hint="default" w:ascii="Times New Roman" w:hAnsi="Times New Roman" w:cs="Times New Roman"/>
                <w:color w:val="auto"/>
                <w:lang w:val="en-US" w:eastAsia="zh-CN"/>
              </w:rPr>
              <w:t>1</w:t>
            </w:r>
            <w:r>
              <w:rPr>
                <w:rFonts w:hint="eastAsia" w:ascii="Times New Roman" w:hAnsi="Times New Roman" w:cs="Times New Roman"/>
                <w:color w:val="auto"/>
                <w:lang w:val="en-US" w:eastAsia="zh-CN"/>
              </w:rPr>
              <w:t>8</w:t>
            </w:r>
            <w:r>
              <w:rPr>
                <w:rFonts w:hint="default" w:ascii="Times New Roman" w:hAnsi="Times New Roman" w:cs="Times New Roman"/>
                <w:color w:val="auto"/>
                <w:lang w:val="en-US" w:eastAsia="zh-CN"/>
              </w:rPr>
              <w:t xml:space="preserve"> 本项目Q值计算确定表</w:t>
            </w:r>
          </w:p>
          <w:tbl>
            <w:tblPr>
              <w:tblStyle w:val="33"/>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47"/>
              <w:gridCol w:w="911"/>
              <w:gridCol w:w="1801"/>
              <w:gridCol w:w="1790"/>
              <w:gridCol w:w="1521"/>
              <w:gridCol w:w="1347"/>
            </w:tblGrid>
            <w:tr w14:paraId="6FA173D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3" w:type="pct"/>
                  <w:tcBorders>
                    <w:tl2br w:val="nil"/>
                    <w:tr2bl w:val="nil"/>
                  </w:tcBorders>
                  <w:noWrap w:val="0"/>
                  <w:vAlign w:val="center"/>
                </w:tcPr>
                <w:p w14:paraId="3655D592">
                  <w:pPr>
                    <w:pStyle w:val="44"/>
                    <w:bidi w:val="0"/>
                    <w:rPr>
                      <w:rFonts w:hint="default" w:ascii="Times New Roman" w:hAnsi="Times New Roman" w:cs="Times New Roman"/>
                      <w:b/>
                      <w:bCs/>
                      <w:color w:val="auto"/>
                    </w:rPr>
                  </w:pPr>
                  <w:r>
                    <w:rPr>
                      <w:rFonts w:hint="default" w:ascii="Times New Roman" w:hAnsi="Times New Roman" w:cs="Times New Roman"/>
                      <w:b/>
                      <w:bCs/>
                      <w:color w:val="auto"/>
                    </w:rPr>
                    <w:t>序号</w:t>
                  </w:r>
                </w:p>
              </w:tc>
              <w:tc>
                <w:tcPr>
                  <w:tcW w:w="568" w:type="pct"/>
                  <w:tcBorders>
                    <w:tl2br w:val="nil"/>
                    <w:tr2bl w:val="nil"/>
                  </w:tcBorders>
                  <w:noWrap w:val="0"/>
                  <w:vAlign w:val="center"/>
                </w:tcPr>
                <w:p w14:paraId="01441178">
                  <w:pPr>
                    <w:pStyle w:val="44"/>
                    <w:bidi w:val="0"/>
                    <w:rPr>
                      <w:rFonts w:hint="default" w:ascii="Times New Roman" w:hAnsi="Times New Roman" w:cs="Times New Roman"/>
                      <w:b/>
                      <w:bCs/>
                      <w:color w:val="auto"/>
                    </w:rPr>
                  </w:pPr>
                  <w:r>
                    <w:rPr>
                      <w:rFonts w:hint="default" w:ascii="Times New Roman" w:hAnsi="Times New Roman" w:cs="Times New Roman"/>
                      <w:b/>
                      <w:bCs/>
                      <w:color w:val="auto"/>
                    </w:rPr>
                    <w:t>名称</w:t>
                  </w:r>
                </w:p>
              </w:tc>
              <w:tc>
                <w:tcPr>
                  <w:tcW w:w="1123" w:type="pct"/>
                  <w:tcBorders>
                    <w:tl2br w:val="nil"/>
                    <w:tr2bl w:val="nil"/>
                  </w:tcBorders>
                  <w:noWrap w:val="0"/>
                  <w:vAlign w:val="center"/>
                </w:tcPr>
                <w:p w14:paraId="6365DCD1">
                  <w:pPr>
                    <w:pStyle w:val="44"/>
                    <w:bidi w:val="0"/>
                    <w:rPr>
                      <w:rFonts w:hint="default" w:ascii="Times New Roman" w:hAnsi="Times New Roman" w:cs="Times New Roman"/>
                      <w:b/>
                      <w:bCs/>
                      <w:color w:val="auto"/>
                    </w:rPr>
                  </w:pPr>
                  <w:r>
                    <w:rPr>
                      <w:rFonts w:hint="default" w:ascii="Times New Roman" w:hAnsi="Times New Roman" w:cs="Times New Roman"/>
                      <w:b/>
                      <w:bCs/>
                      <w:color w:val="auto"/>
                    </w:rPr>
                    <w:t>临界量参考物质</w:t>
                  </w:r>
                </w:p>
              </w:tc>
              <w:tc>
                <w:tcPr>
                  <w:tcW w:w="1116" w:type="pct"/>
                  <w:tcBorders>
                    <w:tl2br w:val="nil"/>
                    <w:tr2bl w:val="nil"/>
                  </w:tcBorders>
                  <w:noWrap w:val="0"/>
                  <w:vAlign w:val="center"/>
                </w:tcPr>
                <w:p w14:paraId="0E45672C">
                  <w:pPr>
                    <w:pStyle w:val="44"/>
                    <w:bidi w:val="0"/>
                    <w:rPr>
                      <w:rFonts w:hint="default" w:ascii="Times New Roman" w:hAnsi="Times New Roman" w:cs="Times New Roman"/>
                      <w:b/>
                      <w:bCs/>
                      <w:color w:val="auto"/>
                    </w:rPr>
                  </w:pPr>
                  <w:r>
                    <w:rPr>
                      <w:rFonts w:hint="default" w:ascii="Times New Roman" w:hAnsi="Times New Roman" w:cs="Times New Roman"/>
                      <w:b/>
                      <w:bCs/>
                      <w:color w:val="auto"/>
                    </w:rPr>
                    <w:t>qi最大储存量(t)</w:t>
                  </w:r>
                </w:p>
              </w:tc>
              <w:tc>
                <w:tcPr>
                  <w:tcW w:w="948" w:type="pct"/>
                  <w:tcBorders>
                    <w:tl2br w:val="nil"/>
                    <w:tr2bl w:val="nil"/>
                  </w:tcBorders>
                  <w:noWrap w:val="0"/>
                  <w:vAlign w:val="center"/>
                </w:tcPr>
                <w:p w14:paraId="1E6F6097">
                  <w:pPr>
                    <w:pStyle w:val="44"/>
                    <w:bidi w:val="0"/>
                    <w:rPr>
                      <w:rFonts w:hint="default" w:ascii="Times New Roman" w:hAnsi="Times New Roman" w:cs="Times New Roman"/>
                      <w:b/>
                      <w:bCs/>
                      <w:color w:val="auto"/>
                    </w:rPr>
                  </w:pPr>
                  <w:r>
                    <w:rPr>
                      <w:rFonts w:hint="default" w:ascii="Times New Roman" w:hAnsi="Times New Roman" w:cs="Times New Roman"/>
                      <w:b/>
                      <w:bCs/>
                      <w:color w:val="auto"/>
                    </w:rPr>
                    <w:t>Qi临界量(t)</w:t>
                  </w:r>
                </w:p>
              </w:tc>
              <w:tc>
                <w:tcPr>
                  <w:tcW w:w="840" w:type="pct"/>
                  <w:tcBorders>
                    <w:tl2br w:val="nil"/>
                    <w:tr2bl w:val="nil"/>
                  </w:tcBorders>
                  <w:noWrap w:val="0"/>
                  <w:vAlign w:val="center"/>
                </w:tcPr>
                <w:p w14:paraId="5DA2E8F2">
                  <w:pPr>
                    <w:pStyle w:val="44"/>
                    <w:bidi w:val="0"/>
                    <w:rPr>
                      <w:rFonts w:hint="default" w:ascii="Times New Roman" w:hAnsi="Times New Roman" w:cs="Times New Roman"/>
                      <w:b/>
                      <w:bCs/>
                      <w:color w:val="auto"/>
                    </w:rPr>
                  </w:pPr>
                  <w:r>
                    <w:rPr>
                      <w:rFonts w:hint="default" w:ascii="Times New Roman" w:hAnsi="Times New Roman" w:cs="Times New Roman"/>
                      <w:b/>
                      <w:bCs/>
                      <w:color w:val="auto"/>
                    </w:rPr>
                    <w:t>qi/Qi</w:t>
                  </w:r>
                </w:p>
              </w:tc>
            </w:tr>
            <w:tr w14:paraId="2B274DC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5" w:hRule="exact"/>
                <w:jc w:val="center"/>
              </w:trPr>
              <w:tc>
                <w:tcPr>
                  <w:tcW w:w="403" w:type="pct"/>
                  <w:tcBorders>
                    <w:tl2br w:val="nil"/>
                    <w:tr2bl w:val="nil"/>
                  </w:tcBorders>
                  <w:noWrap w:val="0"/>
                  <w:vAlign w:val="center"/>
                </w:tcPr>
                <w:p w14:paraId="6559A7AE">
                  <w:pPr>
                    <w:pStyle w:val="44"/>
                    <w:bidi w:val="0"/>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1</w:t>
                  </w:r>
                </w:p>
              </w:tc>
              <w:tc>
                <w:tcPr>
                  <w:tcW w:w="568" w:type="pct"/>
                  <w:tcBorders>
                    <w:tl2br w:val="nil"/>
                    <w:tr2bl w:val="nil"/>
                  </w:tcBorders>
                  <w:noWrap w:val="0"/>
                  <w:vAlign w:val="center"/>
                </w:tcPr>
                <w:p w14:paraId="3BC1E400">
                  <w:pPr>
                    <w:pStyle w:val="44"/>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废机油</w:t>
                  </w:r>
                </w:p>
              </w:tc>
              <w:tc>
                <w:tcPr>
                  <w:tcW w:w="1123" w:type="pct"/>
                  <w:tcBorders>
                    <w:tl2br w:val="nil"/>
                    <w:tr2bl w:val="nil"/>
                  </w:tcBorders>
                  <w:noWrap w:val="0"/>
                  <w:vAlign w:val="center"/>
                </w:tcPr>
                <w:p w14:paraId="230694E7">
                  <w:pPr>
                    <w:pStyle w:val="44"/>
                    <w:bidi w:val="0"/>
                    <w:rPr>
                      <w:rFonts w:hint="default" w:ascii="Times New Roman" w:hAnsi="Times New Roman" w:cs="Times New Roman"/>
                      <w:color w:val="auto"/>
                      <w:lang w:val="en-US" w:eastAsia="zh-CN"/>
                    </w:rPr>
                  </w:pPr>
                  <w:r>
                    <w:rPr>
                      <w:rFonts w:hint="default" w:ascii="Times New Roman" w:hAnsi="Times New Roman" w:cs="Times New Roman"/>
                      <w:color w:val="auto"/>
                    </w:rPr>
                    <w:t>油类物质</w:t>
                  </w:r>
                </w:p>
              </w:tc>
              <w:tc>
                <w:tcPr>
                  <w:tcW w:w="1116" w:type="pct"/>
                  <w:tcBorders>
                    <w:tl2br w:val="nil"/>
                    <w:tr2bl w:val="nil"/>
                  </w:tcBorders>
                  <w:noWrap w:val="0"/>
                  <w:vAlign w:val="center"/>
                </w:tcPr>
                <w:p w14:paraId="62969FDE">
                  <w:pPr>
                    <w:pStyle w:val="44"/>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0.</w:t>
                  </w:r>
                  <w:r>
                    <w:rPr>
                      <w:rFonts w:hint="eastAsia" w:cs="Times New Roman"/>
                      <w:color w:val="auto"/>
                      <w:lang w:val="en-US" w:eastAsia="zh-CN"/>
                    </w:rPr>
                    <w:t>1</w:t>
                  </w:r>
                </w:p>
              </w:tc>
              <w:tc>
                <w:tcPr>
                  <w:tcW w:w="948" w:type="pct"/>
                  <w:tcBorders>
                    <w:tl2br w:val="nil"/>
                    <w:tr2bl w:val="nil"/>
                  </w:tcBorders>
                  <w:noWrap w:val="0"/>
                  <w:vAlign w:val="center"/>
                </w:tcPr>
                <w:p w14:paraId="3AA43DA8">
                  <w:pPr>
                    <w:pStyle w:val="44"/>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2500</w:t>
                  </w:r>
                </w:p>
              </w:tc>
              <w:tc>
                <w:tcPr>
                  <w:tcW w:w="840" w:type="pct"/>
                  <w:tcBorders>
                    <w:tl2br w:val="nil"/>
                    <w:tr2bl w:val="nil"/>
                  </w:tcBorders>
                  <w:noWrap w:val="0"/>
                  <w:vAlign w:val="center"/>
                </w:tcPr>
                <w:p w14:paraId="5C73FE7D">
                  <w:pPr>
                    <w:pStyle w:val="44"/>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0.000</w:t>
                  </w:r>
                  <w:r>
                    <w:rPr>
                      <w:rFonts w:hint="eastAsia" w:cs="Times New Roman"/>
                      <w:color w:val="auto"/>
                      <w:lang w:val="en-US" w:eastAsia="zh-CN"/>
                    </w:rPr>
                    <w:t>04</w:t>
                  </w:r>
                </w:p>
              </w:tc>
            </w:tr>
            <w:tr w14:paraId="4806CE4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159" w:type="pct"/>
                  <w:gridSpan w:val="5"/>
                  <w:tcBorders>
                    <w:tl2br w:val="nil"/>
                    <w:tr2bl w:val="nil"/>
                  </w:tcBorders>
                  <w:noWrap w:val="0"/>
                  <w:vAlign w:val="center"/>
                </w:tcPr>
                <w:p w14:paraId="72C427B2">
                  <w:pPr>
                    <w:pStyle w:val="44"/>
                    <w:bidi w:val="0"/>
                    <w:rPr>
                      <w:rFonts w:hint="default" w:ascii="Times New Roman" w:hAnsi="Times New Roman" w:cs="Times New Roman"/>
                      <w:color w:val="auto"/>
                    </w:rPr>
                  </w:pPr>
                  <w:r>
                    <w:rPr>
                      <w:rFonts w:hint="default" w:ascii="Times New Roman" w:hAnsi="Times New Roman" w:cs="Times New Roman"/>
                      <w:color w:val="auto"/>
                    </w:rPr>
                    <w:t>Q值∑</w:t>
                  </w:r>
                </w:p>
              </w:tc>
              <w:tc>
                <w:tcPr>
                  <w:tcW w:w="840" w:type="pct"/>
                  <w:tcBorders>
                    <w:tl2br w:val="nil"/>
                    <w:tr2bl w:val="nil"/>
                  </w:tcBorders>
                  <w:noWrap w:val="0"/>
                  <w:vAlign w:val="center"/>
                </w:tcPr>
                <w:p w14:paraId="0B13C290">
                  <w:pPr>
                    <w:pStyle w:val="44"/>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0.000</w:t>
                  </w:r>
                  <w:r>
                    <w:rPr>
                      <w:rFonts w:hint="eastAsia" w:cs="Times New Roman"/>
                      <w:color w:val="auto"/>
                      <w:lang w:val="en-US" w:eastAsia="zh-CN"/>
                    </w:rPr>
                    <w:t>04</w:t>
                  </w:r>
                  <w:r>
                    <w:rPr>
                      <w:rFonts w:hint="default" w:ascii="Times New Roman" w:hAnsi="Times New Roman" w:cs="Times New Roman"/>
                      <w:color w:val="auto"/>
                      <w:lang w:val="en-US" w:eastAsia="zh-CN"/>
                    </w:rPr>
                    <w:t>＜1</w:t>
                  </w:r>
                </w:p>
              </w:tc>
            </w:tr>
          </w:tbl>
          <w:p w14:paraId="3A14491D">
            <w:pPr>
              <w:bidi w:val="0"/>
              <w:ind w:firstLine="480" w:firstLineChars="200"/>
              <w:rPr>
                <w:rFonts w:hint="eastAsia" w:ascii="Times New Roman" w:hAnsi="Times New Roman" w:eastAsia="宋体" w:cs="Times New Roman"/>
                <w:color w:val="auto"/>
                <w:lang w:val="en-US" w:eastAsia="zh-CN"/>
              </w:rPr>
            </w:pPr>
            <w:r>
              <w:rPr>
                <w:rFonts w:hint="default" w:ascii="Times New Roman" w:hAnsi="Times New Roman" w:cs="Times New Roman"/>
                <w:color w:val="auto"/>
              </w:rPr>
              <w:t>②</w:t>
            </w:r>
            <w:r>
              <w:rPr>
                <w:color w:val="auto"/>
                <w:kern w:val="18"/>
                <w:szCs w:val="24"/>
              </w:rPr>
              <w:t>生产系统危险性识别</w:t>
            </w:r>
            <w:r>
              <w:rPr>
                <w:rFonts w:hint="default" w:ascii="Times New Roman" w:hAnsi="Times New Roman" w:cs="Times New Roman"/>
                <w:color w:val="auto"/>
                <w:lang w:eastAsia="zh-CN"/>
              </w:rPr>
              <w:t>：</w:t>
            </w:r>
            <w:r>
              <w:rPr>
                <w:rFonts w:hint="default" w:ascii="Times New Roman" w:hAnsi="Times New Roman" w:cs="Times New Roman"/>
                <w:color w:val="auto"/>
              </w:rPr>
              <w:t>本项目不涉及危险工艺。</w:t>
            </w:r>
          </w:p>
          <w:p w14:paraId="0EF78FDF">
            <w:pPr>
              <w:pStyle w:val="5"/>
              <w:numPr>
                <w:ilvl w:val="0"/>
                <w:numId w:val="0"/>
              </w:numPr>
              <w:bidi w:val="0"/>
              <w:ind w:leftChars="20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（2）评价等级确定</w:t>
            </w:r>
          </w:p>
          <w:p w14:paraId="017CFAAA">
            <w:pPr>
              <w:bidi w:val="0"/>
              <w:ind w:firstLine="480" w:firstLineChars="20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由上表可见，本项目建成后，全厂危险物质最大储存量与临界量比值小于1，该项目环境风险潜势为Ⅰ。根据《建设项目环境风险技术导则》（HJ/T169-2018）中评价等级划分依据，本项目评价工作等级为简单分析。</w:t>
            </w:r>
          </w:p>
          <w:p w14:paraId="2B2236C7">
            <w:pPr>
              <w:pStyle w:val="5"/>
              <w:numPr>
                <w:ilvl w:val="0"/>
                <w:numId w:val="0"/>
              </w:numPr>
              <w:bidi w:val="0"/>
              <w:ind w:leftChars="200"/>
              <w:rPr>
                <w:rFonts w:hint="default" w:ascii="Times New Roman" w:hAnsi="Times New Roman" w:cs="Times New Roman"/>
                <w:color w:val="auto"/>
              </w:rPr>
            </w:pPr>
            <w:r>
              <w:rPr>
                <w:rFonts w:hint="default" w:ascii="Times New Roman" w:hAnsi="Times New Roman" w:cs="Times New Roman"/>
                <w:color w:val="auto"/>
              </w:rPr>
              <w:t>2、环境敏感目标情况</w:t>
            </w:r>
          </w:p>
          <w:p w14:paraId="4B23C022">
            <w:pPr>
              <w:ind w:firstLine="480" w:firstLineChars="200"/>
              <w:rPr>
                <w:rFonts w:hint="default" w:ascii="Times New Roman" w:hAnsi="Times New Roman" w:cs="Times New Roman"/>
                <w:color w:val="auto"/>
                <w:szCs w:val="24"/>
              </w:rPr>
            </w:pPr>
            <w:r>
              <w:rPr>
                <w:rFonts w:hint="default" w:ascii="Times New Roman" w:hAnsi="Times New Roman" w:cs="Times New Roman"/>
                <w:color w:val="auto"/>
                <w:szCs w:val="24"/>
              </w:rPr>
              <w:t>项目周边环境敏感目标情况见表3-4</w:t>
            </w:r>
            <w:r>
              <w:rPr>
                <w:rFonts w:hint="default" w:ascii="Times New Roman" w:hAnsi="Times New Roman" w:cs="Times New Roman"/>
                <w:color w:val="auto"/>
                <w:szCs w:val="24"/>
                <w:lang w:val="en-US" w:eastAsia="zh-CN"/>
              </w:rPr>
              <w:t>以及附图二</w:t>
            </w:r>
            <w:r>
              <w:rPr>
                <w:rFonts w:hint="default" w:ascii="Times New Roman" w:hAnsi="Times New Roman" w:cs="Times New Roman"/>
                <w:color w:val="auto"/>
                <w:szCs w:val="24"/>
              </w:rPr>
              <w:t>。</w:t>
            </w:r>
          </w:p>
          <w:p w14:paraId="3F1A0A63">
            <w:pPr>
              <w:pStyle w:val="5"/>
              <w:numPr>
                <w:ilvl w:val="0"/>
                <w:numId w:val="0"/>
              </w:numPr>
              <w:bidi w:val="0"/>
              <w:ind w:leftChars="200"/>
              <w:rPr>
                <w:rFonts w:hint="default" w:ascii="Times New Roman" w:hAnsi="Times New Roman" w:cs="Times New Roman"/>
                <w:color w:val="auto"/>
              </w:rPr>
            </w:pPr>
            <w:r>
              <w:rPr>
                <w:rFonts w:hint="default" w:ascii="Times New Roman" w:hAnsi="Times New Roman" w:cs="Times New Roman"/>
                <w:color w:val="auto"/>
              </w:rPr>
              <w:t>3、环境风险分析</w:t>
            </w:r>
          </w:p>
          <w:p w14:paraId="7A37147E">
            <w:pPr>
              <w:ind w:firstLine="480" w:firstLineChars="200"/>
              <w:rPr>
                <w:rFonts w:hint="default" w:ascii="Times New Roman" w:hAnsi="Times New Roman" w:cs="Times New Roman"/>
                <w:bCs/>
                <w:color w:val="auto"/>
                <w:szCs w:val="24"/>
              </w:rPr>
            </w:pPr>
            <w:r>
              <w:rPr>
                <w:rFonts w:hint="default" w:ascii="Times New Roman" w:hAnsi="Times New Roman" w:cs="Times New Roman"/>
                <w:bCs/>
                <w:color w:val="auto"/>
                <w:szCs w:val="24"/>
              </w:rPr>
              <w:t>参考《建设项目环境风险评价技术导则》（HJ/T169-2018），项目风险类型分为火灾</w:t>
            </w:r>
            <w:r>
              <w:rPr>
                <w:rFonts w:hint="eastAsia" w:cs="Times New Roman"/>
                <w:bCs/>
                <w:color w:val="auto"/>
                <w:szCs w:val="24"/>
                <w:lang w:eastAsia="zh-CN"/>
              </w:rPr>
              <w:t>、</w:t>
            </w:r>
            <w:r>
              <w:rPr>
                <w:rFonts w:hint="eastAsia" w:cs="Times New Roman"/>
                <w:bCs/>
                <w:color w:val="auto"/>
                <w:szCs w:val="24"/>
                <w:lang w:val="en-US" w:eastAsia="zh-CN"/>
              </w:rPr>
              <w:t>爆炸</w:t>
            </w:r>
            <w:r>
              <w:rPr>
                <w:rFonts w:hint="default" w:ascii="Times New Roman" w:hAnsi="Times New Roman" w:cs="Times New Roman"/>
                <w:bCs/>
                <w:color w:val="auto"/>
                <w:szCs w:val="24"/>
              </w:rPr>
              <w:t>和泄漏。</w:t>
            </w:r>
          </w:p>
          <w:p w14:paraId="05F7C177">
            <w:pPr>
              <w:pStyle w:val="5"/>
              <w:numPr>
                <w:ilvl w:val="0"/>
                <w:numId w:val="0"/>
              </w:numPr>
              <w:bidi w:val="0"/>
              <w:ind w:leftChars="200"/>
              <w:rPr>
                <w:rFonts w:hint="default" w:ascii="Times New Roman" w:hAnsi="Times New Roman" w:cs="Times New Roman"/>
                <w:color w:val="auto"/>
              </w:rPr>
            </w:pPr>
            <w:r>
              <w:rPr>
                <w:rFonts w:hint="default" w:ascii="Times New Roman" w:hAnsi="Times New Roman" w:cs="Times New Roman"/>
                <w:color w:val="auto"/>
              </w:rPr>
              <w:t>4、风险防范措施</w:t>
            </w:r>
          </w:p>
          <w:p w14:paraId="3D20F4EC">
            <w:pPr>
              <w:bidi w:val="0"/>
              <w:ind w:firstLine="480" w:firstLineChars="200"/>
              <w:rPr>
                <w:rFonts w:hint="default" w:ascii="Times New Roman" w:hAnsi="Times New Roman" w:cs="Times New Roman"/>
                <w:color w:val="auto"/>
              </w:rPr>
            </w:pPr>
            <w:r>
              <w:rPr>
                <w:rFonts w:hint="default" w:ascii="Times New Roman" w:hAnsi="Times New Roman" w:cs="Times New Roman"/>
                <w:color w:val="auto"/>
              </w:rPr>
              <w:t>（1）安全防范措施</w:t>
            </w:r>
          </w:p>
          <w:p w14:paraId="35A0E034">
            <w:pPr>
              <w:bidi w:val="0"/>
              <w:ind w:firstLine="480" w:firstLineChars="200"/>
              <w:rPr>
                <w:rFonts w:hint="default" w:ascii="Times New Roman" w:hAnsi="Times New Roman" w:cs="Times New Roman"/>
                <w:color w:val="auto"/>
              </w:rPr>
            </w:pPr>
            <w:r>
              <w:rPr>
                <w:rFonts w:hint="default" w:ascii="Times New Roman" w:hAnsi="Times New Roman" w:cs="Times New Roman"/>
                <w:color w:val="auto"/>
              </w:rPr>
              <w:t>①总平面布置、防火间距符合《建筑设计防火规范》（GB50016-2006）和《工业企业总平面设计规范》（GB50187-93）等相关规定。车间生产区、原料及成品暂存区等建、构筑物的设计火灾类别相应的防火对策措施，建筑耐火等级符合《建筑设计防火规范》的有关规定。</w:t>
            </w:r>
          </w:p>
          <w:p w14:paraId="19F2C278">
            <w:pPr>
              <w:bidi w:val="0"/>
              <w:ind w:firstLine="480" w:firstLineChars="200"/>
              <w:rPr>
                <w:rFonts w:hint="default" w:ascii="Times New Roman" w:hAnsi="Times New Roman" w:cs="Times New Roman"/>
                <w:color w:val="auto"/>
              </w:rPr>
            </w:pPr>
            <w:r>
              <w:rPr>
                <w:rFonts w:hint="default" w:ascii="Times New Roman" w:hAnsi="Times New Roman" w:cs="Times New Roman"/>
                <w:color w:val="auto"/>
              </w:rPr>
              <w:t>②加强管理，设专人负责各类物料的安全贮存、厂内输运及使用，按照其物化性质、危险特性等采取相应的安全贮存方式；</w:t>
            </w:r>
          </w:p>
          <w:p w14:paraId="3F9F1661">
            <w:pPr>
              <w:bidi w:val="0"/>
              <w:ind w:firstLine="480" w:firstLineChars="200"/>
              <w:rPr>
                <w:rFonts w:hint="default" w:ascii="Times New Roman" w:hAnsi="Times New Roman" w:cs="Times New Roman"/>
                <w:color w:val="auto"/>
              </w:rPr>
            </w:pPr>
            <w:r>
              <w:rPr>
                <w:rFonts w:hint="default" w:ascii="Times New Roman" w:hAnsi="Times New Roman" w:cs="Times New Roman"/>
                <w:color w:val="auto"/>
              </w:rPr>
              <w:t>③制定严格的操作规程，相关操作人员进行必要的安全培训后方可上岗；</w:t>
            </w:r>
          </w:p>
          <w:p w14:paraId="164577CA">
            <w:pPr>
              <w:bidi w:val="0"/>
              <w:ind w:firstLine="480" w:firstLineChars="200"/>
              <w:rPr>
                <w:rFonts w:hint="default" w:ascii="Times New Roman" w:hAnsi="Times New Roman" w:cs="Times New Roman"/>
                <w:color w:val="auto"/>
              </w:rPr>
            </w:pPr>
            <w:r>
              <w:rPr>
                <w:rFonts w:hint="default" w:ascii="Times New Roman" w:hAnsi="Times New Roman" w:cs="Times New Roman"/>
                <w:color w:val="auto"/>
              </w:rPr>
              <w:t>④不同类别的物品按其性质单独存放，避免不相容的物品混合运输或者存放；</w:t>
            </w:r>
          </w:p>
          <w:p w14:paraId="06A95995">
            <w:pPr>
              <w:bidi w:val="0"/>
              <w:ind w:firstLine="480" w:firstLineChars="200"/>
              <w:rPr>
                <w:rFonts w:hint="default" w:ascii="Times New Roman" w:hAnsi="Times New Roman" w:cs="Times New Roman"/>
                <w:color w:val="auto"/>
              </w:rPr>
            </w:pPr>
            <w:r>
              <w:rPr>
                <w:rFonts w:hint="default" w:ascii="Times New Roman" w:hAnsi="Times New Roman" w:cs="Times New Roman"/>
                <w:color w:val="auto"/>
              </w:rPr>
              <w:t>⑤结合消防等专业制定不同物品事故应急预案，一旦发生事故后能够及时采取有效措施进行科学处置，将事故破坏降至最低程度，同时考虑各种处置方案的科学性、合理性和有效性。</w:t>
            </w:r>
          </w:p>
          <w:p w14:paraId="37E5B492">
            <w:pPr>
              <w:ind w:firstLine="480"/>
              <w:rPr>
                <w:rFonts w:hint="default" w:ascii="Times New Roman" w:hAnsi="Times New Roman" w:cs="Times New Roman"/>
                <w:color w:val="auto"/>
                <w:szCs w:val="24"/>
                <w:lang w:val="zh-CN"/>
              </w:rPr>
            </w:pPr>
            <w:r>
              <w:rPr>
                <w:rFonts w:hint="default" w:ascii="Times New Roman" w:hAnsi="Times New Roman" w:cs="Times New Roman"/>
                <w:color w:val="auto"/>
                <w:szCs w:val="24"/>
                <w:lang w:val="zh-CN"/>
              </w:rPr>
              <w:t>（</w:t>
            </w:r>
            <w:r>
              <w:rPr>
                <w:rFonts w:hint="default" w:ascii="Times New Roman" w:hAnsi="Times New Roman" w:cs="Times New Roman"/>
                <w:color w:val="auto"/>
                <w:szCs w:val="24"/>
                <w:lang w:val="en-US" w:eastAsia="zh-CN"/>
              </w:rPr>
              <w:t>2</w:t>
            </w:r>
            <w:r>
              <w:rPr>
                <w:rFonts w:hint="default" w:ascii="Times New Roman" w:hAnsi="Times New Roman" w:cs="Times New Roman"/>
                <w:color w:val="auto"/>
                <w:szCs w:val="24"/>
                <w:lang w:val="zh-CN"/>
              </w:rPr>
              <w:t>）</w:t>
            </w:r>
            <w:r>
              <w:rPr>
                <w:rFonts w:hint="default" w:ascii="Times New Roman" w:hAnsi="Times New Roman" w:eastAsia="宋体" w:cs="Times New Roman"/>
                <w:color w:val="auto"/>
                <w:kern w:val="0"/>
                <w:sz w:val="24"/>
                <w:szCs w:val="22"/>
              </w:rPr>
              <w:t>泄漏事故防控措施</w:t>
            </w:r>
          </w:p>
          <w:p w14:paraId="3E8EFB9E">
            <w:pPr>
              <w:spacing w:line="360" w:lineRule="auto"/>
              <w:ind w:firstLine="480" w:firstLineChars="200"/>
              <w:rPr>
                <w:color w:val="auto"/>
                <w:sz w:val="24"/>
              </w:rPr>
            </w:pPr>
            <w:r>
              <w:rPr>
                <w:color w:val="auto"/>
                <w:sz w:val="24"/>
              </w:rPr>
              <w:t>①项目使用的化学品部分为桶装原材料，每次原材料进场时，必须进行检验，无破损、泄漏的方可进场储存；发现破损及时更换。做好储存区日常检查工作，发现容器破损、损坏现象，应及时采取有效措施，预防化学品泄漏。</w:t>
            </w:r>
          </w:p>
          <w:p w14:paraId="203DB2E5">
            <w:pPr>
              <w:spacing w:line="360" w:lineRule="auto"/>
              <w:ind w:firstLine="480" w:firstLineChars="200"/>
              <w:rPr>
                <w:color w:val="auto"/>
                <w:sz w:val="24"/>
              </w:rPr>
            </w:pPr>
            <w:r>
              <w:rPr>
                <w:color w:val="auto"/>
                <w:sz w:val="24"/>
              </w:rPr>
              <w:t>②各物料需分区分类储存，禁忌物品必须分开存放。化学品储存处应远离火种、热源，保证阴凉、通风，采用防爆型照明、通风措施。禁止使用易产生火花的机械设备和工具。原材料储存区内应备有泄漏应急处理设备和合适的收容材料。</w:t>
            </w:r>
          </w:p>
          <w:p w14:paraId="0716BF34">
            <w:pPr>
              <w:spacing w:line="360" w:lineRule="auto"/>
              <w:ind w:firstLine="480" w:firstLineChars="200"/>
              <w:rPr>
                <w:color w:val="auto"/>
                <w:sz w:val="24"/>
              </w:rPr>
            </w:pPr>
            <w:r>
              <w:rPr>
                <w:color w:val="auto"/>
                <w:sz w:val="24"/>
              </w:rPr>
              <w:t>③建立化学品出入库台账制度，风险管理制度等管理措施，加强化学品使用管理，防止事故发生。</w:t>
            </w:r>
          </w:p>
          <w:p w14:paraId="62C2FCA6">
            <w:pPr>
              <w:spacing w:line="360" w:lineRule="auto"/>
              <w:ind w:firstLine="480" w:firstLineChars="200"/>
              <w:rPr>
                <w:color w:val="auto"/>
                <w:sz w:val="24"/>
              </w:rPr>
            </w:pPr>
            <w:r>
              <w:rPr>
                <w:color w:val="auto"/>
                <w:sz w:val="24"/>
              </w:rPr>
              <w:t>④化学品存放区需设置围堰，围堰做好防渗、防漏处理，围堰的大小应大于化学品的最大储存量。</w:t>
            </w:r>
          </w:p>
          <w:p w14:paraId="41CF6474">
            <w:pPr>
              <w:spacing w:line="360" w:lineRule="auto"/>
              <w:ind w:firstLine="480" w:firstLineChars="200"/>
              <w:rPr>
                <w:color w:val="auto"/>
                <w:sz w:val="24"/>
              </w:rPr>
            </w:pPr>
            <w:r>
              <w:rPr>
                <w:color w:val="auto"/>
                <w:sz w:val="24"/>
              </w:rPr>
              <w:t>⑤化学品的储存量在满足生产的同时，尽可能的少量储存，降低风险源。</w:t>
            </w:r>
          </w:p>
          <w:p w14:paraId="16412B1A">
            <w:pPr>
              <w:spacing w:line="360" w:lineRule="auto"/>
              <w:ind w:firstLine="480" w:firstLineChars="200"/>
              <w:rPr>
                <w:color w:val="auto"/>
                <w:sz w:val="24"/>
              </w:rPr>
            </w:pPr>
            <w:r>
              <w:rPr>
                <w:color w:val="auto"/>
                <w:sz w:val="24"/>
              </w:rPr>
              <w:t>⑥厂区设置风向标，一旦发生火灾事故，可根据风向标判断疏散下风向的人群。</w:t>
            </w:r>
          </w:p>
          <w:p w14:paraId="6CE41865">
            <w:pPr>
              <w:ind w:firstLine="480"/>
              <w:rPr>
                <w:rFonts w:hint="default" w:ascii="Times New Roman" w:hAnsi="Times New Roman" w:cs="Times New Roman"/>
                <w:color w:val="auto"/>
                <w:szCs w:val="24"/>
              </w:rPr>
            </w:pPr>
            <w:r>
              <w:rPr>
                <w:color w:val="auto"/>
                <w:sz w:val="24"/>
              </w:rPr>
              <w:t>⑦加强日常管理，建立应急救援预案</w:t>
            </w:r>
            <w:r>
              <w:rPr>
                <w:rFonts w:hint="default" w:ascii="Times New Roman" w:hAnsi="Times New Roman" w:cs="Times New Roman"/>
                <w:color w:val="auto"/>
                <w:szCs w:val="24"/>
                <w:lang w:val="zh-CN"/>
              </w:rPr>
              <w:t>。</w:t>
            </w:r>
          </w:p>
          <w:p w14:paraId="3F29A5E8">
            <w:pPr>
              <w:adjustRightInd w:val="0"/>
              <w:snapToGrid w:val="0"/>
              <w:spacing w:line="360" w:lineRule="auto"/>
              <w:ind w:firstLine="480" w:firstLineChars="200"/>
              <w:rPr>
                <w:rFonts w:hint="default" w:ascii="Times New Roman" w:hAnsi="Times New Roman" w:cs="Times New Roman"/>
                <w:color w:val="auto"/>
                <w:szCs w:val="21"/>
                <w:lang w:eastAsia="zh-CN"/>
              </w:rPr>
            </w:pPr>
            <w:r>
              <w:rPr>
                <w:rFonts w:hint="default" w:ascii="Times New Roman" w:hAnsi="Times New Roman" w:cs="Times New Roman"/>
                <w:color w:val="auto"/>
                <w:szCs w:val="21"/>
                <w:lang w:eastAsia="zh-CN"/>
              </w:rPr>
              <w:t>（</w:t>
            </w:r>
            <w:r>
              <w:rPr>
                <w:rFonts w:hint="default" w:ascii="Times New Roman" w:hAnsi="Times New Roman" w:cs="Times New Roman"/>
                <w:color w:val="auto"/>
                <w:szCs w:val="21"/>
                <w:lang w:val="en-US" w:eastAsia="zh-CN"/>
              </w:rPr>
              <w:t>3</w:t>
            </w:r>
            <w:r>
              <w:rPr>
                <w:rFonts w:hint="default" w:ascii="Times New Roman" w:hAnsi="Times New Roman" w:cs="Times New Roman"/>
                <w:color w:val="auto"/>
                <w:szCs w:val="21"/>
                <w:lang w:eastAsia="zh-CN"/>
              </w:rPr>
              <w:t>）</w:t>
            </w:r>
            <w:r>
              <w:rPr>
                <w:rFonts w:hint="default" w:ascii="Times New Roman" w:hAnsi="Times New Roman" w:cs="Times New Roman"/>
                <w:color w:val="auto"/>
                <w:szCs w:val="21"/>
                <w:lang w:eastAsia="zh-CN"/>
              </w:rPr>
              <w:t>火灾、燃爆事故风险防范措施</w:t>
            </w:r>
          </w:p>
          <w:p w14:paraId="00D010AB">
            <w:pPr>
              <w:adjustRightInd w:val="0"/>
              <w:snapToGrid w:val="0"/>
              <w:spacing w:line="360" w:lineRule="auto"/>
              <w:ind w:firstLine="480" w:firstLineChars="200"/>
              <w:rPr>
                <w:rFonts w:hint="default" w:ascii="Times New Roman" w:hAnsi="Times New Roman" w:cs="Times New Roman"/>
                <w:color w:val="auto"/>
                <w:szCs w:val="21"/>
              </w:rPr>
            </w:pPr>
            <w:r>
              <w:rPr>
                <w:rFonts w:hint="eastAsia" w:cs="Times New Roman"/>
                <w:color w:val="auto"/>
                <w:szCs w:val="21"/>
                <w:lang w:val="en-US" w:eastAsia="zh-CN"/>
              </w:rPr>
              <w:t>项目生产过程中无机粉体以及纳米粉体</w:t>
            </w:r>
            <w:r>
              <w:rPr>
                <w:rFonts w:hint="eastAsia" w:asciiTheme="minorEastAsia" w:hAnsiTheme="minorEastAsia" w:eastAsiaTheme="minorEastAsia"/>
                <w:color w:val="auto"/>
                <w:sz w:val="24"/>
                <w:szCs w:val="24"/>
              </w:rPr>
              <w:t>均为不可燃物，分解温度高，化学性质稳定，无粉尘涉爆隐患</w:t>
            </w:r>
            <w:r>
              <w:rPr>
                <w:rFonts w:hint="eastAsia" w:asciiTheme="minorEastAsia" w:hAnsiTheme="minorEastAsia" w:eastAsiaTheme="minorEastAsia"/>
                <w:color w:val="auto"/>
                <w:sz w:val="24"/>
                <w:szCs w:val="24"/>
                <w:lang w:eastAsia="zh-CN"/>
              </w:rPr>
              <w:t>。</w:t>
            </w:r>
            <w:r>
              <w:rPr>
                <w:rFonts w:hint="default" w:ascii="Times New Roman" w:hAnsi="Times New Roman" w:cs="Times New Roman"/>
                <w:color w:val="auto"/>
                <w:szCs w:val="21"/>
              </w:rPr>
              <w:t>火灾和爆炸事故主要是由明火引起的，建设单位须注意防火、防爆。</w:t>
            </w:r>
          </w:p>
          <w:p w14:paraId="44D77063">
            <w:pPr>
              <w:adjustRightInd w:val="0"/>
              <w:snapToGrid w:val="0"/>
              <w:spacing w:line="360" w:lineRule="auto"/>
              <w:ind w:firstLine="480" w:firstLineChars="200"/>
              <w:rPr>
                <w:rFonts w:hint="default" w:ascii="Times New Roman" w:hAnsi="Times New Roman" w:cs="Times New Roman"/>
                <w:color w:val="auto"/>
                <w:szCs w:val="21"/>
              </w:rPr>
            </w:pPr>
            <w:r>
              <w:rPr>
                <w:rFonts w:hint="default" w:ascii="Times New Roman" w:hAnsi="Times New Roman" w:cs="Times New Roman"/>
                <w:color w:val="auto"/>
                <w:szCs w:val="21"/>
              </w:rPr>
              <w:t xml:space="preserve">①厂房内需按《建筑设计防火规范》的要求，设置足量的灭火器和灭火器材，室外设置消防给水管网与室外消火栓。 </w:t>
            </w:r>
          </w:p>
          <w:p w14:paraId="3C51FAE2">
            <w:pPr>
              <w:adjustRightInd w:val="0"/>
              <w:snapToGrid w:val="0"/>
              <w:spacing w:line="360" w:lineRule="auto"/>
              <w:ind w:firstLine="480" w:firstLineChars="200"/>
              <w:rPr>
                <w:rFonts w:hint="default" w:ascii="Times New Roman" w:hAnsi="Times New Roman" w:cs="Times New Roman"/>
                <w:color w:val="auto"/>
                <w:szCs w:val="21"/>
              </w:rPr>
            </w:pPr>
            <w:r>
              <w:rPr>
                <w:rFonts w:hint="default" w:ascii="Times New Roman" w:hAnsi="Times New Roman" w:cs="Times New Roman"/>
                <w:color w:val="auto"/>
                <w:szCs w:val="21"/>
              </w:rPr>
              <w:t>②加强对建筑电气的漏电保护，在建筑物电源进线处设计安装带漏电保护功能的熔断器，对使用时间长的电器生产设备要及时更换或维修，防止电路断路造成的火灾。</w:t>
            </w:r>
          </w:p>
          <w:p w14:paraId="1A7140B1">
            <w:pPr>
              <w:adjustRightInd w:val="0"/>
              <w:snapToGrid w:val="0"/>
              <w:spacing w:line="360" w:lineRule="auto"/>
              <w:ind w:firstLine="480" w:firstLineChars="200"/>
              <w:rPr>
                <w:rFonts w:hint="default" w:ascii="Times New Roman" w:hAnsi="Times New Roman" w:cs="Times New Roman"/>
                <w:color w:val="auto"/>
                <w:szCs w:val="21"/>
              </w:rPr>
            </w:pPr>
            <w:r>
              <w:rPr>
                <w:rFonts w:hint="default" w:ascii="Times New Roman" w:hAnsi="Times New Roman" w:cs="Times New Roman"/>
                <w:color w:val="auto"/>
                <w:szCs w:val="21"/>
              </w:rPr>
              <w:t>③厂区建立完善的消防设施，包括消防系统、火灾报警系统等，在各建筑物内、工艺装置区等配置适量手提式及推车式灭火器，用于扑灭初期火灾及小型火灾。</w:t>
            </w:r>
          </w:p>
          <w:p w14:paraId="5E36B4D7">
            <w:pPr>
              <w:adjustRightInd w:val="0"/>
              <w:snapToGrid w:val="0"/>
              <w:spacing w:line="360" w:lineRule="auto"/>
              <w:ind w:firstLine="480" w:firstLineChars="200"/>
              <w:rPr>
                <w:rFonts w:hint="default" w:ascii="Times New Roman" w:hAnsi="Times New Roman" w:cs="Times New Roman"/>
                <w:color w:val="auto"/>
                <w:szCs w:val="21"/>
              </w:rPr>
            </w:pPr>
            <w:r>
              <w:rPr>
                <w:rFonts w:hint="default" w:ascii="Times New Roman" w:hAnsi="Times New Roman" w:cs="Times New Roman"/>
                <w:color w:val="auto"/>
                <w:szCs w:val="21"/>
              </w:rPr>
              <w:t>④加强车间室内通风换气，防止有机废气积累浓度过高，避免燃爆事故。</w:t>
            </w:r>
          </w:p>
          <w:p w14:paraId="519E5C77">
            <w:pPr>
              <w:adjustRightInd w:val="0"/>
              <w:snapToGrid w:val="0"/>
              <w:spacing w:line="360" w:lineRule="auto"/>
              <w:ind w:firstLine="480" w:firstLineChars="200"/>
              <w:rPr>
                <w:rFonts w:hint="default" w:ascii="Times New Roman" w:hAnsi="Times New Roman" w:cs="Times New Roman"/>
                <w:color w:val="auto"/>
                <w:szCs w:val="21"/>
              </w:rPr>
            </w:pPr>
            <w:r>
              <w:rPr>
                <w:rFonts w:hint="default" w:ascii="Times New Roman" w:hAnsi="Times New Roman" w:cs="Times New Roman"/>
                <w:color w:val="auto"/>
                <w:szCs w:val="21"/>
              </w:rPr>
              <w:t>⑤电器线路需定期进行检查、维修、保养。</w:t>
            </w:r>
          </w:p>
          <w:p w14:paraId="0C2CA3D8">
            <w:pPr>
              <w:adjustRightInd w:val="0"/>
              <w:snapToGrid w:val="0"/>
              <w:spacing w:line="360" w:lineRule="auto"/>
              <w:ind w:firstLine="480" w:firstLineChars="200"/>
              <w:rPr>
                <w:rFonts w:hint="default" w:ascii="Times New Roman" w:hAnsi="Times New Roman" w:cs="Times New Roman"/>
                <w:color w:val="auto"/>
                <w:szCs w:val="21"/>
              </w:rPr>
            </w:pPr>
            <w:r>
              <w:rPr>
                <w:rFonts w:hint="default" w:ascii="Times New Roman" w:hAnsi="Times New Roman" w:cs="Times New Roman"/>
                <w:color w:val="auto"/>
                <w:szCs w:val="21"/>
              </w:rPr>
              <w:t>⑥加强宣传教育，加强防火教育，提高员工防范意识</w:t>
            </w:r>
          </w:p>
          <w:p w14:paraId="79181672">
            <w:pPr>
              <w:adjustRightInd w:val="0"/>
              <w:snapToGrid w:val="0"/>
              <w:spacing w:line="360" w:lineRule="auto"/>
              <w:ind w:firstLine="480" w:firstLineChars="200"/>
              <w:rPr>
                <w:rFonts w:hint="default" w:ascii="Times New Roman" w:hAnsi="Times New Roman" w:cs="Times New Roman"/>
                <w:color w:val="auto"/>
                <w:szCs w:val="21"/>
                <w:lang w:eastAsia="zh-CN"/>
              </w:rPr>
            </w:pPr>
            <w:r>
              <w:rPr>
                <w:rFonts w:hint="eastAsia" w:cs="Times New Roman"/>
                <w:color w:val="auto"/>
                <w:szCs w:val="21"/>
                <w:lang w:eastAsia="zh-CN"/>
              </w:rPr>
              <w:t>（</w:t>
            </w:r>
            <w:r>
              <w:rPr>
                <w:rFonts w:hint="eastAsia" w:cs="Times New Roman"/>
                <w:color w:val="auto"/>
                <w:szCs w:val="21"/>
                <w:lang w:val="en-US" w:eastAsia="zh-CN"/>
              </w:rPr>
              <w:t>4</w:t>
            </w:r>
            <w:r>
              <w:rPr>
                <w:rFonts w:hint="eastAsia" w:cs="Times New Roman"/>
                <w:color w:val="auto"/>
                <w:szCs w:val="21"/>
                <w:lang w:eastAsia="zh-CN"/>
              </w:rPr>
              <w:t>）</w:t>
            </w:r>
            <w:r>
              <w:rPr>
                <w:color w:val="auto"/>
                <w:sz w:val="24"/>
              </w:rPr>
              <w:t>废气处理装置运行故障</w:t>
            </w:r>
            <w:r>
              <w:rPr>
                <w:rFonts w:hint="default" w:ascii="Times New Roman" w:hAnsi="Times New Roman" w:cs="Times New Roman"/>
                <w:color w:val="auto"/>
                <w:szCs w:val="21"/>
                <w:lang w:eastAsia="zh-CN"/>
              </w:rPr>
              <w:t>防范措施</w:t>
            </w:r>
          </w:p>
          <w:p w14:paraId="4082EA81">
            <w:pPr>
              <w:adjustRightInd w:val="0"/>
              <w:snapToGrid w:val="0"/>
              <w:spacing w:line="360" w:lineRule="auto"/>
              <w:ind w:firstLine="480" w:firstLineChars="200"/>
              <w:rPr>
                <w:rFonts w:hint="eastAsia" w:ascii="Times New Roman" w:hAnsi="Times New Roman" w:eastAsia="宋体" w:cs="Times New Roman"/>
                <w:color w:val="auto"/>
                <w:szCs w:val="21"/>
                <w:lang w:eastAsia="zh-CN"/>
              </w:rPr>
            </w:pPr>
            <w:r>
              <w:rPr>
                <w:rFonts w:cs="Times New Roman"/>
                <w:color w:val="auto"/>
              </w:rPr>
              <w:t>环保管理人员应定期检查废气处理装置。工艺设计过程中应尽可能采用自动化控制系统，使系统更加易于控制，同时应设自动监控仪表。当自控仪表监测到废气的排放不符合排放标准时，工作人员应立即停止生产，阻断污染源，随即检查废气处理装置发生的问题并维修，通过专人检查、维修等尽快将问题妥善解决，保证处理效率并避免大量未经过处理后的有机废气排入大气中，对周边环境造成影响</w:t>
            </w:r>
            <w:r>
              <w:rPr>
                <w:rFonts w:hint="eastAsia" w:cs="Times New Roman"/>
                <w:color w:val="auto"/>
                <w:szCs w:val="21"/>
                <w:lang w:eastAsia="zh-CN"/>
              </w:rPr>
              <w:t>。</w:t>
            </w:r>
          </w:p>
          <w:p w14:paraId="4235D47B">
            <w:pPr>
              <w:pStyle w:val="5"/>
              <w:numPr>
                <w:ilvl w:val="0"/>
                <w:numId w:val="0"/>
              </w:numPr>
              <w:bidi w:val="0"/>
              <w:ind w:leftChars="200"/>
              <w:rPr>
                <w:rFonts w:hint="default" w:ascii="Times New Roman" w:hAnsi="Times New Roman" w:cs="Times New Roman"/>
                <w:color w:val="auto"/>
              </w:rPr>
            </w:pPr>
            <w:r>
              <w:rPr>
                <w:rFonts w:hint="default" w:ascii="Times New Roman" w:hAnsi="Times New Roman" w:cs="Times New Roman"/>
                <w:color w:val="auto"/>
              </w:rPr>
              <w:t>5、环境风险评价结论</w:t>
            </w:r>
          </w:p>
          <w:p w14:paraId="7829B709">
            <w:pPr>
              <w:ind w:firstLine="482"/>
              <w:rPr>
                <w:rFonts w:hint="default" w:ascii="Times New Roman" w:hAnsi="Times New Roman" w:cs="Times New Roman"/>
                <w:color w:val="auto"/>
              </w:rPr>
            </w:pPr>
            <w:r>
              <w:rPr>
                <w:rFonts w:hint="default" w:ascii="Times New Roman" w:hAnsi="Times New Roman" w:cs="Times New Roman"/>
                <w:color w:val="auto"/>
                <w:spacing w:val="-5"/>
                <w:szCs w:val="24"/>
              </w:rPr>
              <w:t>根据《建设项目环境风险评价技术导则》</w:t>
            </w:r>
            <w:r>
              <w:rPr>
                <w:rFonts w:hint="default" w:ascii="Times New Roman" w:hAnsi="Times New Roman" w:cs="Times New Roman"/>
                <w:color w:val="auto"/>
                <w:szCs w:val="24"/>
              </w:rPr>
              <w:t>（HJ169-2018）</w:t>
            </w:r>
            <w:r>
              <w:rPr>
                <w:rFonts w:hint="default" w:ascii="Times New Roman" w:hAnsi="Times New Roman" w:cs="Times New Roman"/>
                <w:color w:val="auto"/>
                <w:spacing w:val="-7"/>
                <w:szCs w:val="24"/>
              </w:rPr>
              <w:t>中辨识、分析，本</w:t>
            </w:r>
            <w:r>
              <w:rPr>
                <w:rFonts w:hint="default" w:ascii="Times New Roman" w:hAnsi="Times New Roman" w:cs="Times New Roman"/>
                <w:color w:val="auto"/>
                <w:spacing w:val="-9"/>
                <w:szCs w:val="24"/>
              </w:rPr>
              <w:t>项目可不开展</w:t>
            </w:r>
            <w:r>
              <w:rPr>
                <w:rFonts w:hint="default" w:ascii="Times New Roman" w:hAnsi="Times New Roman" w:cs="Times New Roman"/>
                <w:color w:val="auto"/>
                <w:szCs w:val="24"/>
              </w:rPr>
              <w:t>环境风险评价工作</w:t>
            </w:r>
            <w:r>
              <w:rPr>
                <w:rFonts w:hint="default" w:ascii="Times New Roman" w:hAnsi="Times New Roman" w:cs="Times New Roman"/>
                <w:color w:val="auto"/>
                <w:spacing w:val="-9"/>
                <w:szCs w:val="24"/>
              </w:rPr>
              <w:t>。企业在生产过程中须加强防范措施并</w:t>
            </w:r>
            <w:r>
              <w:rPr>
                <w:rFonts w:hint="default" w:ascii="Times New Roman" w:hAnsi="Times New Roman" w:cs="Times New Roman"/>
                <w:color w:val="auto"/>
                <w:spacing w:val="-8"/>
                <w:szCs w:val="24"/>
              </w:rPr>
              <w:t>完善风险应急预案，切实防范火灾、爆炸等环境风险事故的发生，企业在严格按</w:t>
            </w:r>
            <w:r>
              <w:rPr>
                <w:rFonts w:hint="default" w:ascii="Times New Roman" w:hAnsi="Times New Roman" w:cs="Times New Roman"/>
                <w:color w:val="auto"/>
                <w:szCs w:val="24"/>
              </w:rPr>
              <w:t>照风险防范措施处理情况下，本项目的环境风险是可控的</w:t>
            </w:r>
            <w:r>
              <w:rPr>
                <w:rFonts w:hint="default" w:ascii="Times New Roman" w:hAnsi="Times New Roman" w:cs="Times New Roman"/>
                <w:color w:val="auto"/>
              </w:rPr>
              <w:t>。</w:t>
            </w:r>
          </w:p>
          <w:p w14:paraId="6E905C4B">
            <w:pPr>
              <w:pStyle w:val="5"/>
              <w:numPr>
                <w:ilvl w:val="0"/>
                <w:numId w:val="0"/>
              </w:numPr>
              <w:bidi w:val="0"/>
              <w:ind w:leftChars="200"/>
              <w:rPr>
                <w:rFonts w:hint="default" w:ascii="Times New Roman" w:hAnsi="Times New Roman" w:cs="Times New Roman"/>
                <w:color w:val="auto"/>
              </w:rPr>
            </w:pPr>
            <w:r>
              <w:rPr>
                <w:rFonts w:hint="default" w:ascii="Times New Roman" w:hAnsi="Times New Roman" w:cs="Times New Roman"/>
                <w:color w:val="auto"/>
              </w:rPr>
              <w:t>八、排污许可衔接情况</w:t>
            </w:r>
          </w:p>
          <w:p w14:paraId="5E446449">
            <w:pPr>
              <w:pStyle w:val="115"/>
              <w:ind w:firstLine="480"/>
              <w:rPr>
                <w:rFonts w:hint="default" w:ascii="Times New Roman" w:hAnsi="Times New Roman" w:cs="Times New Roman"/>
                <w:color w:val="auto"/>
                <w:sz w:val="21"/>
                <w:szCs w:val="21"/>
              </w:rPr>
            </w:pPr>
            <w:r>
              <w:rPr>
                <w:rFonts w:hint="default" w:ascii="Times New Roman" w:hAnsi="Times New Roman" w:cs="Times New Roman"/>
                <w:color w:val="auto"/>
                <w:szCs w:val="32"/>
              </w:rPr>
              <w:t>本项目属于</w:t>
            </w:r>
            <w:r>
              <w:rPr>
                <w:rFonts w:hint="eastAsia" w:cs="Times New Roman"/>
                <w:color w:val="auto"/>
                <w:szCs w:val="24"/>
                <w:lang w:eastAsia="zh-CN"/>
              </w:rPr>
              <w:t>“</w:t>
            </w:r>
            <w:r>
              <w:rPr>
                <w:rFonts w:hint="default" w:ascii="Times New Roman" w:hAnsi="Times New Roman" w:cs="Times New Roman"/>
                <w:color w:val="auto"/>
                <w:szCs w:val="24"/>
                <w:lang w:eastAsia="zh-CN"/>
              </w:rPr>
              <w:t>C</w:t>
            </w:r>
            <w:r>
              <w:rPr>
                <w:rFonts w:hint="eastAsia" w:ascii="Times New Roman" w:hAnsi="Times New Roman" w:cs="Times New Roman"/>
                <w:color w:val="auto"/>
                <w:szCs w:val="24"/>
                <w:lang w:val="en-US" w:eastAsia="zh-CN"/>
              </w:rPr>
              <w:t>2646密封用填料及类似品制造</w:t>
            </w:r>
            <w:r>
              <w:rPr>
                <w:rFonts w:hint="eastAsia" w:cs="Times New Roman"/>
                <w:color w:val="auto"/>
                <w:szCs w:val="24"/>
                <w:lang w:eastAsia="zh-CN"/>
              </w:rPr>
              <w:t>”</w:t>
            </w:r>
            <w:r>
              <w:rPr>
                <w:rFonts w:hint="default" w:ascii="Times New Roman" w:hAnsi="Times New Roman" w:cs="Times New Roman"/>
                <w:color w:val="auto"/>
                <w:szCs w:val="32"/>
              </w:rPr>
              <w:t>行业类别。</w:t>
            </w:r>
            <w:r>
              <w:rPr>
                <w:rFonts w:hint="default" w:ascii="Times New Roman" w:hAnsi="Times New Roman" w:cs="Times New Roman"/>
                <w:color w:val="auto"/>
                <w:szCs w:val="24"/>
              </w:rPr>
              <w:t>对照《排</w:t>
            </w:r>
            <w:r>
              <w:rPr>
                <w:rFonts w:hint="default" w:ascii="Times New Roman" w:hAnsi="Times New Roman" w:cs="Times New Roman"/>
                <w:color w:val="auto"/>
                <w:szCs w:val="32"/>
              </w:rPr>
              <w:t>污许可管理办法（试行）》（环保部令第48号）、《固定污染源排污许可分类管理名录（2019年版）》（中华人民共和国生态环境部令第11号），</w:t>
            </w:r>
            <w:r>
              <w:rPr>
                <w:rFonts w:hint="default" w:ascii="Times New Roman" w:hAnsi="Times New Roman" w:cs="Times New Roman"/>
                <w:color w:val="auto"/>
              </w:rPr>
              <w:t>本项目属于</w:t>
            </w:r>
            <w:r>
              <w:rPr>
                <w:rFonts w:hint="eastAsia" w:cs="Times New Roman"/>
                <w:color w:val="auto"/>
                <w:lang w:eastAsia="zh-CN"/>
              </w:rPr>
              <w:t>“涂料、油墨、颜料及类似产品制造 264”</w:t>
            </w:r>
            <w:r>
              <w:rPr>
                <w:rFonts w:hint="default" w:ascii="Times New Roman" w:hAnsi="Times New Roman" w:cs="Times New Roman"/>
                <w:color w:val="auto"/>
                <w:lang w:val="en-US" w:eastAsia="zh-CN"/>
              </w:rPr>
              <w:t>中</w:t>
            </w:r>
            <w:r>
              <w:rPr>
                <w:rFonts w:hint="eastAsia" w:cs="Times New Roman"/>
                <w:color w:val="auto"/>
                <w:lang w:val="en-US" w:eastAsia="zh-CN"/>
              </w:rPr>
              <w:t>“</w:t>
            </w:r>
            <w:r>
              <w:rPr>
                <w:rFonts w:hint="default" w:ascii="Times New Roman" w:hAnsi="Times New Roman" w:cs="Times New Roman"/>
                <w:color w:val="auto"/>
                <w:lang w:val="en-US" w:eastAsia="zh-CN"/>
              </w:rPr>
              <w:t>其他</w:t>
            </w:r>
            <w:r>
              <w:rPr>
                <w:rFonts w:hint="eastAsia" w:cs="Times New Roman"/>
                <w:color w:val="auto"/>
                <w:lang w:val="en-US" w:eastAsia="zh-CN"/>
              </w:rPr>
              <w:t>”</w:t>
            </w:r>
            <w:r>
              <w:rPr>
                <w:rFonts w:hint="default" w:ascii="Times New Roman" w:hAnsi="Times New Roman" w:cs="Times New Roman"/>
                <w:color w:val="auto"/>
                <w:lang w:val="en-US" w:eastAsia="zh-CN"/>
              </w:rPr>
              <w:t>类别</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属于登记管理</w:t>
            </w:r>
            <w:r>
              <w:rPr>
                <w:rFonts w:hint="default" w:ascii="Times New Roman" w:hAnsi="Times New Roman" w:cs="Times New Roman"/>
                <w:color w:val="auto"/>
              </w:rPr>
              <w:t>。本项目应在实际生产前</w:t>
            </w:r>
            <w:r>
              <w:rPr>
                <w:rFonts w:hint="default" w:ascii="Times New Roman" w:hAnsi="Times New Roman" w:cs="Times New Roman"/>
                <w:color w:val="auto"/>
                <w:lang w:val="en-US" w:eastAsia="zh-CN"/>
              </w:rPr>
              <w:t>进行</w:t>
            </w:r>
            <w:r>
              <w:rPr>
                <w:rFonts w:hint="default" w:ascii="Times New Roman" w:hAnsi="Times New Roman" w:cs="Times New Roman"/>
                <w:color w:val="auto"/>
              </w:rPr>
              <w:t>排污许可</w:t>
            </w:r>
            <w:r>
              <w:rPr>
                <w:rFonts w:hint="default" w:ascii="Times New Roman" w:hAnsi="Times New Roman" w:cs="Times New Roman"/>
                <w:color w:val="auto"/>
                <w:lang w:val="en-US" w:eastAsia="zh-CN"/>
              </w:rPr>
              <w:t>登记</w:t>
            </w:r>
            <w:r>
              <w:rPr>
                <w:rFonts w:hint="default" w:ascii="Times New Roman" w:hAnsi="Times New Roman" w:cs="Times New Roman"/>
                <w:color w:val="auto"/>
              </w:rPr>
              <w:t>。</w:t>
            </w:r>
          </w:p>
          <w:p w14:paraId="47D1011D">
            <w:pPr>
              <w:tabs>
                <w:tab w:val="left" w:pos="900"/>
              </w:tabs>
              <w:adjustRightInd w:val="0"/>
              <w:snapToGrid w:val="0"/>
              <w:ind w:firstLine="482" w:firstLineChars="200"/>
              <w:rPr>
                <w:rFonts w:hint="default" w:ascii="Times New Roman" w:hAnsi="Times New Roman" w:cs="Times New Roman"/>
                <w:b/>
                <w:bCs/>
                <w:color w:val="auto"/>
              </w:rPr>
            </w:pPr>
            <w:r>
              <w:rPr>
                <w:rFonts w:hint="default" w:ascii="Times New Roman" w:hAnsi="Times New Roman" w:cs="Times New Roman"/>
                <w:b/>
                <w:bCs/>
                <w:color w:val="auto"/>
              </w:rPr>
              <w:t>九、电磁辐射</w:t>
            </w:r>
          </w:p>
          <w:p w14:paraId="2F2C0D5D">
            <w:pPr>
              <w:tabs>
                <w:tab w:val="left" w:pos="900"/>
              </w:tabs>
              <w:adjustRightInd w:val="0"/>
              <w:snapToGrid w:val="0"/>
              <w:ind w:firstLine="480" w:firstLineChars="200"/>
              <w:rPr>
                <w:rFonts w:hint="default" w:ascii="Times New Roman" w:hAnsi="Times New Roman" w:cs="Times New Roman"/>
                <w:color w:val="auto"/>
              </w:rPr>
            </w:pPr>
            <w:r>
              <w:rPr>
                <w:rFonts w:hint="default" w:ascii="Times New Roman" w:hAnsi="Times New Roman" w:cs="Times New Roman"/>
                <w:color w:val="auto"/>
              </w:rPr>
              <w:t>本项目不涉及电磁辐射。</w:t>
            </w:r>
          </w:p>
          <w:p w14:paraId="068EE3B3">
            <w:pPr>
              <w:rPr>
                <w:rFonts w:hint="default" w:ascii="Times New Roman" w:hAnsi="Times New Roman" w:eastAsia="宋体" w:cs="Times New Roman"/>
                <w:color w:val="auto"/>
                <w:lang w:eastAsia="zh-CN"/>
              </w:rPr>
            </w:pPr>
          </w:p>
          <w:p w14:paraId="56562486">
            <w:pPr>
              <w:rPr>
                <w:rFonts w:hint="default" w:ascii="Times New Roman" w:hAnsi="Times New Roman" w:eastAsia="宋体" w:cs="Times New Roman"/>
                <w:color w:val="auto"/>
                <w:lang w:eastAsia="zh-CN"/>
              </w:rPr>
            </w:pPr>
          </w:p>
          <w:p w14:paraId="1E912B23">
            <w:pPr>
              <w:rPr>
                <w:rFonts w:hint="eastAsia" w:cs="Times New Roman"/>
                <w:color w:val="auto"/>
                <w:lang w:eastAsia="zh-CN"/>
              </w:rPr>
            </w:pPr>
          </w:p>
          <w:p w14:paraId="3C6E06AF">
            <w:pPr>
              <w:rPr>
                <w:rFonts w:hint="eastAsia" w:cs="Times New Roman"/>
                <w:color w:val="auto"/>
                <w:lang w:eastAsia="zh-CN"/>
              </w:rPr>
            </w:pPr>
          </w:p>
          <w:p w14:paraId="44145A64">
            <w:pPr>
              <w:rPr>
                <w:rFonts w:hint="eastAsia" w:cs="Times New Roman"/>
                <w:color w:val="auto"/>
                <w:lang w:eastAsia="zh-CN"/>
              </w:rPr>
            </w:pPr>
          </w:p>
          <w:p w14:paraId="79509614">
            <w:pPr>
              <w:rPr>
                <w:rFonts w:hint="eastAsia" w:cs="Times New Roman"/>
                <w:color w:val="auto"/>
                <w:lang w:eastAsia="zh-CN"/>
              </w:rPr>
            </w:pPr>
          </w:p>
          <w:p w14:paraId="599F12B0">
            <w:pPr>
              <w:rPr>
                <w:rFonts w:hint="eastAsia" w:cs="Times New Roman"/>
                <w:color w:val="auto"/>
                <w:lang w:eastAsia="zh-CN"/>
              </w:rPr>
            </w:pPr>
          </w:p>
          <w:p w14:paraId="4F560B4A">
            <w:pPr>
              <w:rPr>
                <w:rFonts w:hint="eastAsia" w:cs="Times New Roman"/>
                <w:color w:val="auto"/>
                <w:lang w:eastAsia="zh-CN"/>
              </w:rPr>
            </w:pPr>
          </w:p>
          <w:p w14:paraId="1917FC11">
            <w:pPr>
              <w:rPr>
                <w:rFonts w:hint="eastAsia" w:cs="Times New Roman"/>
                <w:color w:val="auto"/>
                <w:lang w:eastAsia="zh-CN"/>
              </w:rPr>
            </w:pPr>
          </w:p>
          <w:p w14:paraId="40FA8D47">
            <w:pPr>
              <w:rPr>
                <w:rFonts w:hint="eastAsia" w:cs="Times New Roman"/>
                <w:color w:val="auto"/>
                <w:lang w:eastAsia="zh-CN"/>
              </w:rPr>
            </w:pPr>
          </w:p>
          <w:p w14:paraId="41F727C5">
            <w:pPr>
              <w:rPr>
                <w:rFonts w:hint="eastAsia" w:cs="Times New Roman"/>
                <w:color w:val="auto"/>
                <w:lang w:eastAsia="zh-CN"/>
              </w:rPr>
            </w:pPr>
          </w:p>
          <w:p w14:paraId="48C9D7C2">
            <w:pPr>
              <w:rPr>
                <w:rFonts w:hint="eastAsia" w:cs="Times New Roman"/>
                <w:color w:val="auto"/>
                <w:lang w:eastAsia="zh-CN"/>
              </w:rPr>
            </w:pPr>
          </w:p>
          <w:p w14:paraId="045350AC">
            <w:pPr>
              <w:rPr>
                <w:rFonts w:hint="eastAsia" w:cs="Times New Roman"/>
                <w:color w:val="auto"/>
                <w:lang w:eastAsia="zh-CN"/>
              </w:rPr>
            </w:pPr>
          </w:p>
          <w:p w14:paraId="122DD439">
            <w:pPr>
              <w:rPr>
                <w:rFonts w:hint="eastAsia" w:cs="Times New Roman"/>
                <w:color w:val="auto"/>
                <w:lang w:eastAsia="zh-CN"/>
              </w:rPr>
            </w:pPr>
          </w:p>
          <w:p w14:paraId="5AA166E9">
            <w:pPr>
              <w:rPr>
                <w:rFonts w:hint="eastAsia" w:cs="Times New Roman"/>
                <w:color w:val="auto"/>
                <w:lang w:eastAsia="zh-CN"/>
              </w:rPr>
            </w:pPr>
          </w:p>
          <w:p w14:paraId="48D78ACB">
            <w:pPr>
              <w:rPr>
                <w:rFonts w:hint="eastAsia" w:cs="Times New Roman"/>
                <w:color w:val="auto"/>
                <w:lang w:eastAsia="zh-CN"/>
              </w:rPr>
            </w:pPr>
          </w:p>
          <w:p w14:paraId="627C57DE">
            <w:pPr>
              <w:rPr>
                <w:rFonts w:hint="default" w:ascii="Times New Roman" w:hAnsi="Times New Roman" w:eastAsia="宋体" w:cs="Times New Roman"/>
                <w:color w:val="auto"/>
                <w:lang w:eastAsia="zh-CN"/>
              </w:rPr>
            </w:pPr>
          </w:p>
        </w:tc>
      </w:tr>
    </w:tbl>
    <w:p w14:paraId="00DA9A13">
      <w:pPr>
        <w:pStyle w:val="20"/>
        <w:rPr>
          <w:rFonts w:hint="eastAsia"/>
          <w:color w:val="auto"/>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p w14:paraId="16DA53CA">
      <w:pPr>
        <w:pStyle w:val="3"/>
        <w:bidi w:val="0"/>
        <w:rPr>
          <w:rFonts w:hint="eastAsia"/>
          <w:color w:val="auto"/>
        </w:rPr>
      </w:pPr>
      <w:r>
        <w:rPr>
          <w:rFonts w:hint="eastAsia"/>
          <w:color w:val="auto"/>
        </w:rPr>
        <w:t>五、环境保护措施监督检查清单</w:t>
      </w:r>
    </w:p>
    <w:tbl>
      <w:tblPr>
        <w:tblStyle w:val="33"/>
        <w:tblW w:w="906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42"/>
        <w:gridCol w:w="1464"/>
        <w:gridCol w:w="1140"/>
        <w:gridCol w:w="1510"/>
        <w:gridCol w:w="4004"/>
      </w:tblGrid>
      <w:tr w14:paraId="0988E9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942" w:type="dxa"/>
            <w:noWrap w:val="0"/>
            <w:vAlign w:val="top"/>
          </w:tcPr>
          <w:p w14:paraId="23703C41">
            <w:pPr>
              <w:adjustRightInd w:val="0"/>
              <w:snapToGrid w:val="0"/>
              <w:spacing w:line="240" w:lineRule="auto"/>
              <w:rPr>
                <w:b/>
                <w:bCs/>
                <w:color w:val="auto"/>
                <w:sz w:val="21"/>
              </w:rPr>
            </w:pPr>
            <w:r>
              <w:rPr>
                <w:color w:val="auto"/>
                <w:sz w:val="21"/>
              </w:rPr>
              <mc:AlternateContent>
                <mc:Choice Requires="wps">
                  <w:drawing>
                    <wp:anchor distT="0" distB="0" distL="114300" distR="114300" simplePos="0" relativeHeight="251661312" behindDoc="0" locked="0" layoutInCell="1" allowOverlap="1">
                      <wp:simplePos x="0" y="0"/>
                      <wp:positionH relativeFrom="column">
                        <wp:posOffset>-55245</wp:posOffset>
                      </wp:positionH>
                      <wp:positionV relativeFrom="paragraph">
                        <wp:posOffset>-4445</wp:posOffset>
                      </wp:positionV>
                      <wp:extent cx="591820" cy="476885"/>
                      <wp:effectExtent l="3175" t="3810" r="14605" b="14605"/>
                      <wp:wrapNone/>
                      <wp:docPr id="2" name="直接箭头连接符 1"/>
                      <wp:cNvGraphicFramePr/>
                      <a:graphic xmlns:a="http://schemas.openxmlformats.org/drawingml/2006/main">
                        <a:graphicData uri="http://schemas.microsoft.com/office/word/2010/wordprocessingShape">
                          <wps:wsp>
                            <wps:cNvCnPr/>
                            <wps:spPr>
                              <a:xfrm>
                                <a:off x="0" y="0"/>
                                <a:ext cx="591820" cy="476885"/>
                              </a:xfrm>
                              <a:prstGeom prst="straightConnector1">
                                <a:avLst/>
                              </a:prstGeom>
                              <a:ln w="9525" cap="flat" cmpd="sng">
                                <a:solidFill>
                                  <a:srgbClr val="000000"/>
                                </a:solidFill>
                                <a:prstDash val="solid"/>
                                <a:round/>
                                <a:headEnd type="none" w="med" len="med"/>
                                <a:tailEnd type="none" w="med" len="med"/>
                              </a:ln>
                              <a:effectLst/>
                            </wps:spPr>
                            <wps:bodyPr/>
                          </wps:wsp>
                        </a:graphicData>
                      </a:graphic>
                    </wp:anchor>
                  </w:drawing>
                </mc:Choice>
                <mc:Fallback>
                  <w:pict>
                    <v:shape id="直接箭头连接符 1" o:spid="_x0000_s1026" o:spt="32" type="#_x0000_t32" style="position:absolute;left:0pt;margin-left:-4.35pt;margin-top:-0.35pt;height:37.55pt;width:46.6pt;z-index:251661312;mso-width-relative:page;mso-height-relative:page;" filled="f" stroked="t" coordsize="21600,21600" o:gfxdata="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urfBbNUAAAAGAQAADwAAAAAAAAABACAAAAAiAAAA&#10;ZHJzL2Rvd25yZXYueG1sUEsBAhQAFAAAAAgAh07iQIs9yRwKAgAACAQAAA4AAAAAAAAAAQAgAAAA&#10;JAEAAGRycy9lMm9Eb2MueG1sUEsFBgAAAAAGAAYAWQEAAKAFAAAAAA==&#10;">
                      <v:fill on="f" focussize="0,0"/>
                      <v:stroke color="#000000" joinstyle="round"/>
                      <v:imagedata o:title=""/>
                      <o:lock v:ext="edit" aspectratio="f"/>
                    </v:shape>
                  </w:pict>
                </mc:Fallback>
              </mc:AlternateContent>
            </w:r>
            <w:r>
              <w:rPr>
                <w:b/>
                <w:bCs/>
                <w:color w:val="auto"/>
                <w:sz w:val="21"/>
              </w:rPr>
              <w:t>内容</w:t>
            </w:r>
          </w:p>
          <w:p w14:paraId="61125FB5">
            <w:pPr>
              <w:adjustRightInd w:val="0"/>
              <w:snapToGrid w:val="0"/>
              <w:spacing w:line="240" w:lineRule="auto"/>
              <w:rPr>
                <w:b/>
                <w:bCs/>
                <w:color w:val="auto"/>
                <w:sz w:val="21"/>
              </w:rPr>
            </w:pPr>
          </w:p>
          <w:p w14:paraId="67098B9C">
            <w:pPr>
              <w:adjustRightInd w:val="0"/>
              <w:snapToGrid w:val="0"/>
              <w:spacing w:line="240" w:lineRule="auto"/>
              <w:rPr>
                <w:b/>
                <w:bCs/>
                <w:color w:val="auto"/>
                <w:sz w:val="21"/>
              </w:rPr>
            </w:pPr>
            <w:r>
              <w:rPr>
                <w:b/>
                <w:bCs/>
                <w:color w:val="auto"/>
                <w:sz w:val="21"/>
              </w:rPr>
              <w:t>要素</w:t>
            </w:r>
          </w:p>
        </w:tc>
        <w:tc>
          <w:tcPr>
            <w:tcW w:w="1464" w:type="dxa"/>
            <w:noWrap w:val="0"/>
            <w:vAlign w:val="center"/>
          </w:tcPr>
          <w:p w14:paraId="46B9B5A9">
            <w:pPr>
              <w:adjustRightInd w:val="0"/>
              <w:snapToGrid w:val="0"/>
              <w:spacing w:line="240" w:lineRule="auto"/>
              <w:jc w:val="center"/>
              <w:rPr>
                <w:b/>
                <w:bCs/>
                <w:color w:val="auto"/>
                <w:sz w:val="21"/>
              </w:rPr>
            </w:pPr>
            <w:r>
              <w:rPr>
                <w:b/>
                <w:bCs/>
                <w:color w:val="auto"/>
                <w:sz w:val="21"/>
              </w:rPr>
              <w:t>排放口</w:t>
            </w:r>
            <w:r>
              <w:rPr>
                <w:rFonts w:hint="eastAsia"/>
                <w:b/>
                <w:bCs/>
                <w:color w:val="auto"/>
                <w:sz w:val="21"/>
              </w:rPr>
              <w:t>（</w:t>
            </w:r>
            <w:r>
              <w:rPr>
                <w:b/>
                <w:bCs/>
                <w:color w:val="auto"/>
                <w:sz w:val="21"/>
              </w:rPr>
              <w:t>编号、名称</w:t>
            </w:r>
            <w:r>
              <w:rPr>
                <w:rFonts w:hint="eastAsia"/>
                <w:b/>
                <w:bCs/>
                <w:color w:val="auto"/>
                <w:sz w:val="21"/>
              </w:rPr>
              <w:t>）</w:t>
            </w:r>
            <w:r>
              <w:rPr>
                <w:b/>
                <w:bCs/>
                <w:color w:val="auto"/>
                <w:sz w:val="21"/>
              </w:rPr>
              <w:t>/污染源</w:t>
            </w:r>
          </w:p>
        </w:tc>
        <w:tc>
          <w:tcPr>
            <w:tcW w:w="1140" w:type="dxa"/>
            <w:noWrap w:val="0"/>
            <w:vAlign w:val="center"/>
          </w:tcPr>
          <w:p w14:paraId="5626F388">
            <w:pPr>
              <w:adjustRightInd w:val="0"/>
              <w:snapToGrid w:val="0"/>
              <w:spacing w:line="240" w:lineRule="auto"/>
              <w:jc w:val="center"/>
              <w:rPr>
                <w:b/>
                <w:bCs/>
                <w:color w:val="auto"/>
                <w:sz w:val="21"/>
              </w:rPr>
            </w:pPr>
            <w:r>
              <w:rPr>
                <w:b/>
                <w:bCs/>
                <w:color w:val="auto"/>
                <w:sz w:val="21"/>
              </w:rPr>
              <w:t>污染物项目</w:t>
            </w:r>
          </w:p>
        </w:tc>
        <w:tc>
          <w:tcPr>
            <w:tcW w:w="1510" w:type="dxa"/>
            <w:noWrap w:val="0"/>
            <w:vAlign w:val="center"/>
          </w:tcPr>
          <w:p w14:paraId="5B90CB27">
            <w:pPr>
              <w:adjustRightInd w:val="0"/>
              <w:snapToGrid w:val="0"/>
              <w:spacing w:line="240" w:lineRule="auto"/>
              <w:jc w:val="center"/>
              <w:rPr>
                <w:b/>
                <w:bCs/>
                <w:color w:val="auto"/>
                <w:sz w:val="21"/>
              </w:rPr>
            </w:pPr>
            <w:r>
              <w:rPr>
                <w:b/>
                <w:bCs/>
                <w:color w:val="auto"/>
                <w:sz w:val="21"/>
              </w:rPr>
              <w:t>环境保护措施</w:t>
            </w:r>
          </w:p>
        </w:tc>
        <w:tc>
          <w:tcPr>
            <w:tcW w:w="4004" w:type="dxa"/>
            <w:noWrap w:val="0"/>
            <w:vAlign w:val="center"/>
          </w:tcPr>
          <w:p w14:paraId="02BAC56A">
            <w:pPr>
              <w:adjustRightInd w:val="0"/>
              <w:snapToGrid w:val="0"/>
              <w:spacing w:line="240" w:lineRule="auto"/>
              <w:jc w:val="center"/>
              <w:rPr>
                <w:b/>
                <w:bCs/>
                <w:color w:val="auto"/>
                <w:sz w:val="21"/>
              </w:rPr>
            </w:pPr>
            <w:r>
              <w:rPr>
                <w:b/>
                <w:bCs/>
                <w:color w:val="auto"/>
                <w:sz w:val="21"/>
              </w:rPr>
              <w:t>执行标准</w:t>
            </w:r>
          </w:p>
        </w:tc>
      </w:tr>
      <w:tr w14:paraId="659703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942" w:type="dxa"/>
            <w:vMerge w:val="restart"/>
            <w:noWrap w:val="0"/>
            <w:vAlign w:val="center"/>
          </w:tcPr>
          <w:p w14:paraId="04A025D3">
            <w:pPr>
              <w:pStyle w:val="44"/>
              <w:bidi w:val="0"/>
              <w:rPr>
                <w:rFonts w:hint="default"/>
                <w:color w:val="auto"/>
                <w:lang w:val="en-US" w:eastAsia="zh-CN"/>
              </w:rPr>
            </w:pPr>
            <w:r>
              <w:rPr>
                <w:rFonts w:hint="eastAsia"/>
                <w:color w:val="auto"/>
                <w:lang w:val="en-US" w:eastAsia="zh-CN"/>
              </w:rPr>
              <w:t>大气环境</w:t>
            </w:r>
          </w:p>
        </w:tc>
        <w:tc>
          <w:tcPr>
            <w:tcW w:w="1464" w:type="dxa"/>
            <w:noWrap w:val="0"/>
            <w:vAlign w:val="center"/>
          </w:tcPr>
          <w:p w14:paraId="5A047248">
            <w:pPr>
              <w:pStyle w:val="44"/>
              <w:bidi w:val="0"/>
              <w:rPr>
                <w:rFonts w:hint="default"/>
                <w:color w:val="auto"/>
                <w:lang w:val="en-US" w:eastAsia="zh-CN"/>
              </w:rPr>
            </w:pPr>
            <w:r>
              <w:rPr>
                <w:rFonts w:hint="eastAsia"/>
                <w:color w:val="auto"/>
                <w:lang w:val="en-US" w:eastAsia="zh-CN"/>
              </w:rPr>
              <w:t>DA001</w:t>
            </w:r>
          </w:p>
        </w:tc>
        <w:tc>
          <w:tcPr>
            <w:tcW w:w="1140" w:type="dxa"/>
            <w:noWrap w:val="0"/>
            <w:vAlign w:val="center"/>
          </w:tcPr>
          <w:p w14:paraId="7EBB3E8D">
            <w:pPr>
              <w:pStyle w:val="44"/>
              <w:bidi w:val="0"/>
              <w:rPr>
                <w:rFonts w:hint="eastAsia"/>
                <w:color w:val="auto"/>
                <w:lang w:val="en-US" w:eastAsia="zh-CN"/>
              </w:rPr>
            </w:pPr>
            <w:r>
              <w:rPr>
                <w:rFonts w:hint="eastAsia"/>
                <w:color w:val="auto"/>
                <w:lang w:val="en-US" w:eastAsia="zh-CN"/>
              </w:rPr>
              <w:t>颗粒物</w:t>
            </w:r>
          </w:p>
        </w:tc>
        <w:tc>
          <w:tcPr>
            <w:tcW w:w="1510" w:type="dxa"/>
            <w:noWrap w:val="0"/>
            <w:vAlign w:val="center"/>
          </w:tcPr>
          <w:p w14:paraId="387C5A27">
            <w:pPr>
              <w:pStyle w:val="44"/>
              <w:bidi w:val="0"/>
              <w:rPr>
                <w:rFonts w:hint="default"/>
                <w:color w:val="auto"/>
                <w:lang w:val="en-US" w:eastAsia="zh-CN"/>
              </w:rPr>
            </w:pPr>
            <w:r>
              <w:rPr>
                <w:rFonts w:hint="eastAsia"/>
                <w:color w:val="auto"/>
                <w:lang w:val="en-US" w:eastAsia="zh-CN"/>
              </w:rPr>
              <w:t>集气罩+袋式除尘器</w:t>
            </w:r>
          </w:p>
        </w:tc>
        <w:tc>
          <w:tcPr>
            <w:tcW w:w="4004" w:type="dxa"/>
            <w:noWrap w:val="0"/>
            <w:vAlign w:val="center"/>
          </w:tcPr>
          <w:p w14:paraId="2C7FB571">
            <w:pPr>
              <w:pStyle w:val="44"/>
              <w:bidi w:val="0"/>
              <w:rPr>
                <w:rFonts w:hint="default"/>
                <w:color w:val="auto"/>
                <w:lang w:val="en-US" w:eastAsia="zh-CN"/>
              </w:rPr>
            </w:pPr>
            <w:r>
              <w:rPr>
                <w:rFonts w:hint="eastAsia"/>
                <w:color w:val="auto"/>
                <w:lang w:val="en-US" w:eastAsia="zh-CN"/>
              </w:rPr>
              <w:t>满足</w:t>
            </w:r>
            <w:r>
              <w:rPr>
                <w:rFonts w:hint="default" w:ascii="Times New Roman" w:hAnsi="Times New Roman" w:cs="Times New Roman"/>
                <w:color w:val="auto"/>
              </w:rPr>
              <w:t>《区域性大气污染物综合排放标准》（DB37/2736-2019）表1一般控制区标准限值</w:t>
            </w:r>
            <w:r>
              <w:rPr>
                <w:rFonts w:hint="eastAsia" w:cs="Times New Roman"/>
                <w:color w:val="auto"/>
                <w:lang w:eastAsia="zh-CN"/>
              </w:rPr>
              <w:t>、《大气污染物综合排放标准》（GB16297-1996）表2标准限值</w:t>
            </w:r>
          </w:p>
        </w:tc>
      </w:tr>
      <w:tr w14:paraId="74FA72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942" w:type="dxa"/>
            <w:vMerge w:val="continue"/>
            <w:noWrap w:val="0"/>
            <w:vAlign w:val="center"/>
          </w:tcPr>
          <w:p w14:paraId="206B0FF7">
            <w:pPr>
              <w:pStyle w:val="44"/>
              <w:bidi w:val="0"/>
              <w:rPr>
                <w:rFonts w:hint="eastAsia"/>
                <w:color w:val="auto"/>
                <w:lang w:val="en-US" w:eastAsia="zh-CN"/>
              </w:rPr>
            </w:pPr>
          </w:p>
        </w:tc>
        <w:tc>
          <w:tcPr>
            <w:tcW w:w="1464" w:type="dxa"/>
            <w:vMerge w:val="restart"/>
            <w:noWrap w:val="0"/>
            <w:vAlign w:val="center"/>
          </w:tcPr>
          <w:p w14:paraId="3EE38932">
            <w:pPr>
              <w:pStyle w:val="44"/>
              <w:bidi w:val="0"/>
              <w:rPr>
                <w:rFonts w:hint="default"/>
                <w:color w:val="auto"/>
                <w:lang w:val="en-US" w:eastAsia="zh-CN"/>
              </w:rPr>
            </w:pPr>
            <w:r>
              <w:rPr>
                <w:rFonts w:hint="eastAsia"/>
                <w:color w:val="auto"/>
                <w:lang w:val="en-US" w:eastAsia="zh-CN"/>
              </w:rPr>
              <w:t>DA002</w:t>
            </w:r>
          </w:p>
        </w:tc>
        <w:tc>
          <w:tcPr>
            <w:tcW w:w="1140" w:type="dxa"/>
            <w:noWrap w:val="0"/>
            <w:vAlign w:val="center"/>
          </w:tcPr>
          <w:p w14:paraId="055CFA79">
            <w:pPr>
              <w:pStyle w:val="44"/>
              <w:bidi w:val="0"/>
              <w:rPr>
                <w:rFonts w:hint="eastAsia"/>
                <w:color w:val="auto"/>
                <w:lang w:val="en-US" w:eastAsia="zh-CN"/>
              </w:rPr>
            </w:pPr>
            <w:r>
              <w:rPr>
                <w:rFonts w:hint="eastAsia"/>
                <w:color w:val="auto"/>
                <w:lang w:val="en-US" w:eastAsia="zh-CN"/>
              </w:rPr>
              <w:t>VOCs、</w:t>
            </w:r>
          </w:p>
        </w:tc>
        <w:tc>
          <w:tcPr>
            <w:tcW w:w="1510" w:type="dxa"/>
            <w:vMerge w:val="restart"/>
            <w:noWrap w:val="0"/>
            <w:vAlign w:val="center"/>
          </w:tcPr>
          <w:p w14:paraId="66262FA0">
            <w:pPr>
              <w:pStyle w:val="44"/>
              <w:bidi w:val="0"/>
              <w:rPr>
                <w:rFonts w:hint="default"/>
                <w:color w:val="auto"/>
                <w:lang w:val="en-US" w:eastAsia="zh-CN"/>
              </w:rPr>
            </w:pPr>
            <w:r>
              <w:rPr>
                <w:rFonts w:hint="eastAsia"/>
                <w:color w:val="auto"/>
                <w:lang w:val="en-US" w:eastAsia="zh-CN"/>
              </w:rPr>
              <w:t>集气管道+“冷凝+二级活性炭吸附装置”</w:t>
            </w:r>
          </w:p>
        </w:tc>
        <w:tc>
          <w:tcPr>
            <w:tcW w:w="4004" w:type="dxa"/>
            <w:noWrap w:val="0"/>
            <w:vAlign w:val="center"/>
          </w:tcPr>
          <w:p w14:paraId="2574ED69">
            <w:pPr>
              <w:pStyle w:val="44"/>
              <w:bidi w:val="0"/>
              <w:rPr>
                <w:rFonts w:hint="eastAsia" w:eastAsia="宋体"/>
                <w:color w:val="auto"/>
                <w:lang w:val="en-US" w:eastAsia="zh-CN"/>
              </w:rPr>
            </w:pPr>
            <w:r>
              <w:rPr>
                <w:rFonts w:hint="eastAsia"/>
                <w:color w:val="auto"/>
                <w:lang w:val="en-US" w:eastAsia="zh-CN"/>
              </w:rPr>
              <w:t>满足</w:t>
            </w:r>
            <w:r>
              <w:rPr>
                <w:rFonts w:hint="default" w:ascii="Times New Roman" w:hAnsi="Times New Roman" w:cs="Times New Roman"/>
                <w:color w:val="auto"/>
              </w:rPr>
              <w:t>《挥发性有机物排放标准 第6部分：有机化工》（DB37/2801.6-2018）表1“涂料、油墨、颜料及类似产品制造（C264）”行业Ⅱ时段标准限值</w:t>
            </w:r>
          </w:p>
        </w:tc>
      </w:tr>
      <w:tr w14:paraId="0CCE97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942" w:type="dxa"/>
            <w:vMerge w:val="continue"/>
            <w:noWrap w:val="0"/>
            <w:vAlign w:val="center"/>
          </w:tcPr>
          <w:p w14:paraId="4564B697">
            <w:pPr>
              <w:pStyle w:val="44"/>
              <w:bidi w:val="0"/>
              <w:rPr>
                <w:rFonts w:hint="eastAsia"/>
                <w:color w:val="auto"/>
                <w:lang w:val="en-US" w:eastAsia="zh-CN"/>
              </w:rPr>
            </w:pPr>
          </w:p>
        </w:tc>
        <w:tc>
          <w:tcPr>
            <w:tcW w:w="1464" w:type="dxa"/>
            <w:vMerge w:val="continue"/>
            <w:noWrap w:val="0"/>
            <w:vAlign w:val="center"/>
          </w:tcPr>
          <w:p w14:paraId="4BFDA448">
            <w:pPr>
              <w:pStyle w:val="44"/>
              <w:bidi w:val="0"/>
              <w:rPr>
                <w:rFonts w:hint="eastAsia"/>
                <w:color w:val="auto"/>
                <w:lang w:val="en-US" w:eastAsia="zh-CN"/>
              </w:rPr>
            </w:pPr>
          </w:p>
        </w:tc>
        <w:tc>
          <w:tcPr>
            <w:tcW w:w="1140" w:type="dxa"/>
            <w:noWrap w:val="0"/>
            <w:vAlign w:val="center"/>
          </w:tcPr>
          <w:p w14:paraId="18F0AEC0">
            <w:pPr>
              <w:pStyle w:val="44"/>
              <w:bidi w:val="0"/>
              <w:rPr>
                <w:rFonts w:hint="default"/>
                <w:color w:val="auto"/>
                <w:lang w:val="en-US" w:eastAsia="zh-CN"/>
              </w:rPr>
            </w:pPr>
            <w:r>
              <w:rPr>
                <w:rFonts w:hint="eastAsia"/>
                <w:color w:val="auto"/>
                <w:lang w:val="en-US" w:eastAsia="zh-CN"/>
              </w:rPr>
              <w:t>臭气浓度</w:t>
            </w:r>
          </w:p>
        </w:tc>
        <w:tc>
          <w:tcPr>
            <w:tcW w:w="1510" w:type="dxa"/>
            <w:vMerge w:val="continue"/>
            <w:noWrap w:val="0"/>
            <w:vAlign w:val="center"/>
          </w:tcPr>
          <w:p w14:paraId="098C057A">
            <w:pPr>
              <w:pStyle w:val="44"/>
              <w:bidi w:val="0"/>
              <w:rPr>
                <w:rFonts w:hint="eastAsia"/>
                <w:color w:val="auto"/>
                <w:lang w:val="en-US" w:eastAsia="zh-CN"/>
              </w:rPr>
            </w:pPr>
          </w:p>
        </w:tc>
        <w:tc>
          <w:tcPr>
            <w:tcW w:w="4004" w:type="dxa"/>
            <w:noWrap w:val="0"/>
            <w:vAlign w:val="center"/>
          </w:tcPr>
          <w:p w14:paraId="7399133E">
            <w:pPr>
              <w:pStyle w:val="44"/>
              <w:bidi w:val="0"/>
              <w:rPr>
                <w:rFonts w:hint="eastAsia"/>
                <w:color w:val="auto"/>
                <w:lang w:val="en-US" w:eastAsia="zh-CN"/>
              </w:rPr>
            </w:pPr>
            <w:r>
              <w:rPr>
                <w:rFonts w:hint="eastAsia"/>
                <w:color w:val="auto"/>
                <w:lang w:val="en-US" w:eastAsia="zh-CN"/>
              </w:rPr>
              <w:t>满足</w:t>
            </w:r>
            <w:r>
              <w:rPr>
                <w:rFonts w:hint="default" w:ascii="Times New Roman" w:hAnsi="Times New Roman" w:cs="Times New Roman"/>
                <w:color w:val="auto"/>
                <w:szCs w:val="32"/>
                <w:lang w:val="en-US" w:eastAsia="zh-CN"/>
              </w:rPr>
              <w:t>《恶臭污染物排放标准》（GB14554-93）表</w:t>
            </w:r>
            <w:r>
              <w:rPr>
                <w:rFonts w:hint="eastAsia" w:cs="Times New Roman"/>
                <w:color w:val="auto"/>
                <w:szCs w:val="32"/>
                <w:lang w:val="en-US" w:eastAsia="zh-CN"/>
              </w:rPr>
              <w:t>2</w:t>
            </w:r>
            <w:r>
              <w:rPr>
                <w:rFonts w:hint="default" w:ascii="Times New Roman" w:hAnsi="Times New Roman" w:cs="Times New Roman"/>
                <w:color w:val="auto"/>
                <w:szCs w:val="32"/>
                <w:lang w:val="en-US" w:eastAsia="zh-CN"/>
              </w:rPr>
              <w:t>标准限值</w:t>
            </w:r>
          </w:p>
        </w:tc>
      </w:tr>
      <w:tr w14:paraId="74B6DE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942" w:type="dxa"/>
            <w:vMerge w:val="continue"/>
            <w:noWrap w:val="0"/>
            <w:vAlign w:val="center"/>
          </w:tcPr>
          <w:p w14:paraId="5026FA13">
            <w:pPr>
              <w:pStyle w:val="44"/>
              <w:bidi w:val="0"/>
              <w:rPr>
                <w:rFonts w:hint="default"/>
                <w:color w:val="auto"/>
                <w:lang w:val="en-US" w:eastAsia="zh-CN"/>
              </w:rPr>
            </w:pPr>
          </w:p>
        </w:tc>
        <w:tc>
          <w:tcPr>
            <w:tcW w:w="1464" w:type="dxa"/>
            <w:vMerge w:val="restart"/>
            <w:noWrap w:val="0"/>
            <w:vAlign w:val="center"/>
          </w:tcPr>
          <w:p w14:paraId="00BEDD01">
            <w:pPr>
              <w:pStyle w:val="44"/>
              <w:bidi w:val="0"/>
              <w:rPr>
                <w:rFonts w:hint="default"/>
                <w:color w:val="auto"/>
                <w:lang w:val="en-US" w:eastAsia="zh-CN"/>
              </w:rPr>
            </w:pPr>
            <w:r>
              <w:rPr>
                <w:rFonts w:hint="eastAsia"/>
                <w:color w:val="auto"/>
                <w:lang w:val="en-US" w:eastAsia="zh-CN"/>
              </w:rPr>
              <w:t>无组织</w:t>
            </w:r>
          </w:p>
        </w:tc>
        <w:tc>
          <w:tcPr>
            <w:tcW w:w="1140" w:type="dxa"/>
            <w:noWrap w:val="0"/>
            <w:vAlign w:val="center"/>
          </w:tcPr>
          <w:p w14:paraId="1FAA54C5">
            <w:pPr>
              <w:pStyle w:val="44"/>
              <w:bidi w:val="0"/>
              <w:rPr>
                <w:rFonts w:hint="eastAsia"/>
                <w:color w:val="auto"/>
                <w:lang w:val="en-US" w:eastAsia="zh-CN"/>
              </w:rPr>
            </w:pPr>
            <w:r>
              <w:rPr>
                <w:rFonts w:hint="eastAsia"/>
                <w:color w:val="auto"/>
                <w:lang w:val="en-US" w:eastAsia="zh-CN"/>
              </w:rPr>
              <w:t>VOCs</w:t>
            </w:r>
          </w:p>
        </w:tc>
        <w:tc>
          <w:tcPr>
            <w:tcW w:w="1510" w:type="dxa"/>
            <w:vMerge w:val="restart"/>
            <w:noWrap w:val="0"/>
            <w:vAlign w:val="center"/>
          </w:tcPr>
          <w:p w14:paraId="45BF8BC3">
            <w:pPr>
              <w:pStyle w:val="44"/>
              <w:bidi w:val="0"/>
              <w:rPr>
                <w:rFonts w:hint="default"/>
                <w:color w:val="auto"/>
                <w:lang w:val="en-US" w:eastAsia="zh-CN"/>
              </w:rPr>
            </w:pPr>
            <w:r>
              <w:rPr>
                <w:rFonts w:hint="eastAsia"/>
                <w:color w:val="auto"/>
                <w:lang w:val="en-US" w:eastAsia="zh-CN"/>
              </w:rPr>
              <w:t>加强车间密闭</w:t>
            </w:r>
          </w:p>
        </w:tc>
        <w:tc>
          <w:tcPr>
            <w:tcW w:w="4004" w:type="dxa"/>
            <w:noWrap w:val="0"/>
            <w:vAlign w:val="center"/>
          </w:tcPr>
          <w:p w14:paraId="5C6CBF53">
            <w:pPr>
              <w:pStyle w:val="44"/>
              <w:bidi w:val="0"/>
              <w:rPr>
                <w:rFonts w:hint="default"/>
                <w:color w:val="auto"/>
                <w:lang w:val="en-US" w:eastAsia="zh-CN"/>
              </w:rPr>
            </w:pPr>
            <w:r>
              <w:rPr>
                <w:rFonts w:hint="eastAsia"/>
                <w:color w:val="auto"/>
                <w:lang w:val="en-US" w:eastAsia="zh-CN"/>
              </w:rPr>
              <w:t>满足《挥发性有机物排放标准 第6部分：有机化工》（DB37/2801.6-2018）表3厂界监控点浓度限值</w:t>
            </w:r>
          </w:p>
        </w:tc>
      </w:tr>
      <w:tr w14:paraId="3CEA58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942" w:type="dxa"/>
            <w:vMerge w:val="continue"/>
            <w:noWrap w:val="0"/>
            <w:vAlign w:val="center"/>
          </w:tcPr>
          <w:p w14:paraId="3D7B16D3">
            <w:pPr>
              <w:pStyle w:val="44"/>
              <w:bidi w:val="0"/>
              <w:rPr>
                <w:rFonts w:hint="default"/>
                <w:color w:val="auto"/>
                <w:lang w:val="en-US" w:eastAsia="zh-CN"/>
              </w:rPr>
            </w:pPr>
          </w:p>
        </w:tc>
        <w:tc>
          <w:tcPr>
            <w:tcW w:w="1464" w:type="dxa"/>
            <w:vMerge w:val="continue"/>
            <w:noWrap w:val="0"/>
            <w:vAlign w:val="center"/>
          </w:tcPr>
          <w:p w14:paraId="44EC3099">
            <w:pPr>
              <w:pStyle w:val="44"/>
              <w:bidi w:val="0"/>
              <w:rPr>
                <w:rFonts w:hint="eastAsia"/>
                <w:color w:val="auto"/>
                <w:lang w:val="en-US" w:eastAsia="zh-CN"/>
              </w:rPr>
            </w:pPr>
          </w:p>
        </w:tc>
        <w:tc>
          <w:tcPr>
            <w:tcW w:w="1140" w:type="dxa"/>
            <w:noWrap w:val="0"/>
            <w:vAlign w:val="center"/>
          </w:tcPr>
          <w:p w14:paraId="263EA25C">
            <w:pPr>
              <w:pStyle w:val="44"/>
              <w:bidi w:val="0"/>
              <w:rPr>
                <w:rFonts w:hint="eastAsia"/>
                <w:color w:val="auto"/>
                <w:lang w:val="en-US" w:eastAsia="zh-CN"/>
              </w:rPr>
            </w:pPr>
            <w:r>
              <w:rPr>
                <w:rFonts w:hint="eastAsia"/>
                <w:color w:val="auto"/>
                <w:lang w:val="en-US" w:eastAsia="zh-CN"/>
              </w:rPr>
              <w:t>颗粒物</w:t>
            </w:r>
          </w:p>
        </w:tc>
        <w:tc>
          <w:tcPr>
            <w:tcW w:w="1510" w:type="dxa"/>
            <w:vMerge w:val="continue"/>
            <w:noWrap w:val="0"/>
            <w:vAlign w:val="center"/>
          </w:tcPr>
          <w:p w14:paraId="4974FC56">
            <w:pPr>
              <w:pStyle w:val="44"/>
              <w:bidi w:val="0"/>
              <w:rPr>
                <w:rFonts w:hint="default"/>
                <w:color w:val="auto"/>
                <w:lang w:val="en-US" w:eastAsia="zh-CN"/>
              </w:rPr>
            </w:pPr>
          </w:p>
        </w:tc>
        <w:tc>
          <w:tcPr>
            <w:tcW w:w="4004" w:type="dxa"/>
            <w:noWrap w:val="0"/>
            <w:vAlign w:val="center"/>
          </w:tcPr>
          <w:p w14:paraId="30DF82CC">
            <w:pPr>
              <w:pStyle w:val="44"/>
              <w:bidi w:val="0"/>
              <w:rPr>
                <w:rFonts w:hint="default"/>
                <w:color w:val="auto"/>
                <w:lang w:val="en-US" w:eastAsia="zh-CN"/>
              </w:rPr>
            </w:pPr>
            <w:r>
              <w:rPr>
                <w:rFonts w:hint="eastAsia"/>
                <w:color w:val="auto"/>
                <w:lang w:val="en-US" w:eastAsia="zh-CN"/>
              </w:rPr>
              <w:t>满足《大气污染物综合排放标准》（GB16297-1996）表2</w:t>
            </w:r>
            <w:r>
              <w:rPr>
                <w:rFonts w:hint="eastAsia"/>
                <w:color w:val="auto"/>
                <w:szCs w:val="32"/>
                <w:lang w:val="en-US" w:eastAsia="zh-CN"/>
              </w:rPr>
              <w:t>标准限值</w:t>
            </w:r>
          </w:p>
        </w:tc>
      </w:tr>
      <w:tr w14:paraId="3A2890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942" w:type="dxa"/>
            <w:vMerge w:val="continue"/>
            <w:noWrap w:val="0"/>
            <w:vAlign w:val="center"/>
          </w:tcPr>
          <w:p w14:paraId="1CCB9D74">
            <w:pPr>
              <w:pStyle w:val="44"/>
              <w:bidi w:val="0"/>
              <w:rPr>
                <w:rFonts w:hint="default"/>
                <w:color w:val="auto"/>
                <w:lang w:val="en-US" w:eastAsia="zh-CN"/>
              </w:rPr>
            </w:pPr>
          </w:p>
        </w:tc>
        <w:tc>
          <w:tcPr>
            <w:tcW w:w="1464" w:type="dxa"/>
            <w:vMerge w:val="continue"/>
            <w:noWrap w:val="0"/>
            <w:vAlign w:val="center"/>
          </w:tcPr>
          <w:p w14:paraId="5E3BE81B">
            <w:pPr>
              <w:pStyle w:val="44"/>
              <w:bidi w:val="0"/>
              <w:rPr>
                <w:rFonts w:hint="eastAsia"/>
                <w:color w:val="auto"/>
                <w:lang w:val="en-US" w:eastAsia="zh-CN"/>
              </w:rPr>
            </w:pPr>
          </w:p>
        </w:tc>
        <w:tc>
          <w:tcPr>
            <w:tcW w:w="1140" w:type="dxa"/>
            <w:noWrap w:val="0"/>
            <w:vAlign w:val="center"/>
          </w:tcPr>
          <w:p w14:paraId="79C4937E">
            <w:pPr>
              <w:pStyle w:val="44"/>
              <w:bidi w:val="0"/>
              <w:rPr>
                <w:rFonts w:hint="eastAsia"/>
                <w:color w:val="auto"/>
                <w:lang w:val="en-US" w:eastAsia="zh-CN"/>
              </w:rPr>
            </w:pPr>
            <w:r>
              <w:rPr>
                <w:rFonts w:hint="eastAsia"/>
                <w:color w:val="auto"/>
                <w:lang w:val="en-US" w:eastAsia="zh-CN"/>
              </w:rPr>
              <w:t>臭气浓度</w:t>
            </w:r>
          </w:p>
        </w:tc>
        <w:tc>
          <w:tcPr>
            <w:tcW w:w="1510" w:type="dxa"/>
            <w:vMerge w:val="continue"/>
            <w:noWrap w:val="0"/>
            <w:vAlign w:val="center"/>
          </w:tcPr>
          <w:p w14:paraId="74C83A51">
            <w:pPr>
              <w:pStyle w:val="44"/>
              <w:bidi w:val="0"/>
              <w:rPr>
                <w:rFonts w:hint="default"/>
                <w:color w:val="auto"/>
                <w:lang w:val="en-US" w:eastAsia="zh-CN"/>
              </w:rPr>
            </w:pPr>
          </w:p>
        </w:tc>
        <w:tc>
          <w:tcPr>
            <w:tcW w:w="4004" w:type="dxa"/>
            <w:noWrap w:val="0"/>
            <w:vAlign w:val="center"/>
          </w:tcPr>
          <w:p w14:paraId="394770A8">
            <w:pPr>
              <w:pStyle w:val="44"/>
              <w:bidi w:val="0"/>
              <w:rPr>
                <w:rFonts w:hint="eastAsia"/>
                <w:color w:val="auto"/>
                <w:lang w:val="en-US" w:eastAsia="zh-CN"/>
              </w:rPr>
            </w:pPr>
            <w:r>
              <w:rPr>
                <w:rFonts w:hint="eastAsia"/>
                <w:color w:val="auto"/>
                <w:lang w:val="en-US" w:eastAsia="zh-CN"/>
              </w:rPr>
              <w:t>满足</w:t>
            </w:r>
            <w:r>
              <w:rPr>
                <w:rFonts w:hint="default" w:ascii="Times New Roman" w:hAnsi="Times New Roman" w:cs="Times New Roman"/>
                <w:color w:val="auto"/>
                <w:szCs w:val="32"/>
                <w:lang w:val="en-US" w:eastAsia="zh-CN"/>
              </w:rPr>
              <w:t>《恶臭污染物排放标准》（GB14554-93）表</w:t>
            </w:r>
            <w:r>
              <w:rPr>
                <w:rFonts w:hint="eastAsia" w:cs="Times New Roman"/>
                <w:color w:val="auto"/>
                <w:szCs w:val="32"/>
                <w:lang w:val="en-US" w:eastAsia="zh-CN"/>
              </w:rPr>
              <w:t>1</w:t>
            </w:r>
            <w:r>
              <w:rPr>
                <w:rFonts w:hint="default" w:ascii="Times New Roman" w:hAnsi="Times New Roman" w:cs="Times New Roman"/>
                <w:color w:val="auto"/>
                <w:szCs w:val="32"/>
                <w:lang w:val="en-US" w:eastAsia="zh-CN"/>
              </w:rPr>
              <w:t>标准限值</w:t>
            </w:r>
          </w:p>
        </w:tc>
      </w:tr>
      <w:tr w14:paraId="70EA56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942" w:type="dxa"/>
            <w:vMerge w:val="restart"/>
            <w:noWrap w:val="0"/>
            <w:vAlign w:val="center"/>
          </w:tcPr>
          <w:p w14:paraId="15D3689E">
            <w:pPr>
              <w:pStyle w:val="44"/>
              <w:bidi w:val="0"/>
              <w:rPr>
                <w:rFonts w:hint="default"/>
                <w:color w:val="auto"/>
                <w:lang w:val="en-US" w:eastAsia="zh-CN"/>
              </w:rPr>
            </w:pPr>
            <w:r>
              <w:rPr>
                <w:rFonts w:hint="eastAsia"/>
                <w:color w:val="auto"/>
                <w:lang w:val="en-US" w:eastAsia="zh-CN"/>
              </w:rPr>
              <w:t>地表水环境</w:t>
            </w:r>
          </w:p>
        </w:tc>
        <w:tc>
          <w:tcPr>
            <w:tcW w:w="1464" w:type="dxa"/>
            <w:noWrap w:val="0"/>
            <w:vAlign w:val="center"/>
          </w:tcPr>
          <w:p w14:paraId="1D698D95">
            <w:pPr>
              <w:pStyle w:val="44"/>
              <w:bidi w:val="0"/>
              <w:rPr>
                <w:rFonts w:hint="default"/>
                <w:color w:val="auto"/>
                <w:lang w:val="en-US" w:eastAsia="zh-CN"/>
              </w:rPr>
            </w:pPr>
            <w:r>
              <w:rPr>
                <w:rFonts w:hint="eastAsia"/>
                <w:color w:val="auto"/>
                <w:lang w:val="en-US" w:eastAsia="zh-CN"/>
              </w:rPr>
              <w:t>生活污水</w:t>
            </w:r>
          </w:p>
        </w:tc>
        <w:tc>
          <w:tcPr>
            <w:tcW w:w="1140" w:type="dxa"/>
            <w:noWrap w:val="0"/>
            <w:vAlign w:val="center"/>
          </w:tcPr>
          <w:p w14:paraId="09A58D0E">
            <w:pPr>
              <w:pStyle w:val="44"/>
              <w:bidi w:val="0"/>
              <w:rPr>
                <w:rFonts w:hint="default"/>
                <w:color w:val="auto"/>
                <w:lang w:val="en-US" w:eastAsia="zh-CN"/>
              </w:rPr>
            </w:pPr>
            <w:r>
              <w:rPr>
                <w:rFonts w:hint="eastAsia"/>
                <w:color w:val="auto"/>
                <w:lang w:val="en-US" w:eastAsia="zh-CN"/>
              </w:rPr>
              <w:t>CODcr、</w:t>
            </w:r>
            <w:r>
              <w:rPr>
                <w:color w:val="auto"/>
              </w:rPr>
              <w:t>氨氮</w:t>
            </w:r>
            <w:r>
              <w:rPr>
                <w:rFonts w:hint="eastAsia"/>
                <w:color w:val="auto"/>
                <w:lang w:eastAsia="zh-CN"/>
              </w:rPr>
              <w:t>、</w:t>
            </w:r>
            <w:r>
              <w:rPr>
                <w:rFonts w:hint="eastAsia"/>
                <w:color w:val="auto"/>
                <w:lang w:val="en-US" w:eastAsia="zh-CN"/>
              </w:rPr>
              <w:t>SS、</w:t>
            </w:r>
            <w:r>
              <w:rPr>
                <w:color w:val="auto"/>
              </w:rPr>
              <w:t>BOD</w:t>
            </w:r>
            <w:r>
              <w:rPr>
                <w:color w:val="auto"/>
                <w:vertAlign w:val="subscript"/>
              </w:rPr>
              <w:t>5</w:t>
            </w:r>
          </w:p>
        </w:tc>
        <w:tc>
          <w:tcPr>
            <w:tcW w:w="5514" w:type="dxa"/>
            <w:gridSpan w:val="2"/>
            <w:noWrap w:val="0"/>
            <w:vAlign w:val="center"/>
          </w:tcPr>
          <w:p w14:paraId="55B6D56F">
            <w:pPr>
              <w:pStyle w:val="44"/>
              <w:bidi w:val="0"/>
              <w:rPr>
                <w:rFonts w:hint="default"/>
                <w:color w:val="auto"/>
                <w:lang w:val="en-US" w:eastAsia="zh-CN"/>
              </w:rPr>
            </w:pPr>
            <w:r>
              <w:rPr>
                <w:rFonts w:hint="eastAsia"/>
                <w:color w:val="auto"/>
                <w:lang w:val="en-US" w:eastAsia="zh-CN"/>
              </w:rPr>
              <w:t>经化粪池预处理后委托环卫部门清运</w:t>
            </w:r>
          </w:p>
        </w:tc>
      </w:tr>
      <w:tr w14:paraId="39BC85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942" w:type="dxa"/>
            <w:vMerge w:val="continue"/>
            <w:noWrap w:val="0"/>
            <w:vAlign w:val="center"/>
          </w:tcPr>
          <w:p w14:paraId="3F25B51F">
            <w:pPr>
              <w:pStyle w:val="44"/>
              <w:bidi w:val="0"/>
              <w:rPr>
                <w:rFonts w:hint="eastAsia"/>
                <w:color w:val="auto"/>
                <w:lang w:val="en-US" w:eastAsia="zh-CN"/>
              </w:rPr>
            </w:pPr>
          </w:p>
        </w:tc>
        <w:tc>
          <w:tcPr>
            <w:tcW w:w="1464" w:type="dxa"/>
            <w:noWrap w:val="0"/>
            <w:vAlign w:val="center"/>
          </w:tcPr>
          <w:p w14:paraId="20D03A82">
            <w:pPr>
              <w:pStyle w:val="44"/>
              <w:bidi w:val="0"/>
              <w:rPr>
                <w:rFonts w:hint="default"/>
                <w:color w:val="auto"/>
                <w:lang w:val="en-US" w:eastAsia="zh-CN"/>
              </w:rPr>
            </w:pPr>
            <w:r>
              <w:rPr>
                <w:rFonts w:hint="eastAsia"/>
                <w:color w:val="FF0000"/>
                <w:lang w:val="en-US" w:eastAsia="zh-CN"/>
              </w:rPr>
              <w:t>设备冷却水、冷凝冷却水</w:t>
            </w:r>
          </w:p>
        </w:tc>
        <w:tc>
          <w:tcPr>
            <w:tcW w:w="1140" w:type="dxa"/>
            <w:noWrap w:val="0"/>
            <w:vAlign w:val="center"/>
          </w:tcPr>
          <w:p w14:paraId="0CDC1803">
            <w:pPr>
              <w:pStyle w:val="44"/>
              <w:bidi w:val="0"/>
              <w:rPr>
                <w:rFonts w:hint="eastAsia"/>
                <w:color w:val="auto"/>
                <w:lang w:val="en-US" w:eastAsia="zh-CN"/>
              </w:rPr>
            </w:pPr>
            <w:r>
              <w:rPr>
                <w:rFonts w:hint="eastAsia"/>
                <w:color w:val="auto"/>
                <w:lang w:val="en-US" w:eastAsia="zh-CN"/>
              </w:rPr>
              <w:t>SS</w:t>
            </w:r>
          </w:p>
        </w:tc>
        <w:tc>
          <w:tcPr>
            <w:tcW w:w="5514" w:type="dxa"/>
            <w:gridSpan w:val="2"/>
            <w:noWrap w:val="0"/>
            <w:vAlign w:val="center"/>
          </w:tcPr>
          <w:p w14:paraId="77732038">
            <w:pPr>
              <w:pStyle w:val="44"/>
              <w:bidi w:val="0"/>
              <w:rPr>
                <w:rFonts w:hint="default"/>
                <w:color w:val="auto"/>
                <w:lang w:val="en-US" w:eastAsia="zh-CN"/>
              </w:rPr>
            </w:pPr>
            <w:r>
              <w:rPr>
                <w:rFonts w:hint="eastAsia"/>
                <w:color w:val="auto"/>
                <w:lang w:val="en-US" w:eastAsia="zh-CN"/>
              </w:rPr>
              <w:t>循环使用不外排</w:t>
            </w:r>
          </w:p>
        </w:tc>
      </w:tr>
      <w:tr w14:paraId="536367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942" w:type="dxa"/>
            <w:noWrap w:val="0"/>
            <w:vAlign w:val="center"/>
          </w:tcPr>
          <w:p w14:paraId="52D70C04">
            <w:pPr>
              <w:pStyle w:val="44"/>
              <w:bidi w:val="0"/>
              <w:rPr>
                <w:color w:val="auto"/>
              </w:rPr>
            </w:pPr>
            <w:r>
              <w:rPr>
                <w:color w:val="auto"/>
              </w:rPr>
              <w:t>声环境</w:t>
            </w:r>
          </w:p>
        </w:tc>
        <w:tc>
          <w:tcPr>
            <w:tcW w:w="1464" w:type="dxa"/>
            <w:noWrap w:val="0"/>
            <w:vAlign w:val="center"/>
          </w:tcPr>
          <w:p w14:paraId="571A6A69">
            <w:pPr>
              <w:pStyle w:val="44"/>
              <w:bidi w:val="0"/>
              <w:rPr>
                <w:rFonts w:hint="default"/>
                <w:color w:val="auto"/>
                <w:lang w:val="en-US" w:eastAsia="zh-CN"/>
              </w:rPr>
            </w:pPr>
            <w:r>
              <w:rPr>
                <w:rFonts w:hint="eastAsia"/>
                <w:color w:val="auto"/>
                <w:lang w:val="en-US" w:eastAsia="zh-CN"/>
              </w:rPr>
              <w:t>搅拌设备、水泵、真空设备</w:t>
            </w:r>
            <w:r>
              <w:rPr>
                <w:rFonts w:hint="default"/>
                <w:color w:val="auto"/>
                <w:lang w:val="en-US" w:eastAsia="zh-CN"/>
              </w:rPr>
              <w:t>以及风机等</w:t>
            </w:r>
          </w:p>
        </w:tc>
        <w:tc>
          <w:tcPr>
            <w:tcW w:w="1140" w:type="dxa"/>
            <w:noWrap w:val="0"/>
            <w:vAlign w:val="center"/>
          </w:tcPr>
          <w:p w14:paraId="503DC94C">
            <w:pPr>
              <w:pStyle w:val="44"/>
              <w:bidi w:val="0"/>
              <w:rPr>
                <w:color w:val="auto"/>
              </w:rPr>
            </w:pPr>
            <w:r>
              <w:rPr>
                <w:color w:val="auto"/>
              </w:rPr>
              <w:t>噪声</w:t>
            </w:r>
          </w:p>
        </w:tc>
        <w:tc>
          <w:tcPr>
            <w:tcW w:w="1510" w:type="dxa"/>
            <w:noWrap w:val="0"/>
            <w:vAlign w:val="center"/>
          </w:tcPr>
          <w:p w14:paraId="58B725B0">
            <w:pPr>
              <w:pStyle w:val="44"/>
              <w:bidi w:val="0"/>
              <w:rPr>
                <w:rFonts w:hint="eastAsia"/>
                <w:color w:val="auto"/>
              </w:rPr>
            </w:pPr>
            <w:r>
              <w:rPr>
                <w:color w:val="auto"/>
              </w:rPr>
              <w:t>安装基础进行减振处理，通过车间隔声和距离衰减减少噪声排放</w:t>
            </w:r>
            <w:r>
              <w:rPr>
                <w:rFonts w:hint="eastAsia"/>
                <w:color w:val="auto"/>
              </w:rPr>
              <w:t>。</w:t>
            </w:r>
          </w:p>
        </w:tc>
        <w:tc>
          <w:tcPr>
            <w:tcW w:w="4004" w:type="dxa"/>
            <w:noWrap w:val="0"/>
            <w:vAlign w:val="center"/>
          </w:tcPr>
          <w:p w14:paraId="59B8578B">
            <w:pPr>
              <w:pStyle w:val="44"/>
              <w:bidi w:val="0"/>
              <w:rPr>
                <w:color w:val="auto"/>
              </w:rPr>
            </w:pPr>
            <w:r>
              <w:rPr>
                <w:rFonts w:hint="eastAsia"/>
                <w:color w:val="auto"/>
              </w:rPr>
              <w:t>满足</w:t>
            </w:r>
            <w:r>
              <w:rPr>
                <w:color w:val="auto"/>
              </w:rPr>
              <w:t>《工业企业厂界环境噪声排放标准》（GB12348--2008）</w:t>
            </w:r>
            <w:r>
              <w:rPr>
                <w:rFonts w:hint="eastAsia"/>
                <w:color w:val="auto"/>
                <w:lang w:val="en-US" w:eastAsia="zh-CN"/>
              </w:rPr>
              <w:t>3</w:t>
            </w:r>
            <w:r>
              <w:rPr>
                <w:color w:val="auto"/>
              </w:rPr>
              <w:t>类标准</w:t>
            </w:r>
          </w:p>
        </w:tc>
      </w:tr>
      <w:tr w14:paraId="53CB6E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942" w:type="dxa"/>
            <w:vMerge w:val="restart"/>
            <w:noWrap w:val="0"/>
            <w:vAlign w:val="center"/>
          </w:tcPr>
          <w:p w14:paraId="228AF684">
            <w:pPr>
              <w:pStyle w:val="44"/>
              <w:bidi w:val="0"/>
              <w:rPr>
                <w:color w:val="auto"/>
              </w:rPr>
            </w:pPr>
            <w:r>
              <w:rPr>
                <w:color w:val="auto"/>
              </w:rPr>
              <w:t>固体废物</w:t>
            </w:r>
          </w:p>
        </w:tc>
        <w:tc>
          <w:tcPr>
            <w:tcW w:w="2604" w:type="dxa"/>
            <w:gridSpan w:val="2"/>
            <w:noWrap w:val="0"/>
            <w:vAlign w:val="center"/>
          </w:tcPr>
          <w:p w14:paraId="5B064D40">
            <w:pPr>
              <w:pStyle w:val="44"/>
              <w:bidi w:val="0"/>
              <w:ind w:firstLine="0" w:firstLineChars="0"/>
              <w:rPr>
                <w:rFonts w:hint="default"/>
                <w:color w:val="auto"/>
                <w:lang w:val="en-US" w:eastAsia="zh-CN"/>
              </w:rPr>
            </w:pPr>
            <w:r>
              <w:rPr>
                <w:rFonts w:hint="default" w:ascii="Times New Roman" w:hAnsi="Times New Roman" w:cs="Times New Roman"/>
                <w:color w:val="auto"/>
                <w:szCs w:val="24"/>
                <w:lang w:val="en-US" w:eastAsia="zh-CN"/>
              </w:rPr>
              <w:t>普通</w:t>
            </w:r>
            <w:r>
              <w:rPr>
                <w:rFonts w:hint="default" w:ascii="Times New Roman" w:hAnsi="Times New Roman" w:cs="Times New Roman"/>
                <w:color w:val="auto"/>
                <w:szCs w:val="24"/>
              </w:rPr>
              <w:t>废</w:t>
            </w:r>
            <w:r>
              <w:rPr>
                <w:rFonts w:hint="default" w:ascii="Times New Roman" w:hAnsi="Times New Roman" w:cs="Times New Roman"/>
                <w:color w:val="auto"/>
                <w:szCs w:val="24"/>
                <w:lang w:val="en-US" w:eastAsia="zh-CN"/>
              </w:rPr>
              <w:t>包装</w:t>
            </w:r>
          </w:p>
        </w:tc>
        <w:tc>
          <w:tcPr>
            <w:tcW w:w="1510" w:type="dxa"/>
            <w:noWrap w:val="0"/>
            <w:vAlign w:val="center"/>
          </w:tcPr>
          <w:p w14:paraId="69BAE256">
            <w:pPr>
              <w:pStyle w:val="44"/>
              <w:bidi w:val="0"/>
              <w:ind w:firstLine="0" w:firstLineChars="0"/>
              <w:rPr>
                <w:rFonts w:hint="default"/>
                <w:color w:val="auto"/>
                <w:lang w:val="en-US" w:eastAsia="zh-CN"/>
              </w:rPr>
            </w:pPr>
            <w:r>
              <w:rPr>
                <w:rFonts w:hint="default" w:ascii="Times New Roman" w:hAnsi="Times New Roman" w:cs="Times New Roman"/>
                <w:color w:val="auto"/>
                <w:lang w:val="en-US" w:eastAsia="zh-CN"/>
              </w:rPr>
              <w:t>外售</w:t>
            </w:r>
          </w:p>
        </w:tc>
        <w:tc>
          <w:tcPr>
            <w:tcW w:w="4004" w:type="dxa"/>
            <w:vMerge w:val="restart"/>
            <w:noWrap w:val="0"/>
            <w:vAlign w:val="center"/>
          </w:tcPr>
          <w:p w14:paraId="44475C60">
            <w:pPr>
              <w:pStyle w:val="44"/>
              <w:bidi w:val="0"/>
              <w:rPr>
                <w:rFonts w:hint="eastAsia"/>
                <w:color w:val="auto"/>
              </w:rPr>
            </w:pPr>
            <w:r>
              <w:rPr>
                <w:rFonts w:hint="eastAsia"/>
                <w:color w:val="auto"/>
              </w:rPr>
              <w:t>满足</w:t>
            </w:r>
            <w:r>
              <w:rPr>
                <w:rFonts w:hint="default" w:ascii="Times New Roman" w:hAnsi="Times New Roman" w:cs="Times New Roman"/>
                <w:color w:val="auto"/>
                <w:lang w:eastAsia="zh-CN"/>
              </w:rPr>
              <w:t>《中华人民共和国固体废物污染环境防治法》（2020年4月29日修订）中关于一般工业固体废物贮存相关要求</w:t>
            </w:r>
          </w:p>
        </w:tc>
      </w:tr>
      <w:tr w14:paraId="75FD2F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942" w:type="dxa"/>
            <w:vMerge w:val="continue"/>
            <w:noWrap w:val="0"/>
            <w:vAlign w:val="center"/>
          </w:tcPr>
          <w:p w14:paraId="5D1E0C14">
            <w:pPr>
              <w:pStyle w:val="44"/>
              <w:bidi w:val="0"/>
              <w:rPr>
                <w:color w:val="auto"/>
              </w:rPr>
            </w:pPr>
          </w:p>
        </w:tc>
        <w:tc>
          <w:tcPr>
            <w:tcW w:w="2604" w:type="dxa"/>
            <w:gridSpan w:val="2"/>
            <w:noWrap w:val="0"/>
            <w:vAlign w:val="center"/>
          </w:tcPr>
          <w:p w14:paraId="4B0FEED2">
            <w:pPr>
              <w:pStyle w:val="44"/>
              <w:bidi w:val="0"/>
              <w:ind w:firstLine="0" w:firstLineChars="0"/>
              <w:rPr>
                <w:rFonts w:hint="eastAsia"/>
                <w:color w:val="auto"/>
              </w:rPr>
            </w:pPr>
            <w:r>
              <w:rPr>
                <w:rFonts w:hint="default" w:ascii="Times New Roman" w:hAnsi="Times New Roman" w:cs="Times New Roman"/>
                <w:color w:val="auto"/>
                <w:szCs w:val="24"/>
                <w:lang w:val="en-US" w:eastAsia="zh-CN"/>
              </w:rPr>
              <w:t>除尘器收尘</w:t>
            </w:r>
          </w:p>
        </w:tc>
        <w:tc>
          <w:tcPr>
            <w:tcW w:w="1510" w:type="dxa"/>
            <w:noWrap w:val="0"/>
            <w:vAlign w:val="center"/>
          </w:tcPr>
          <w:p w14:paraId="5D2FB8EB">
            <w:pPr>
              <w:pStyle w:val="44"/>
              <w:bidi w:val="0"/>
              <w:ind w:firstLine="0" w:firstLineChars="0"/>
              <w:rPr>
                <w:rFonts w:hint="eastAsia"/>
                <w:color w:val="auto"/>
                <w:lang w:val="en-US" w:eastAsia="zh-CN"/>
              </w:rPr>
            </w:pPr>
            <w:r>
              <w:rPr>
                <w:rFonts w:hint="default" w:ascii="Times New Roman" w:hAnsi="Times New Roman" w:cs="Times New Roman"/>
                <w:color w:val="auto"/>
                <w:lang w:val="en-US" w:eastAsia="zh-CN"/>
              </w:rPr>
              <w:t>回用于生产</w:t>
            </w:r>
          </w:p>
        </w:tc>
        <w:tc>
          <w:tcPr>
            <w:tcW w:w="4004" w:type="dxa"/>
            <w:vMerge w:val="continue"/>
            <w:noWrap w:val="0"/>
            <w:vAlign w:val="center"/>
          </w:tcPr>
          <w:p w14:paraId="24880912">
            <w:pPr>
              <w:pStyle w:val="44"/>
              <w:bidi w:val="0"/>
              <w:rPr>
                <w:rFonts w:hint="eastAsia"/>
                <w:color w:val="auto"/>
              </w:rPr>
            </w:pPr>
          </w:p>
        </w:tc>
      </w:tr>
      <w:tr w14:paraId="5AABA2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942" w:type="dxa"/>
            <w:vMerge w:val="continue"/>
            <w:noWrap w:val="0"/>
            <w:vAlign w:val="center"/>
          </w:tcPr>
          <w:p w14:paraId="342A12E4">
            <w:pPr>
              <w:pStyle w:val="44"/>
              <w:bidi w:val="0"/>
              <w:rPr>
                <w:color w:val="auto"/>
              </w:rPr>
            </w:pPr>
          </w:p>
        </w:tc>
        <w:tc>
          <w:tcPr>
            <w:tcW w:w="2604" w:type="dxa"/>
            <w:gridSpan w:val="2"/>
            <w:noWrap w:val="0"/>
            <w:vAlign w:val="center"/>
          </w:tcPr>
          <w:p w14:paraId="1463EE44">
            <w:pPr>
              <w:pStyle w:val="44"/>
              <w:bidi w:val="0"/>
              <w:ind w:firstLine="0" w:firstLineChars="0"/>
              <w:rPr>
                <w:rFonts w:hint="default" w:ascii="Times New Roman" w:hAnsi="Times New Roman" w:cs="Times New Roman"/>
                <w:color w:val="auto"/>
                <w:szCs w:val="24"/>
                <w:lang w:val="en-US" w:eastAsia="zh-CN"/>
              </w:rPr>
            </w:pPr>
            <w:r>
              <w:rPr>
                <w:rFonts w:hint="default" w:ascii="Times New Roman" w:hAnsi="Times New Roman" w:cs="Times New Roman"/>
                <w:color w:val="auto"/>
                <w:szCs w:val="24"/>
                <w:lang w:val="en-US" w:eastAsia="zh-CN"/>
              </w:rPr>
              <w:t>车间沉降粉尘</w:t>
            </w:r>
          </w:p>
        </w:tc>
        <w:tc>
          <w:tcPr>
            <w:tcW w:w="1510" w:type="dxa"/>
            <w:noWrap w:val="0"/>
            <w:vAlign w:val="center"/>
          </w:tcPr>
          <w:p w14:paraId="0E09290D">
            <w:pPr>
              <w:pStyle w:val="44"/>
              <w:bidi w:val="0"/>
              <w:ind w:firstLine="0" w:firstLineChars="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回用于生产</w:t>
            </w:r>
          </w:p>
        </w:tc>
        <w:tc>
          <w:tcPr>
            <w:tcW w:w="4004" w:type="dxa"/>
            <w:vMerge w:val="continue"/>
            <w:noWrap w:val="0"/>
            <w:vAlign w:val="center"/>
          </w:tcPr>
          <w:p w14:paraId="30EB18D1">
            <w:pPr>
              <w:pStyle w:val="44"/>
              <w:bidi w:val="0"/>
              <w:rPr>
                <w:rFonts w:hint="eastAsia"/>
                <w:color w:val="auto"/>
              </w:rPr>
            </w:pPr>
          </w:p>
        </w:tc>
      </w:tr>
      <w:tr w14:paraId="3AACF1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942" w:type="dxa"/>
            <w:vMerge w:val="continue"/>
            <w:noWrap w:val="0"/>
            <w:vAlign w:val="center"/>
          </w:tcPr>
          <w:p w14:paraId="64FDE42D">
            <w:pPr>
              <w:pStyle w:val="44"/>
              <w:bidi w:val="0"/>
              <w:rPr>
                <w:color w:val="auto"/>
              </w:rPr>
            </w:pPr>
          </w:p>
        </w:tc>
        <w:tc>
          <w:tcPr>
            <w:tcW w:w="2604" w:type="dxa"/>
            <w:gridSpan w:val="2"/>
            <w:noWrap w:val="0"/>
            <w:vAlign w:val="center"/>
          </w:tcPr>
          <w:p w14:paraId="173DAE81">
            <w:pPr>
              <w:pStyle w:val="44"/>
              <w:bidi w:val="0"/>
              <w:ind w:firstLine="0" w:firstLineChars="0"/>
              <w:rPr>
                <w:rFonts w:hint="eastAsia"/>
                <w:color w:val="auto"/>
                <w:lang w:val="en-US" w:eastAsia="zh-CN"/>
              </w:rPr>
            </w:pPr>
            <w:r>
              <w:rPr>
                <w:rFonts w:hint="default" w:ascii="Times New Roman" w:hAnsi="Times New Roman" w:cs="Times New Roman"/>
                <w:color w:val="auto"/>
                <w:szCs w:val="24"/>
                <w:lang w:val="en-US" w:eastAsia="zh-CN"/>
              </w:rPr>
              <w:t>废布袋</w:t>
            </w:r>
          </w:p>
        </w:tc>
        <w:tc>
          <w:tcPr>
            <w:tcW w:w="1510" w:type="dxa"/>
            <w:noWrap w:val="0"/>
            <w:vAlign w:val="center"/>
          </w:tcPr>
          <w:p w14:paraId="37767081">
            <w:pPr>
              <w:pStyle w:val="44"/>
              <w:bidi w:val="0"/>
              <w:ind w:firstLine="0" w:firstLineChars="0"/>
              <w:rPr>
                <w:rFonts w:hint="eastAsia"/>
                <w:color w:val="auto"/>
                <w:lang w:val="en-US" w:eastAsia="zh-CN"/>
              </w:rPr>
            </w:pPr>
            <w:r>
              <w:rPr>
                <w:rFonts w:hint="default" w:ascii="Times New Roman" w:hAnsi="Times New Roman" w:cs="Times New Roman"/>
                <w:color w:val="auto"/>
                <w:lang w:val="en-US" w:eastAsia="zh-CN"/>
              </w:rPr>
              <w:t>外售</w:t>
            </w:r>
          </w:p>
        </w:tc>
        <w:tc>
          <w:tcPr>
            <w:tcW w:w="4004" w:type="dxa"/>
            <w:vMerge w:val="continue"/>
            <w:noWrap w:val="0"/>
            <w:vAlign w:val="center"/>
          </w:tcPr>
          <w:p w14:paraId="4BC672E2">
            <w:pPr>
              <w:pStyle w:val="44"/>
              <w:bidi w:val="0"/>
              <w:rPr>
                <w:rFonts w:hint="eastAsia"/>
                <w:color w:val="auto"/>
              </w:rPr>
            </w:pPr>
          </w:p>
        </w:tc>
      </w:tr>
      <w:tr w14:paraId="2304C3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942" w:type="dxa"/>
            <w:vMerge w:val="continue"/>
            <w:noWrap w:val="0"/>
            <w:vAlign w:val="center"/>
          </w:tcPr>
          <w:p w14:paraId="5D1386EE">
            <w:pPr>
              <w:pStyle w:val="44"/>
              <w:bidi w:val="0"/>
              <w:rPr>
                <w:color w:val="auto"/>
              </w:rPr>
            </w:pPr>
          </w:p>
        </w:tc>
        <w:tc>
          <w:tcPr>
            <w:tcW w:w="2604" w:type="dxa"/>
            <w:gridSpan w:val="2"/>
            <w:noWrap w:val="0"/>
            <w:vAlign w:val="center"/>
          </w:tcPr>
          <w:p w14:paraId="70140A9B">
            <w:pPr>
              <w:pStyle w:val="44"/>
              <w:bidi w:val="0"/>
              <w:rPr>
                <w:rFonts w:hint="eastAsia"/>
                <w:color w:val="auto"/>
              </w:rPr>
            </w:pPr>
            <w:r>
              <w:rPr>
                <w:rFonts w:hint="eastAsia"/>
                <w:color w:val="auto"/>
                <w:lang w:val="en-US" w:eastAsia="zh-CN"/>
              </w:rPr>
              <w:t>生活垃圾</w:t>
            </w:r>
          </w:p>
        </w:tc>
        <w:tc>
          <w:tcPr>
            <w:tcW w:w="1510" w:type="dxa"/>
            <w:noWrap w:val="0"/>
            <w:vAlign w:val="center"/>
          </w:tcPr>
          <w:p w14:paraId="2556472D">
            <w:pPr>
              <w:pStyle w:val="44"/>
              <w:bidi w:val="0"/>
              <w:rPr>
                <w:rFonts w:hint="default"/>
                <w:color w:val="auto"/>
                <w:lang w:val="en-US" w:eastAsia="zh-CN"/>
              </w:rPr>
            </w:pPr>
            <w:r>
              <w:rPr>
                <w:rFonts w:hint="eastAsia"/>
                <w:color w:val="auto"/>
                <w:lang w:val="en-US" w:eastAsia="zh-CN"/>
              </w:rPr>
              <w:t>环卫部门清运</w:t>
            </w:r>
          </w:p>
        </w:tc>
        <w:tc>
          <w:tcPr>
            <w:tcW w:w="4004" w:type="dxa"/>
            <w:vMerge w:val="continue"/>
            <w:noWrap w:val="0"/>
            <w:vAlign w:val="center"/>
          </w:tcPr>
          <w:p w14:paraId="189042B5">
            <w:pPr>
              <w:pStyle w:val="44"/>
              <w:bidi w:val="0"/>
              <w:rPr>
                <w:rFonts w:hint="eastAsia"/>
                <w:color w:val="auto"/>
              </w:rPr>
            </w:pPr>
          </w:p>
        </w:tc>
      </w:tr>
      <w:tr w14:paraId="7F9892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942" w:type="dxa"/>
            <w:vMerge w:val="continue"/>
            <w:noWrap w:val="0"/>
            <w:vAlign w:val="center"/>
          </w:tcPr>
          <w:p w14:paraId="37F23500">
            <w:pPr>
              <w:pStyle w:val="44"/>
              <w:bidi w:val="0"/>
              <w:rPr>
                <w:color w:val="auto"/>
              </w:rPr>
            </w:pPr>
          </w:p>
        </w:tc>
        <w:tc>
          <w:tcPr>
            <w:tcW w:w="2604" w:type="dxa"/>
            <w:gridSpan w:val="2"/>
            <w:noWrap w:val="0"/>
            <w:vAlign w:val="center"/>
          </w:tcPr>
          <w:p w14:paraId="4297A433">
            <w:pPr>
              <w:pStyle w:val="44"/>
              <w:bidi w:val="0"/>
              <w:ind w:firstLine="0" w:firstLineChars="0"/>
              <w:rPr>
                <w:rFonts w:hint="eastAsia"/>
                <w:color w:val="auto"/>
              </w:rPr>
            </w:pPr>
            <w:r>
              <w:rPr>
                <w:rFonts w:hint="default" w:ascii="Times New Roman" w:hAnsi="Times New Roman" w:cs="Times New Roman"/>
                <w:color w:val="auto"/>
                <w:lang w:val="en-US" w:eastAsia="zh-CN"/>
              </w:rPr>
              <w:t>废包装桶</w:t>
            </w:r>
          </w:p>
        </w:tc>
        <w:tc>
          <w:tcPr>
            <w:tcW w:w="1510" w:type="dxa"/>
            <w:vMerge w:val="restart"/>
            <w:noWrap w:val="0"/>
            <w:vAlign w:val="center"/>
          </w:tcPr>
          <w:p w14:paraId="59FEB07C">
            <w:pPr>
              <w:pStyle w:val="44"/>
              <w:bidi w:val="0"/>
              <w:rPr>
                <w:rFonts w:hint="eastAsia"/>
                <w:color w:val="auto"/>
                <w:lang w:val="en-US" w:eastAsia="zh-CN"/>
              </w:rPr>
            </w:pPr>
            <w:r>
              <w:rPr>
                <w:rFonts w:hint="eastAsia"/>
                <w:color w:val="auto"/>
                <w:lang w:val="en-US" w:eastAsia="zh-CN"/>
              </w:rPr>
              <w:t>委托有资质的单位处置</w:t>
            </w:r>
          </w:p>
        </w:tc>
        <w:tc>
          <w:tcPr>
            <w:tcW w:w="4004" w:type="dxa"/>
            <w:vMerge w:val="restart"/>
            <w:noWrap w:val="0"/>
            <w:vAlign w:val="center"/>
          </w:tcPr>
          <w:p w14:paraId="1BB30841">
            <w:pPr>
              <w:pStyle w:val="44"/>
              <w:bidi w:val="0"/>
              <w:rPr>
                <w:rFonts w:hint="eastAsia"/>
                <w:color w:val="auto"/>
              </w:rPr>
            </w:pPr>
            <w:r>
              <w:rPr>
                <w:rFonts w:hint="eastAsia"/>
                <w:color w:val="auto"/>
              </w:rPr>
              <w:t>满足《危险废物贮存污染控制标准》（GB18597-2023）</w:t>
            </w:r>
          </w:p>
        </w:tc>
      </w:tr>
      <w:tr w14:paraId="0F5CB1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942" w:type="dxa"/>
            <w:vMerge w:val="continue"/>
            <w:noWrap w:val="0"/>
            <w:vAlign w:val="center"/>
          </w:tcPr>
          <w:p w14:paraId="7067D20D">
            <w:pPr>
              <w:pStyle w:val="44"/>
              <w:bidi w:val="0"/>
              <w:rPr>
                <w:color w:val="auto"/>
              </w:rPr>
            </w:pPr>
          </w:p>
        </w:tc>
        <w:tc>
          <w:tcPr>
            <w:tcW w:w="2604" w:type="dxa"/>
            <w:gridSpan w:val="2"/>
            <w:noWrap w:val="0"/>
            <w:vAlign w:val="center"/>
          </w:tcPr>
          <w:p w14:paraId="72F05D33">
            <w:pPr>
              <w:pStyle w:val="44"/>
              <w:bidi w:val="0"/>
              <w:ind w:firstLine="0" w:firstLineChars="0"/>
              <w:rPr>
                <w:rFonts w:hint="eastAsia"/>
                <w:color w:val="auto"/>
              </w:rPr>
            </w:pPr>
            <w:r>
              <w:rPr>
                <w:rFonts w:hint="default" w:ascii="Times New Roman" w:hAnsi="Times New Roman" w:cs="Times New Roman"/>
                <w:color w:val="auto"/>
                <w:szCs w:val="24"/>
                <w:lang w:val="en-US" w:eastAsia="zh-CN"/>
              </w:rPr>
              <w:t>冷凝废液</w:t>
            </w:r>
          </w:p>
        </w:tc>
        <w:tc>
          <w:tcPr>
            <w:tcW w:w="1510" w:type="dxa"/>
            <w:vMerge w:val="continue"/>
            <w:tcBorders/>
            <w:noWrap w:val="0"/>
            <w:vAlign w:val="center"/>
          </w:tcPr>
          <w:p w14:paraId="048542F0">
            <w:pPr>
              <w:pStyle w:val="44"/>
              <w:bidi w:val="0"/>
              <w:rPr>
                <w:rFonts w:hint="eastAsia"/>
                <w:color w:val="auto"/>
                <w:lang w:val="en-US" w:eastAsia="zh-CN"/>
              </w:rPr>
            </w:pPr>
          </w:p>
        </w:tc>
        <w:tc>
          <w:tcPr>
            <w:tcW w:w="4004" w:type="dxa"/>
            <w:vMerge w:val="continue"/>
            <w:tcBorders/>
            <w:noWrap w:val="0"/>
            <w:vAlign w:val="center"/>
          </w:tcPr>
          <w:p w14:paraId="3DB349B6">
            <w:pPr>
              <w:pStyle w:val="44"/>
              <w:bidi w:val="0"/>
              <w:rPr>
                <w:rFonts w:hint="eastAsia"/>
                <w:color w:val="auto"/>
              </w:rPr>
            </w:pPr>
          </w:p>
        </w:tc>
      </w:tr>
      <w:tr w14:paraId="3EC810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942" w:type="dxa"/>
            <w:vMerge w:val="continue"/>
            <w:noWrap w:val="0"/>
            <w:vAlign w:val="center"/>
          </w:tcPr>
          <w:p w14:paraId="4EFBBD1D">
            <w:pPr>
              <w:pStyle w:val="44"/>
              <w:bidi w:val="0"/>
              <w:rPr>
                <w:color w:val="auto"/>
              </w:rPr>
            </w:pPr>
          </w:p>
        </w:tc>
        <w:tc>
          <w:tcPr>
            <w:tcW w:w="2604" w:type="dxa"/>
            <w:gridSpan w:val="2"/>
            <w:noWrap w:val="0"/>
            <w:vAlign w:val="center"/>
          </w:tcPr>
          <w:p w14:paraId="2AF3DA96">
            <w:pPr>
              <w:pStyle w:val="44"/>
              <w:bidi w:val="0"/>
              <w:ind w:firstLine="0" w:firstLineChars="0"/>
              <w:rPr>
                <w:rFonts w:hint="eastAsia"/>
                <w:color w:val="auto"/>
              </w:rPr>
            </w:pPr>
            <w:r>
              <w:rPr>
                <w:rFonts w:hint="default" w:ascii="Times New Roman" w:hAnsi="Times New Roman" w:cs="Times New Roman"/>
                <w:color w:val="auto"/>
                <w:szCs w:val="24"/>
                <w:lang w:val="en-US" w:eastAsia="zh-CN"/>
              </w:rPr>
              <w:t>废活性炭</w:t>
            </w:r>
          </w:p>
        </w:tc>
        <w:tc>
          <w:tcPr>
            <w:tcW w:w="1510" w:type="dxa"/>
            <w:vMerge w:val="continue"/>
            <w:tcBorders/>
            <w:noWrap w:val="0"/>
            <w:vAlign w:val="center"/>
          </w:tcPr>
          <w:p w14:paraId="62A2F38C">
            <w:pPr>
              <w:pStyle w:val="44"/>
              <w:bidi w:val="0"/>
              <w:rPr>
                <w:rFonts w:hint="eastAsia"/>
                <w:color w:val="auto"/>
                <w:lang w:val="en-US" w:eastAsia="zh-CN"/>
              </w:rPr>
            </w:pPr>
          </w:p>
        </w:tc>
        <w:tc>
          <w:tcPr>
            <w:tcW w:w="4004" w:type="dxa"/>
            <w:vMerge w:val="continue"/>
            <w:tcBorders/>
            <w:noWrap w:val="0"/>
            <w:vAlign w:val="center"/>
          </w:tcPr>
          <w:p w14:paraId="3D33BEC8">
            <w:pPr>
              <w:pStyle w:val="44"/>
              <w:bidi w:val="0"/>
              <w:rPr>
                <w:rFonts w:hint="eastAsia"/>
                <w:color w:val="auto"/>
              </w:rPr>
            </w:pPr>
          </w:p>
        </w:tc>
      </w:tr>
      <w:tr w14:paraId="4CBF17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942" w:type="dxa"/>
            <w:vMerge w:val="continue"/>
            <w:noWrap w:val="0"/>
            <w:vAlign w:val="center"/>
          </w:tcPr>
          <w:p w14:paraId="63625E61">
            <w:pPr>
              <w:pStyle w:val="44"/>
              <w:bidi w:val="0"/>
              <w:rPr>
                <w:color w:val="auto"/>
              </w:rPr>
            </w:pPr>
          </w:p>
        </w:tc>
        <w:tc>
          <w:tcPr>
            <w:tcW w:w="2604" w:type="dxa"/>
            <w:gridSpan w:val="2"/>
            <w:noWrap w:val="0"/>
            <w:vAlign w:val="center"/>
          </w:tcPr>
          <w:p w14:paraId="7EAC321A">
            <w:pPr>
              <w:pStyle w:val="44"/>
              <w:bidi w:val="0"/>
              <w:ind w:firstLine="0" w:firstLineChars="0"/>
              <w:rPr>
                <w:rFonts w:hint="eastAsia"/>
                <w:color w:val="auto"/>
                <w:lang w:val="en-US" w:eastAsia="zh-CN"/>
              </w:rPr>
            </w:pPr>
            <w:r>
              <w:rPr>
                <w:rFonts w:hint="default" w:ascii="Times New Roman" w:hAnsi="Times New Roman" w:cs="Times New Roman"/>
                <w:color w:val="auto"/>
                <w:lang w:val="en-US" w:eastAsia="zh-CN"/>
              </w:rPr>
              <w:t>废过滤棉</w:t>
            </w:r>
          </w:p>
        </w:tc>
        <w:tc>
          <w:tcPr>
            <w:tcW w:w="1510" w:type="dxa"/>
            <w:vMerge w:val="continue"/>
            <w:tcBorders/>
            <w:noWrap w:val="0"/>
            <w:vAlign w:val="center"/>
          </w:tcPr>
          <w:p w14:paraId="72EF8EC7">
            <w:pPr>
              <w:pStyle w:val="44"/>
              <w:bidi w:val="0"/>
              <w:rPr>
                <w:rFonts w:hint="eastAsia"/>
                <w:color w:val="auto"/>
                <w:lang w:val="en-US" w:eastAsia="zh-CN"/>
              </w:rPr>
            </w:pPr>
          </w:p>
        </w:tc>
        <w:tc>
          <w:tcPr>
            <w:tcW w:w="4004" w:type="dxa"/>
            <w:vMerge w:val="continue"/>
            <w:tcBorders/>
            <w:noWrap w:val="0"/>
            <w:vAlign w:val="center"/>
          </w:tcPr>
          <w:p w14:paraId="75026360">
            <w:pPr>
              <w:pStyle w:val="44"/>
              <w:bidi w:val="0"/>
              <w:rPr>
                <w:rFonts w:hint="eastAsia"/>
                <w:color w:val="auto"/>
              </w:rPr>
            </w:pPr>
          </w:p>
        </w:tc>
      </w:tr>
      <w:tr w14:paraId="67B999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942" w:type="dxa"/>
            <w:vMerge w:val="continue"/>
            <w:noWrap w:val="0"/>
            <w:vAlign w:val="center"/>
          </w:tcPr>
          <w:p w14:paraId="5116E30C">
            <w:pPr>
              <w:pStyle w:val="44"/>
              <w:bidi w:val="0"/>
              <w:rPr>
                <w:color w:val="auto"/>
              </w:rPr>
            </w:pPr>
          </w:p>
        </w:tc>
        <w:tc>
          <w:tcPr>
            <w:tcW w:w="2604" w:type="dxa"/>
            <w:gridSpan w:val="2"/>
            <w:noWrap w:val="0"/>
            <w:vAlign w:val="center"/>
          </w:tcPr>
          <w:p w14:paraId="72DEF5B2">
            <w:pPr>
              <w:pStyle w:val="44"/>
              <w:bidi w:val="0"/>
              <w:ind w:firstLine="0" w:firstLineChars="0"/>
              <w:rPr>
                <w:rFonts w:hint="default"/>
                <w:color w:val="auto"/>
                <w:lang w:val="en-US" w:eastAsia="zh-CN"/>
              </w:rPr>
            </w:pPr>
            <w:r>
              <w:rPr>
                <w:rFonts w:hint="default" w:ascii="Times New Roman" w:hAnsi="Times New Roman" w:cs="Times New Roman"/>
                <w:color w:val="auto"/>
                <w:lang w:val="en-US" w:eastAsia="zh-CN"/>
              </w:rPr>
              <w:t>废机油</w:t>
            </w:r>
          </w:p>
        </w:tc>
        <w:tc>
          <w:tcPr>
            <w:tcW w:w="1510" w:type="dxa"/>
            <w:vMerge w:val="continue"/>
            <w:tcBorders/>
            <w:noWrap w:val="0"/>
            <w:vAlign w:val="center"/>
          </w:tcPr>
          <w:p w14:paraId="02E96D0C">
            <w:pPr>
              <w:pStyle w:val="44"/>
              <w:bidi w:val="0"/>
              <w:rPr>
                <w:rFonts w:hint="eastAsia"/>
                <w:color w:val="auto"/>
                <w:lang w:val="en-US" w:eastAsia="zh-CN"/>
              </w:rPr>
            </w:pPr>
          </w:p>
        </w:tc>
        <w:tc>
          <w:tcPr>
            <w:tcW w:w="4004" w:type="dxa"/>
            <w:vMerge w:val="continue"/>
            <w:tcBorders/>
            <w:noWrap w:val="0"/>
            <w:vAlign w:val="center"/>
          </w:tcPr>
          <w:p w14:paraId="18166360">
            <w:pPr>
              <w:pStyle w:val="44"/>
              <w:bidi w:val="0"/>
              <w:rPr>
                <w:rFonts w:hint="eastAsia"/>
                <w:color w:val="auto"/>
              </w:rPr>
            </w:pPr>
          </w:p>
        </w:tc>
      </w:tr>
      <w:tr w14:paraId="6E737D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942" w:type="dxa"/>
            <w:vMerge w:val="continue"/>
            <w:noWrap w:val="0"/>
            <w:vAlign w:val="center"/>
          </w:tcPr>
          <w:p w14:paraId="22E107C0">
            <w:pPr>
              <w:pStyle w:val="44"/>
              <w:bidi w:val="0"/>
              <w:rPr>
                <w:color w:val="auto"/>
              </w:rPr>
            </w:pPr>
          </w:p>
        </w:tc>
        <w:tc>
          <w:tcPr>
            <w:tcW w:w="2604" w:type="dxa"/>
            <w:gridSpan w:val="2"/>
            <w:noWrap w:val="0"/>
            <w:vAlign w:val="center"/>
          </w:tcPr>
          <w:p w14:paraId="53E0017D">
            <w:pPr>
              <w:pStyle w:val="44"/>
              <w:bidi w:val="0"/>
              <w:ind w:firstLine="0" w:firstLineChars="0"/>
              <w:rPr>
                <w:rFonts w:hint="eastAsia"/>
                <w:color w:val="auto"/>
                <w:lang w:val="en-US" w:eastAsia="zh-CN"/>
              </w:rPr>
            </w:pPr>
            <w:r>
              <w:rPr>
                <w:rFonts w:hint="default" w:ascii="Times New Roman" w:hAnsi="Times New Roman" w:cs="Times New Roman"/>
                <w:color w:val="auto"/>
                <w:lang w:val="en-US" w:eastAsia="zh-CN"/>
              </w:rPr>
              <w:t>废机油桶</w:t>
            </w:r>
          </w:p>
        </w:tc>
        <w:tc>
          <w:tcPr>
            <w:tcW w:w="1510" w:type="dxa"/>
            <w:vMerge w:val="continue"/>
            <w:tcBorders/>
            <w:noWrap w:val="0"/>
            <w:vAlign w:val="center"/>
          </w:tcPr>
          <w:p w14:paraId="69F73AAE">
            <w:pPr>
              <w:pStyle w:val="44"/>
              <w:bidi w:val="0"/>
              <w:rPr>
                <w:rFonts w:hint="eastAsia"/>
                <w:color w:val="auto"/>
                <w:lang w:val="en-US" w:eastAsia="zh-CN"/>
              </w:rPr>
            </w:pPr>
          </w:p>
        </w:tc>
        <w:tc>
          <w:tcPr>
            <w:tcW w:w="4004" w:type="dxa"/>
            <w:vMerge w:val="continue"/>
            <w:tcBorders/>
            <w:noWrap w:val="0"/>
            <w:vAlign w:val="center"/>
          </w:tcPr>
          <w:p w14:paraId="6E607586">
            <w:pPr>
              <w:pStyle w:val="44"/>
              <w:bidi w:val="0"/>
              <w:rPr>
                <w:rFonts w:hint="eastAsia"/>
                <w:color w:val="auto"/>
              </w:rPr>
            </w:pPr>
          </w:p>
        </w:tc>
      </w:tr>
      <w:tr w14:paraId="3A9BCE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942" w:type="dxa"/>
            <w:noWrap w:val="0"/>
            <w:vAlign w:val="center"/>
          </w:tcPr>
          <w:p w14:paraId="40F6E23A">
            <w:pPr>
              <w:adjustRightInd w:val="0"/>
              <w:snapToGrid w:val="0"/>
              <w:spacing w:line="240" w:lineRule="auto"/>
              <w:jc w:val="center"/>
              <w:rPr>
                <w:color w:val="auto"/>
                <w:sz w:val="21"/>
              </w:rPr>
            </w:pPr>
            <w:r>
              <w:rPr>
                <w:color w:val="auto"/>
                <w:sz w:val="21"/>
              </w:rPr>
              <w:t>土壤及地下水污染防治措施</w:t>
            </w:r>
          </w:p>
        </w:tc>
        <w:tc>
          <w:tcPr>
            <w:tcW w:w="8118" w:type="dxa"/>
            <w:gridSpan w:val="4"/>
            <w:noWrap w:val="0"/>
            <w:vAlign w:val="center"/>
          </w:tcPr>
          <w:p w14:paraId="323CF023">
            <w:pPr>
              <w:numPr>
                <w:ilvl w:val="0"/>
                <w:numId w:val="0"/>
              </w:numPr>
              <w:snapToGrid w:val="0"/>
              <w:spacing w:line="240" w:lineRule="auto"/>
              <w:jc w:val="left"/>
              <w:rPr>
                <w:rFonts w:hint="eastAsia"/>
                <w:color w:val="auto"/>
                <w:sz w:val="21"/>
                <w:lang w:eastAsia="zh-CN"/>
              </w:rPr>
            </w:pPr>
            <w:r>
              <w:rPr>
                <w:color w:val="auto"/>
                <w:sz w:val="21"/>
              </w:rPr>
              <w:t>分区防渗</w:t>
            </w:r>
            <w:r>
              <w:rPr>
                <w:rFonts w:hint="eastAsia"/>
                <w:color w:val="auto"/>
                <w:sz w:val="21"/>
                <w:lang w:eastAsia="zh-CN"/>
              </w:rPr>
              <w:t>：一般防渗区应满足等效黏土防渗层 Mb≥1.5m，K≤1×10</w:t>
            </w:r>
            <w:r>
              <w:rPr>
                <w:rFonts w:hint="eastAsia"/>
                <w:color w:val="auto"/>
                <w:sz w:val="21"/>
                <w:vertAlign w:val="superscript"/>
                <w:lang w:eastAsia="zh-CN"/>
              </w:rPr>
              <w:t>-7</w:t>
            </w:r>
            <w:r>
              <w:rPr>
                <w:rFonts w:hint="eastAsia"/>
                <w:color w:val="auto"/>
                <w:sz w:val="21"/>
                <w:lang w:eastAsia="zh-CN"/>
              </w:rPr>
              <w:t>cm/s 技术要求；</w:t>
            </w:r>
          </w:p>
          <w:p w14:paraId="56E7492F">
            <w:pPr>
              <w:numPr>
                <w:ilvl w:val="0"/>
                <w:numId w:val="0"/>
              </w:numPr>
              <w:snapToGrid w:val="0"/>
              <w:spacing w:line="240" w:lineRule="auto"/>
              <w:jc w:val="left"/>
              <w:rPr>
                <w:rFonts w:hint="eastAsia" w:eastAsia="宋体"/>
                <w:color w:val="auto"/>
                <w:sz w:val="21"/>
                <w:lang w:eastAsia="zh-CN"/>
              </w:rPr>
            </w:pPr>
            <w:r>
              <w:rPr>
                <w:rFonts w:hint="eastAsia"/>
                <w:color w:val="auto"/>
                <w:sz w:val="21"/>
                <w:lang w:eastAsia="zh-CN"/>
              </w:rPr>
              <w:t>重点防渗区应满足等效黏土防渗层 Mb≥6.0m，K≤1×10</w:t>
            </w:r>
            <w:r>
              <w:rPr>
                <w:rFonts w:hint="eastAsia"/>
                <w:color w:val="auto"/>
                <w:sz w:val="21"/>
                <w:vertAlign w:val="superscript"/>
                <w:lang w:eastAsia="zh-CN"/>
              </w:rPr>
              <w:t>-7</w:t>
            </w:r>
            <w:r>
              <w:rPr>
                <w:rFonts w:hint="eastAsia"/>
                <w:color w:val="auto"/>
                <w:sz w:val="21"/>
                <w:lang w:eastAsia="zh-CN"/>
              </w:rPr>
              <w:t>cm/s 技术要求</w:t>
            </w:r>
          </w:p>
        </w:tc>
      </w:tr>
      <w:tr w14:paraId="187EA9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942" w:type="dxa"/>
            <w:noWrap w:val="0"/>
            <w:vAlign w:val="center"/>
          </w:tcPr>
          <w:p w14:paraId="53420F0B">
            <w:pPr>
              <w:adjustRightInd w:val="0"/>
              <w:snapToGrid w:val="0"/>
              <w:spacing w:line="240" w:lineRule="auto"/>
              <w:jc w:val="center"/>
              <w:rPr>
                <w:color w:val="auto"/>
                <w:sz w:val="21"/>
              </w:rPr>
            </w:pPr>
            <w:r>
              <w:rPr>
                <w:color w:val="auto"/>
                <w:sz w:val="21"/>
              </w:rPr>
              <w:t>生态保护措施</w:t>
            </w:r>
          </w:p>
        </w:tc>
        <w:tc>
          <w:tcPr>
            <w:tcW w:w="8118" w:type="dxa"/>
            <w:gridSpan w:val="4"/>
            <w:noWrap w:val="0"/>
            <w:vAlign w:val="center"/>
          </w:tcPr>
          <w:p w14:paraId="746F340E">
            <w:pPr>
              <w:adjustRightInd w:val="0"/>
              <w:snapToGrid w:val="0"/>
              <w:spacing w:line="240" w:lineRule="auto"/>
              <w:rPr>
                <w:color w:val="auto"/>
                <w:sz w:val="21"/>
              </w:rPr>
            </w:pPr>
            <w:r>
              <w:rPr>
                <w:color w:val="auto"/>
                <w:kern w:val="0"/>
                <w:sz w:val="21"/>
              </w:rPr>
              <w:t>本</w:t>
            </w:r>
            <w:r>
              <w:rPr>
                <w:color w:val="auto"/>
                <w:sz w:val="21"/>
              </w:rPr>
              <w:t>厂区内种植灌木、花草，减少裸露地面，能隔声、吸尘、吸收有害气体。</w:t>
            </w:r>
            <w:r>
              <w:rPr>
                <w:color w:val="auto"/>
                <w:kern w:val="0"/>
                <w:sz w:val="21"/>
                <w:lang w:bidi="ar"/>
              </w:rPr>
              <w:t>能起到降低扬尘、净化空气、改善环境的作用。</w:t>
            </w:r>
          </w:p>
        </w:tc>
      </w:tr>
      <w:tr w14:paraId="49C70A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942" w:type="dxa"/>
            <w:noWrap w:val="0"/>
            <w:vAlign w:val="center"/>
          </w:tcPr>
          <w:p w14:paraId="5A90D4AF">
            <w:pPr>
              <w:adjustRightInd w:val="0"/>
              <w:snapToGrid w:val="0"/>
              <w:spacing w:line="240" w:lineRule="auto"/>
              <w:jc w:val="center"/>
              <w:rPr>
                <w:color w:val="auto"/>
                <w:spacing w:val="-8"/>
                <w:sz w:val="21"/>
              </w:rPr>
            </w:pPr>
            <w:r>
              <w:rPr>
                <w:color w:val="auto"/>
                <w:spacing w:val="-8"/>
                <w:sz w:val="21"/>
              </w:rPr>
              <w:t>环境风险防范措施</w:t>
            </w:r>
          </w:p>
        </w:tc>
        <w:tc>
          <w:tcPr>
            <w:tcW w:w="8118" w:type="dxa"/>
            <w:gridSpan w:val="4"/>
            <w:noWrap w:val="0"/>
            <w:vAlign w:val="center"/>
          </w:tcPr>
          <w:p w14:paraId="2F8C0B5E">
            <w:pPr>
              <w:spacing w:line="240" w:lineRule="auto"/>
              <w:rPr>
                <w:rFonts w:hint="eastAsia"/>
                <w:color w:val="auto"/>
                <w:sz w:val="21"/>
              </w:rPr>
            </w:pPr>
            <w:r>
              <w:rPr>
                <w:rFonts w:hint="eastAsia"/>
                <w:color w:val="auto"/>
                <w:sz w:val="21"/>
              </w:rPr>
              <w:t>1、严禁烟火，车间内禁止吸烟，加强管理，严格操作规范，制定一系列的防火规章制度；厂内车间应在进口处的明显位置设有醒目的严禁烟火的标志。</w:t>
            </w:r>
          </w:p>
          <w:p w14:paraId="7BB80F39">
            <w:pPr>
              <w:spacing w:line="240" w:lineRule="auto"/>
              <w:rPr>
                <w:color w:val="auto"/>
                <w:sz w:val="21"/>
              </w:rPr>
            </w:pPr>
            <w:r>
              <w:rPr>
                <w:rFonts w:hint="eastAsia"/>
                <w:color w:val="auto"/>
                <w:sz w:val="21"/>
              </w:rPr>
              <w:t>2、提高认识、完善制度、严格检查。设置安全环保机构，负责全公司的环保安全工作，制定各项安全生产管理制度、严格的生产操作规则和完善的事故应急计划及相应的应急处理手段和设施，同时加强安全教育，以提高职工的安全意识和安全防范能力</w:t>
            </w:r>
            <w:r>
              <w:rPr>
                <w:color w:val="auto"/>
                <w:sz w:val="21"/>
              </w:rPr>
              <w:t>。</w:t>
            </w:r>
          </w:p>
        </w:tc>
      </w:tr>
      <w:tr w14:paraId="19020E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942" w:type="dxa"/>
            <w:noWrap w:val="0"/>
            <w:vAlign w:val="center"/>
          </w:tcPr>
          <w:p w14:paraId="12A893A4">
            <w:pPr>
              <w:adjustRightInd w:val="0"/>
              <w:snapToGrid w:val="0"/>
              <w:spacing w:line="240" w:lineRule="auto"/>
              <w:jc w:val="center"/>
              <w:rPr>
                <w:color w:val="auto"/>
                <w:sz w:val="21"/>
              </w:rPr>
            </w:pPr>
            <w:r>
              <w:rPr>
                <w:color w:val="auto"/>
                <w:sz w:val="21"/>
              </w:rPr>
              <w:t>其他环境管理要求</w:t>
            </w:r>
          </w:p>
        </w:tc>
        <w:tc>
          <w:tcPr>
            <w:tcW w:w="8118" w:type="dxa"/>
            <w:gridSpan w:val="4"/>
            <w:noWrap w:val="0"/>
            <w:vAlign w:val="center"/>
          </w:tcPr>
          <w:p w14:paraId="435D3CC6">
            <w:pPr>
              <w:numPr>
                <w:ilvl w:val="0"/>
                <w:numId w:val="8"/>
              </w:numPr>
              <w:adjustRightInd w:val="0"/>
              <w:snapToGrid w:val="0"/>
              <w:spacing w:line="240" w:lineRule="auto"/>
              <w:rPr>
                <w:rFonts w:hint="eastAsia"/>
                <w:color w:val="auto"/>
                <w:sz w:val="21"/>
              </w:rPr>
            </w:pPr>
            <w:r>
              <w:rPr>
                <w:rFonts w:hint="eastAsia"/>
                <w:color w:val="auto"/>
                <w:sz w:val="21"/>
              </w:rPr>
              <w:t>项目竣工后，建设单位应当依照国家有关法律法规、建设项目竣工环境保护验收技术规范、建设项目环境影响报告表和审批决定等要求，如实查验、监测、记载建设项目环境保护设施的建设和调试情况，同时还应如实记载其他环境保护对策措施“三同时”落实情况，编制竣工环境保护验收报告。</w:t>
            </w:r>
          </w:p>
          <w:p w14:paraId="441FB135">
            <w:pPr>
              <w:numPr>
                <w:ilvl w:val="0"/>
                <w:numId w:val="8"/>
              </w:numPr>
              <w:adjustRightInd w:val="0"/>
              <w:snapToGrid w:val="0"/>
              <w:spacing w:line="240" w:lineRule="auto"/>
              <w:rPr>
                <w:color w:val="auto"/>
                <w:sz w:val="21"/>
              </w:rPr>
            </w:pPr>
            <w:r>
              <w:rPr>
                <w:rFonts w:hint="eastAsia"/>
                <w:color w:val="auto"/>
                <w:sz w:val="21"/>
              </w:rPr>
              <w:t>建设单位应在取得环评批复之后、建成投产之前重新申报排污许可，合法排污，未</w:t>
            </w:r>
            <w:r>
              <w:rPr>
                <w:rFonts w:hint="eastAsia"/>
                <w:color w:val="auto"/>
                <w:sz w:val="21"/>
                <w:lang w:val="en-US" w:eastAsia="zh-CN"/>
              </w:rPr>
              <w:t>完成</w:t>
            </w:r>
            <w:r>
              <w:rPr>
                <w:rFonts w:hint="eastAsia"/>
                <w:color w:val="auto"/>
                <w:sz w:val="21"/>
              </w:rPr>
              <w:t>排污许可</w:t>
            </w:r>
            <w:r>
              <w:rPr>
                <w:rFonts w:hint="eastAsia"/>
                <w:color w:val="auto"/>
                <w:sz w:val="21"/>
                <w:lang w:val="en-US" w:eastAsia="zh-CN"/>
              </w:rPr>
              <w:t>登记</w:t>
            </w:r>
            <w:r>
              <w:rPr>
                <w:rFonts w:hint="eastAsia"/>
                <w:color w:val="auto"/>
                <w:sz w:val="21"/>
              </w:rPr>
              <w:t>之前不得排污。</w:t>
            </w:r>
          </w:p>
        </w:tc>
      </w:tr>
    </w:tbl>
    <w:p w14:paraId="1602166A">
      <w:pPr>
        <w:spacing w:line="240" w:lineRule="auto"/>
        <w:rPr>
          <w:rFonts w:hint="eastAsia"/>
          <w:b/>
          <w:bCs/>
          <w:color w:val="auto"/>
          <w:sz w:val="30"/>
          <w:szCs w:val="30"/>
        </w:rPr>
      </w:pPr>
      <w:r>
        <w:rPr>
          <w:rFonts w:hint="eastAsia" w:ascii="宋体" w:hAnsi="宋体" w:cs="宋体"/>
          <w:snapToGrid w:val="0"/>
          <w:color w:val="auto"/>
        </w:rPr>
        <w:br w:type="page"/>
      </w:r>
      <w:r>
        <w:rPr>
          <w:rFonts w:hint="eastAsia"/>
          <w:b/>
          <w:bCs/>
          <w:color w:val="auto"/>
          <w:sz w:val="30"/>
          <w:szCs w:val="30"/>
        </w:rPr>
        <w:t>六、结论</w:t>
      </w:r>
    </w:p>
    <w:tbl>
      <w:tblPr>
        <w:tblStyle w:val="3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349"/>
      </w:tblGrid>
      <w:tr w14:paraId="241151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9349" w:type="dxa"/>
            <w:noWrap w:val="0"/>
            <w:vAlign w:val="center"/>
          </w:tcPr>
          <w:p w14:paraId="0F6DAF29">
            <w:pPr>
              <w:pStyle w:val="101"/>
              <w:rPr>
                <w:rFonts w:hint="eastAsia"/>
                <w:color w:val="auto"/>
              </w:rPr>
            </w:pPr>
            <w:r>
              <w:rPr>
                <w:color w:val="auto"/>
                <w:lang w:bidi="ar"/>
              </w:rPr>
              <w:t>综上所述，</w:t>
            </w:r>
            <w:r>
              <w:rPr>
                <w:color w:val="auto"/>
                <w:lang w:val="en-GB" w:bidi="ar"/>
              </w:rPr>
              <w:t>本项目符合国家产业政策，符合相关环保政策，选址符合当地规划。在严格加强管理、落实各项污染防治措施后，项目污染物排放可以满足国家规定的相应排放标准要求，对周围环境影响较小。从环境保护的角度分析，本项目是可行的。</w:t>
            </w:r>
          </w:p>
        </w:tc>
      </w:tr>
    </w:tbl>
    <w:p w14:paraId="200834AC">
      <w:pPr>
        <w:rPr>
          <w:rFonts w:hint="eastAsia" w:ascii="宋体" w:hAnsi="宋体" w:cs="宋体"/>
          <w:color w:val="auto"/>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14:paraId="03747F05">
      <w:pPr>
        <w:pStyle w:val="28"/>
        <w:adjustRightInd w:val="0"/>
        <w:snapToGrid w:val="0"/>
        <w:spacing w:before="0" w:beforeAutospacing="0" w:after="0" w:afterAutospacing="0"/>
        <w:outlineLvl w:val="0"/>
        <w:rPr>
          <w:rFonts w:hint="eastAsia" w:cs="宋体"/>
          <w:snapToGrid w:val="0"/>
          <w:color w:val="auto"/>
          <w:sz w:val="32"/>
          <w:szCs w:val="32"/>
        </w:rPr>
      </w:pPr>
      <w:r>
        <w:rPr>
          <w:rFonts w:hint="eastAsia" w:cs="宋体"/>
          <w:snapToGrid w:val="0"/>
          <w:color w:val="auto"/>
          <w:sz w:val="32"/>
          <w:szCs w:val="32"/>
        </w:rPr>
        <w:t>附表</w:t>
      </w:r>
    </w:p>
    <w:p w14:paraId="7B48C5F1">
      <w:pPr>
        <w:pStyle w:val="28"/>
        <w:adjustRightInd w:val="0"/>
        <w:snapToGrid w:val="0"/>
        <w:spacing w:before="0" w:beforeAutospacing="0" w:after="0" w:afterAutospacing="0" w:line="240" w:lineRule="auto"/>
        <w:jc w:val="center"/>
        <w:outlineLvl w:val="0"/>
        <w:rPr>
          <w:rFonts w:hint="eastAsia" w:cs="宋体"/>
          <w:b/>
          <w:bCs/>
          <w:snapToGrid w:val="0"/>
          <w:color w:val="auto"/>
          <w:sz w:val="38"/>
          <w:szCs w:val="38"/>
        </w:rPr>
      </w:pPr>
      <w:r>
        <w:rPr>
          <w:rFonts w:hint="eastAsia" w:ascii="黑体" w:hAnsi="黑体" w:eastAsia="黑体" w:cs="黑体"/>
          <w:b w:val="0"/>
          <w:bCs w:val="0"/>
          <w:snapToGrid w:val="0"/>
          <w:color w:val="auto"/>
          <w:sz w:val="38"/>
          <w:szCs w:val="38"/>
        </w:rPr>
        <w:t>建设项目污染物排放量汇总表</w:t>
      </w:r>
    </w:p>
    <w:tbl>
      <w:tblPr>
        <w:tblStyle w:val="3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54"/>
        <w:gridCol w:w="1962"/>
        <w:gridCol w:w="1546"/>
        <w:gridCol w:w="1252"/>
        <w:gridCol w:w="1569"/>
        <w:gridCol w:w="1559"/>
        <w:gridCol w:w="1617"/>
        <w:gridCol w:w="1441"/>
        <w:gridCol w:w="1488"/>
      </w:tblGrid>
      <w:tr w14:paraId="43A2CF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54" w:type="dxa"/>
            <w:tcBorders>
              <w:tl2br w:val="single" w:color="auto" w:sz="4" w:space="0"/>
            </w:tcBorders>
            <w:noWrap w:val="0"/>
            <w:tcMar>
              <w:left w:w="28" w:type="dxa"/>
              <w:right w:w="28" w:type="dxa"/>
            </w:tcMar>
            <w:vAlign w:val="center"/>
          </w:tcPr>
          <w:p w14:paraId="0C85D8AB">
            <w:pPr>
              <w:pStyle w:val="83"/>
              <w:spacing w:beforeLines="0" w:afterLines="0" w:line="240" w:lineRule="auto"/>
              <w:ind w:firstLine="0" w:firstLineChars="0"/>
              <w:jc w:val="right"/>
              <w:rPr>
                <w:rFonts w:hint="default" w:ascii="Times New Roman" w:hAnsi="Times New Roman" w:eastAsia="黑体" w:cs="Times New Roman"/>
                <w:snapToGrid w:val="0"/>
                <w:color w:val="auto"/>
                <w:spacing w:val="-6"/>
                <w:kern w:val="21"/>
                <w:sz w:val="21"/>
                <w:szCs w:val="21"/>
                <w:highlight w:val="none"/>
                <w:lang w:val="en-US" w:eastAsia="zh-CN"/>
              </w:rPr>
            </w:pPr>
            <w:r>
              <w:rPr>
                <w:rFonts w:hint="default" w:ascii="Times New Roman" w:hAnsi="Times New Roman" w:eastAsia="黑体" w:cs="Times New Roman"/>
                <w:snapToGrid w:val="0"/>
                <w:color w:val="auto"/>
                <w:spacing w:val="-6"/>
                <w:kern w:val="21"/>
                <w:sz w:val="21"/>
                <w:szCs w:val="21"/>
                <w:highlight w:val="none"/>
                <w:lang w:val="en-US" w:eastAsia="zh-CN"/>
              </w:rPr>
              <w:t>项目</w:t>
            </w:r>
          </w:p>
          <w:p w14:paraId="06ADA742">
            <w:pPr>
              <w:pStyle w:val="83"/>
              <w:spacing w:beforeLines="0" w:afterLines="0" w:line="240" w:lineRule="auto"/>
              <w:ind w:firstLine="0" w:firstLineChars="0"/>
              <w:jc w:val="left"/>
              <w:rPr>
                <w:rFonts w:hint="default" w:ascii="Times New Roman" w:hAnsi="Times New Roman" w:eastAsia="黑体" w:cs="Times New Roman"/>
                <w:snapToGrid w:val="0"/>
                <w:color w:val="auto"/>
                <w:spacing w:val="-6"/>
                <w:kern w:val="21"/>
                <w:sz w:val="21"/>
                <w:szCs w:val="21"/>
                <w:highlight w:val="none"/>
                <w:lang w:val="en-US" w:eastAsia="zh-CN"/>
              </w:rPr>
            </w:pPr>
            <w:r>
              <w:rPr>
                <w:rFonts w:hint="default" w:ascii="Times New Roman" w:hAnsi="Times New Roman" w:eastAsia="黑体" w:cs="Times New Roman"/>
                <w:snapToGrid w:val="0"/>
                <w:color w:val="auto"/>
                <w:spacing w:val="-6"/>
                <w:kern w:val="21"/>
                <w:sz w:val="21"/>
                <w:szCs w:val="21"/>
                <w:highlight w:val="none"/>
                <w:lang w:val="en-US" w:eastAsia="zh-CN"/>
              </w:rPr>
              <w:t>分类</w:t>
            </w:r>
          </w:p>
        </w:tc>
        <w:tc>
          <w:tcPr>
            <w:tcW w:w="1962" w:type="dxa"/>
            <w:noWrap w:val="0"/>
            <w:tcMar>
              <w:left w:w="28" w:type="dxa"/>
              <w:right w:w="28" w:type="dxa"/>
            </w:tcMar>
            <w:vAlign w:val="center"/>
          </w:tcPr>
          <w:p w14:paraId="65F2D4CC">
            <w:pPr>
              <w:pStyle w:val="83"/>
              <w:spacing w:beforeLines="0" w:afterLines="0" w:line="240" w:lineRule="auto"/>
              <w:ind w:firstLine="0" w:firstLineChars="0"/>
              <w:rPr>
                <w:rFonts w:hint="default" w:ascii="Times New Roman" w:hAnsi="Times New Roman" w:eastAsia="黑体" w:cs="Times New Roman"/>
                <w:snapToGrid w:val="0"/>
                <w:color w:val="auto"/>
                <w:spacing w:val="-6"/>
                <w:kern w:val="21"/>
                <w:sz w:val="21"/>
                <w:szCs w:val="21"/>
                <w:highlight w:val="none"/>
                <w:lang w:val="en-US" w:eastAsia="zh-CN"/>
              </w:rPr>
            </w:pPr>
            <w:r>
              <w:rPr>
                <w:rFonts w:hint="default" w:ascii="Times New Roman" w:hAnsi="Times New Roman" w:eastAsia="黑体" w:cs="Times New Roman"/>
                <w:snapToGrid w:val="0"/>
                <w:color w:val="auto"/>
                <w:spacing w:val="-6"/>
                <w:kern w:val="21"/>
                <w:sz w:val="21"/>
                <w:szCs w:val="21"/>
                <w:highlight w:val="none"/>
                <w:lang w:val="en-US" w:eastAsia="zh-CN"/>
              </w:rPr>
              <w:t>污染物名称</w:t>
            </w:r>
          </w:p>
        </w:tc>
        <w:tc>
          <w:tcPr>
            <w:tcW w:w="1546" w:type="dxa"/>
            <w:noWrap w:val="0"/>
            <w:tcMar>
              <w:left w:w="28" w:type="dxa"/>
              <w:right w:w="28" w:type="dxa"/>
            </w:tcMar>
            <w:vAlign w:val="center"/>
          </w:tcPr>
          <w:p w14:paraId="1411D083">
            <w:pPr>
              <w:pStyle w:val="83"/>
              <w:spacing w:beforeLines="0" w:afterLines="0" w:line="240" w:lineRule="auto"/>
              <w:ind w:firstLine="0" w:firstLineChars="0"/>
              <w:rPr>
                <w:rFonts w:hint="default" w:ascii="Times New Roman" w:hAnsi="Times New Roman" w:eastAsia="黑体" w:cs="Times New Roman"/>
                <w:snapToGrid w:val="0"/>
                <w:color w:val="auto"/>
                <w:spacing w:val="-6"/>
                <w:kern w:val="21"/>
                <w:sz w:val="21"/>
                <w:szCs w:val="21"/>
                <w:highlight w:val="none"/>
                <w:lang w:val="en-US" w:eastAsia="zh-CN"/>
              </w:rPr>
            </w:pPr>
            <w:r>
              <w:rPr>
                <w:rFonts w:hint="default" w:ascii="Times New Roman" w:hAnsi="Times New Roman" w:eastAsia="黑体" w:cs="Times New Roman"/>
                <w:snapToGrid w:val="0"/>
                <w:color w:val="auto"/>
                <w:spacing w:val="-6"/>
                <w:kern w:val="21"/>
                <w:sz w:val="21"/>
                <w:szCs w:val="21"/>
                <w:highlight w:val="none"/>
                <w:lang w:val="en-US" w:eastAsia="zh-CN"/>
              </w:rPr>
              <w:t>现有工程</w:t>
            </w:r>
          </w:p>
          <w:p w14:paraId="747A67A7">
            <w:pPr>
              <w:pStyle w:val="83"/>
              <w:spacing w:beforeLines="0" w:afterLines="0" w:line="240" w:lineRule="auto"/>
              <w:ind w:firstLine="0" w:firstLineChars="0"/>
              <w:rPr>
                <w:rFonts w:hint="default" w:ascii="Times New Roman" w:hAnsi="Times New Roman" w:eastAsia="黑体" w:cs="Times New Roman"/>
                <w:snapToGrid w:val="0"/>
                <w:color w:val="auto"/>
                <w:spacing w:val="-6"/>
                <w:kern w:val="21"/>
                <w:sz w:val="21"/>
                <w:szCs w:val="21"/>
                <w:highlight w:val="none"/>
                <w:lang w:val="en-US" w:eastAsia="zh-CN"/>
              </w:rPr>
            </w:pPr>
            <w:r>
              <w:rPr>
                <w:rFonts w:hint="default" w:ascii="Times New Roman" w:hAnsi="Times New Roman" w:eastAsia="黑体" w:cs="Times New Roman"/>
                <w:snapToGrid w:val="0"/>
                <w:color w:val="auto"/>
                <w:spacing w:val="-6"/>
                <w:kern w:val="21"/>
                <w:sz w:val="21"/>
                <w:szCs w:val="21"/>
                <w:highlight w:val="none"/>
                <w:lang w:val="en-US" w:eastAsia="zh-CN"/>
              </w:rPr>
              <w:t>排放量（固体废物产生量t/a）</w:t>
            </w:r>
            <w:r>
              <w:rPr>
                <w:rFonts w:hint="default" w:ascii="Times New Roman" w:hAnsi="Times New Roman" w:eastAsia="黑体" w:cs="Times New Roman"/>
                <w:snapToGrid w:val="0"/>
                <w:color w:val="auto"/>
                <w:spacing w:val="-6"/>
                <w:kern w:val="21"/>
                <w:sz w:val="21"/>
                <w:szCs w:val="21"/>
                <w:highlight w:val="none"/>
                <w:lang w:val="en-US" w:eastAsia="zh-CN"/>
              </w:rPr>
              <w:fldChar w:fldCharType="begin"/>
            </w:r>
            <w:r>
              <w:rPr>
                <w:rFonts w:hint="default" w:ascii="Times New Roman" w:hAnsi="Times New Roman" w:eastAsia="黑体" w:cs="Times New Roman"/>
                <w:snapToGrid w:val="0"/>
                <w:color w:val="auto"/>
                <w:spacing w:val="-6"/>
                <w:kern w:val="21"/>
                <w:sz w:val="21"/>
                <w:szCs w:val="21"/>
                <w:highlight w:val="none"/>
                <w:lang w:val="en-US" w:eastAsia="zh-CN"/>
              </w:rPr>
              <w:instrText xml:space="preserve"> = 1 \* GB3 \* MERGEFORMAT </w:instrText>
            </w:r>
            <w:r>
              <w:rPr>
                <w:rFonts w:hint="default" w:ascii="Times New Roman" w:hAnsi="Times New Roman" w:eastAsia="黑体" w:cs="Times New Roman"/>
                <w:snapToGrid w:val="0"/>
                <w:color w:val="auto"/>
                <w:spacing w:val="-6"/>
                <w:kern w:val="21"/>
                <w:sz w:val="21"/>
                <w:szCs w:val="21"/>
                <w:highlight w:val="none"/>
                <w:lang w:val="en-US" w:eastAsia="zh-CN"/>
              </w:rPr>
              <w:fldChar w:fldCharType="separate"/>
            </w:r>
            <w:r>
              <w:rPr>
                <w:rFonts w:hint="default" w:ascii="Times New Roman" w:hAnsi="Times New Roman" w:eastAsia="黑体" w:cs="Times New Roman"/>
                <w:color w:val="auto"/>
                <w:kern w:val="2"/>
                <w:sz w:val="21"/>
                <w:szCs w:val="21"/>
                <w:highlight w:val="none"/>
                <w:lang w:val="en-US" w:eastAsia="zh-CN"/>
              </w:rPr>
              <w:t>①</w:t>
            </w:r>
            <w:r>
              <w:rPr>
                <w:rFonts w:hint="default" w:ascii="Times New Roman" w:hAnsi="Times New Roman" w:eastAsia="黑体" w:cs="Times New Roman"/>
                <w:snapToGrid w:val="0"/>
                <w:color w:val="auto"/>
                <w:spacing w:val="-6"/>
                <w:kern w:val="21"/>
                <w:sz w:val="21"/>
                <w:szCs w:val="21"/>
                <w:highlight w:val="none"/>
                <w:lang w:val="en-US" w:eastAsia="zh-CN"/>
              </w:rPr>
              <w:fldChar w:fldCharType="end"/>
            </w:r>
          </w:p>
        </w:tc>
        <w:tc>
          <w:tcPr>
            <w:tcW w:w="1252" w:type="dxa"/>
            <w:noWrap w:val="0"/>
            <w:tcMar>
              <w:left w:w="28" w:type="dxa"/>
              <w:right w:w="28" w:type="dxa"/>
            </w:tcMar>
            <w:vAlign w:val="center"/>
          </w:tcPr>
          <w:p w14:paraId="67EE4BEE">
            <w:pPr>
              <w:pStyle w:val="83"/>
              <w:spacing w:beforeLines="0" w:afterLines="0" w:line="240" w:lineRule="auto"/>
              <w:ind w:firstLine="0" w:firstLineChars="0"/>
              <w:rPr>
                <w:rFonts w:hint="default" w:ascii="Times New Roman" w:hAnsi="Times New Roman" w:eastAsia="黑体" w:cs="Times New Roman"/>
                <w:snapToGrid w:val="0"/>
                <w:color w:val="auto"/>
                <w:spacing w:val="-6"/>
                <w:kern w:val="21"/>
                <w:sz w:val="21"/>
                <w:szCs w:val="21"/>
                <w:highlight w:val="none"/>
                <w:lang w:val="en-US" w:eastAsia="zh-CN"/>
              </w:rPr>
            </w:pPr>
            <w:r>
              <w:rPr>
                <w:rFonts w:hint="default" w:ascii="Times New Roman" w:hAnsi="Times New Roman" w:eastAsia="黑体" w:cs="Times New Roman"/>
                <w:snapToGrid w:val="0"/>
                <w:color w:val="auto"/>
                <w:spacing w:val="-6"/>
                <w:kern w:val="21"/>
                <w:sz w:val="21"/>
                <w:szCs w:val="21"/>
                <w:highlight w:val="none"/>
                <w:lang w:val="en-US" w:eastAsia="zh-CN"/>
              </w:rPr>
              <w:t>现有工程</w:t>
            </w:r>
          </w:p>
          <w:p w14:paraId="13E2AA34">
            <w:pPr>
              <w:pStyle w:val="83"/>
              <w:spacing w:beforeLines="0" w:afterLines="0" w:line="240" w:lineRule="auto"/>
              <w:ind w:firstLine="0" w:firstLineChars="0"/>
              <w:rPr>
                <w:rFonts w:hint="default" w:ascii="Times New Roman" w:hAnsi="Times New Roman" w:eastAsia="黑体" w:cs="Times New Roman"/>
                <w:snapToGrid w:val="0"/>
                <w:color w:val="auto"/>
                <w:spacing w:val="-6"/>
                <w:kern w:val="21"/>
                <w:sz w:val="21"/>
                <w:szCs w:val="21"/>
                <w:highlight w:val="none"/>
                <w:lang w:val="en-US" w:eastAsia="zh-CN"/>
              </w:rPr>
            </w:pPr>
            <w:r>
              <w:rPr>
                <w:rFonts w:hint="default" w:ascii="Times New Roman" w:hAnsi="Times New Roman" w:eastAsia="黑体" w:cs="Times New Roman"/>
                <w:snapToGrid w:val="0"/>
                <w:color w:val="auto"/>
                <w:spacing w:val="-6"/>
                <w:kern w:val="21"/>
                <w:sz w:val="21"/>
                <w:szCs w:val="21"/>
                <w:highlight w:val="none"/>
                <w:lang w:val="en-US" w:eastAsia="zh-CN"/>
              </w:rPr>
              <w:t>许可排放量</w:t>
            </w:r>
          </w:p>
          <w:p w14:paraId="1D0824B4">
            <w:pPr>
              <w:pStyle w:val="83"/>
              <w:spacing w:beforeLines="0" w:afterLines="0" w:line="240" w:lineRule="auto"/>
              <w:ind w:firstLine="0" w:firstLineChars="0"/>
              <w:rPr>
                <w:rFonts w:hint="default" w:ascii="Times New Roman" w:hAnsi="Times New Roman" w:eastAsia="黑体" w:cs="Times New Roman"/>
                <w:snapToGrid w:val="0"/>
                <w:color w:val="auto"/>
                <w:spacing w:val="-6"/>
                <w:kern w:val="21"/>
                <w:sz w:val="21"/>
                <w:szCs w:val="21"/>
                <w:highlight w:val="none"/>
                <w:lang w:val="en-US" w:eastAsia="zh-CN"/>
              </w:rPr>
            </w:pPr>
            <w:r>
              <w:rPr>
                <w:rFonts w:hint="default" w:ascii="Times New Roman" w:hAnsi="Times New Roman" w:eastAsia="黑体" w:cs="Times New Roman"/>
                <w:snapToGrid w:val="0"/>
                <w:color w:val="auto"/>
                <w:spacing w:val="-6"/>
                <w:kern w:val="21"/>
                <w:sz w:val="21"/>
                <w:szCs w:val="21"/>
                <w:highlight w:val="none"/>
                <w:lang w:val="en-US" w:eastAsia="zh-CN"/>
              </w:rPr>
              <w:fldChar w:fldCharType="begin"/>
            </w:r>
            <w:r>
              <w:rPr>
                <w:rFonts w:hint="default" w:ascii="Times New Roman" w:hAnsi="Times New Roman" w:eastAsia="黑体" w:cs="Times New Roman"/>
                <w:snapToGrid w:val="0"/>
                <w:color w:val="auto"/>
                <w:spacing w:val="-6"/>
                <w:kern w:val="21"/>
                <w:sz w:val="21"/>
                <w:szCs w:val="21"/>
                <w:highlight w:val="none"/>
                <w:lang w:val="en-US" w:eastAsia="zh-CN"/>
              </w:rPr>
              <w:instrText xml:space="preserve"> = 2 \* GB3 \* MERGEFORMAT </w:instrText>
            </w:r>
            <w:r>
              <w:rPr>
                <w:rFonts w:hint="default" w:ascii="Times New Roman" w:hAnsi="Times New Roman" w:eastAsia="黑体" w:cs="Times New Roman"/>
                <w:snapToGrid w:val="0"/>
                <w:color w:val="auto"/>
                <w:spacing w:val="-6"/>
                <w:kern w:val="21"/>
                <w:sz w:val="21"/>
                <w:szCs w:val="21"/>
                <w:highlight w:val="none"/>
                <w:lang w:val="en-US" w:eastAsia="zh-CN"/>
              </w:rPr>
              <w:fldChar w:fldCharType="separate"/>
            </w:r>
            <w:r>
              <w:rPr>
                <w:rFonts w:hint="default" w:ascii="Times New Roman" w:hAnsi="Times New Roman" w:eastAsia="黑体" w:cs="Times New Roman"/>
                <w:snapToGrid w:val="0"/>
                <w:color w:val="auto"/>
                <w:spacing w:val="-6"/>
                <w:kern w:val="21"/>
                <w:sz w:val="21"/>
                <w:szCs w:val="21"/>
                <w:highlight w:val="none"/>
                <w:lang w:val="en-US" w:eastAsia="zh-CN"/>
              </w:rPr>
              <w:t>②</w:t>
            </w:r>
            <w:r>
              <w:rPr>
                <w:rFonts w:hint="default" w:ascii="Times New Roman" w:hAnsi="Times New Roman" w:eastAsia="黑体" w:cs="Times New Roman"/>
                <w:snapToGrid w:val="0"/>
                <w:color w:val="auto"/>
                <w:spacing w:val="-6"/>
                <w:kern w:val="21"/>
                <w:sz w:val="21"/>
                <w:szCs w:val="21"/>
                <w:highlight w:val="none"/>
                <w:lang w:val="en-US" w:eastAsia="zh-CN"/>
              </w:rPr>
              <w:fldChar w:fldCharType="end"/>
            </w:r>
          </w:p>
        </w:tc>
        <w:tc>
          <w:tcPr>
            <w:tcW w:w="1569" w:type="dxa"/>
            <w:noWrap w:val="0"/>
            <w:tcMar>
              <w:left w:w="28" w:type="dxa"/>
              <w:right w:w="28" w:type="dxa"/>
            </w:tcMar>
            <w:vAlign w:val="center"/>
          </w:tcPr>
          <w:p w14:paraId="26D9239B">
            <w:pPr>
              <w:pStyle w:val="83"/>
              <w:spacing w:beforeLines="0" w:afterLines="0" w:line="240" w:lineRule="auto"/>
              <w:ind w:firstLine="0" w:firstLineChars="0"/>
              <w:rPr>
                <w:rFonts w:hint="default" w:ascii="Times New Roman" w:hAnsi="Times New Roman" w:eastAsia="黑体" w:cs="Times New Roman"/>
                <w:snapToGrid w:val="0"/>
                <w:color w:val="auto"/>
                <w:spacing w:val="-6"/>
                <w:kern w:val="21"/>
                <w:sz w:val="21"/>
                <w:szCs w:val="21"/>
                <w:highlight w:val="none"/>
                <w:lang w:val="en-US" w:eastAsia="zh-CN"/>
              </w:rPr>
            </w:pPr>
            <w:r>
              <w:rPr>
                <w:rFonts w:hint="default" w:ascii="Times New Roman" w:hAnsi="Times New Roman" w:eastAsia="黑体" w:cs="Times New Roman"/>
                <w:snapToGrid w:val="0"/>
                <w:color w:val="auto"/>
                <w:spacing w:val="-6"/>
                <w:kern w:val="21"/>
                <w:sz w:val="21"/>
                <w:szCs w:val="21"/>
                <w:highlight w:val="none"/>
                <w:lang w:val="en-US" w:eastAsia="zh-CN"/>
              </w:rPr>
              <w:t>在建工程</w:t>
            </w:r>
          </w:p>
          <w:p w14:paraId="16EEC4AE">
            <w:pPr>
              <w:pStyle w:val="83"/>
              <w:spacing w:beforeLines="0" w:afterLines="0" w:line="240" w:lineRule="auto"/>
              <w:ind w:firstLine="0" w:firstLineChars="0"/>
              <w:rPr>
                <w:rFonts w:hint="default" w:ascii="Times New Roman" w:hAnsi="Times New Roman" w:eastAsia="黑体" w:cs="Times New Roman"/>
                <w:snapToGrid w:val="0"/>
                <w:color w:val="auto"/>
                <w:spacing w:val="-6"/>
                <w:kern w:val="21"/>
                <w:sz w:val="21"/>
                <w:szCs w:val="21"/>
                <w:highlight w:val="none"/>
                <w:lang w:val="en-US" w:eastAsia="zh-CN"/>
              </w:rPr>
            </w:pPr>
            <w:r>
              <w:rPr>
                <w:rFonts w:hint="default" w:ascii="Times New Roman" w:hAnsi="Times New Roman" w:eastAsia="黑体" w:cs="Times New Roman"/>
                <w:snapToGrid w:val="0"/>
                <w:color w:val="auto"/>
                <w:spacing w:val="-6"/>
                <w:kern w:val="21"/>
                <w:sz w:val="21"/>
                <w:szCs w:val="21"/>
                <w:highlight w:val="none"/>
                <w:lang w:val="en-US" w:eastAsia="zh-CN"/>
              </w:rPr>
              <w:t>排放量（固体废物产生量t/a）</w:t>
            </w:r>
            <w:r>
              <w:rPr>
                <w:rFonts w:hint="default" w:ascii="Times New Roman" w:hAnsi="Times New Roman" w:eastAsia="黑体" w:cs="Times New Roman"/>
                <w:snapToGrid w:val="0"/>
                <w:color w:val="auto"/>
                <w:spacing w:val="-6"/>
                <w:kern w:val="21"/>
                <w:sz w:val="21"/>
                <w:szCs w:val="21"/>
                <w:highlight w:val="none"/>
                <w:lang w:val="en-US" w:eastAsia="zh-CN"/>
              </w:rPr>
              <w:fldChar w:fldCharType="begin"/>
            </w:r>
            <w:r>
              <w:rPr>
                <w:rFonts w:hint="default" w:ascii="Times New Roman" w:hAnsi="Times New Roman" w:eastAsia="黑体" w:cs="Times New Roman"/>
                <w:snapToGrid w:val="0"/>
                <w:color w:val="auto"/>
                <w:spacing w:val="-6"/>
                <w:kern w:val="21"/>
                <w:sz w:val="21"/>
                <w:szCs w:val="21"/>
                <w:highlight w:val="none"/>
                <w:lang w:val="en-US" w:eastAsia="zh-CN"/>
              </w:rPr>
              <w:instrText xml:space="preserve"> = 3 \* GB3 \* MERGEFORMAT </w:instrText>
            </w:r>
            <w:r>
              <w:rPr>
                <w:rFonts w:hint="default" w:ascii="Times New Roman" w:hAnsi="Times New Roman" w:eastAsia="黑体" w:cs="Times New Roman"/>
                <w:snapToGrid w:val="0"/>
                <w:color w:val="auto"/>
                <w:spacing w:val="-6"/>
                <w:kern w:val="21"/>
                <w:sz w:val="21"/>
                <w:szCs w:val="21"/>
                <w:highlight w:val="none"/>
                <w:lang w:val="en-US" w:eastAsia="zh-CN"/>
              </w:rPr>
              <w:fldChar w:fldCharType="separate"/>
            </w:r>
            <w:r>
              <w:rPr>
                <w:rFonts w:hint="default" w:ascii="Times New Roman" w:hAnsi="Times New Roman" w:eastAsia="黑体" w:cs="Times New Roman"/>
                <w:color w:val="auto"/>
                <w:kern w:val="2"/>
                <w:sz w:val="21"/>
                <w:szCs w:val="21"/>
                <w:highlight w:val="none"/>
                <w:lang w:val="en-US" w:eastAsia="zh-CN"/>
              </w:rPr>
              <w:t>③</w:t>
            </w:r>
            <w:r>
              <w:rPr>
                <w:rFonts w:hint="default" w:ascii="Times New Roman" w:hAnsi="Times New Roman" w:eastAsia="黑体" w:cs="Times New Roman"/>
                <w:snapToGrid w:val="0"/>
                <w:color w:val="auto"/>
                <w:spacing w:val="-6"/>
                <w:kern w:val="21"/>
                <w:sz w:val="21"/>
                <w:szCs w:val="21"/>
                <w:highlight w:val="none"/>
                <w:lang w:val="en-US" w:eastAsia="zh-CN"/>
              </w:rPr>
              <w:fldChar w:fldCharType="end"/>
            </w:r>
          </w:p>
        </w:tc>
        <w:tc>
          <w:tcPr>
            <w:tcW w:w="1559" w:type="dxa"/>
            <w:noWrap w:val="0"/>
            <w:tcMar>
              <w:left w:w="28" w:type="dxa"/>
              <w:right w:w="28" w:type="dxa"/>
            </w:tcMar>
            <w:vAlign w:val="center"/>
          </w:tcPr>
          <w:p w14:paraId="094263A2">
            <w:pPr>
              <w:pStyle w:val="83"/>
              <w:spacing w:beforeLines="0" w:afterLines="0" w:line="240" w:lineRule="auto"/>
              <w:ind w:firstLine="0" w:firstLineChars="0"/>
              <w:rPr>
                <w:rFonts w:hint="default" w:ascii="Times New Roman" w:hAnsi="Times New Roman" w:eastAsia="黑体" w:cs="Times New Roman"/>
                <w:snapToGrid w:val="0"/>
                <w:color w:val="auto"/>
                <w:spacing w:val="-6"/>
                <w:kern w:val="21"/>
                <w:sz w:val="21"/>
                <w:szCs w:val="21"/>
                <w:highlight w:val="none"/>
                <w:lang w:val="en-US" w:eastAsia="zh-CN"/>
              </w:rPr>
            </w:pPr>
            <w:r>
              <w:rPr>
                <w:rFonts w:hint="default" w:ascii="Times New Roman" w:hAnsi="Times New Roman" w:eastAsia="黑体" w:cs="Times New Roman"/>
                <w:snapToGrid w:val="0"/>
                <w:color w:val="auto"/>
                <w:spacing w:val="-6"/>
                <w:kern w:val="21"/>
                <w:sz w:val="21"/>
                <w:szCs w:val="21"/>
                <w:highlight w:val="none"/>
                <w:lang w:val="en-US" w:eastAsia="zh-CN"/>
              </w:rPr>
              <w:t>本项目</w:t>
            </w:r>
          </w:p>
          <w:p w14:paraId="4AFF3116">
            <w:pPr>
              <w:pStyle w:val="83"/>
              <w:spacing w:beforeLines="0" w:afterLines="0" w:line="240" w:lineRule="auto"/>
              <w:ind w:firstLine="0" w:firstLineChars="0"/>
              <w:rPr>
                <w:rFonts w:hint="default" w:ascii="Times New Roman" w:hAnsi="Times New Roman" w:eastAsia="黑体" w:cs="Times New Roman"/>
                <w:snapToGrid w:val="0"/>
                <w:color w:val="auto"/>
                <w:spacing w:val="-6"/>
                <w:kern w:val="21"/>
                <w:sz w:val="21"/>
                <w:szCs w:val="21"/>
                <w:highlight w:val="none"/>
                <w:lang w:val="en-US" w:eastAsia="zh-CN"/>
              </w:rPr>
            </w:pPr>
            <w:r>
              <w:rPr>
                <w:rFonts w:hint="default" w:ascii="Times New Roman" w:hAnsi="Times New Roman" w:eastAsia="黑体" w:cs="Times New Roman"/>
                <w:snapToGrid w:val="0"/>
                <w:color w:val="auto"/>
                <w:spacing w:val="-6"/>
                <w:kern w:val="21"/>
                <w:sz w:val="21"/>
                <w:szCs w:val="21"/>
                <w:highlight w:val="none"/>
                <w:lang w:val="en-US" w:eastAsia="zh-CN"/>
              </w:rPr>
              <w:t>排放量（固体废物产生量t/a）</w:t>
            </w:r>
            <w:r>
              <w:rPr>
                <w:rFonts w:hint="default" w:ascii="Times New Roman" w:hAnsi="Times New Roman" w:eastAsia="黑体" w:cs="Times New Roman"/>
                <w:snapToGrid w:val="0"/>
                <w:color w:val="auto"/>
                <w:spacing w:val="-6"/>
                <w:kern w:val="21"/>
                <w:sz w:val="21"/>
                <w:szCs w:val="21"/>
                <w:highlight w:val="none"/>
                <w:lang w:val="en-US" w:eastAsia="zh-CN"/>
              </w:rPr>
              <w:fldChar w:fldCharType="begin"/>
            </w:r>
            <w:r>
              <w:rPr>
                <w:rFonts w:hint="default" w:ascii="Times New Roman" w:hAnsi="Times New Roman" w:eastAsia="黑体" w:cs="Times New Roman"/>
                <w:snapToGrid w:val="0"/>
                <w:color w:val="auto"/>
                <w:spacing w:val="-6"/>
                <w:kern w:val="21"/>
                <w:sz w:val="21"/>
                <w:szCs w:val="21"/>
                <w:highlight w:val="none"/>
                <w:lang w:val="en-US" w:eastAsia="zh-CN"/>
              </w:rPr>
              <w:instrText xml:space="preserve"> = 4 \* GB3 \* MERGEFORMAT </w:instrText>
            </w:r>
            <w:r>
              <w:rPr>
                <w:rFonts w:hint="default" w:ascii="Times New Roman" w:hAnsi="Times New Roman" w:eastAsia="黑体" w:cs="Times New Roman"/>
                <w:snapToGrid w:val="0"/>
                <w:color w:val="auto"/>
                <w:spacing w:val="-6"/>
                <w:kern w:val="21"/>
                <w:sz w:val="21"/>
                <w:szCs w:val="21"/>
                <w:highlight w:val="none"/>
                <w:lang w:val="en-US" w:eastAsia="zh-CN"/>
              </w:rPr>
              <w:fldChar w:fldCharType="separate"/>
            </w:r>
            <w:r>
              <w:rPr>
                <w:rFonts w:hint="default" w:ascii="Times New Roman" w:hAnsi="Times New Roman" w:eastAsia="黑体" w:cs="Times New Roman"/>
                <w:color w:val="auto"/>
                <w:kern w:val="2"/>
                <w:sz w:val="21"/>
                <w:szCs w:val="21"/>
                <w:highlight w:val="none"/>
                <w:lang w:val="en-US" w:eastAsia="zh-CN"/>
              </w:rPr>
              <w:t>④</w:t>
            </w:r>
            <w:r>
              <w:rPr>
                <w:rFonts w:hint="default" w:ascii="Times New Roman" w:hAnsi="Times New Roman" w:eastAsia="黑体" w:cs="Times New Roman"/>
                <w:snapToGrid w:val="0"/>
                <w:color w:val="auto"/>
                <w:spacing w:val="-6"/>
                <w:kern w:val="21"/>
                <w:sz w:val="21"/>
                <w:szCs w:val="21"/>
                <w:highlight w:val="none"/>
                <w:lang w:val="en-US" w:eastAsia="zh-CN"/>
              </w:rPr>
              <w:fldChar w:fldCharType="end"/>
            </w:r>
          </w:p>
        </w:tc>
        <w:tc>
          <w:tcPr>
            <w:tcW w:w="1617" w:type="dxa"/>
            <w:noWrap w:val="0"/>
            <w:tcMar>
              <w:left w:w="28" w:type="dxa"/>
              <w:right w:w="28" w:type="dxa"/>
            </w:tcMar>
            <w:vAlign w:val="center"/>
          </w:tcPr>
          <w:p w14:paraId="21533161">
            <w:pPr>
              <w:pStyle w:val="83"/>
              <w:spacing w:beforeLines="0" w:afterLines="0" w:line="240" w:lineRule="auto"/>
              <w:ind w:firstLine="0" w:firstLineChars="0"/>
              <w:rPr>
                <w:rFonts w:hint="default" w:ascii="Times New Roman" w:hAnsi="Times New Roman" w:eastAsia="黑体" w:cs="Times New Roman"/>
                <w:snapToGrid w:val="0"/>
                <w:color w:val="auto"/>
                <w:spacing w:val="-16"/>
                <w:kern w:val="21"/>
                <w:sz w:val="21"/>
                <w:szCs w:val="21"/>
                <w:highlight w:val="none"/>
                <w:lang w:val="en-US" w:eastAsia="zh-CN"/>
              </w:rPr>
            </w:pPr>
            <w:r>
              <w:rPr>
                <w:rFonts w:hint="default" w:ascii="Times New Roman" w:hAnsi="Times New Roman" w:eastAsia="黑体" w:cs="Times New Roman"/>
                <w:snapToGrid w:val="0"/>
                <w:color w:val="auto"/>
                <w:spacing w:val="-16"/>
                <w:kern w:val="21"/>
                <w:sz w:val="21"/>
                <w:szCs w:val="21"/>
                <w:highlight w:val="none"/>
                <w:lang w:val="en-US" w:eastAsia="zh-CN"/>
              </w:rPr>
              <w:t>以新带老削减量</w:t>
            </w:r>
          </w:p>
          <w:p w14:paraId="55B0FC42">
            <w:pPr>
              <w:pStyle w:val="83"/>
              <w:spacing w:beforeLines="0" w:afterLines="0" w:line="240" w:lineRule="auto"/>
              <w:ind w:firstLine="0" w:firstLineChars="0"/>
              <w:rPr>
                <w:rFonts w:hint="default" w:ascii="Times New Roman" w:hAnsi="Times New Roman" w:eastAsia="黑体" w:cs="Times New Roman"/>
                <w:snapToGrid w:val="0"/>
                <w:color w:val="auto"/>
                <w:spacing w:val="-16"/>
                <w:kern w:val="21"/>
                <w:sz w:val="21"/>
                <w:szCs w:val="21"/>
                <w:highlight w:val="none"/>
                <w:lang w:val="en-US" w:eastAsia="zh-CN"/>
              </w:rPr>
            </w:pPr>
            <w:r>
              <w:rPr>
                <w:rFonts w:hint="default" w:ascii="Times New Roman" w:hAnsi="Times New Roman" w:eastAsia="黑体" w:cs="Times New Roman"/>
                <w:snapToGrid w:val="0"/>
                <w:color w:val="auto"/>
                <w:spacing w:val="-16"/>
                <w:kern w:val="21"/>
                <w:sz w:val="21"/>
                <w:szCs w:val="21"/>
                <w:highlight w:val="none"/>
                <w:lang w:val="en-US" w:eastAsia="zh-CN"/>
              </w:rPr>
              <w:t>（新建项目不填）</w:t>
            </w:r>
            <w:r>
              <w:rPr>
                <w:rFonts w:hint="default" w:ascii="Times New Roman" w:hAnsi="Times New Roman" w:eastAsia="黑体" w:cs="Times New Roman"/>
                <w:snapToGrid w:val="0"/>
                <w:color w:val="auto"/>
                <w:spacing w:val="-16"/>
                <w:kern w:val="21"/>
                <w:sz w:val="21"/>
                <w:szCs w:val="21"/>
                <w:highlight w:val="none"/>
                <w:lang w:val="en-US" w:eastAsia="zh-CN"/>
              </w:rPr>
              <w:fldChar w:fldCharType="begin"/>
            </w:r>
            <w:r>
              <w:rPr>
                <w:rFonts w:hint="default" w:ascii="Times New Roman" w:hAnsi="Times New Roman" w:eastAsia="黑体" w:cs="Times New Roman"/>
                <w:snapToGrid w:val="0"/>
                <w:color w:val="auto"/>
                <w:spacing w:val="-16"/>
                <w:kern w:val="21"/>
                <w:sz w:val="21"/>
                <w:szCs w:val="21"/>
                <w:highlight w:val="none"/>
                <w:lang w:val="en-US" w:eastAsia="zh-CN"/>
              </w:rPr>
              <w:instrText xml:space="preserve"> = 5 \* GB3 \* MERGEFORMAT </w:instrText>
            </w:r>
            <w:r>
              <w:rPr>
                <w:rFonts w:hint="default" w:ascii="Times New Roman" w:hAnsi="Times New Roman" w:eastAsia="黑体" w:cs="Times New Roman"/>
                <w:snapToGrid w:val="0"/>
                <w:color w:val="auto"/>
                <w:spacing w:val="-16"/>
                <w:kern w:val="21"/>
                <w:sz w:val="21"/>
                <w:szCs w:val="21"/>
                <w:highlight w:val="none"/>
                <w:lang w:val="en-US" w:eastAsia="zh-CN"/>
              </w:rPr>
              <w:fldChar w:fldCharType="separate"/>
            </w:r>
            <w:r>
              <w:rPr>
                <w:rFonts w:hint="default" w:ascii="Times New Roman" w:hAnsi="Times New Roman" w:eastAsia="黑体" w:cs="Times New Roman"/>
                <w:color w:val="auto"/>
                <w:kern w:val="2"/>
                <w:sz w:val="21"/>
                <w:szCs w:val="21"/>
                <w:highlight w:val="none"/>
                <w:lang w:val="en-US" w:eastAsia="zh-CN"/>
              </w:rPr>
              <w:t>⑤</w:t>
            </w:r>
            <w:r>
              <w:rPr>
                <w:rFonts w:hint="default" w:ascii="Times New Roman" w:hAnsi="Times New Roman" w:eastAsia="黑体" w:cs="Times New Roman"/>
                <w:snapToGrid w:val="0"/>
                <w:color w:val="auto"/>
                <w:spacing w:val="-16"/>
                <w:kern w:val="21"/>
                <w:sz w:val="21"/>
                <w:szCs w:val="21"/>
                <w:highlight w:val="none"/>
                <w:lang w:val="en-US" w:eastAsia="zh-CN"/>
              </w:rPr>
              <w:fldChar w:fldCharType="end"/>
            </w:r>
          </w:p>
        </w:tc>
        <w:tc>
          <w:tcPr>
            <w:tcW w:w="1441" w:type="dxa"/>
            <w:noWrap w:val="0"/>
            <w:tcMar>
              <w:left w:w="28" w:type="dxa"/>
              <w:right w:w="28" w:type="dxa"/>
            </w:tcMar>
            <w:vAlign w:val="center"/>
          </w:tcPr>
          <w:p w14:paraId="54154F5B">
            <w:pPr>
              <w:pStyle w:val="83"/>
              <w:spacing w:beforeLines="0" w:afterLines="0" w:line="240" w:lineRule="auto"/>
              <w:ind w:firstLine="0" w:firstLineChars="0"/>
              <w:rPr>
                <w:rFonts w:hint="default" w:ascii="Times New Roman" w:hAnsi="Times New Roman" w:eastAsia="黑体" w:cs="Times New Roman"/>
                <w:snapToGrid w:val="0"/>
                <w:color w:val="auto"/>
                <w:spacing w:val="-16"/>
                <w:kern w:val="21"/>
                <w:sz w:val="21"/>
                <w:szCs w:val="21"/>
                <w:highlight w:val="none"/>
                <w:lang w:val="en-US" w:eastAsia="zh-CN"/>
              </w:rPr>
            </w:pPr>
            <w:r>
              <w:rPr>
                <w:rFonts w:hint="default" w:ascii="Times New Roman" w:hAnsi="Times New Roman" w:eastAsia="黑体" w:cs="Times New Roman"/>
                <w:snapToGrid w:val="0"/>
                <w:color w:val="auto"/>
                <w:spacing w:val="-16"/>
                <w:kern w:val="21"/>
                <w:sz w:val="21"/>
                <w:szCs w:val="21"/>
                <w:highlight w:val="none"/>
                <w:lang w:val="en-US" w:eastAsia="zh-CN"/>
              </w:rPr>
              <w:t>本项目建成后</w:t>
            </w:r>
          </w:p>
          <w:p w14:paraId="0FCB973A">
            <w:pPr>
              <w:pStyle w:val="83"/>
              <w:spacing w:beforeLines="0" w:afterLines="0" w:line="240" w:lineRule="auto"/>
              <w:ind w:firstLine="0" w:firstLineChars="0"/>
              <w:rPr>
                <w:rFonts w:hint="default" w:ascii="Times New Roman" w:hAnsi="Times New Roman" w:eastAsia="黑体" w:cs="Times New Roman"/>
                <w:snapToGrid w:val="0"/>
                <w:color w:val="auto"/>
                <w:spacing w:val="-16"/>
                <w:kern w:val="21"/>
                <w:sz w:val="21"/>
                <w:szCs w:val="21"/>
                <w:highlight w:val="none"/>
                <w:lang w:val="en-US" w:eastAsia="zh-CN"/>
              </w:rPr>
            </w:pPr>
            <w:r>
              <w:rPr>
                <w:rFonts w:hint="default" w:ascii="Times New Roman" w:hAnsi="Times New Roman" w:eastAsia="黑体" w:cs="Times New Roman"/>
                <w:snapToGrid w:val="0"/>
                <w:color w:val="auto"/>
                <w:spacing w:val="-16"/>
                <w:kern w:val="21"/>
                <w:sz w:val="21"/>
                <w:szCs w:val="21"/>
                <w:highlight w:val="none"/>
                <w:lang w:val="en-US" w:eastAsia="zh-CN"/>
              </w:rPr>
              <w:t>全厂排放量（固体废物产生量</w:t>
            </w:r>
            <w:r>
              <w:rPr>
                <w:rFonts w:hint="default" w:ascii="Times New Roman" w:hAnsi="Times New Roman" w:eastAsia="黑体" w:cs="Times New Roman"/>
                <w:snapToGrid w:val="0"/>
                <w:color w:val="auto"/>
                <w:spacing w:val="-6"/>
                <w:kern w:val="21"/>
                <w:sz w:val="21"/>
                <w:szCs w:val="21"/>
                <w:highlight w:val="none"/>
                <w:lang w:val="en-US" w:eastAsia="zh-CN"/>
              </w:rPr>
              <w:t>t/a</w:t>
            </w:r>
            <w:r>
              <w:rPr>
                <w:rFonts w:hint="default" w:ascii="Times New Roman" w:hAnsi="Times New Roman" w:eastAsia="黑体" w:cs="Times New Roman"/>
                <w:snapToGrid w:val="0"/>
                <w:color w:val="auto"/>
                <w:spacing w:val="-16"/>
                <w:kern w:val="21"/>
                <w:sz w:val="21"/>
                <w:szCs w:val="21"/>
                <w:highlight w:val="none"/>
                <w:lang w:val="en-US" w:eastAsia="zh-CN"/>
              </w:rPr>
              <w:t>）</w:t>
            </w:r>
            <w:r>
              <w:rPr>
                <w:rFonts w:hint="default" w:ascii="Times New Roman" w:hAnsi="Times New Roman" w:eastAsia="黑体" w:cs="Times New Roman"/>
                <w:snapToGrid w:val="0"/>
                <w:color w:val="auto"/>
                <w:spacing w:val="-16"/>
                <w:kern w:val="21"/>
                <w:sz w:val="21"/>
                <w:szCs w:val="21"/>
                <w:highlight w:val="none"/>
                <w:lang w:val="en-US" w:eastAsia="zh-CN"/>
              </w:rPr>
              <w:fldChar w:fldCharType="begin"/>
            </w:r>
            <w:r>
              <w:rPr>
                <w:rFonts w:hint="default" w:ascii="Times New Roman" w:hAnsi="Times New Roman" w:eastAsia="黑体" w:cs="Times New Roman"/>
                <w:snapToGrid w:val="0"/>
                <w:color w:val="auto"/>
                <w:spacing w:val="-16"/>
                <w:kern w:val="21"/>
                <w:sz w:val="21"/>
                <w:szCs w:val="21"/>
                <w:highlight w:val="none"/>
                <w:lang w:val="en-US" w:eastAsia="zh-CN"/>
              </w:rPr>
              <w:instrText xml:space="preserve"> = 6 \* GB3 \* MERGEFORMAT </w:instrText>
            </w:r>
            <w:r>
              <w:rPr>
                <w:rFonts w:hint="default" w:ascii="Times New Roman" w:hAnsi="Times New Roman" w:eastAsia="黑体" w:cs="Times New Roman"/>
                <w:snapToGrid w:val="0"/>
                <w:color w:val="auto"/>
                <w:spacing w:val="-16"/>
                <w:kern w:val="21"/>
                <w:sz w:val="21"/>
                <w:szCs w:val="21"/>
                <w:highlight w:val="none"/>
                <w:lang w:val="en-US" w:eastAsia="zh-CN"/>
              </w:rPr>
              <w:fldChar w:fldCharType="separate"/>
            </w:r>
            <w:r>
              <w:rPr>
                <w:rFonts w:hint="default" w:ascii="Times New Roman" w:hAnsi="Times New Roman" w:eastAsia="黑体" w:cs="Times New Roman"/>
                <w:color w:val="auto"/>
                <w:kern w:val="2"/>
                <w:sz w:val="21"/>
                <w:szCs w:val="21"/>
                <w:highlight w:val="none"/>
                <w:lang w:val="en-US" w:eastAsia="zh-CN"/>
              </w:rPr>
              <w:t>⑥</w:t>
            </w:r>
            <w:r>
              <w:rPr>
                <w:rFonts w:hint="default" w:ascii="Times New Roman" w:hAnsi="Times New Roman" w:eastAsia="黑体" w:cs="Times New Roman"/>
                <w:snapToGrid w:val="0"/>
                <w:color w:val="auto"/>
                <w:spacing w:val="-16"/>
                <w:kern w:val="21"/>
                <w:sz w:val="21"/>
                <w:szCs w:val="21"/>
                <w:highlight w:val="none"/>
                <w:lang w:val="en-US" w:eastAsia="zh-CN"/>
              </w:rPr>
              <w:fldChar w:fldCharType="end"/>
            </w:r>
          </w:p>
        </w:tc>
        <w:tc>
          <w:tcPr>
            <w:tcW w:w="1488" w:type="dxa"/>
            <w:noWrap w:val="0"/>
            <w:tcMar>
              <w:left w:w="28" w:type="dxa"/>
              <w:right w:w="28" w:type="dxa"/>
            </w:tcMar>
            <w:vAlign w:val="center"/>
          </w:tcPr>
          <w:p w14:paraId="66869D03">
            <w:pPr>
              <w:pStyle w:val="83"/>
              <w:spacing w:beforeLines="0" w:afterLines="0" w:line="240" w:lineRule="auto"/>
              <w:ind w:firstLine="0" w:firstLineChars="0"/>
              <w:rPr>
                <w:rFonts w:hint="default" w:ascii="Times New Roman" w:hAnsi="Times New Roman" w:eastAsia="黑体" w:cs="Times New Roman"/>
                <w:snapToGrid w:val="0"/>
                <w:color w:val="auto"/>
                <w:spacing w:val="-6"/>
                <w:kern w:val="21"/>
                <w:sz w:val="21"/>
                <w:szCs w:val="21"/>
                <w:highlight w:val="none"/>
                <w:lang w:val="en-US" w:eastAsia="zh-CN"/>
              </w:rPr>
            </w:pPr>
            <w:r>
              <w:rPr>
                <w:rFonts w:hint="default" w:ascii="Times New Roman" w:hAnsi="Times New Roman" w:eastAsia="黑体" w:cs="Times New Roman"/>
                <w:snapToGrid w:val="0"/>
                <w:color w:val="auto"/>
                <w:spacing w:val="-6"/>
                <w:kern w:val="21"/>
                <w:sz w:val="21"/>
                <w:szCs w:val="21"/>
                <w:highlight w:val="none"/>
                <w:lang w:val="en-US" w:eastAsia="zh-CN"/>
              </w:rPr>
              <w:t>变化量</w:t>
            </w:r>
          </w:p>
          <w:p w14:paraId="4E01E9FF">
            <w:pPr>
              <w:pStyle w:val="83"/>
              <w:spacing w:beforeLines="0" w:afterLines="0" w:line="240" w:lineRule="auto"/>
              <w:ind w:firstLine="0" w:firstLineChars="0"/>
              <w:rPr>
                <w:rFonts w:hint="default" w:ascii="Times New Roman" w:hAnsi="Times New Roman" w:eastAsia="黑体" w:cs="Times New Roman"/>
                <w:snapToGrid w:val="0"/>
                <w:color w:val="auto"/>
                <w:spacing w:val="-6"/>
                <w:kern w:val="21"/>
                <w:sz w:val="21"/>
                <w:szCs w:val="21"/>
                <w:highlight w:val="none"/>
                <w:lang w:val="en-US" w:eastAsia="zh-CN"/>
              </w:rPr>
            </w:pPr>
            <w:r>
              <w:rPr>
                <w:rFonts w:hint="default" w:ascii="Times New Roman" w:hAnsi="Times New Roman" w:eastAsia="黑体" w:cs="Times New Roman"/>
                <w:snapToGrid w:val="0"/>
                <w:color w:val="auto"/>
                <w:spacing w:val="-6"/>
                <w:kern w:val="21"/>
                <w:sz w:val="21"/>
                <w:szCs w:val="21"/>
                <w:highlight w:val="none"/>
                <w:lang w:val="en-US" w:eastAsia="zh-CN"/>
              </w:rPr>
              <w:fldChar w:fldCharType="begin"/>
            </w:r>
            <w:r>
              <w:rPr>
                <w:rFonts w:hint="default" w:ascii="Times New Roman" w:hAnsi="Times New Roman" w:eastAsia="黑体" w:cs="Times New Roman"/>
                <w:snapToGrid w:val="0"/>
                <w:color w:val="auto"/>
                <w:spacing w:val="-6"/>
                <w:kern w:val="21"/>
                <w:sz w:val="21"/>
                <w:szCs w:val="21"/>
                <w:highlight w:val="none"/>
                <w:lang w:val="en-US" w:eastAsia="zh-CN"/>
              </w:rPr>
              <w:instrText xml:space="preserve"> = 7 \* GB3 \* MERGEFORMAT </w:instrText>
            </w:r>
            <w:r>
              <w:rPr>
                <w:rFonts w:hint="default" w:ascii="Times New Roman" w:hAnsi="Times New Roman" w:eastAsia="黑体" w:cs="Times New Roman"/>
                <w:snapToGrid w:val="0"/>
                <w:color w:val="auto"/>
                <w:spacing w:val="-6"/>
                <w:kern w:val="21"/>
                <w:sz w:val="21"/>
                <w:szCs w:val="21"/>
                <w:highlight w:val="none"/>
                <w:lang w:val="en-US" w:eastAsia="zh-CN"/>
              </w:rPr>
              <w:fldChar w:fldCharType="separate"/>
            </w:r>
            <w:r>
              <w:rPr>
                <w:rFonts w:hint="default" w:ascii="Times New Roman" w:hAnsi="Times New Roman" w:eastAsia="黑体" w:cs="Times New Roman"/>
                <w:color w:val="auto"/>
                <w:kern w:val="2"/>
                <w:sz w:val="21"/>
                <w:szCs w:val="21"/>
                <w:highlight w:val="none"/>
                <w:lang w:val="en-US" w:eastAsia="zh-CN"/>
              </w:rPr>
              <w:t>⑦</w:t>
            </w:r>
            <w:r>
              <w:rPr>
                <w:rFonts w:hint="default" w:ascii="Times New Roman" w:hAnsi="Times New Roman" w:eastAsia="黑体" w:cs="Times New Roman"/>
                <w:snapToGrid w:val="0"/>
                <w:color w:val="auto"/>
                <w:spacing w:val="-6"/>
                <w:kern w:val="21"/>
                <w:sz w:val="21"/>
                <w:szCs w:val="21"/>
                <w:highlight w:val="none"/>
                <w:lang w:val="en-US" w:eastAsia="zh-CN"/>
              </w:rPr>
              <w:fldChar w:fldCharType="end"/>
            </w:r>
          </w:p>
        </w:tc>
      </w:tr>
      <w:tr w14:paraId="1C3D04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54" w:type="dxa"/>
            <w:vMerge w:val="restart"/>
            <w:noWrap w:val="0"/>
            <w:vAlign w:val="center"/>
          </w:tcPr>
          <w:p w14:paraId="53C5B1CD">
            <w:pPr>
              <w:pStyle w:val="44"/>
              <w:bidi w:val="0"/>
              <w:rPr>
                <w:rFonts w:hint="default"/>
                <w:color w:val="auto"/>
                <w:lang w:val="en-US" w:eastAsia="zh-CN"/>
              </w:rPr>
            </w:pPr>
            <w:r>
              <w:rPr>
                <w:rFonts w:hint="default"/>
                <w:color w:val="auto"/>
                <w:lang w:val="en-US" w:eastAsia="zh-CN"/>
              </w:rPr>
              <w:t>废气</w:t>
            </w:r>
          </w:p>
        </w:tc>
        <w:tc>
          <w:tcPr>
            <w:tcW w:w="1962" w:type="dxa"/>
            <w:noWrap w:val="0"/>
            <w:vAlign w:val="center"/>
          </w:tcPr>
          <w:p w14:paraId="53B9B29E">
            <w:pPr>
              <w:pStyle w:val="44"/>
              <w:bidi w:val="0"/>
              <w:rPr>
                <w:rFonts w:hint="default"/>
                <w:color w:val="auto"/>
                <w:lang w:val="en-US" w:eastAsia="zh-CN"/>
              </w:rPr>
            </w:pPr>
            <w:r>
              <w:rPr>
                <w:rFonts w:hint="default"/>
                <w:color w:val="auto"/>
                <w:lang w:val="en-US" w:eastAsia="zh-CN"/>
              </w:rPr>
              <w:t>VOCs</w:t>
            </w:r>
          </w:p>
        </w:tc>
        <w:tc>
          <w:tcPr>
            <w:tcW w:w="1546" w:type="dxa"/>
            <w:noWrap w:val="0"/>
            <w:vAlign w:val="center"/>
          </w:tcPr>
          <w:p w14:paraId="7F622007">
            <w:pPr>
              <w:pStyle w:val="44"/>
              <w:bidi w:val="0"/>
              <w:rPr>
                <w:rFonts w:hint="default"/>
                <w:color w:val="auto"/>
                <w:lang w:val="en-US" w:eastAsia="zh-CN"/>
              </w:rPr>
            </w:pPr>
            <w:r>
              <w:rPr>
                <w:rFonts w:hint="default"/>
                <w:color w:val="auto"/>
                <w:lang w:val="en-US" w:eastAsia="zh-CN"/>
              </w:rPr>
              <w:t>0</w:t>
            </w:r>
          </w:p>
        </w:tc>
        <w:tc>
          <w:tcPr>
            <w:tcW w:w="1252" w:type="dxa"/>
            <w:noWrap w:val="0"/>
            <w:vAlign w:val="center"/>
          </w:tcPr>
          <w:p w14:paraId="787D323B">
            <w:pPr>
              <w:pStyle w:val="44"/>
              <w:bidi w:val="0"/>
              <w:rPr>
                <w:rFonts w:hint="default"/>
                <w:color w:val="auto"/>
                <w:lang w:val="en-US" w:eastAsia="zh-CN"/>
              </w:rPr>
            </w:pPr>
            <w:r>
              <w:rPr>
                <w:rFonts w:hint="default"/>
                <w:color w:val="auto"/>
                <w:lang w:val="en-US" w:eastAsia="zh-CN"/>
              </w:rPr>
              <w:t>0</w:t>
            </w:r>
          </w:p>
        </w:tc>
        <w:tc>
          <w:tcPr>
            <w:tcW w:w="1569" w:type="dxa"/>
            <w:noWrap w:val="0"/>
            <w:vAlign w:val="center"/>
          </w:tcPr>
          <w:p w14:paraId="44C8BC07">
            <w:pPr>
              <w:pStyle w:val="44"/>
              <w:bidi w:val="0"/>
              <w:rPr>
                <w:rFonts w:hint="default"/>
                <w:color w:val="auto"/>
                <w:lang w:val="en-US" w:eastAsia="zh-CN"/>
              </w:rPr>
            </w:pPr>
            <w:r>
              <w:rPr>
                <w:rFonts w:hint="default"/>
                <w:color w:val="auto"/>
                <w:lang w:val="en-US" w:eastAsia="zh-CN"/>
              </w:rPr>
              <w:t>0</w:t>
            </w:r>
          </w:p>
        </w:tc>
        <w:tc>
          <w:tcPr>
            <w:tcW w:w="1559" w:type="dxa"/>
            <w:noWrap w:val="0"/>
            <w:vAlign w:val="center"/>
          </w:tcPr>
          <w:p w14:paraId="35B28393">
            <w:pPr>
              <w:pStyle w:val="44"/>
              <w:bidi w:val="0"/>
              <w:rPr>
                <w:rFonts w:hint="default"/>
                <w:color w:val="auto"/>
                <w:lang w:val="en-US" w:eastAsia="zh-CN"/>
              </w:rPr>
            </w:pPr>
            <w:r>
              <w:rPr>
                <w:rFonts w:hint="eastAsia"/>
                <w:color w:val="auto"/>
                <w:lang w:val="en-US" w:eastAsia="zh-CN"/>
              </w:rPr>
              <w:t>0.774</w:t>
            </w:r>
          </w:p>
        </w:tc>
        <w:tc>
          <w:tcPr>
            <w:tcW w:w="1617" w:type="dxa"/>
            <w:noWrap w:val="0"/>
            <w:vAlign w:val="center"/>
          </w:tcPr>
          <w:p w14:paraId="0B0447B5">
            <w:pPr>
              <w:pStyle w:val="44"/>
              <w:bidi w:val="0"/>
              <w:rPr>
                <w:rFonts w:hint="default"/>
                <w:color w:val="auto"/>
                <w:lang w:val="en-US" w:eastAsia="zh-CN"/>
              </w:rPr>
            </w:pPr>
            <w:r>
              <w:rPr>
                <w:rFonts w:hint="default"/>
                <w:color w:val="auto"/>
                <w:lang w:val="en-US" w:eastAsia="zh-CN"/>
              </w:rPr>
              <w:t>0</w:t>
            </w:r>
          </w:p>
        </w:tc>
        <w:tc>
          <w:tcPr>
            <w:tcW w:w="1441" w:type="dxa"/>
            <w:noWrap w:val="0"/>
            <w:vAlign w:val="center"/>
          </w:tcPr>
          <w:p w14:paraId="3C8E62CF">
            <w:pPr>
              <w:pStyle w:val="44"/>
              <w:bidi w:val="0"/>
              <w:ind w:firstLine="0" w:firstLineChars="0"/>
              <w:rPr>
                <w:rFonts w:hint="default"/>
                <w:color w:val="auto"/>
                <w:lang w:val="en-US" w:eastAsia="zh-CN"/>
              </w:rPr>
            </w:pPr>
            <w:r>
              <w:rPr>
                <w:rFonts w:hint="eastAsia"/>
                <w:color w:val="auto"/>
                <w:lang w:val="en-US" w:eastAsia="zh-CN"/>
              </w:rPr>
              <w:t>0.774</w:t>
            </w:r>
          </w:p>
        </w:tc>
        <w:tc>
          <w:tcPr>
            <w:tcW w:w="1488" w:type="dxa"/>
            <w:noWrap w:val="0"/>
            <w:vAlign w:val="center"/>
          </w:tcPr>
          <w:p w14:paraId="40A77C0E">
            <w:pPr>
              <w:pStyle w:val="44"/>
              <w:bidi w:val="0"/>
              <w:ind w:firstLine="0" w:firstLineChars="0"/>
              <w:rPr>
                <w:rFonts w:hint="default"/>
                <w:color w:val="auto"/>
                <w:lang w:val="en-US" w:eastAsia="zh-CN"/>
              </w:rPr>
            </w:pPr>
            <w:r>
              <w:rPr>
                <w:rFonts w:hint="eastAsia"/>
                <w:color w:val="auto"/>
                <w:lang w:val="en-US" w:eastAsia="zh-CN"/>
              </w:rPr>
              <w:t>+0.774</w:t>
            </w:r>
          </w:p>
        </w:tc>
      </w:tr>
      <w:tr w14:paraId="56DB6E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54" w:type="dxa"/>
            <w:vMerge w:val="continue"/>
            <w:noWrap w:val="0"/>
            <w:vAlign w:val="center"/>
          </w:tcPr>
          <w:p w14:paraId="1657F23F">
            <w:pPr>
              <w:pStyle w:val="44"/>
              <w:bidi w:val="0"/>
              <w:rPr>
                <w:rFonts w:hint="default"/>
                <w:color w:val="auto"/>
                <w:lang w:val="en-US" w:eastAsia="zh-CN"/>
              </w:rPr>
            </w:pPr>
          </w:p>
        </w:tc>
        <w:tc>
          <w:tcPr>
            <w:tcW w:w="1962" w:type="dxa"/>
            <w:noWrap w:val="0"/>
            <w:vAlign w:val="center"/>
          </w:tcPr>
          <w:p w14:paraId="7442DE3C">
            <w:pPr>
              <w:pStyle w:val="44"/>
              <w:bidi w:val="0"/>
              <w:rPr>
                <w:rFonts w:hint="default"/>
                <w:color w:val="auto"/>
                <w:lang w:val="en-US" w:eastAsia="zh-CN"/>
              </w:rPr>
            </w:pPr>
            <w:r>
              <w:rPr>
                <w:rFonts w:hint="eastAsia"/>
                <w:color w:val="auto"/>
                <w:lang w:val="en-US" w:eastAsia="zh-CN"/>
              </w:rPr>
              <w:t>颗粒物</w:t>
            </w:r>
          </w:p>
        </w:tc>
        <w:tc>
          <w:tcPr>
            <w:tcW w:w="1546" w:type="dxa"/>
            <w:shd w:val="clear" w:color="auto" w:fill="auto"/>
            <w:noWrap w:val="0"/>
            <w:vAlign w:val="center"/>
          </w:tcPr>
          <w:p w14:paraId="6BEE795A">
            <w:pPr>
              <w:pStyle w:val="44"/>
              <w:bidi w:val="0"/>
              <w:rPr>
                <w:rFonts w:hint="default" w:ascii="Times New Roman" w:hAnsi="Times New Roman" w:eastAsia="宋体"/>
                <w:color w:val="auto"/>
                <w:kern w:val="2"/>
                <w:sz w:val="21"/>
                <w:szCs w:val="21"/>
                <w:lang w:val="en-US" w:eastAsia="zh-CN" w:bidi="ar-SA"/>
              </w:rPr>
            </w:pPr>
            <w:r>
              <w:rPr>
                <w:rFonts w:hint="default"/>
                <w:color w:val="auto"/>
                <w:lang w:val="en-US" w:eastAsia="zh-CN"/>
              </w:rPr>
              <w:t>0</w:t>
            </w:r>
          </w:p>
        </w:tc>
        <w:tc>
          <w:tcPr>
            <w:tcW w:w="1252" w:type="dxa"/>
            <w:shd w:val="clear" w:color="auto" w:fill="auto"/>
            <w:noWrap w:val="0"/>
            <w:vAlign w:val="center"/>
          </w:tcPr>
          <w:p w14:paraId="3EDC2D4D">
            <w:pPr>
              <w:pStyle w:val="44"/>
              <w:bidi w:val="0"/>
              <w:rPr>
                <w:rFonts w:hint="default" w:ascii="Times New Roman" w:hAnsi="Times New Roman" w:eastAsia="宋体"/>
                <w:color w:val="auto"/>
                <w:kern w:val="2"/>
                <w:sz w:val="21"/>
                <w:szCs w:val="21"/>
                <w:lang w:val="en-US" w:eastAsia="zh-CN" w:bidi="ar-SA"/>
              </w:rPr>
            </w:pPr>
            <w:r>
              <w:rPr>
                <w:rFonts w:hint="default"/>
                <w:color w:val="auto"/>
                <w:lang w:val="en-US" w:eastAsia="zh-CN"/>
              </w:rPr>
              <w:t>0</w:t>
            </w:r>
          </w:p>
        </w:tc>
        <w:tc>
          <w:tcPr>
            <w:tcW w:w="1569" w:type="dxa"/>
            <w:shd w:val="clear" w:color="auto" w:fill="auto"/>
            <w:noWrap w:val="0"/>
            <w:vAlign w:val="center"/>
          </w:tcPr>
          <w:p w14:paraId="7AE2C12F">
            <w:pPr>
              <w:pStyle w:val="44"/>
              <w:bidi w:val="0"/>
              <w:rPr>
                <w:rFonts w:hint="default" w:ascii="Times New Roman" w:hAnsi="Times New Roman" w:eastAsia="宋体"/>
                <w:color w:val="auto"/>
                <w:kern w:val="2"/>
                <w:sz w:val="21"/>
                <w:szCs w:val="21"/>
                <w:lang w:val="en-US" w:eastAsia="zh-CN" w:bidi="ar-SA"/>
              </w:rPr>
            </w:pPr>
            <w:r>
              <w:rPr>
                <w:rFonts w:hint="default"/>
                <w:color w:val="auto"/>
                <w:lang w:val="en-US" w:eastAsia="zh-CN"/>
              </w:rPr>
              <w:t>0</w:t>
            </w:r>
          </w:p>
        </w:tc>
        <w:tc>
          <w:tcPr>
            <w:tcW w:w="1559" w:type="dxa"/>
            <w:noWrap w:val="0"/>
            <w:vAlign w:val="center"/>
          </w:tcPr>
          <w:p w14:paraId="37A81716">
            <w:pPr>
              <w:pStyle w:val="44"/>
              <w:bidi w:val="0"/>
              <w:rPr>
                <w:rFonts w:hint="default"/>
                <w:color w:val="auto"/>
                <w:lang w:val="en-US" w:eastAsia="zh-CN"/>
              </w:rPr>
            </w:pPr>
            <w:r>
              <w:rPr>
                <w:rFonts w:hint="eastAsia"/>
                <w:color w:val="auto"/>
                <w:lang w:val="en-US" w:eastAsia="zh-CN"/>
              </w:rPr>
              <w:t>0.092</w:t>
            </w:r>
          </w:p>
        </w:tc>
        <w:tc>
          <w:tcPr>
            <w:tcW w:w="1617" w:type="dxa"/>
            <w:noWrap w:val="0"/>
            <w:vAlign w:val="center"/>
          </w:tcPr>
          <w:p w14:paraId="0464683A">
            <w:pPr>
              <w:pStyle w:val="44"/>
              <w:bidi w:val="0"/>
              <w:rPr>
                <w:rFonts w:hint="default"/>
                <w:color w:val="auto"/>
                <w:lang w:val="en-US" w:eastAsia="zh-CN"/>
              </w:rPr>
            </w:pPr>
            <w:r>
              <w:rPr>
                <w:rFonts w:hint="eastAsia"/>
                <w:color w:val="auto"/>
                <w:lang w:val="en-US" w:eastAsia="zh-CN"/>
              </w:rPr>
              <w:t>0</w:t>
            </w:r>
          </w:p>
        </w:tc>
        <w:tc>
          <w:tcPr>
            <w:tcW w:w="1441" w:type="dxa"/>
            <w:noWrap w:val="0"/>
            <w:vAlign w:val="center"/>
          </w:tcPr>
          <w:p w14:paraId="3CC0FDC3">
            <w:pPr>
              <w:pStyle w:val="44"/>
              <w:bidi w:val="0"/>
              <w:ind w:firstLine="0" w:firstLineChars="0"/>
              <w:rPr>
                <w:rFonts w:hint="eastAsia"/>
                <w:color w:val="auto"/>
                <w:lang w:val="en-US" w:eastAsia="zh-CN"/>
              </w:rPr>
            </w:pPr>
            <w:r>
              <w:rPr>
                <w:rFonts w:hint="eastAsia"/>
                <w:color w:val="auto"/>
                <w:lang w:val="en-US" w:eastAsia="zh-CN"/>
              </w:rPr>
              <w:t>0.092</w:t>
            </w:r>
          </w:p>
        </w:tc>
        <w:tc>
          <w:tcPr>
            <w:tcW w:w="1488" w:type="dxa"/>
            <w:noWrap w:val="0"/>
            <w:vAlign w:val="center"/>
          </w:tcPr>
          <w:p w14:paraId="09BAB5FD">
            <w:pPr>
              <w:pStyle w:val="44"/>
              <w:bidi w:val="0"/>
              <w:ind w:firstLine="0" w:firstLineChars="0"/>
              <w:rPr>
                <w:rFonts w:hint="eastAsia"/>
                <w:color w:val="auto"/>
                <w:lang w:val="en-US" w:eastAsia="zh-CN"/>
              </w:rPr>
            </w:pPr>
            <w:r>
              <w:rPr>
                <w:rFonts w:hint="eastAsia"/>
                <w:color w:val="auto"/>
                <w:lang w:val="en-US" w:eastAsia="zh-CN"/>
              </w:rPr>
              <w:t>+0.092</w:t>
            </w:r>
          </w:p>
        </w:tc>
      </w:tr>
      <w:tr w14:paraId="6A1551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54" w:type="dxa"/>
            <w:vMerge w:val="restart"/>
            <w:noWrap w:val="0"/>
            <w:vAlign w:val="center"/>
          </w:tcPr>
          <w:p w14:paraId="3FC2BA78">
            <w:pPr>
              <w:pStyle w:val="44"/>
              <w:bidi w:val="0"/>
              <w:rPr>
                <w:rFonts w:hint="default"/>
                <w:color w:val="auto"/>
                <w:lang w:val="en-US" w:eastAsia="zh-CN"/>
              </w:rPr>
            </w:pPr>
            <w:r>
              <w:rPr>
                <w:rFonts w:hint="default"/>
                <w:color w:val="auto"/>
                <w:lang w:val="en-US" w:eastAsia="zh-CN"/>
              </w:rPr>
              <w:t>废水</w:t>
            </w:r>
          </w:p>
        </w:tc>
        <w:tc>
          <w:tcPr>
            <w:tcW w:w="1962" w:type="dxa"/>
            <w:noWrap w:val="0"/>
            <w:vAlign w:val="center"/>
          </w:tcPr>
          <w:p w14:paraId="7FC10437">
            <w:pPr>
              <w:pStyle w:val="44"/>
              <w:bidi w:val="0"/>
              <w:rPr>
                <w:rFonts w:hint="default"/>
                <w:color w:val="auto"/>
                <w:lang w:val="en-US" w:eastAsia="zh-CN"/>
              </w:rPr>
            </w:pPr>
            <w:r>
              <w:rPr>
                <w:rFonts w:hint="default"/>
                <w:color w:val="auto"/>
                <w:lang w:val="en-US" w:eastAsia="zh-CN"/>
              </w:rPr>
              <w:t>水量</w:t>
            </w:r>
          </w:p>
        </w:tc>
        <w:tc>
          <w:tcPr>
            <w:tcW w:w="1546" w:type="dxa"/>
            <w:noWrap w:val="0"/>
            <w:vAlign w:val="center"/>
          </w:tcPr>
          <w:p w14:paraId="59B7A13D">
            <w:pPr>
              <w:pStyle w:val="44"/>
              <w:bidi w:val="0"/>
              <w:rPr>
                <w:rFonts w:hint="default"/>
                <w:color w:val="auto"/>
                <w:lang w:val="en-US" w:eastAsia="zh-CN"/>
              </w:rPr>
            </w:pPr>
            <w:r>
              <w:rPr>
                <w:rFonts w:hint="default"/>
                <w:color w:val="auto"/>
                <w:lang w:val="en-US" w:eastAsia="zh-CN"/>
              </w:rPr>
              <w:t>0</w:t>
            </w:r>
          </w:p>
        </w:tc>
        <w:tc>
          <w:tcPr>
            <w:tcW w:w="1252" w:type="dxa"/>
            <w:noWrap w:val="0"/>
            <w:vAlign w:val="center"/>
          </w:tcPr>
          <w:p w14:paraId="113C11AB">
            <w:pPr>
              <w:pStyle w:val="44"/>
              <w:bidi w:val="0"/>
              <w:rPr>
                <w:rFonts w:hint="default"/>
                <w:color w:val="auto"/>
                <w:lang w:val="en-US" w:eastAsia="zh-CN"/>
              </w:rPr>
            </w:pPr>
            <w:r>
              <w:rPr>
                <w:rFonts w:hint="default"/>
                <w:color w:val="auto"/>
                <w:lang w:val="en-US" w:eastAsia="zh-CN"/>
              </w:rPr>
              <w:t>0</w:t>
            </w:r>
          </w:p>
        </w:tc>
        <w:tc>
          <w:tcPr>
            <w:tcW w:w="1569" w:type="dxa"/>
            <w:noWrap w:val="0"/>
            <w:vAlign w:val="center"/>
          </w:tcPr>
          <w:p w14:paraId="563A4205">
            <w:pPr>
              <w:pStyle w:val="44"/>
              <w:bidi w:val="0"/>
              <w:rPr>
                <w:rFonts w:hint="default"/>
                <w:color w:val="auto"/>
                <w:lang w:val="en-US" w:eastAsia="zh-CN"/>
              </w:rPr>
            </w:pPr>
            <w:r>
              <w:rPr>
                <w:rFonts w:hint="default"/>
                <w:color w:val="auto"/>
                <w:lang w:val="en-US" w:eastAsia="zh-CN"/>
              </w:rPr>
              <w:t>0</w:t>
            </w:r>
          </w:p>
        </w:tc>
        <w:tc>
          <w:tcPr>
            <w:tcW w:w="1559" w:type="dxa"/>
            <w:noWrap w:val="0"/>
            <w:vAlign w:val="center"/>
          </w:tcPr>
          <w:p w14:paraId="552E630D">
            <w:pPr>
              <w:pStyle w:val="44"/>
              <w:bidi w:val="0"/>
              <w:rPr>
                <w:rFonts w:hint="default"/>
                <w:color w:val="auto"/>
                <w:lang w:val="en-US" w:eastAsia="zh-CN"/>
              </w:rPr>
            </w:pPr>
            <w:r>
              <w:rPr>
                <w:rFonts w:hint="default"/>
                <w:color w:val="auto"/>
                <w:lang w:val="en-US" w:eastAsia="zh-CN"/>
              </w:rPr>
              <w:t>0</w:t>
            </w:r>
          </w:p>
        </w:tc>
        <w:tc>
          <w:tcPr>
            <w:tcW w:w="1617" w:type="dxa"/>
            <w:noWrap w:val="0"/>
            <w:vAlign w:val="center"/>
          </w:tcPr>
          <w:p w14:paraId="12A3EA0B">
            <w:pPr>
              <w:pStyle w:val="44"/>
              <w:bidi w:val="0"/>
              <w:rPr>
                <w:rFonts w:hint="default"/>
                <w:color w:val="auto"/>
                <w:lang w:val="en-US" w:eastAsia="zh-CN"/>
              </w:rPr>
            </w:pPr>
            <w:r>
              <w:rPr>
                <w:rFonts w:hint="default"/>
                <w:color w:val="auto"/>
                <w:lang w:val="en-US" w:eastAsia="zh-CN"/>
              </w:rPr>
              <w:t>0</w:t>
            </w:r>
          </w:p>
        </w:tc>
        <w:tc>
          <w:tcPr>
            <w:tcW w:w="1441" w:type="dxa"/>
            <w:noWrap w:val="0"/>
            <w:vAlign w:val="center"/>
          </w:tcPr>
          <w:p w14:paraId="5918CF1D">
            <w:pPr>
              <w:pStyle w:val="44"/>
              <w:bidi w:val="0"/>
              <w:rPr>
                <w:rFonts w:hint="default"/>
                <w:color w:val="auto"/>
                <w:lang w:val="en-US" w:eastAsia="zh-CN"/>
              </w:rPr>
            </w:pPr>
            <w:r>
              <w:rPr>
                <w:rFonts w:hint="default"/>
                <w:color w:val="auto"/>
                <w:lang w:val="en-US" w:eastAsia="zh-CN"/>
              </w:rPr>
              <w:t>0</w:t>
            </w:r>
          </w:p>
        </w:tc>
        <w:tc>
          <w:tcPr>
            <w:tcW w:w="1488" w:type="dxa"/>
            <w:noWrap w:val="0"/>
            <w:vAlign w:val="center"/>
          </w:tcPr>
          <w:p w14:paraId="120603D2">
            <w:pPr>
              <w:pStyle w:val="44"/>
              <w:bidi w:val="0"/>
              <w:rPr>
                <w:rFonts w:hint="default"/>
                <w:color w:val="auto"/>
                <w:lang w:val="en-US" w:eastAsia="zh-CN"/>
              </w:rPr>
            </w:pPr>
            <w:r>
              <w:rPr>
                <w:rFonts w:hint="default"/>
                <w:color w:val="auto"/>
                <w:lang w:val="en-US" w:eastAsia="zh-CN"/>
              </w:rPr>
              <w:t>0</w:t>
            </w:r>
          </w:p>
        </w:tc>
      </w:tr>
      <w:tr w14:paraId="38D8F0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54" w:type="dxa"/>
            <w:vMerge w:val="continue"/>
            <w:noWrap w:val="0"/>
            <w:vAlign w:val="center"/>
          </w:tcPr>
          <w:p w14:paraId="5D4D5DC3">
            <w:pPr>
              <w:pStyle w:val="44"/>
              <w:bidi w:val="0"/>
              <w:rPr>
                <w:rFonts w:hint="default"/>
                <w:color w:val="auto"/>
                <w:lang w:val="en-US" w:eastAsia="zh-CN"/>
              </w:rPr>
            </w:pPr>
          </w:p>
        </w:tc>
        <w:tc>
          <w:tcPr>
            <w:tcW w:w="1962" w:type="dxa"/>
            <w:noWrap w:val="0"/>
            <w:vAlign w:val="center"/>
          </w:tcPr>
          <w:p w14:paraId="44EB8F50">
            <w:pPr>
              <w:pStyle w:val="44"/>
              <w:bidi w:val="0"/>
              <w:rPr>
                <w:rFonts w:hint="default"/>
                <w:color w:val="auto"/>
                <w:lang w:val="en-US" w:eastAsia="zh-CN"/>
              </w:rPr>
            </w:pPr>
            <w:r>
              <w:rPr>
                <w:rFonts w:hint="default"/>
                <w:color w:val="auto"/>
                <w:lang w:val="en-US" w:eastAsia="zh-CN"/>
              </w:rPr>
              <w:t>COD</w:t>
            </w:r>
          </w:p>
        </w:tc>
        <w:tc>
          <w:tcPr>
            <w:tcW w:w="1546" w:type="dxa"/>
            <w:noWrap w:val="0"/>
            <w:vAlign w:val="center"/>
          </w:tcPr>
          <w:p w14:paraId="79903122">
            <w:pPr>
              <w:pStyle w:val="44"/>
              <w:bidi w:val="0"/>
              <w:rPr>
                <w:rFonts w:hint="default"/>
                <w:color w:val="auto"/>
                <w:lang w:val="en-US" w:eastAsia="zh-CN"/>
              </w:rPr>
            </w:pPr>
            <w:r>
              <w:rPr>
                <w:rFonts w:hint="default"/>
                <w:color w:val="auto"/>
                <w:lang w:val="en-US" w:eastAsia="zh-CN"/>
              </w:rPr>
              <w:t>0</w:t>
            </w:r>
          </w:p>
        </w:tc>
        <w:tc>
          <w:tcPr>
            <w:tcW w:w="1252" w:type="dxa"/>
            <w:noWrap w:val="0"/>
            <w:vAlign w:val="center"/>
          </w:tcPr>
          <w:p w14:paraId="0004A416">
            <w:pPr>
              <w:pStyle w:val="44"/>
              <w:bidi w:val="0"/>
              <w:rPr>
                <w:rFonts w:hint="default"/>
                <w:color w:val="auto"/>
                <w:lang w:val="en-US" w:eastAsia="zh-CN"/>
              </w:rPr>
            </w:pPr>
            <w:r>
              <w:rPr>
                <w:rFonts w:hint="default"/>
                <w:color w:val="auto"/>
                <w:lang w:val="en-US" w:eastAsia="zh-CN"/>
              </w:rPr>
              <w:t>0</w:t>
            </w:r>
          </w:p>
        </w:tc>
        <w:tc>
          <w:tcPr>
            <w:tcW w:w="1569" w:type="dxa"/>
            <w:noWrap w:val="0"/>
            <w:vAlign w:val="center"/>
          </w:tcPr>
          <w:p w14:paraId="44A5B5E5">
            <w:pPr>
              <w:pStyle w:val="44"/>
              <w:bidi w:val="0"/>
              <w:rPr>
                <w:rFonts w:hint="default"/>
                <w:color w:val="auto"/>
                <w:lang w:val="en-US" w:eastAsia="zh-CN"/>
              </w:rPr>
            </w:pPr>
            <w:r>
              <w:rPr>
                <w:rFonts w:hint="default"/>
                <w:color w:val="auto"/>
                <w:lang w:val="en-US" w:eastAsia="zh-CN"/>
              </w:rPr>
              <w:t>0</w:t>
            </w:r>
          </w:p>
        </w:tc>
        <w:tc>
          <w:tcPr>
            <w:tcW w:w="1559" w:type="dxa"/>
            <w:noWrap w:val="0"/>
            <w:vAlign w:val="center"/>
          </w:tcPr>
          <w:p w14:paraId="6FC7DDB0">
            <w:pPr>
              <w:pStyle w:val="44"/>
              <w:bidi w:val="0"/>
              <w:rPr>
                <w:rFonts w:hint="default"/>
                <w:color w:val="auto"/>
                <w:lang w:val="en-US" w:eastAsia="zh-CN"/>
              </w:rPr>
            </w:pPr>
            <w:r>
              <w:rPr>
                <w:rFonts w:hint="default"/>
                <w:color w:val="auto"/>
                <w:lang w:val="en-US" w:eastAsia="zh-CN"/>
              </w:rPr>
              <w:t>0</w:t>
            </w:r>
          </w:p>
        </w:tc>
        <w:tc>
          <w:tcPr>
            <w:tcW w:w="1617" w:type="dxa"/>
            <w:noWrap w:val="0"/>
            <w:vAlign w:val="center"/>
          </w:tcPr>
          <w:p w14:paraId="2AB42145">
            <w:pPr>
              <w:pStyle w:val="44"/>
              <w:bidi w:val="0"/>
              <w:rPr>
                <w:rFonts w:hint="default"/>
                <w:color w:val="auto"/>
                <w:lang w:val="en-US" w:eastAsia="zh-CN"/>
              </w:rPr>
            </w:pPr>
            <w:r>
              <w:rPr>
                <w:rFonts w:hint="default"/>
                <w:color w:val="auto"/>
                <w:lang w:val="en-US" w:eastAsia="zh-CN"/>
              </w:rPr>
              <w:t>0</w:t>
            </w:r>
          </w:p>
        </w:tc>
        <w:tc>
          <w:tcPr>
            <w:tcW w:w="1441" w:type="dxa"/>
            <w:noWrap w:val="0"/>
            <w:vAlign w:val="center"/>
          </w:tcPr>
          <w:p w14:paraId="14C45553">
            <w:pPr>
              <w:pStyle w:val="44"/>
              <w:bidi w:val="0"/>
              <w:rPr>
                <w:rFonts w:hint="default"/>
                <w:color w:val="auto"/>
                <w:lang w:val="en-US" w:eastAsia="zh-CN"/>
              </w:rPr>
            </w:pPr>
            <w:r>
              <w:rPr>
                <w:rFonts w:hint="default"/>
                <w:color w:val="auto"/>
                <w:lang w:val="en-US" w:eastAsia="zh-CN"/>
              </w:rPr>
              <w:t>0</w:t>
            </w:r>
          </w:p>
        </w:tc>
        <w:tc>
          <w:tcPr>
            <w:tcW w:w="1488" w:type="dxa"/>
            <w:noWrap w:val="0"/>
            <w:vAlign w:val="center"/>
          </w:tcPr>
          <w:p w14:paraId="03A0B556">
            <w:pPr>
              <w:pStyle w:val="44"/>
              <w:bidi w:val="0"/>
              <w:rPr>
                <w:rFonts w:hint="default"/>
                <w:color w:val="auto"/>
                <w:lang w:val="en-US" w:eastAsia="zh-CN"/>
              </w:rPr>
            </w:pPr>
            <w:r>
              <w:rPr>
                <w:rFonts w:hint="default"/>
                <w:color w:val="auto"/>
                <w:lang w:val="en-US" w:eastAsia="zh-CN"/>
              </w:rPr>
              <w:t>0</w:t>
            </w:r>
          </w:p>
        </w:tc>
      </w:tr>
      <w:tr w14:paraId="3AB262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54" w:type="dxa"/>
            <w:vMerge w:val="continue"/>
            <w:noWrap w:val="0"/>
            <w:vAlign w:val="center"/>
          </w:tcPr>
          <w:p w14:paraId="66B47B7E">
            <w:pPr>
              <w:pStyle w:val="44"/>
              <w:bidi w:val="0"/>
              <w:rPr>
                <w:rFonts w:hint="default"/>
                <w:color w:val="auto"/>
                <w:lang w:val="en-US" w:eastAsia="zh-CN"/>
              </w:rPr>
            </w:pPr>
          </w:p>
        </w:tc>
        <w:tc>
          <w:tcPr>
            <w:tcW w:w="1962" w:type="dxa"/>
            <w:noWrap w:val="0"/>
            <w:vAlign w:val="center"/>
          </w:tcPr>
          <w:p w14:paraId="3D555CC8">
            <w:pPr>
              <w:pStyle w:val="44"/>
              <w:bidi w:val="0"/>
              <w:rPr>
                <w:rFonts w:hint="default"/>
                <w:color w:val="auto"/>
                <w:lang w:val="en-US" w:eastAsia="zh-CN"/>
              </w:rPr>
            </w:pPr>
            <w:r>
              <w:rPr>
                <w:rFonts w:hint="default"/>
                <w:color w:val="auto"/>
                <w:lang w:val="en-US" w:eastAsia="zh-CN"/>
              </w:rPr>
              <w:t>氨氮</w:t>
            </w:r>
          </w:p>
        </w:tc>
        <w:tc>
          <w:tcPr>
            <w:tcW w:w="1546" w:type="dxa"/>
            <w:noWrap w:val="0"/>
            <w:vAlign w:val="center"/>
          </w:tcPr>
          <w:p w14:paraId="2C711980">
            <w:pPr>
              <w:pStyle w:val="44"/>
              <w:bidi w:val="0"/>
              <w:rPr>
                <w:rFonts w:hint="default"/>
                <w:color w:val="auto"/>
                <w:lang w:val="en-US" w:eastAsia="zh-CN"/>
              </w:rPr>
            </w:pPr>
            <w:r>
              <w:rPr>
                <w:rFonts w:hint="default"/>
                <w:color w:val="auto"/>
                <w:lang w:val="en-US" w:eastAsia="zh-CN"/>
              </w:rPr>
              <w:t>0</w:t>
            </w:r>
          </w:p>
        </w:tc>
        <w:tc>
          <w:tcPr>
            <w:tcW w:w="1252" w:type="dxa"/>
            <w:noWrap w:val="0"/>
            <w:vAlign w:val="center"/>
          </w:tcPr>
          <w:p w14:paraId="61634E7D">
            <w:pPr>
              <w:pStyle w:val="44"/>
              <w:bidi w:val="0"/>
              <w:rPr>
                <w:rFonts w:hint="default"/>
                <w:color w:val="auto"/>
                <w:lang w:val="en-US" w:eastAsia="zh-CN"/>
              </w:rPr>
            </w:pPr>
            <w:r>
              <w:rPr>
                <w:rFonts w:hint="default"/>
                <w:color w:val="auto"/>
                <w:lang w:val="en-US" w:eastAsia="zh-CN"/>
              </w:rPr>
              <w:t>0</w:t>
            </w:r>
          </w:p>
        </w:tc>
        <w:tc>
          <w:tcPr>
            <w:tcW w:w="1569" w:type="dxa"/>
            <w:noWrap w:val="0"/>
            <w:vAlign w:val="center"/>
          </w:tcPr>
          <w:p w14:paraId="0BC26CC2">
            <w:pPr>
              <w:pStyle w:val="44"/>
              <w:bidi w:val="0"/>
              <w:rPr>
                <w:rFonts w:hint="default"/>
                <w:color w:val="auto"/>
                <w:lang w:val="en-US" w:eastAsia="zh-CN"/>
              </w:rPr>
            </w:pPr>
            <w:r>
              <w:rPr>
                <w:rFonts w:hint="default"/>
                <w:color w:val="auto"/>
                <w:lang w:val="en-US" w:eastAsia="zh-CN"/>
              </w:rPr>
              <w:t>0</w:t>
            </w:r>
          </w:p>
        </w:tc>
        <w:tc>
          <w:tcPr>
            <w:tcW w:w="1559" w:type="dxa"/>
            <w:noWrap w:val="0"/>
            <w:vAlign w:val="center"/>
          </w:tcPr>
          <w:p w14:paraId="50E53495">
            <w:pPr>
              <w:pStyle w:val="44"/>
              <w:bidi w:val="0"/>
              <w:rPr>
                <w:rFonts w:hint="default"/>
                <w:color w:val="auto"/>
                <w:lang w:val="en-US" w:eastAsia="zh-CN"/>
              </w:rPr>
            </w:pPr>
            <w:r>
              <w:rPr>
                <w:rFonts w:hint="default"/>
                <w:color w:val="auto"/>
                <w:lang w:val="en-US" w:eastAsia="zh-CN"/>
              </w:rPr>
              <w:t>0</w:t>
            </w:r>
          </w:p>
        </w:tc>
        <w:tc>
          <w:tcPr>
            <w:tcW w:w="1617" w:type="dxa"/>
            <w:noWrap w:val="0"/>
            <w:vAlign w:val="center"/>
          </w:tcPr>
          <w:p w14:paraId="67747AC6">
            <w:pPr>
              <w:pStyle w:val="44"/>
              <w:bidi w:val="0"/>
              <w:rPr>
                <w:rFonts w:hint="default"/>
                <w:color w:val="auto"/>
                <w:lang w:val="en-US" w:eastAsia="zh-CN"/>
              </w:rPr>
            </w:pPr>
            <w:r>
              <w:rPr>
                <w:rFonts w:hint="default"/>
                <w:color w:val="auto"/>
                <w:lang w:val="en-US" w:eastAsia="zh-CN"/>
              </w:rPr>
              <w:t>0</w:t>
            </w:r>
          </w:p>
        </w:tc>
        <w:tc>
          <w:tcPr>
            <w:tcW w:w="1441" w:type="dxa"/>
            <w:noWrap w:val="0"/>
            <w:vAlign w:val="center"/>
          </w:tcPr>
          <w:p w14:paraId="0CB48B23">
            <w:pPr>
              <w:pStyle w:val="44"/>
              <w:bidi w:val="0"/>
              <w:rPr>
                <w:rFonts w:hint="default"/>
                <w:color w:val="auto"/>
                <w:lang w:val="en-US" w:eastAsia="zh-CN"/>
              </w:rPr>
            </w:pPr>
            <w:r>
              <w:rPr>
                <w:rFonts w:hint="default"/>
                <w:color w:val="auto"/>
                <w:lang w:val="en-US" w:eastAsia="zh-CN"/>
              </w:rPr>
              <w:t>0</w:t>
            </w:r>
          </w:p>
        </w:tc>
        <w:tc>
          <w:tcPr>
            <w:tcW w:w="1488" w:type="dxa"/>
            <w:noWrap w:val="0"/>
            <w:vAlign w:val="center"/>
          </w:tcPr>
          <w:p w14:paraId="56E63581">
            <w:pPr>
              <w:pStyle w:val="44"/>
              <w:bidi w:val="0"/>
              <w:rPr>
                <w:rFonts w:hint="default"/>
                <w:color w:val="auto"/>
                <w:lang w:val="en-US" w:eastAsia="zh-CN"/>
              </w:rPr>
            </w:pPr>
            <w:r>
              <w:rPr>
                <w:rFonts w:hint="default"/>
                <w:color w:val="auto"/>
                <w:lang w:val="en-US" w:eastAsia="zh-CN"/>
              </w:rPr>
              <w:t>0</w:t>
            </w:r>
          </w:p>
        </w:tc>
      </w:tr>
      <w:tr w14:paraId="46C631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54" w:type="dxa"/>
            <w:vMerge w:val="restart"/>
            <w:noWrap w:val="0"/>
            <w:vAlign w:val="center"/>
          </w:tcPr>
          <w:p w14:paraId="4AA6D0C7">
            <w:pPr>
              <w:pStyle w:val="44"/>
              <w:bidi w:val="0"/>
              <w:rPr>
                <w:rFonts w:hint="default"/>
                <w:color w:val="auto"/>
                <w:lang w:val="en-US" w:eastAsia="zh-CN"/>
              </w:rPr>
            </w:pPr>
            <w:r>
              <w:rPr>
                <w:rFonts w:hint="default"/>
                <w:color w:val="auto"/>
                <w:lang w:val="en-US" w:eastAsia="zh-CN"/>
              </w:rPr>
              <w:t>一般固体废物</w:t>
            </w:r>
          </w:p>
        </w:tc>
        <w:tc>
          <w:tcPr>
            <w:tcW w:w="1962" w:type="dxa"/>
            <w:noWrap w:val="0"/>
            <w:vAlign w:val="center"/>
          </w:tcPr>
          <w:p w14:paraId="7BE22A98">
            <w:pPr>
              <w:pStyle w:val="44"/>
              <w:bidi w:val="0"/>
              <w:ind w:firstLine="0" w:firstLineChars="0"/>
              <w:rPr>
                <w:rFonts w:hint="default"/>
                <w:color w:val="auto"/>
                <w:lang w:val="en-US"/>
              </w:rPr>
            </w:pPr>
            <w:r>
              <w:rPr>
                <w:rFonts w:hint="default" w:ascii="Times New Roman" w:hAnsi="Times New Roman" w:cs="Times New Roman"/>
                <w:color w:val="auto"/>
                <w:szCs w:val="24"/>
                <w:lang w:val="en-US" w:eastAsia="zh-CN"/>
              </w:rPr>
              <w:t>普通</w:t>
            </w:r>
            <w:r>
              <w:rPr>
                <w:rFonts w:hint="default" w:ascii="Times New Roman" w:hAnsi="Times New Roman" w:cs="Times New Roman"/>
                <w:color w:val="auto"/>
                <w:szCs w:val="24"/>
              </w:rPr>
              <w:t>废</w:t>
            </w:r>
            <w:r>
              <w:rPr>
                <w:rFonts w:hint="default" w:ascii="Times New Roman" w:hAnsi="Times New Roman" w:cs="Times New Roman"/>
                <w:color w:val="auto"/>
                <w:szCs w:val="24"/>
                <w:lang w:val="en-US" w:eastAsia="zh-CN"/>
              </w:rPr>
              <w:t>包装</w:t>
            </w:r>
          </w:p>
        </w:tc>
        <w:tc>
          <w:tcPr>
            <w:tcW w:w="1546" w:type="dxa"/>
            <w:noWrap w:val="0"/>
            <w:vAlign w:val="center"/>
          </w:tcPr>
          <w:p w14:paraId="054D70D3">
            <w:pPr>
              <w:pStyle w:val="44"/>
              <w:bidi w:val="0"/>
              <w:rPr>
                <w:rFonts w:hint="default"/>
                <w:color w:val="auto"/>
                <w:lang w:val="en-US" w:eastAsia="zh-CN"/>
              </w:rPr>
            </w:pPr>
            <w:r>
              <w:rPr>
                <w:rFonts w:hint="default"/>
                <w:color w:val="auto"/>
                <w:lang w:val="en-US" w:eastAsia="zh-CN"/>
              </w:rPr>
              <w:t>0</w:t>
            </w:r>
          </w:p>
        </w:tc>
        <w:tc>
          <w:tcPr>
            <w:tcW w:w="1252" w:type="dxa"/>
            <w:noWrap w:val="0"/>
            <w:vAlign w:val="center"/>
          </w:tcPr>
          <w:p w14:paraId="16E43CD2">
            <w:pPr>
              <w:pStyle w:val="44"/>
              <w:bidi w:val="0"/>
              <w:rPr>
                <w:rFonts w:hint="default"/>
                <w:color w:val="auto"/>
                <w:lang w:val="en-US" w:eastAsia="zh-CN"/>
              </w:rPr>
            </w:pPr>
            <w:r>
              <w:rPr>
                <w:rFonts w:hint="default"/>
                <w:color w:val="auto"/>
                <w:lang w:val="en-US" w:eastAsia="zh-CN"/>
              </w:rPr>
              <w:t>0</w:t>
            </w:r>
          </w:p>
        </w:tc>
        <w:tc>
          <w:tcPr>
            <w:tcW w:w="1569" w:type="dxa"/>
            <w:noWrap w:val="0"/>
            <w:vAlign w:val="center"/>
          </w:tcPr>
          <w:p w14:paraId="17593258">
            <w:pPr>
              <w:pStyle w:val="44"/>
              <w:bidi w:val="0"/>
              <w:rPr>
                <w:rFonts w:hint="default"/>
                <w:color w:val="auto"/>
                <w:lang w:val="en-US" w:eastAsia="zh-CN"/>
              </w:rPr>
            </w:pPr>
            <w:r>
              <w:rPr>
                <w:rFonts w:hint="default"/>
                <w:color w:val="auto"/>
                <w:lang w:val="en-US" w:eastAsia="zh-CN"/>
              </w:rPr>
              <w:t>0</w:t>
            </w:r>
          </w:p>
        </w:tc>
        <w:tc>
          <w:tcPr>
            <w:tcW w:w="1559" w:type="dxa"/>
            <w:noWrap w:val="0"/>
            <w:vAlign w:val="center"/>
          </w:tcPr>
          <w:p w14:paraId="4825B3E6">
            <w:pPr>
              <w:pStyle w:val="44"/>
              <w:bidi w:val="0"/>
              <w:ind w:firstLine="0" w:firstLineChars="0"/>
              <w:rPr>
                <w:rFonts w:hint="default"/>
                <w:color w:val="auto"/>
                <w:lang w:val="en-US" w:eastAsia="zh-CN"/>
              </w:rPr>
            </w:pPr>
            <w:r>
              <w:rPr>
                <w:rFonts w:hint="default" w:ascii="Times New Roman" w:hAnsi="Times New Roman" w:cs="Times New Roman"/>
                <w:color w:val="auto"/>
                <w:lang w:val="en-US" w:eastAsia="zh-CN"/>
              </w:rPr>
              <w:t>2.0</w:t>
            </w:r>
          </w:p>
        </w:tc>
        <w:tc>
          <w:tcPr>
            <w:tcW w:w="1617" w:type="dxa"/>
            <w:noWrap w:val="0"/>
            <w:vAlign w:val="center"/>
          </w:tcPr>
          <w:p w14:paraId="52B4490A">
            <w:pPr>
              <w:pStyle w:val="44"/>
              <w:bidi w:val="0"/>
              <w:rPr>
                <w:rFonts w:hint="default"/>
                <w:color w:val="auto"/>
                <w:lang w:val="en-US" w:eastAsia="zh-CN"/>
              </w:rPr>
            </w:pPr>
            <w:r>
              <w:rPr>
                <w:rFonts w:hint="default"/>
                <w:color w:val="auto"/>
                <w:lang w:val="en-US" w:eastAsia="zh-CN"/>
              </w:rPr>
              <w:t>0</w:t>
            </w:r>
          </w:p>
        </w:tc>
        <w:tc>
          <w:tcPr>
            <w:tcW w:w="1441" w:type="dxa"/>
            <w:noWrap w:val="0"/>
            <w:vAlign w:val="center"/>
          </w:tcPr>
          <w:p w14:paraId="001DA162">
            <w:pPr>
              <w:pStyle w:val="44"/>
              <w:bidi w:val="0"/>
              <w:ind w:firstLine="0" w:firstLineChars="0"/>
              <w:rPr>
                <w:rFonts w:hint="default"/>
                <w:color w:val="auto"/>
                <w:lang w:val="en-US" w:eastAsia="zh-CN"/>
              </w:rPr>
            </w:pPr>
            <w:r>
              <w:rPr>
                <w:rFonts w:hint="default" w:ascii="Times New Roman" w:hAnsi="Times New Roman" w:cs="Times New Roman"/>
                <w:color w:val="auto"/>
                <w:lang w:val="en-US" w:eastAsia="zh-CN"/>
              </w:rPr>
              <w:t>2.0</w:t>
            </w:r>
          </w:p>
        </w:tc>
        <w:tc>
          <w:tcPr>
            <w:tcW w:w="1488" w:type="dxa"/>
            <w:noWrap w:val="0"/>
            <w:vAlign w:val="center"/>
          </w:tcPr>
          <w:p w14:paraId="3EE23A10">
            <w:pPr>
              <w:pStyle w:val="44"/>
              <w:bidi w:val="0"/>
              <w:ind w:firstLine="0" w:firstLineChars="0"/>
              <w:rPr>
                <w:rFonts w:hint="default"/>
                <w:color w:val="auto"/>
                <w:lang w:eastAsia="zh-CN"/>
              </w:rPr>
            </w:pPr>
            <w:r>
              <w:rPr>
                <w:rFonts w:hint="eastAsia" w:ascii="Times New Roman" w:hAnsi="Times New Roman" w:cs="Times New Roman"/>
                <w:color w:val="auto"/>
                <w:lang w:val="en-US" w:eastAsia="zh-CN"/>
              </w:rPr>
              <w:t>+</w:t>
            </w:r>
            <w:r>
              <w:rPr>
                <w:rFonts w:hint="default" w:ascii="Times New Roman" w:hAnsi="Times New Roman" w:cs="Times New Roman"/>
                <w:color w:val="auto"/>
                <w:lang w:val="en-US" w:eastAsia="zh-CN"/>
              </w:rPr>
              <w:t>2.0</w:t>
            </w:r>
          </w:p>
        </w:tc>
      </w:tr>
      <w:tr w14:paraId="33C609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54" w:type="dxa"/>
            <w:vMerge w:val="continue"/>
            <w:noWrap w:val="0"/>
            <w:vAlign w:val="center"/>
          </w:tcPr>
          <w:p w14:paraId="3DB6A959">
            <w:pPr>
              <w:pStyle w:val="44"/>
              <w:bidi w:val="0"/>
              <w:rPr>
                <w:rFonts w:hint="default"/>
                <w:color w:val="auto"/>
                <w:lang w:val="en-US" w:eastAsia="zh-CN"/>
              </w:rPr>
            </w:pPr>
          </w:p>
        </w:tc>
        <w:tc>
          <w:tcPr>
            <w:tcW w:w="1962" w:type="dxa"/>
            <w:noWrap w:val="0"/>
            <w:vAlign w:val="center"/>
          </w:tcPr>
          <w:p w14:paraId="4EA025B0">
            <w:pPr>
              <w:pStyle w:val="44"/>
              <w:bidi w:val="0"/>
              <w:ind w:firstLine="0" w:firstLineChars="0"/>
              <w:rPr>
                <w:rFonts w:hint="default"/>
                <w:color w:val="auto"/>
                <w:lang w:val="en-US"/>
              </w:rPr>
            </w:pPr>
            <w:r>
              <w:rPr>
                <w:rFonts w:hint="default" w:ascii="Times New Roman" w:hAnsi="Times New Roman" w:cs="Times New Roman"/>
                <w:color w:val="auto"/>
                <w:szCs w:val="24"/>
                <w:lang w:val="en-US" w:eastAsia="zh-CN"/>
              </w:rPr>
              <w:t>除尘器收尘</w:t>
            </w:r>
          </w:p>
        </w:tc>
        <w:tc>
          <w:tcPr>
            <w:tcW w:w="1546" w:type="dxa"/>
            <w:noWrap w:val="0"/>
            <w:vAlign w:val="center"/>
          </w:tcPr>
          <w:p w14:paraId="4109185C">
            <w:pPr>
              <w:pStyle w:val="44"/>
              <w:bidi w:val="0"/>
              <w:rPr>
                <w:rFonts w:hint="default"/>
                <w:color w:val="auto"/>
                <w:lang w:val="en-US" w:eastAsia="zh-CN"/>
              </w:rPr>
            </w:pPr>
            <w:r>
              <w:rPr>
                <w:rFonts w:hint="default"/>
                <w:color w:val="auto"/>
                <w:lang w:val="en-US" w:eastAsia="zh-CN"/>
              </w:rPr>
              <w:t>0</w:t>
            </w:r>
          </w:p>
        </w:tc>
        <w:tc>
          <w:tcPr>
            <w:tcW w:w="1252" w:type="dxa"/>
            <w:noWrap w:val="0"/>
            <w:vAlign w:val="center"/>
          </w:tcPr>
          <w:p w14:paraId="5034119E">
            <w:pPr>
              <w:pStyle w:val="44"/>
              <w:bidi w:val="0"/>
              <w:rPr>
                <w:rFonts w:hint="default"/>
                <w:color w:val="auto"/>
                <w:lang w:val="en-US" w:eastAsia="zh-CN"/>
              </w:rPr>
            </w:pPr>
            <w:r>
              <w:rPr>
                <w:rFonts w:hint="default"/>
                <w:color w:val="auto"/>
                <w:lang w:val="en-US" w:eastAsia="zh-CN"/>
              </w:rPr>
              <w:t>0</w:t>
            </w:r>
          </w:p>
        </w:tc>
        <w:tc>
          <w:tcPr>
            <w:tcW w:w="1569" w:type="dxa"/>
            <w:noWrap w:val="0"/>
            <w:vAlign w:val="center"/>
          </w:tcPr>
          <w:p w14:paraId="03D247A3">
            <w:pPr>
              <w:pStyle w:val="44"/>
              <w:bidi w:val="0"/>
              <w:rPr>
                <w:rFonts w:hint="default"/>
                <w:color w:val="auto"/>
                <w:lang w:val="en-US" w:eastAsia="zh-CN"/>
              </w:rPr>
            </w:pPr>
            <w:r>
              <w:rPr>
                <w:rFonts w:hint="default"/>
                <w:color w:val="auto"/>
                <w:lang w:val="en-US" w:eastAsia="zh-CN"/>
              </w:rPr>
              <w:t>0</w:t>
            </w:r>
          </w:p>
        </w:tc>
        <w:tc>
          <w:tcPr>
            <w:tcW w:w="1559" w:type="dxa"/>
            <w:noWrap w:val="0"/>
            <w:vAlign w:val="center"/>
          </w:tcPr>
          <w:p w14:paraId="56039E19">
            <w:pPr>
              <w:pStyle w:val="44"/>
              <w:bidi w:val="0"/>
              <w:ind w:firstLine="0" w:firstLineChars="0"/>
              <w:rPr>
                <w:rFonts w:hint="default"/>
                <w:color w:val="auto"/>
                <w:lang w:val="en-US" w:eastAsia="zh-CN"/>
              </w:rPr>
            </w:pPr>
            <w:r>
              <w:rPr>
                <w:rFonts w:hint="default" w:ascii="Times New Roman" w:hAnsi="Times New Roman" w:cs="Times New Roman"/>
                <w:color w:val="auto"/>
                <w:lang w:val="en-US" w:eastAsia="zh-CN"/>
              </w:rPr>
              <w:t>9.1</w:t>
            </w:r>
          </w:p>
        </w:tc>
        <w:tc>
          <w:tcPr>
            <w:tcW w:w="1617" w:type="dxa"/>
            <w:noWrap w:val="0"/>
            <w:vAlign w:val="center"/>
          </w:tcPr>
          <w:p w14:paraId="74B04020">
            <w:pPr>
              <w:pStyle w:val="44"/>
              <w:bidi w:val="0"/>
              <w:rPr>
                <w:rFonts w:hint="default"/>
                <w:color w:val="auto"/>
                <w:lang w:val="en-US" w:eastAsia="zh-CN"/>
              </w:rPr>
            </w:pPr>
            <w:r>
              <w:rPr>
                <w:rFonts w:hint="default"/>
                <w:color w:val="auto"/>
                <w:lang w:val="en-US" w:eastAsia="zh-CN"/>
              </w:rPr>
              <w:t>0</w:t>
            </w:r>
          </w:p>
        </w:tc>
        <w:tc>
          <w:tcPr>
            <w:tcW w:w="1441" w:type="dxa"/>
            <w:noWrap w:val="0"/>
            <w:vAlign w:val="center"/>
          </w:tcPr>
          <w:p w14:paraId="4D8ACA9B">
            <w:pPr>
              <w:pStyle w:val="44"/>
              <w:bidi w:val="0"/>
              <w:ind w:firstLine="0" w:firstLineChars="0"/>
              <w:rPr>
                <w:rFonts w:hint="default"/>
                <w:color w:val="auto"/>
                <w:lang w:val="en-US" w:eastAsia="zh-CN"/>
              </w:rPr>
            </w:pPr>
            <w:r>
              <w:rPr>
                <w:rFonts w:hint="default" w:ascii="Times New Roman" w:hAnsi="Times New Roman" w:cs="Times New Roman"/>
                <w:color w:val="auto"/>
                <w:lang w:val="en-US" w:eastAsia="zh-CN"/>
              </w:rPr>
              <w:t>9.1</w:t>
            </w:r>
          </w:p>
        </w:tc>
        <w:tc>
          <w:tcPr>
            <w:tcW w:w="1488" w:type="dxa"/>
            <w:noWrap w:val="0"/>
            <w:vAlign w:val="center"/>
          </w:tcPr>
          <w:p w14:paraId="5F63EEFC">
            <w:pPr>
              <w:pStyle w:val="44"/>
              <w:bidi w:val="0"/>
              <w:ind w:firstLine="0" w:firstLineChars="0"/>
              <w:rPr>
                <w:rFonts w:hint="default"/>
                <w:color w:val="auto"/>
                <w:lang w:val="en-US" w:eastAsia="zh-CN"/>
              </w:rPr>
            </w:pPr>
            <w:r>
              <w:rPr>
                <w:rFonts w:hint="eastAsia" w:ascii="Times New Roman" w:hAnsi="Times New Roman" w:cs="Times New Roman"/>
                <w:color w:val="auto"/>
                <w:lang w:val="en-US" w:eastAsia="zh-CN"/>
              </w:rPr>
              <w:t>+</w:t>
            </w:r>
            <w:r>
              <w:rPr>
                <w:rFonts w:hint="default" w:ascii="Times New Roman" w:hAnsi="Times New Roman" w:cs="Times New Roman"/>
                <w:color w:val="auto"/>
                <w:lang w:val="en-US" w:eastAsia="zh-CN"/>
              </w:rPr>
              <w:t>9.1</w:t>
            </w:r>
          </w:p>
        </w:tc>
      </w:tr>
      <w:tr w14:paraId="04BAFC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54" w:type="dxa"/>
            <w:vMerge w:val="continue"/>
            <w:noWrap w:val="0"/>
            <w:vAlign w:val="center"/>
          </w:tcPr>
          <w:p w14:paraId="5B68B120">
            <w:pPr>
              <w:pStyle w:val="44"/>
              <w:bidi w:val="0"/>
              <w:rPr>
                <w:rFonts w:hint="default"/>
                <w:color w:val="auto"/>
                <w:lang w:val="en-US" w:eastAsia="zh-CN"/>
              </w:rPr>
            </w:pPr>
          </w:p>
        </w:tc>
        <w:tc>
          <w:tcPr>
            <w:tcW w:w="1962" w:type="dxa"/>
            <w:noWrap w:val="0"/>
            <w:vAlign w:val="center"/>
          </w:tcPr>
          <w:p w14:paraId="777C47E6">
            <w:pPr>
              <w:pStyle w:val="44"/>
              <w:bidi w:val="0"/>
              <w:ind w:firstLine="0" w:firstLineChars="0"/>
              <w:rPr>
                <w:rFonts w:hint="default" w:ascii="Times New Roman" w:hAnsi="Times New Roman" w:cs="Times New Roman"/>
                <w:color w:val="auto"/>
                <w:szCs w:val="24"/>
                <w:lang w:val="en-US" w:eastAsia="zh-CN"/>
              </w:rPr>
            </w:pPr>
            <w:r>
              <w:rPr>
                <w:rFonts w:hint="eastAsia" w:cs="Times New Roman"/>
                <w:color w:val="auto"/>
                <w:szCs w:val="24"/>
                <w:lang w:val="en-US" w:eastAsia="zh-CN"/>
              </w:rPr>
              <w:t>车间沉降粉尘</w:t>
            </w:r>
          </w:p>
        </w:tc>
        <w:tc>
          <w:tcPr>
            <w:tcW w:w="1546" w:type="dxa"/>
            <w:shd w:val="clear" w:color="auto" w:fill="auto"/>
            <w:noWrap w:val="0"/>
            <w:vAlign w:val="center"/>
          </w:tcPr>
          <w:p w14:paraId="3B3AE172">
            <w:pPr>
              <w:pStyle w:val="44"/>
              <w:bidi w:val="0"/>
              <w:rPr>
                <w:rFonts w:hint="default" w:ascii="Times New Roman" w:hAnsi="Times New Roman" w:eastAsia="宋体" w:cs="Times New Roman"/>
                <w:color w:val="auto"/>
                <w:kern w:val="2"/>
                <w:sz w:val="21"/>
                <w:szCs w:val="21"/>
                <w:lang w:val="en-US" w:eastAsia="zh-CN" w:bidi="ar-SA"/>
              </w:rPr>
            </w:pPr>
            <w:r>
              <w:rPr>
                <w:rFonts w:hint="default"/>
                <w:color w:val="auto"/>
                <w:lang w:val="en-US" w:eastAsia="zh-CN"/>
              </w:rPr>
              <w:t>0</w:t>
            </w:r>
          </w:p>
        </w:tc>
        <w:tc>
          <w:tcPr>
            <w:tcW w:w="1252" w:type="dxa"/>
            <w:shd w:val="clear" w:color="auto" w:fill="auto"/>
            <w:noWrap w:val="0"/>
            <w:vAlign w:val="center"/>
          </w:tcPr>
          <w:p w14:paraId="2822AD6A">
            <w:pPr>
              <w:pStyle w:val="44"/>
              <w:bidi w:val="0"/>
              <w:rPr>
                <w:rFonts w:hint="default" w:ascii="Times New Roman" w:hAnsi="Times New Roman" w:eastAsia="宋体" w:cs="Times New Roman"/>
                <w:color w:val="auto"/>
                <w:kern w:val="2"/>
                <w:sz w:val="21"/>
                <w:szCs w:val="21"/>
                <w:lang w:val="en-US" w:eastAsia="zh-CN" w:bidi="ar-SA"/>
              </w:rPr>
            </w:pPr>
            <w:r>
              <w:rPr>
                <w:rFonts w:hint="default"/>
                <w:color w:val="auto"/>
                <w:lang w:val="en-US" w:eastAsia="zh-CN"/>
              </w:rPr>
              <w:t>0</w:t>
            </w:r>
          </w:p>
        </w:tc>
        <w:tc>
          <w:tcPr>
            <w:tcW w:w="1569" w:type="dxa"/>
            <w:shd w:val="clear" w:color="auto" w:fill="auto"/>
            <w:noWrap w:val="0"/>
            <w:vAlign w:val="center"/>
          </w:tcPr>
          <w:p w14:paraId="1935DEAA">
            <w:pPr>
              <w:pStyle w:val="44"/>
              <w:bidi w:val="0"/>
              <w:rPr>
                <w:rFonts w:hint="default" w:ascii="Times New Roman" w:hAnsi="Times New Roman" w:eastAsia="宋体" w:cs="Times New Roman"/>
                <w:color w:val="auto"/>
                <w:kern w:val="2"/>
                <w:sz w:val="21"/>
                <w:szCs w:val="21"/>
                <w:lang w:val="en-US" w:eastAsia="zh-CN" w:bidi="ar-SA"/>
              </w:rPr>
            </w:pPr>
            <w:r>
              <w:rPr>
                <w:rFonts w:hint="default"/>
                <w:color w:val="auto"/>
                <w:lang w:val="en-US" w:eastAsia="zh-CN"/>
              </w:rPr>
              <w:t>0</w:t>
            </w:r>
          </w:p>
        </w:tc>
        <w:tc>
          <w:tcPr>
            <w:tcW w:w="1559" w:type="dxa"/>
            <w:noWrap w:val="0"/>
            <w:vAlign w:val="center"/>
          </w:tcPr>
          <w:p w14:paraId="58F4813C">
            <w:pPr>
              <w:pStyle w:val="44"/>
              <w:bidi w:val="0"/>
              <w:ind w:firstLine="0" w:firstLineChars="0"/>
              <w:rPr>
                <w:rFonts w:hint="default" w:ascii="Times New Roman" w:hAnsi="Times New Roman" w:cs="Times New Roman"/>
                <w:color w:val="auto"/>
                <w:lang w:val="en-US" w:eastAsia="zh-CN"/>
              </w:rPr>
            </w:pPr>
            <w:r>
              <w:rPr>
                <w:rFonts w:hint="eastAsia" w:cs="Times New Roman"/>
                <w:color w:val="auto"/>
                <w:lang w:val="en-US" w:eastAsia="zh-CN"/>
              </w:rPr>
              <w:t>0.612</w:t>
            </w:r>
          </w:p>
        </w:tc>
        <w:tc>
          <w:tcPr>
            <w:tcW w:w="1617" w:type="dxa"/>
            <w:noWrap w:val="0"/>
            <w:vAlign w:val="center"/>
          </w:tcPr>
          <w:p w14:paraId="22F3FB94">
            <w:pPr>
              <w:pStyle w:val="44"/>
              <w:bidi w:val="0"/>
              <w:rPr>
                <w:rFonts w:hint="default"/>
                <w:color w:val="auto"/>
                <w:lang w:val="en-US" w:eastAsia="zh-CN"/>
              </w:rPr>
            </w:pPr>
            <w:r>
              <w:rPr>
                <w:rFonts w:hint="default"/>
                <w:color w:val="auto"/>
                <w:lang w:val="en-US" w:eastAsia="zh-CN"/>
              </w:rPr>
              <w:t>0</w:t>
            </w:r>
          </w:p>
        </w:tc>
        <w:tc>
          <w:tcPr>
            <w:tcW w:w="1441" w:type="dxa"/>
            <w:noWrap w:val="0"/>
            <w:vAlign w:val="center"/>
          </w:tcPr>
          <w:p w14:paraId="10BA7D9E">
            <w:pPr>
              <w:pStyle w:val="44"/>
              <w:bidi w:val="0"/>
              <w:ind w:firstLine="0" w:firstLineChars="0"/>
              <w:rPr>
                <w:rFonts w:hint="default" w:ascii="Times New Roman" w:hAnsi="Times New Roman" w:cs="Times New Roman"/>
                <w:color w:val="auto"/>
                <w:lang w:val="en-US" w:eastAsia="zh-CN"/>
              </w:rPr>
            </w:pPr>
            <w:r>
              <w:rPr>
                <w:rFonts w:hint="eastAsia" w:cs="Times New Roman"/>
                <w:color w:val="auto"/>
                <w:lang w:val="en-US" w:eastAsia="zh-CN"/>
              </w:rPr>
              <w:t>0.612</w:t>
            </w:r>
          </w:p>
        </w:tc>
        <w:tc>
          <w:tcPr>
            <w:tcW w:w="1488" w:type="dxa"/>
            <w:noWrap w:val="0"/>
            <w:vAlign w:val="center"/>
          </w:tcPr>
          <w:p w14:paraId="4824E244">
            <w:pPr>
              <w:pStyle w:val="44"/>
              <w:bidi w:val="0"/>
              <w:ind w:firstLine="0" w:firstLineChars="0"/>
              <w:rPr>
                <w:rFonts w:hint="eastAsia" w:ascii="Times New Roman" w:hAnsi="Times New Roman" w:cs="Times New Roman"/>
                <w:color w:val="auto"/>
                <w:lang w:val="en-US" w:eastAsia="zh-CN"/>
              </w:rPr>
            </w:pPr>
            <w:r>
              <w:rPr>
                <w:rFonts w:hint="eastAsia" w:cs="Times New Roman"/>
                <w:color w:val="auto"/>
                <w:lang w:val="en-US" w:eastAsia="zh-CN"/>
              </w:rPr>
              <w:t>+0.612</w:t>
            </w:r>
          </w:p>
        </w:tc>
      </w:tr>
      <w:tr w14:paraId="237433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54" w:type="dxa"/>
            <w:vMerge w:val="continue"/>
            <w:noWrap w:val="0"/>
            <w:vAlign w:val="center"/>
          </w:tcPr>
          <w:p w14:paraId="574BCC8B">
            <w:pPr>
              <w:pStyle w:val="44"/>
              <w:bidi w:val="0"/>
              <w:rPr>
                <w:rFonts w:hint="default"/>
                <w:color w:val="auto"/>
                <w:lang w:val="en-US" w:eastAsia="zh-CN"/>
              </w:rPr>
            </w:pPr>
          </w:p>
        </w:tc>
        <w:tc>
          <w:tcPr>
            <w:tcW w:w="1962" w:type="dxa"/>
            <w:noWrap w:val="0"/>
            <w:vAlign w:val="center"/>
          </w:tcPr>
          <w:p w14:paraId="48E945DF">
            <w:pPr>
              <w:pStyle w:val="44"/>
              <w:bidi w:val="0"/>
              <w:ind w:firstLine="0" w:firstLineChars="0"/>
              <w:rPr>
                <w:rFonts w:hint="default"/>
                <w:color w:val="auto"/>
                <w:lang w:val="en-US" w:eastAsia="zh-CN"/>
              </w:rPr>
            </w:pPr>
            <w:r>
              <w:rPr>
                <w:rFonts w:hint="default" w:ascii="Times New Roman" w:hAnsi="Times New Roman" w:cs="Times New Roman"/>
                <w:color w:val="auto"/>
                <w:szCs w:val="24"/>
                <w:lang w:val="en-US" w:eastAsia="zh-CN"/>
              </w:rPr>
              <w:t>废布袋</w:t>
            </w:r>
          </w:p>
        </w:tc>
        <w:tc>
          <w:tcPr>
            <w:tcW w:w="1546" w:type="dxa"/>
            <w:noWrap w:val="0"/>
            <w:vAlign w:val="center"/>
          </w:tcPr>
          <w:p w14:paraId="118001CE">
            <w:pPr>
              <w:pStyle w:val="44"/>
              <w:bidi w:val="0"/>
              <w:rPr>
                <w:rFonts w:hint="default"/>
                <w:color w:val="auto"/>
                <w:lang w:val="en-US" w:eastAsia="zh-CN"/>
              </w:rPr>
            </w:pPr>
            <w:r>
              <w:rPr>
                <w:rFonts w:hint="default"/>
                <w:color w:val="auto"/>
                <w:lang w:val="en-US" w:eastAsia="zh-CN"/>
              </w:rPr>
              <w:t>0</w:t>
            </w:r>
          </w:p>
        </w:tc>
        <w:tc>
          <w:tcPr>
            <w:tcW w:w="1252" w:type="dxa"/>
            <w:noWrap w:val="0"/>
            <w:vAlign w:val="center"/>
          </w:tcPr>
          <w:p w14:paraId="1F4D2AD8">
            <w:pPr>
              <w:pStyle w:val="44"/>
              <w:bidi w:val="0"/>
              <w:rPr>
                <w:rFonts w:hint="default"/>
                <w:color w:val="auto"/>
                <w:lang w:val="en-US" w:eastAsia="zh-CN"/>
              </w:rPr>
            </w:pPr>
            <w:r>
              <w:rPr>
                <w:rFonts w:hint="default"/>
                <w:color w:val="auto"/>
                <w:lang w:val="en-US" w:eastAsia="zh-CN"/>
              </w:rPr>
              <w:t>0</w:t>
            </w:r>
          </w:p>
        </w:tc>
        <w:tc>
          <w:tcPr>
            <w:tcW w:w="1569" w:type="dxa"/>
            <w:noWrap w:val="0"/>
            <w:vAlign w:val="center"/>
          </w:tcPr>
          <w:p w14:paraId="61089BC7">
            <w:pPr>
              <w:pStyle w:val="44"/>
              <w:bidi w:val="0"/>
              <w:rPr>
                <w:rFonts w:hint="default"/>
                <w:color w:val="auto"/>
                <w:lang w:val="en-US" w:eastAsia="zh-CN"/>
              </w:rPr>
            </w:pPr>
            <w:r>
              <w:rPr>
                <w:rFonts w:hint="default"/>
                <w:color w:val="auto"/>
                <w:lang w:val="en-US" w:eastAsia="zh-CN"/>
              </w:rPr>
              <w:t>0</w:t>
            </w:r>
          </w:p>
        </w:tc>
        <w:tc>
          <w:tcPr>
            <w:tcW w:w="1559" w:type="dxa"/>
            <w:noWrap w:val="0"/>
            <w:vAlign w:val="center"/>
          </w:tcPr>
          <w:p w14:paraId="0A1A14BC">
            <w:pPr>
              <w:pStyle w:val="44"/>
              <w:bidi w:val="0"/>
              <w:ind w:firstLine="0" w:firstLineChars="0"/>
              <w:rPr>
                <w:rFonts w:hint="eastAsia"/>
                <w:color w:val="auto"/>
                <w:lang w:val="en-US" w:eastAsia="zh-CN"/>
              </w:rPr>
            </w:pPr>
            <w:r>
              <w:rPr>
                <w:rFonts w:hint="default" w:ascii="Times New Roman" w:hAnsi="Times New Roman" w:cs="Times New Roman"/>
                <w:color w:val="auto"/>
                <w:lang w:val="en-US" w:eastAsia="zh-CN"/>
              </w:rPr>
              <w:t>0.2</w:t>
            </w:r>
          </w:p>
        </w:tc>
        <w:tc>
          <w:tcPr>
            <w:tcW w:w="1617" w:type="dxa"/>
            <w:noWrap w:val="0"/>
            <w:vAlign w:val="center"/>
          </w:tcPr>
          <w:p w14:paraId="3096DB38">
            <w:pPr>
              <w:pStyle w:val="44"/>
              <w:bidi w:val="0"/>
              <w:rPr>
                <w:rFonts w:hint="default"/>
                <w:color w:val="auto"/>
                <w:lang w:val="en-US" w:eastAsia="zh-CN"/>
              </w:rPr>
            </w:pPr>
            <w:r>
              <w:rPr>
                <w:rFonts w:hint="default"/>
                <w:color w:val="auto"/>
                <w:lang w:val="en-US" w:eastAsia="zh-CN"/>
              </w:rPr>
              <w:t>0</w:t>
            </w:r>
          </w:p>
        </w:tc>
        <w:tc>
          <w:tcPr>
            <w:tcW w:w="1441" w:type="dxa"/>
            <w:noWrap w:val="0"/>
            <w:vAlign w:val="center"/>
          </w:tcPr>
          <w:p w14:paraId="453810BF">
            <w:pPr>
              <w:pStyle w:val="44"/>
              <w:bidi w:val="0"/>
              <w:ind w:firstLine="0" w:firstLineChars="0"/>
              <w:rPr>
                <w:rFonts w:hint="default"/>
                <w:color w:val="auto"/>
                <w:lang w:val="en-US" w:eastAsia="zh-CN"/>
              </w:rPr>
            </w:pPr>
            <w:r>
              <w:rPr>
                <w:rFonts w:hint="default" w:ascii="Times New Roman" w:hAnsi="Times New Roman" w:cs="Times New Roman"/>
                <w:color w:val="auto"/>
                <w:lang w:val="en-US" w:eastAsia="zh-CN"/>
              </w:rPr>
              <w:t>0.2</w:t>
            </w:r>
          </w:p>
        </w:tc>
        <w:tc>
          <w:tcPr>
            <w:tcW w:w="1488" w:type="dxa"/>
            <w:noWrap w:val="0"/>
            <w:vAlign w:val="center"/>
          </w:tcPr>
          <w:p w14:paraId="42138B06">
            <w:pPr>
              <w:pStyle w:val="44"/>
              <w:bidi w:val="0"/>
              <w:ind w:firstLine="0" w:firstLineChars="0"/>
              <w:rPr>
                <w:rFonts w:hint="default"/>
                <w:color w:val="auto"/>
                <w:lang w:eastAsia="zh-CN"/>
              </w:rPr>
            </w:pPr>
            <w:r>
              <w:rPr>
                <w:rFonts w:hint="eastAsia" w:ascii="Times New Roman" w:hAnsi="Times New Roman" w:cs="Times New Roman"/>
                <w:color w:val="auto"/>
                <w:lang w:val="en-US" w:eastAsia="zh-CN"/>
              </w:rPr>
              <w:t>+</w:t>
            </w:r>
            <w:r>
              <w:rPr>
                <w:rFonts w:hint="default" w:ascii="Times New Roman" w:hAnsi="Times New Roman" w:cs="Times New Roman"/>
                <w:color w:val="auto"/>
                <w:lang w:val="en-US" w:eastAsia="zh-CN"/>
              </w:rPr>
              <w:t>0.2</w:t>
            </w:r>
          </w:p>
        </w:tc>
      </w:tr>
      <w:tr w14:paraId="3A2231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54" w:type="dxa"/>
            <w:vMerge w:val="continue"/>
            <w:noWrap w:val="0"/>
            <w:vAlign w:val="center"/>
          </w:tcPr>
          <w:p w14:paraId="589A8417">
            <w:pPr>
              <w:pStyle w:val="44"/>
              <w:bidi w:val="0"/>
              <w:rPr>
                <w:rFonts w:hint="default"/>
                <w:color w:val="auto"/>
                <w:lang w:val="en-US" w:eastAsia="zh-CN"/>
              </w:rPr>
            </w:pPr>
          </w:p>
        </w:tc>
        <w:tc>
          <w:tcPr>
            <w:tcW w:w="1962" w:type="dxa"/>
            <w:noWrap w:val="0"/>
            <w:vAlign w:val="center"/>
          </w:tcPr>
          <w:p w14:paraId="74CFA974">
            <w:pPr>
              <w:pStyle w:val="44"/>
              <w:bidi w:val="0"/>
              <w:ind w:firstLine="0" w:firstLineChars="0"/>
              <w:rPr>
                <w:rFonts w:hint="default"/>
                <w:color w:val="auto"/>
                <w:lang w:val="en-US" w:eastAsia="zh-CN"/>
              </w:rPr>
            </w:pPr>
            <w:r>
              <w:rPr>
                <w:rFonts w:hint="default" w:ascii="Times New Roman" w:hAnsi="Times New Roman" w:cs="Times New Roman"/>
                <w:color w:val="auto"/>
                <w:lang w:val="en-US" w:eastAsia="zh-CN"/>
              </w:rPr>
              <w:t>生活垃圾</w:t>
            </w:r>
          </w:p>
        </w:tc>
        <w:tc>
          <w:tcPr>
            <w:tcW w:w="1546" w:type="dxa"/>
            <w:noWrap w:val="0"/>
            <w:vAlign w:val="center"/>
          </w:tcPr>
          <w:p w14:paraId="2AEA57ED">
            <w:pPr>
              <w:pStyle w:val="44"/>
              <w:bidi w:val="0"/>
              <w:rPr>
                <w:rFonts w:hint="default"/>
                <w:color w:val="auto"/>
                <w:lang w:val="en-US" w:eastAsia="zh-CN"/>
              </w:rPr>
            </w:pPr>
            <w:r>
              <w:rPr>
                <w:rFonts w:hint="default"/>
                <w:color w:val="auto"/>
                <w:lang w:val="en-US" w:eastAsia="zh-CN"/>
              </w:rPr>
              <w:t>0</w:t>
            </w:r>
          </w:p>
        </w:tc>
        <w:tc>
          <w:tcPr>
            <w:tcW w:w="1252" w:type="dxa"/>
            <w:noWrap w:val="0"/>
            <w:vAlign w:val="center"/>
          </w:tcPr>
          <w:p w14:paraId="180D685F">
            <w:pPr>
              <w:pStyle w:val="44"/>
              <w:bidi w:val="0"/>
              <w:rPr>
                <w:rFonts w:hint="default"/>
                <w:color w:val="auto"/>
                <w:lang w:val="en-US" w:eastAsia="zh-CN"/>
              </w:rPr>
            </w:pPr>
            <w:r>
              <w:rPr>
                <w:rFonts w:hint="default"/>
                <w:color w:val="auto"/>
                <w:lang w:val="en-US" w:eastAsia="zh-CN"/>
              </w:rPr>
              <w:t>0</w:t>
            </w:r>
          </w:p>
        </w:tc>
        <w:tc>
          <w:tcPr>
            <w:tcW w:w="1569" w:type="dxa"/>
            <w:noWrap w:val="0"/>
            <w:vAlign w:val="center"/>
          </w:tcPr>
          <w:p w14:paraId="2D32B1A2">
            <w:pPr>
              <w:pStyle w:val="44"/>
              <w:bidi w:val="0"/>
              <w:rPr>
                <w:rFonts w:hint="default"/>
                <w:color w:val="auto"/>
                <w:lang w:val="en-US" w:eastAsia="zh-CN"/>
              </w:rPr>
            </w:pPr>
            <w:r>
              <w:rPr>
                <w:rFonts w:hint="default"/>
                <w:color w:val="auto"/>
                <w:lang w:val="en-US" w:eastAsia="zh-CN"/>
              </w:rPr>
              <w:t>0</w:t>
            </w:r>
          </w:p>
        </w:tc>
        <w:tc>
          <w:tcPr>
            <w:tcW w:w="1559" w:type="dxa"/>
            <w:noWrap w:val="0"/>
            <w:vAlign w:val="center"/>
          </w:tcPr>
          <w:p w14:paraId="6C262227">
            <w:pPr>
              <w:pStyle w:val="44"/>
              <w:bidi w:val="0"/>
              <w:ind w:firstLine="0" w:firstLineChars="0"/>
              <w:rPr>
                <w:rFonts w:hint="default"/>
                <w:color w:val="auto"/>
                <w:lang w:val="en-US" w:eastAsia="zh-CN"/>
              </w:rPr>
            </w:pPr>
            <w:r>
              <w:rPr>
                <w:rFonts w:hint="default" w:ascii="Times New Roman" w:hAnsi="Times New Roman" w:cs="Times New Roman"/>
                <w:color w:val="auto"/>
                <w:lang w:val="en-US" w:eastAsia="zh-CN"/>
              </w:rPr>
              <w:t>7.5</w:t>
            </w:r>
          </w:p>
        </w:tc>
        <w:tc>
          <w:tcPr>
            <w:tcW w:w="1617" w:type="dxa"/>
            <w:noWrap w:val="0"/>
            <w:vAlign w:val="center"/>
          </w:tcPr>
          <w:p w14:paraId="14921BDC">
            <w:pPr>
              <w:pStyle w:val="44"/>
              <w:bidi w:val="0"/>
              <w:rPr>
                <w:rFonts w:hint="default"/>
                <w:color w:val="auto"/>
                <w:lang w:val="en-US" w:eastAsia="zh-CN"/>
              </w:rPr>
            </w:pPr>
            <w:r>
              <w:rPr>
                <w:rFonts w:hint="default"/>
                <w:color w:val="auto"/>
                <w:lang w:val="en-US" w:eastAsia="zh-CN"/>
              </w:rPr>
              <w:t>0</w:t>
            </w:r>
          </w:p>
        </w:tc>
        <w:tc>
          <w:tcPr>
            <w:tcW w:w="1441" w:type="dxa"/>
            <w:noWrap w:val="0"/>
            <w:vAlign w:val="center"/>
          </w:tcPr>
          <w:p w14:paraId="3C9DD740">
            <w:pPr>
              <w:pStyle w:val="44"/>
              <w:bidi w:val="0"/>
              <w:ind w:firstLine="0" w:firstLineChars="0"/>
              <w:rPr>
                <w:rFonts w:hint="default"/>
                <w:color w:val="auto"/>
                <w:lang w:val="en-US" w:eastAsia="zh-CN"/>
              </w:rPr>
            </w:pPr>
            <w:r>
              <w:rPr>
                <w:rFonts w:hint="default" w:ascii="Times New Roman" w:hAnsi="Times New Roman" w:cs="Times New Roman"/>
                <w:color w:val="auto"/>
                <w:lang w:val="en-US" w:eastAsia="zh-CN"/>
              </w:rPr>
              <w:t>7.5</w:t>
            </w:r>
          </w:p>
        </w:tc>
        <w:tc>
          <w:tcPr>
            <w:tcW w:w="1488" w:type="dxa"/>
            <w:noWrap w:val="0"/>
            <w:vAlign w:val="center"/>
          </w:tcPr>
          <w:p w14:paraId="3618EA84">
            <w:pPr>
              <w:pStyle w:val="44"/>
              <w:bidi w:val="0"/>
              <w:ind w:firstLine="0" w:firstLineChars="0"/>
              <w:rPr>
                <w:rFonts w:hint="default"/>
                <w:color w:val="auto"/>
                <w:lang w:val="en-US" w:eastAsia="zh-CN"/>
              </w:rPr>
            </w:pPr>
            <w:r>
              <w:rPr>
                <w:rFonts w:hint="eastAsia" w:ascii="Times New Roman" w:hAnsi="Times New Roman" w:cs="Times New Roman"/>
                <w:color w:val="auto"/>
                <w:lang w:val="en-US" w:eastAsia="zh-CN"/>
              </w:rPr>
              <w:t>+</w:t>
            </w:r>
            <w:r>
              <w:rPr>
                <w:rFonts w:hint="default" w:ascii="Times New Roman" w:hAnsi="Times New Roman" w:cs="Times New Roman"/>
                <w:color w:val="auto"/>
                <w:lang w:val="en-US" w:eastAsia="zh-CN"/>
              </w:rPr>
              <w:t>7.5</w:t>
            </w:r>
          </w:p>
        </w:tc>
      </w:tr>
      <w:tr w14:paraId="629507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54" w:type="dxa"/>
            <w:vMerge w:val="restart"/>
            <w:noWrap w:val="0"/>
            <w:vAlign w:val="center"/>
          </w:tcPr>
          <w:p w14:paraId="23149377">
            <w:pPr>
              <w:pStyle w:val="44"/>
              <w:bidi w:val="0"/>
              <w:rPr>
                <w:rFonts w:hint="eastAsia"/>
                <w:color w:val="auto"/>
                <w:lang w:val="en-US" w:eastAsia="zh-CN"/>
              </w:rPr>
            </w:pPr>
            <w:r>
              <w:rPr>
                <w:rFonts w:hint="eastAsia"/>
                <w:color w:val="auto"/>
                <w:lang w:val="en-US" w:eastAsia="zh-CN"/>
              </w:rPr>
              <w:t>危险废物</w:t>
            </w:r>
          </w:p>
        </w:tc>
        <w:tc>
          <w:tcPr>
            <w:tcW w:w="1962" w:type="dxa"/>
            <w:noWrap w:val="0"/>
            <w:vAlign w:val="center"/>
          </w:tcPr>
          <w:p w14:paraId="6FDBD6EB">
            <w:pPr>
              <w:pStyle w:val="44"/>
              <w:bidi w:val="0"/>
              <w:ind w:firstLine="0" w:firstLineChars="0"/>
              <w:rPr>
                <w:rFonts w:hint="eastAsia"/>
                <w:color w:val="auto"/>
                <w:lang w:val="en-US" w:eastAsia="zh-CN"/>
              </w:rPr>
            </w:pPr>
            <w:r>
              <w:rPr>
                <w:rFonts w:hint="default" w:ascii="Times New Roman" w:hAnsi="Times New Roman" w:cs="Times New Roman"/>
                <w:color w:val="auto"/>
                <w:lang w:val="en-US" w:eastAsia="zh-CN"/>
              </w:rPr>
              <w:t>废包装桶</w:t>
            </w:r>
          </w:p>
        </w:tc>
        <w:tc>
          <w:tcPr>
            <w:tcW w:w="1546" w:type="dxa"/>
            <w:noWrap w:val="0"/>
            <w:vAlign w:val="center"/>
          </w:tcPr>
          <w:p w14:paraId="207DE637">
            <w:pPr>
              <w:pStyle w:val="44"/>
              <w:bidi w:val="0"/>
              <w:rPr>
                <w:rFonts w:hint="default"/>
                <w:color w:val="auto"/>
                <w:lang w:val="en-US" w:eastAsia="zh-CN"/>
              </w:rPr>
            </w:pPr>
            <w:r>
              <w:rPr>
                <w:rFonts w:hint="default"/>
                <w:color w:val="auto"/>
                <w:lang w:val="en-US" w:eastAsia="zh-CN"/>
              </w:rPr>
              <w:t>0</w:t>
            </w:r>
          </w:p>
        </w:tc>
        <w:tc>
          <w:tcPr>
            <w:tcW w:w="1252" w:type="dxa"/>
            <w:noWrap w:val="0"/>
            <w:vAlign w:val="center"/>
          </w:tcPr>
          <w:p w14:paraId="5529250D">
            <w:pPr>
              <w:pStyle w:val="44"/>
              <w:bidi w:val="0"/>
              <w:rPr>
                <w:rFonts w:hint="default"/>
                <w:color w:val="auto"/>
                <w:lang w:val="en-US" w:eastAsia="zh-CN"/>
              </w:rPr>
            </w:pPr>
            <w:r>
              <w:rPr>
                <w:rFonts w:hint="default"/>
                <w:color w:val="auto"/>
                <w:lang w:val="en-US" w:eastAsia="zh-CN"/>
              </w:rPr>
              <w:t>0</w:t>
            </w:r>
          </w:p>
        </w:tc>
        <w:tc>
          <w:tcPr>
            <w:tcW w:w="1569" w:type="dxa"/>
            <w:noWrap w:val="0"/>
            <w:vAlign w:val="center"/>
          </w:tcPr>
          <w:p w14:paraId="371B51C4">
            <w:pPr>
              <w:pStyle w:val="44"/>
              <w:bidi w:val="0"/>
              <w:rPr>
                <w:rFonts w:hint="default"/>
                <w:color w:val="auto"/>
                <w:lang w:val="en-US" w:eastAsia="zh-CN"/>
              </w:rPr>
            </w:pPr>
            <w:r>
              <w:rPr>
                <w:rFonts w:hint="default"/>
                <w:color w:val="auto"/>
                <w:lang w:val="en-US" w:eastAsia="zh-CN"/>
              </w:rPr>
              <w:t>0</w:t>
            </w:r>
          </w:p>
        </w:tc>
        <w:tc>
          <w:tcPr>
            <w:tcW w:w="1559" w:type="dxa"/>
            <w:noWrap w:val="0"/>
            <w:vAlign w:val="center"/>
          </w:tcPr>
          <w:p w14:paraId="20E9344C">
            <w:pPr>
              <w:pStyle w:val="44"/>
              <w:bidi w:val="0"/>
              <w:ind w:firstLine="0" w:firstLineChars="0"/>
              <w:rPr>
                <w:rFonts w:hint="default"/>
                <w:color w:val="auto"/>
                <w:lang w:val="en-US" w:eastAsia="zh-CN"/>
              </w:rPr>
            </w:pPr>
            <w:r>
              <w:rPr>
                <w:rFonts w:hint="eastAsia" w:cs="Times New Roman"/>
                <w:color w:val="auto"/>
                <w:lang w:val="en-US" w:eastAsia="zh-CN"/>
              </w:rPr>
              <w:t>0.5</w:t>
            </w:r>
          </w:p>
        </w:tc>
        <w:tc>
          <w:tcPr>
            <w:tcW w:w="1617" w:type="dxa"/>
            <w:noWrap w:val="0"/>
            <w:vAlign w:val="center"/>
          </w:tcPr>
          <w:p w14:paraId="454FD6E6">
            <w:pPr>
              <w:pStyle w:val="44"/>
              <w:bidi w:val="0"/>
              <w:rPr>
                <w:rFonts w:hint="default"/>
                <w:color w:val="auto"/>
                <w:lang w:val="en-US" w:eastAsia="zh-CN"/>
              </w:rPr>
            </w:pPr>
            <w:r>
              <w:rPr>
                <w:rFonts w:hint="eastAsia"/>
                <w:color w:val="auto"/>
                <w:lang w:val="en-US" w:eastAsia="zh-CN"/>
              </w:rPr>
              <w:t>0</w:t>
            </w:r>
          </w:p>
        </w:tc>
        <w:tc>
          <w:tcPr>
            <w:tcW w:w="1441" w:type="dxa"/>
            <w:noWrap w:val="0"/>
            <w:vAlign w:val="center"/>
          </w:tcPr>
          <w:p w14:paraId="62C93BD2">
            <w:pPr>
              <w:pStyle w:val="44"/>
              <w:bidi w:val="0"/>
              <w:ind w:firstLine="0" w:firstLineChars="0"/>
              <w:rPr>
                <w:rFonts w:hint="default"/>
                <w:color w:val="auto"/>
                <w:lang w:val="en-US" w:eastAsia="zh-CN"/>
              </w:rPr>
            </w:pPr>
            <w:r>
              <w:rPr>
                <w:rFonts w:hint="eastAsia" w:cs="Times New Roman"/>
                <w:color w:val="auto"/>
                <w:lang w:val="en-US" w:eastAsia="zh-CN"/>
              </w:rPr>
              <w:t>0.5</w:t>
            </w:r>
          </w:p>
        </w:tc>
        <w:tc>
          <w:tcPr>
            <w:tcW w:w="1488" w:type="dxa"/>
            <w:noWrap w:val="0"/>
            <w:vAlign w:val="center"/>
          </w:tcPr>
          <w:p w14:paraId="5F546941">
            <w:pPr>
              <w:pStyle w:val="44"/>
              <w:bidi w:val="0"/>
              <w:ind w:firstLine="0" w:firstLineChars="0"/>
              <w:rPr>
                <w:rFonts w:hint="default"/>
                <w:color w:val="auto"/>
                <w:lang w:val="en-US" w:eastAsia="zh-CN"/>
              </w:rPr>
            </w:pPr>
            <w:r>
              <w:rPr>
                <w:rFonts w:hint="eastAsia" w:cs="Times New Roman"/>
                <w:color w:val="auto"/>
                <w:lang w:val="en-US" w:eastAsia="zh-CN"/>
              </w:rPr>
              <w:t>+0.5</w:t>
            </w:r>
          </w:p>
        </w:tc>
      </w:tr>
      <w:tr w14:paraId="116526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54" w:type="dxa"/>
            <w:vMerge w:val="continue"/>
            <w:noWrap w:val="0"/>
            <w:vAlign w:val="center"/>
          </w:tcPr>
          <w:p w14:paraId="037FFD4B">
            <w:pPr>
              <w:pStyle w:val="44"/>
              <w:bidi w:val="0"/>
              <w:rPr>
                <w:rFonts w:hint="eastAsia"/>
                <w:color w:val="auto"/>
                <w:lang w:val="en-US" w:eastAsia="zh-CN"/>
              </w:rPr>
            </w:pPr>
          </w:p>
        </w:tc>
        <w:tc>
          <w:tcPr>
            <w:tcW w:w="1962" w:type="dxa"/>
            <w:noWrap w:val="0"/>
            <w:vAlign w:val="center"/>
          </w:tcPr>
          <w:p w14:paraId="68A460E3">
            <w:pPr>
              <w:pStyle w:val="44"/>
              <w:bidi w:val="0"/>
              <w:ind w:firstLine="0" w:firstLineChars="0"/>
              <w:rPr>
                <w:rFonts w:hint="eastAsia"/>
                <w:color w:val="auto"/>
                <w:lang w:val="en-US" w:eastAsia="zh-CN"/>
              </w:rPr>
            </w:pPr>
            <w:r>
              <w:rPr>
                <w:rFonts w:hint="default" w:ascii="Times New Roman" w:hAnsi="Times New Roman" w:cs="Times New Roman"/>
                <w:color w:val="auto"/>
                <w:szCs w:val="24"/>
                <w:lang w:val="en-US" w:eastAsia="zh-CN"/>
              </w:rPr>
              <w:t>冷凝废液</w:t>
            </w:r>
          </w:p>
        </w:tc>
        <w:tc>
          <w:tcPr>
            <w:tcW w:w="1546" w:type="dxa"/>
            <w:noWrap w:val="0"/>
            <w:vAlign w:val="center"/>
          </w:tcPr>
          <w:p w14:paraId="7F67799C">
            <w:pPr>
              <w:pStyle w:val="44"/>
              <w:bidi w:val="0"/>
              <w:rPr>
                <w:rFonts w:hint="default"/>
                <w:color w:val="auto"/>
                <w:lang w:val="en-US" w:eastAsia="zh-CN"/>
              </w:rPr>
            </w:pPr>
            <w:r>
              <w:rPr>
                <w:rFonts w:hint="default"/>
                <w:color w:val="auto"/>
                <w:lang w:val="en-US" w:eastAsia="zh-CN"/>
              </w:rPr>
              <w:t>0</w:t>
            </w:r>
          </w:p>
        </w:tc>
        <w:tc>
          <w:tcPr>
            <w:tcW w:w="1252" w:type="dxa"/>
            <w:noWrap w:val="0"/>
            <w:vAlign w:val="center"/>
          </w:tcPr>
          <w:p w14:paraId="24E89639">
            <w:pPr>
              <w:pStyle w:val="44"/>
              <w:bidi w:val="0"/>
              <w:rPr>
                <w:rFonts w:hint="default"/>
                <w:color w:val="auto"/>
                <w:lang w:val="en-US" w:eastAsia="zh-CN"/>
              </w:rPr>
            </w:pPr>
            <w:r>
              <w:rPr>
                <w:rFonts w:hint="default"/>
                <w:color w:val="auto"/>
                <w:lang w:val="en-US" w:eastAsia="zh-CN"/>
              </w:rPr>
              <w:t>0</w:t>
            </w:r>
          </w:p>
        </w:tc>
        <w:tc>
          <w:tcPr>
            <w:tcW w:w="1569" w:type="dxa"/>
            <w:noWrap w:val="0"/>
            <w:vAlign w:val="center"/>
          </w:tcPr>
          <w:p w14:paraId="70F82CE6">
            <w:pPr>
              <w:pStyle w:val="44"/>
              <w:bidi w:val="0"/>
              <w:rPr>
                <w:rFonts w:hint="default"/>
                <w:color w:val="auto"/>
                <w:lang w:val="en-US" w:eastAsia="zh-CN"/>
              </w:rPr>
            </w:pPr>
            <w:r>
              <w:rPr>
                <w:rFonts w:hint="default"/>
                <w:color w:val="auto"/>
                <w:lang w:val="en-US" w:eastAsia="zh-CN"/>
              </w:rPr>
              <w:t>0</w:t>
            </w:r>
          </w:p>
        </w:tc>
        <w:tc>
          <w:tcPr>
            <w:tcW w:w="1559" w:type="dxa"/>
            <w:noWrap w:val="0"/>
            <w:vAlign w:val="center"/>
          </w:tcPr>
          <w:p w14:paraId="358FC85C">
            <w:pPr>
              <w:pStyle w:val="44"/>
              <w:bidi w:val="0"/>
              <w:ind w:firstLine="0" w:firstLineChars="0"/>
              <w:rPr>
                <w:rFonts w:hint="default"/>
                <w:color w:val="auto"/>
                <w:lang w:val="en-US" w:eastAsia="zh-CN"/>
              </w:rPr>
            </w:pPr>
            <w:r>
              <w:rPr>
                <w:rFonts w:hint="default" w:ascii="Times New Roman" w:hAnsi="Times New Roman" w:cs="Times New Roman"/>
                <w:color w:val="auto"/>
                <w:lang w:val="en-US" w:eastAsia="zh-CN"/>
              </w:rPr>
              <w:t>10</w:t>
            </w:r>
          </w:p>
        </w:tc>
        <w:tc>
          <w:tcPr>
            <w:tcW w:w="1617" w:type="dxa"/>
            <w:noWrap w:val="0"/>
            <w:vAlign w:val="center"/>
          </w:tcPr>
          <w:p w14:paraId="23CC1784">
            <w:pPr>
              <w:pStyle w:val="44"/>
              <w:bidi w:val="0"/>
              <w:rPr>
                <w:rFonts w:hint="default"/>
                <w:color w:val="auto"/>
                <w:lang w:val="en-US" w:eastAsia="zh-CN"/>
              </w:rPr>
            </w:pPr>
            <w:r>
              <w:rPr>
                <w:rFonts w:hint="eastAsia"/>
                <w:color w:val="auto"/>
                <w:lang w:val="en-US" w:eastAsia="zh-CN"/>
              </w:rPr>
              <w:t>0</w:t>
            </w:r>
          </w:p>
        </w:tc>
        <w:tc>
          <w:tcPr>
            <w:tcW w:w="1441" w:type="dxa"/>
            <w:noWrap w:val="0"/>
            <w:vAlign w:val="center"/>
          </w:tcPr>
          <w:p w14:paraId="56C04F8B">
            <w:pPr>
              <w:pStyle w:val="44"/>
              <w:bidi w:val="0"/>
              <w:ind w:firstLine="0" w:firstLineChars="0"/>
              <w:rPr>
                <w:rFonts w:hint="default"/>
                <w:color w:val="auto"/>
                <w:lang w:val="en-US" w:eastAsia="zh-CN"/>
              </w:rPr>
            </w:pPr>
            <w:r>
              <w:rPr>
                <w:rFonts w:hint="default" w:ascii="Times New Roman" w:hAnsi="Times New Roman" w:cs="Times New Roman"/>
                <w:color w:val="auto"/>
                <w:lang w:val="en-US" w:eastAsia="zh-CN"/>
              </w:rPr>
              <w:t>10</w:t>
            </w:r>
          </w:p>
        </w:tc>
        <w:tc>
          <w:tcPr>
            <w:tcW w:w="1488" w:type="dxa"/>
            <w:noWrap w:val="0"/>
            <w:vAlign w:val="center"/>
          </w:tcPr>
          <w:p w14:paraId="5BD8B9C8">
            <w:pPr>
              <w:pStyle w:val="44"/>
              <w:bidi w:val="0"/>
              <w:ind w:firstLine="0" w:firstLineChars="0"/>
              <w:rPr>
                <w:rFonts w:hint="default"/>
                <w:color w:val="auto"/>
                <w:lang w:val="en-US" w:eastAsia="zh-CN"/>
              </w:rPr>
            </w:pPr>
            <w:r>
              <w:rPr>
                <w:rFonts w:hint="eastAsia" w:ascii="Times New Roman" w:hAnsi="Times New Roman" w:cs="Times New Roman"/>
                <w:color w:val="auto"/>
                <w:lang w:val="en-US" w:eastAsia="zh-CN"/>
              </w:rPr>
              <w:t>+</w:t>
            </w:r>
            <w:r>
              <w:rPr>
                <w:rFonts w:hint="default" w:ascii="Times New Roman" w:hAnsi="Times New Roman" w:cs="Times New Roman"/>
                <w:color w:val="auto"/>
                <w:lang w:val="en-US" w:eastAsia="zh-CN"/>
              </w:rPr>
              <w:t>10</w:t>
            </w:r>
          </w:p>
        </w:tc>
      </w:tr>
      <w:tr w14:paraId="6D6E38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54" w:type="dxa"/>
            <w:vMerge w:val="continue"/>
            <w:noWrap w:val="0"/>
            <w:vAlign w:val="center"/>
          </w:tcPr>
          <w:p w14:paraId="4D6F0C07">
            <w:pPr>
              <w:pStyle w:val="44"/>
              <w:bidi w:val="0"/>
              <w:rPr>
                <w:rFonts w:hint="eastAsia"/>
                <w:color w:val="auto"/>
                <w:lang w:val="en-US" w:eastAsia="zh-CN"/>
              </w:rPr>
            </w:pPr>
          </w:p>
        </w:tc>
        <w:tc>
          <w:tcPr>
            <w:tcW w:w="1962" w:type="dxa"/>
            <w:noWrap w:val="0"/>
            <w:vAlign w:val="center"/>
          </w:tcPr>
          <w:p w14:paraId="0EBD4615">
            <w:pPr>
              <w:pStyle w:val="44"/>
              <w:bidi w:val="0"/>
              <w:ind w:firstLine="0" w:firstLineChars="0"/>
              <w:rPr>
                <w:rFonts w:hint="eastAsia"/>
                <w:color w:val="auto"/>
                <w:lang w:val="en-US" w:eastAsia="zh-CN"/>
              </w:rPr>
            </w:pPr>
            <w:r>
              <w:rPr>
                <w:rFonts w:hint="default" w:ascii="Times New Roman" w:hAnsi="Times New Roman" w:cs="Times New Roman"/>
                <w:color w:val="auto"/>
                <w:szCs w:val="24"/>
                <w:lang w:val="en-US" w:eastAsia="zh-CN"/>
              </w:rPr>
              <w:t>废活性炭</w:t>
            </w:r>
          </w:p>
        </w:tc>
        <w:tc>
          <w:tcPr>
            <w:tcW w:w="1546" w:type="dxa"/>
            <w:noWrap w:val="0"/>
            <w:vAlign w:val="center"/>
          </w:tcPr>
          <w:p w14:paraId="558EA6E0">
            <w:pPr>
              <w:pStyle w:val="44"/>
              <w:bidi w:val="0"/>
              <w:rPr>
                <w:rFonts w:hint="default"/>
                <w:color w:val="auto"/>
                <w:lang w:val="en-US" w:eastAsia="zh-CN"/>
              </w:rPr>
            </w:pPr>
            <w:r>
              <w:rPr>
                <w:rFonts w:hint="default"/>
                <w:color w:val="auto"/>
                <w:lang w:val="en-US" w:eastAsia="zh-CN"/>
              </w:rPr>
              <w:t>0</w:t>
            </w:r>
          </w:p>
        </w:tc>
        <w:tc>
          <w:tcPr>
            <w:tcW w:w="1252" w:type="dxa"/>
            <w:noWrap w:val="0"/>
            <w:vAlign w:val="center"/>
          </w:tcPr>
          <w:p w14:paraId="080D691A">
            <w:pPr>
              <w:pStyle w:val="44"/>
              <w:bidi w:val="0"/>
              <w:rPr>
                <w:rFonts w:hint="default"/>
                <w:color w:val="auto"/>
                <w:lang w:val="en-US" w:eastAsia="zh-CN"/>
              </w:rPr>
            </w:pPr>
            <w:r>
              <w:rPr>
                <w:rFonts w:hint="default"/>
                <w:color w:val="auto"/>
                <w:lang w:val="en-US" w:eastAsia="zh-CN"/>
              </w:rPr>
              <w:t>0</w:t>
            </w:r>
          </w:p>
        </w:tc>
        <w:tc>
          <w:tcPr>
            <w:tcW w:w="1569" w:type="dxa"/>
            <w:noWrap w:val="0"/>
            <w:vAlign w:val="center"/>
          </w:tcPr>
          <w:p w14:paraId="7326C8CE">
            <w:pPr>
              <w:pStyle w:val="44"/>
              <w:bidi w:val="0"/>
              <w:rPr>
                <w:rFonts w:hint="default"/>
                <w:color w:val="auto"/>
                <w:lang w:val="en-US" w:eastAsia="zh-CN"/>
              </w:rPr>
            </w:pPr>
            <w:r>
              <w:rPr>
                <w:rFonts w:hint="default"/>
                <w:color w:val="auto"/>
                <w:lang w:val="en-US" w:eastAsia="zh-CN"/>
              </w:rPr>
              <w:t>0</w:t>
            </w:r>
          </w:p>
        </w:tc>
        <w:tc>
          <w:tcPr>
            <w:tcW w:w="1559" w:type="dxa"/>
            <w:noWrap w:val="0"/>
            <w:vAlign w:val="center"/>
          </w:tcPr>
          <w:p w14:paraId="21CE6B43">
            <w:pPr>
              <w:pStyle w:val="44"/>
              <w:bidi w:val="0"/>
              <w:ind w:firstLine="0" w:firstLineChars="0"/>
              <w:rPr>
                <w:rFonts w:hint="eastAsia"/>
                <w:color w:val="auto"/>
                <w:lang w:val="en-US" w:eastAsia="zh-CN"/>
              </w:rPr>
            </w:pPr>
            <w:r>
              <w:rPr>
                <w:rFonts w:hint="eastAsia" w:cs="Times New Roman"/>
                <w:color w:val="auto"/>
                <w:lang w:val="en-US" w:eastAsia="zh-CN"/>
              </w:rPr>
              <w:t>18.096</w:t>
            </w:r>
          </w:p>
        </w:tc>
        <w:tc>
          <w:tcPr>
            <w:tcW w:w="1617" w:type="dxa"/>
            <w:noWrap w:val="0"/>
            <w:vAlign w:val="center"/>
          </w:tcPr>
          <w:p w14:paraId="2E3EF35F">
            <w:pPr>
              <w:pStyle w:val="44"/>
              <w:bidi w:val="0"/>
              <w:rPr>
                <w:rFonts w:hint="eastAsia"/>
                <w:color w:val="auto"/>
                <w:lang w:val="en-US" w:eastAsia="zh-CN"/>
              </w:rPr>
            </w:pPr>
            <w:r>
              <w:rPr>
                <w:rFonts w:hint="default"/>
                <w:color w:val="auto"/>
                <w:lang w:val="en-US" w:eastAsia="zh-CN"/>
              </w:rPr>
              <w:t>0</w:t>
            </w:r>
          </w:p>
        </w:tc>
        <w:tc>
          <w:tcPr>
            <w:tcW w:w="1441" w:type="dxa"/>
            <w:noWrap w:val="0"/>
            <w:vAlign w:val="center"/>
          </w:tcPr>
          <w:p w14:paraId="0AC5B8DD">
            <w:pPr>
              <w:pStyle w:val="44"/>
              <w:bidi w:val="0"/>
              <w:ind w:firstLine="0" w:firstLineChars="0"/>
              <w:rPr>
                <w:rFonts w:hint="eastAsia"/>
                <w:color w:val="auto"/>
                <w:lang w:val="en-US" w:eastAsia="zh-CN"/>
              </w:rPr>
            </w:pPr>
            <w:r>
              <w:rPr>
                <w:rFonts w:hint="eastAsia" w:cs="Times New Roman"/>
                <w:color w:val="auto"/>
                <w:lang w:val="en-US" w:eastAsia="zh-CN"/>
              </w:rPr>
              <w:t>18.096</w:t>
            </w:r>
          </w:p>
        </w:tc>
        <w:tc>
          <w:tcPr>
            <w:tcW w:w="1488" w:type="dxa"/>
            <w:noWrap w:val="0"/>
            <w:vAlign w:val="center"/>
          </w:tcPr>
          <w:p w14:paraId="0A64CD0B">
            <w:pPr>
              <w:pStyle w:val="44"/>
              <w:bidi w:val="0"/>
              <w:ind w:firstLine="0" w:firstLineChars="0"/>
              <w:rPr>
                <w:rFonts w:hint="default"/>
                <w:color w:val="auto"/>
                <w:lang w:val="en-US" w:eastAsia="zh-CN"/>
              </w:rPr>
            </w:pPr>
            <w:r>
              <w:rPr>
                <w:rFonts w:hint="eastAsia" w:ascii="Times New Roman" w:hAnsi="Times New Roman" w:cs="Times New Roman"/>
                <w:color w:val="auto"/>
                <w:lang w:val="en-US" w:eastAsia="zh-CN"/>
              </w:rPr>
              <w:t>+</w:t>
            </w:r>
            <w:r>
              <w:rPr>
                <w:rFonts w:hint="eastAsia" w:cs="Times New Roman"/>
                <w:color w:val="auto"/>
                <w:lang w:val="en-US" w:eastAsia="zh-CN"/>
              </w:rPr>
              <w:t>18.096</w:t>
            </w:r>
          </w:p>
        </w:tc>
      </w:tr>
      <w:tr w14:paraId="3B68FF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54" w:type="dxa"/>
            <w:vMerge w:val="continue"/>
            <w:noWrap w:val="0"/>
            <w:vAlign w:val="center"/>
          </w:tcPr>
          <w:p w14:paraId="7A749C50">
            <w:pPr>
              <w:pStyle w:val="44"/>
              <w:bidi w:val="0"/>
              <w:rPr>
                <w:rFonts w:hint="eastAsia"/>
                <w:color w:val="auto"/>
                <w:lang w:val="en-US" w:eastAsia="zh-CN"/>
              </w:rPr>
            </w:pPr>
          </w:p>
        </w:tc>
        <w:tc>
          <w:tcPr>
            <w:tcW w:w="1962" w:type="dxa"/>
            <w:noWrap w:val="0"/>
            <w:vAlign w:val="center"/>
          </w:tcPr>
          <w:p w14:paraId="47B1FEF6">
            <w:pPr>
              <w:pStyle w:val="44"/>
              <w:bidi w:val="0"/>
              <w:ind w:firstLine="0" w:firstLineChars="0"/>
              <w:rPr>
                <w:rFonts w:hint="default"/>
                <w:color w:val="auto"/>
                <w:lang w:val="en-US" w:eastAsia="zh-CN"/>
              </w:rPr>
            </w:pPr>
            <w:r>
              <w:rPr>
                <w:rFonts w:hint="default" w:ascii="Times New Roman" w:hAnsi="Times New Roman" w:cs="Times New Roman"/>
                <w:color w:val="auto"/>
                <w:lang w:val="en-US" w:eastAsia="zh-CN"/>
              </w:rPr>
              <w:t>废过滤棉</w:t>
            </w:r>
          </w:p>
        </w:tc>
        <w:tc>
          <w:tcPr>
            <w:tcW w:w="1546" w:type="dxa"/>
            <w:noWrap w:val="0"/>
            <w:vAlign w:val="center"/>
          </w:tcPr>
          <w:p w14:paraId="13117B19">
            <w:pPr>
              <w:pStyle w:val="44"/>
              <w:bidi w:val="0"/>
              <w:rPr>
                <w:rFonts w:hint="default" w:ascii="Times New Roman" w:hAnsi="Times New Roman" w:eastAsia="宋体"/>
                <w:color w:val="auto"/>
                <w:kern w:val="2"/>
                <w:sz w:val="21"/>
                <w:szCs w:val="21"/>
                <w:lang w:val="en-US" w:eastAsia="zh-CN" w:bidi="ar-SA"/>
              </w:rPr>
            </w:pPr>
            <w:r>
              <w:rPr>
                <w:rFonts w:hint="default"/>
                <w:color w:val="auto"/>
                <w:lang w:val="en-US" w:eastAsia="zh-CN"/>
              </w:rPr>
              <w:t>0</w:t>
            </w:r>
          </w:p>
        </w:tc>
        <w:tc>
          <w:tcPr>
            <w:tcW w:w="1252" w:type="dxa"/>
            <w:noWrap w:val="0"/>
            <w:vAlign w:val="center"/>
          </w:tcPr>
          <w:p w14:paraId="15872930">
            <w:pPr>
              <w:pStyle w:val="44"/>
              <w:bidi w:val="0"/>
              <w:rPr>
                <w:rFonts w:hint="default" w:ascii="Times New Roman" w:hAnsi="Times New Roman" w:eastAsia="宋体"/>
                <w:color w:val="auto"/>
                <w:kern w:val="2"/>
                <w:sz w:val="21"/>
                <w:szCs w:val="21"/>
                <w:lang w:val="en-US" w:eastAsia="zh-CN" w:bidi="ar-SA"/>
              </w:rPr>
            </w:pPr>
            <w:r>
              <w:rPr>
                <w:rFonts w:hint="default"/>
                <w:color w:val="auto"/>
                <w:lang w:val="en-US" w:eastAsia="zh-CN"/>
              </w:rPr>
              <w:t>0</w:t>
            </w:r>
          </w:p>
        </w:tc>
        <w:tc>
          <w:tcPr>
            <w:tcW w:w="1569" w:type="dxa"/>
            <w:noWrap w:val="0"/>
            <w:vAlign w:val="center"/>
          </w:tcPr>
          <w:p w14:paraId="7504DC80">
            <w:pPr>
              <w:pStyle w:val="44"/>
              <w:bidi w:val="0"/>
              <w:rPr>
                <w:rFonts w:hint="default" w:ascii="Times New Roman" w:hAnsi="Times New Roman" w:eastAsia="宋体"/>
                <w:color w:val="auto"/>
                <w:kern w:val="2"/>
                <w:sz w:val="21"/>
                <w:szCs w:val="21"/>
                <w:lang w:val="en-US" w:eastAsia="zh-CN" w:bidi="ar-SA"/>
              </w:rPr>
            </w:pPr>
            <w:r>
              <w:rPr>
                <w:rFonts w:hint="default"/>
                <w:color w:val="auto"/>
                <w:lang w:val="en-US" w:eastAsia="zh-CN"/>
              </w:rPr>
              <w:t>0</w:t>
            </w:r>
          </w:p>
        </w:tc>
        <w:tc>
          <w:tcPr>
            <w:tcW w:w="1559" w:type="dxa"/>
            <w:noWrap w:val="0"/>
            <w:vAlign w:val="center"/>
          </w:tcPr>
          <w:p w14:paraId="62BC4B36">
            <w:pPr>
              <w:pStyle w:val="44"/>
              <w:bidi w:val="0"/>
              <w:ind w:firstLine="0" w:firstLineChars="0"/>
              <w:rPr>
                <w:rFonts w:hint="default"/>
                <w:color w:val="auto"/>
                <w:lang w:val="en-US" w:eastAsia="zh-CN"/>
              </w:rPr>
            </w:pPr>
            <w:r>
              <w:rPr>
                <w:rFonts w:hint="default" w:ascii="Times New Roman" w:hAnsi="Times New Roman" w:cs="Times New Roman"/>
                <w:color w:val="auto"/>
                <w:lang w:val="en-US" w:eastAsia="zh-CN"/>
              </w:rPr>
              <w:t>0.6</w:t>
            </w:r>
          </w:p>
        </w:tc>
        <w:tc>
          <w:tcPr>
            <w:tcW w:w="1617" w:type="dxa"/>
            <w:noWrap w:val="0"/>
            <w:vAlign w:val="center"/>
          </w:tcPr>
          <w:p w14:paraId="2C69E1DA">
            <w:pPr>
              <w:pStyle w:val="44"/>
              <w:bidi w:val="0"/>
              <w:rPr>
                <w:rFonts w:hint="default"/>
                <w:color w:val="auto"/>
                <w:lang w:val="en-US" w:eastAsia="zh-CN"/>
              </w:rPr>
            </w:pPr>
            <w:r>
              <w:rPr>
                <w:rFonts w:hint="eastAsia"/>
                <w:color w:val="auto"/>
                <w:lang w:val="en-US" w:eastAsia="zh-CN"/>
              </w:rPr>
              <w:t>0</w:t>
            </w:r>
          </w:p>
        </w:tc>
        <w:tc>
          <w:tcPr>
            <w:tcW w:w="1441" w:type="dxa"/>
            <w:noWrap w:val="0"/>
            <w:vAlign w:val="center"/>
          </w:tcPr>
          <w:p w14:paraId="1B75478B">
            <w:pPr>
              <w:pStyle w:val="44"/>
              <w:bidi w:val="0"/>
              <w:ind w:firstLine="0" w:firstLineChars="0"/>
              <w:rPr>
                <w:rFonts w:hint="eastAsia"/>
                <w:color w:val="auto"/>
                <w:lang w:val="en-US" w:eastAsia="zh-CN"/>
              </w:rPr>
            </w:pPr>
            <w:r>
              <w:rPr>
                <w:rFonts w:hint="default" w:ascii="Times New Roman" w:hAnsi="Times New Roman" w:cs="Times New Roman"/>
                <w:color w:val="auto"/>
                <w:lang w:val="en-US" w:eastAsia="zh-CN"/>
              </w:rPr>
              <w:t>0.6</w:t>
            </w:r>
          </w:p>
        </w:tc>
        <w:tc>
          <w:tcPr>
            <w:tcW w:w="1488" w:type="dxa"/>
            <w:noWrap w:val="0"/>
            <w:vAlign w:val="center"/>
          </w:tcPr>
          <w:p w14:paraId="01A1FAE7">
            <w:pPr>
              <w:pStyle w:val="44"/>
              <w:bidi w:val="0"/>
              <w:ind w:firstLine="0" w:firstLineChars="0"/>
              <w:rPr>
                <w:rFonts w:hint="eastAsia"/>
                <w:color w:val="auto"/>
                <w:lang w:val="en-US" w:eastAsia="zh-CN"/>
              </w:rPr>
            </w:pPr>
            <w:r>
              <w:rPr>
                <w:rFonts w:hint="eastAsia" w:ascii="Times New Roman" w:hAnsi="Times New Roman" w:cs="Times New Roman"/>
                <w:color w:val="auto"/>
                <w:lang w:val="en-US" w:eastAsia="zh-CN"/>
              </w:rPr>
              <w:t>+</w:t>
            </w:r>
            <w:r>
              <w:rPr>
                <w:rFonts w:hint="default" w:ascii="Times New Roman" w:hAnsi="Times New Roman" w:cs="Times New Roman"/>
                <w:color w:val="auto"/>
                <w:lang w:val="en-US" w:eastAsia="zh-CN"/>
              </w:rPr>
              <w:t>0.6</w:t>
            </w:r>
          </w:p>
        </w:tc>
      </w:tr>
      <w:tr w14:paraId="105A8A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54" w:type="dxa"/>
            <w:vMerge w:val="continue"/>
            <w:noWrap w:val="0"/>
            <w:vAlign w:val="center"/>
          </w:tcPr>
          <w:p w14:paraId="7057B5CF">
            <w:pPr>
              <w:pStyle w:val="44"/>
              <w:bidi w:val="0"/>
              <w:rPr>
                <w:rFonts w:hint="eastAsia"/>
                <w:color w:val="auto"/>
                <w:lang w:val="en-US" w:eastAsia="zh-CN"/>
              </w:rPr>
            </w:pPr>
          </w:p>
        </w:tc>
        <w:tc>
          <w:tcPr>
            <w:tcW w:w="1962" w:type="dxa"/>
            <w:noWrap w:val="0"/>
            <w:vAlign w:val="center"/>
          </w:tcPr>
          <w:p w14:paraId="720CE7E7">
            <w:pPr>
              <w:pStyle w:val="44"/>
              <w:bidi w:val="0"/>
              <w:ind w:firstLine="0" w:firstLineChars="0"/>
              <w:rPr>
                <w:rFonts w:hint="eastAsia"/>
                <w:color w:val="auto"/>
                <w:lang w:val="en-US" w:eastAsia="zh-CN"/>
              </w:rPr>
            </w:pPr>
            <w:r>
              <w:rPr>
                <w:rFonts w:hint="default" w:ascii="Times New Roman" w:hAnsi="Times New Roman" w:cs="Times New Roman"/>
                <w:color w:val="auto"/>
                <w:lang w:val="en-US" w:eastAsia="zh-CN"/>
              </w:rPr>
              <w:t>废机油</w:t>
            </w:r>
          </w:p>
        </w:tc>
        <w:tc>
          <w:tcPr>
            <w:tcW w:w="1546" w:type="dxa"/>
            <w:shd w:val="clear" w:color="auto" w:fill="auto"/>
            <w:noWrap w:val="0"/>
            <w:vAlign w:val="center"/>
          </w:tcPr>
          <w:p w14:paraId="1F44D532">
            <w:pPr>
              <w:pStyle w:val="44"/>
              <w:bidi w:val="0"/>
              <w:ind w:firstLine="0" w:firstLineChars="0"/>
              <w:rPr>
                <w:rFonts w:hint="default" w:ascii="Times New Roman" w:hAnsi="Times New Roman" w:eastAsia="宋体" w:cs="Times New Roman"/>
                <w:color w:val="auto"/>
                <w:kern w:val="2"/>
                <w:sz w:val="21"/>
                <w:szCs w:val="21"/>
                <w:lang w:val="en-US" w:eastAsia="zh-CN" w:bidi="ar-SA"/>
              </w:rPr>
            </w:pPr>
            <w:r>
              <w:rPr>
                <w:rFonts w:hint="default"/>
                <w:color w:val="auto"/>
                <w:lang w:val="en-US" w:eastAsia="zh-CN"/>
              </w:rPr>
              <w:t>0</w:t>
            </w:r>
          </w:p>
        </w:tc>
        <w:tc>
          <w:tcPr>
            <w:tcW w:w="1252" w:type="dxa"/>
            <w:shd w:val="clear" w:color="auto" w:fill="auto"/>
            <w:noWrap w:val="0"/>
            <w:vAlign w:val="center"/>
          </w:tcPr>
          <w:p w14:paraId="785F0BA0">
            <w:pPr>
              <w:pStyle w:val="44"/>
              <w:bidi w:val="0"/>
              <w:ind w:firstLine="0" w:firstLineChars="0"/>
              <w:rPr>
                <w:rFonts w:hint="default" w:ascii="Times New Roman" w:hAnsi="Times New Roman" w:eastAsia="宋体" w:cs="Times New Roman"/>
                <w:color w:val="auto"/>
                <w:kern w:val="2"/>
                <w:sz w:val="21"/>
                <w:szCs w:val="21"/>
                <w:lang w:val="en-US" w:eastAsia="zh-CN" w:bidi="ar-SA"/>
              </w:rPr>
            </w:pPr>
            <w:r>
              <w:rPr>
                <w:rFonts w:hint="default"/>
                <w:color w:val="auto"/>
                <w:lang w:val="en-US" w:eastAsia="zh-CN"/>
              </w:rPr>
              <w:t>0</w:t>
            </w:r>
          </w:p>
        </w:tc>
        <w:tc>
          <w:tcPr>
            <w:tcW w:w="1569" w:type="dxa"/>
            <w:shd w:val="clear" w:color="auto" w:fill="auto"/>
            <w:noWrap w:val="0"/>
            <w:vAlign w:val="center"/>
          </w:tcPr>
          <w:p w14:paraId="0C49FB77">
            <w:pPr>
              <w:pStyle w:val="44"/>
              <w:bidi w:val="0"/>
              <w:ind w:firstLine="0" w:firstLineChars="0"/>
              <w:rPr>
                <w:rFonts w:hint="default" w:ascii="Times New Roman" w:hAnsi="Times New Roman" w:eastAsia="宋体" w:cs="Times New Roman"/>
                <w:color w:val="auto"/>
                <w:kern w:val="2"/>
                <w:sz w:val="21"/>
                <w:szCs w:val="21"/>
                <w:lang w:val="en-US" w:eastAsia="zh-CN" w:bidi="ar-SA"/>
              </w:rPr>
            </w:pPr>
            <w:r>
              <w:rPr>
                <w:rFonts w:hint="default"/>
                <w:color w:val="auto"/>
                <w:lang w:val="en-US" w:eastAsia="zh-CN"/>
              </w:rPr>
              <w:t>0</w:t>
            </w:r>
          </w:p>
        </w:tc>
        <w:tc>
          <w:tcPr>
            <w:tcW w:w="1559" w:type="dxa"/>
            <w:noWrap w:val="0"/>
            <w:vAlign w:val="center"/>
          </w:tcPr>
          <w:p w14:paraId="5F631CF9">
            <w:pPr>
              <w:pStyle w:val="44"/>
              <w:bidi w:val="0"/>
              <w:ind w:firstLine="0" w:firstLineChars="0"/>
              <w:rPr>
                <w:rFonts w:hint="eastAsia"/>
                <w:color w:val="auto"/>
                <w:lang w:val="en-US" w:eastAsia="zh-CN"/>
              </w:rPr>
            </w:pPr>
            <w:r>
              <w:rPr>
                <w:rFonts w:hint="default" w:ascii="Times New Roman" w:hAnsi="Times New Roman" w:cs="Times New Roman"/>
                <w:color w:val="auto"/>
                <w:lang w:val="en-US" w:eastAsia="zh-CN"/>
              </w:rPr>
              <w:t>0.1</w:t>
            </w:r>
          </w:p>
        </w:tc>
        <w:tc>
          <w:tcPr>
            <w:tcW w:w="1617" w:type="dxa"/>
            <w:noWrap w:val="0"/>
            <w:vAlign w:val="center"/>
          </w:tcPr>
          <w:p w14:paraId="192843F1">
            <w:pPr>
              <w:pStyle w:val="44"/>
              <w:bidi w:val="0"/>
              <w:rPr>
                <w:rFonts w:hint="default"/>
                <w:color w:val="auto"/>
                <w:lang w:val="en-US" w:eastAsia="zh-CN"/>
              </w:rPr>
            </w:pPr>
            <w:r>
              <w:rPr>
                <w:rFonts w:hint="eastAsia"/>
                <w:color w:val="auto"/>
                <w:lang w:val="en-US" w:eastAsia="zh-CN"/>
              </w:rPr>
              <w:t>0</w:t>
            </w:r>
          </w:p>
        </w:tc>
        <w:tc>
          <w:tcPr>
            <w:tcW w:w="1441" w:type="dxa"/>
            <w:noWrap w:val="0"/>
            <w:vAlign w:val="center"/>
          </w:tcPr>
          <w:p w14:paraId="524AE972">
            <w:pPr>
              <w:pStyle w:val="44"/>
              <w:bidi w:val="0"/>
              <w:ind w:firstLine="0" w:firstLineChars="0"/>
              <w:rPr>
                <w:rFonts w:hint="eastAsia"/>
                <w:color w:val="auto"/>
                <w:lang w:val="en-US" w:eastAsia="zh-CN"/>
              </w:rPr>
            </w:pPr>
            <w:r>
              <w:rPr>
                <w:rFonts w:hint="default" w:ascii="Times New Roman" w:hAnsi="Times New Roman" w:cs="Times New Roman"/>
                <w:color w:val="auto"/>
                <w:lang w:val="en-US" w:eastAsia="zh-CN"/>
              </w:rPr>
              <w:t>0.1</w:t>
            </w:r>
          </w:p>
        </w:tc>
        <w:tc>
          <w:tcPr>
            <w:tcW w:w="1488" w:type="dxa"/>
            <w:noWrap w:val="0"/>
            <w:vAlign w:val="center"/>
          </w:tcPr>
          <w:p w14:paraId="32E01376">
            <w:pPr>
              <w:pStyle w:val="44"/>
              <w:bidi w:val="0"/>
              <w:ind w:firstLine="0" w:firstLineChars="0"/>
              <w:rPr>
                <w:rFonts w:hint="eastAsia"/>
                <w:color w:val="auto"/>
                <w:lang w:val="en-US" w:eastAsia="zh-CN"/>
              </w:rPr>
            </w:pPr>
            <w:r>
              <w:rPr>
                <w:rFonts w:hint="eastAsia" w:ascii="Times New Roman" w:hAnsi="Times New Roman" w:cs="Times New Roman"/>
                <w:color w:val="auto"/>
                <w:lang w:val="en-US" w:eastAsia="zh-CN"/>
              </w:rPr>
              <w:t>+</w:t>
            </w:r>
            <w:r>
              <w:rPr>
                <w:rFonts w:hint="default" w:ascii="Times New Roman" w:hAnsi="Times New Roman" w:cs="Times New Roman"/>
                <w:color w:val="auto"/>
                <w:lang w:val="en-US" w:eastAsia="zh-CN"/>
              </w:rPr>
              <w:t>0.1</w:t>
            </w:r>
          </w:p>
        </w:tc>
      </w:tr>
      <w:tr w14:paraId="2F932C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54" w:type="dxa"/>
            <w:vMerge w:val="continue"/>
            <w:noWrap w:val="0"/>
            <w:vAlign w:val="center"/>
          </w:tcPr>
          <w:p w14:paraId="116F0FFC">
            <w:pPr>
              <w:pStyle w:val="44"/>
              <w:bidi w:val="0"/>
              <w:rPr>
                <w:rFonts w:hint="eastAsia"/>
                <w:color w:val="auto"/>
                <w:lang w:val="en-US" w:eastAsia="zh-CN"/>
              </w:rPr>
            </w:pPr>
          </w:p>
        </w:tc>
        <w:tc>
          <w:tcPr>
            <w:tcW w:w="1962" w:type="dxa"/>
            <w:noWrap w:val="0"/>
            <w:vAlign w:val="center"/>
          </w:tcPr>
          <w:p w14:paraId="6A6C020C">
            <w:pPr>
              <w:pStyle w:val="44"/>
              <w:bidi w:val="0"/>
              <w:ind w:firstLine="0" w:firstLineChars="0"/>
              <w:rPr>
                <w:rFonts w:hint="eastAsia"/>
                <w:color w:val="auto"/>
                <w:lang w:val="en-US" w:eastAsia="zh-CN"/>
              </w:rPr>
            </w:pPr>
            <w:r>
              <w:rPr>
                <w:rFonts w:hint="default" w:ascii="Times New Roman" w:hAnsi="Times New Roman" w:cs="Times New Roman"/>
                <w:color w:val="auto"/>
                <w:lang w:val="en-US" w:eastAsia="zh-CN"/>
              </w:rPr>
              <w:t>废机油桶</w:t>
            </w:r>
          </w:p>
        </w:tc>
        <w:tc>
          <w:tcPr>
            <w:tcW w:w="1546" w:type="dxa"/>
            <w:shd w:val="clear" w:color="auto" w:fill="auto"/>
            <w:noWrap w:val="0"/>
            <w:vAlign w:val="center"/>
          </w:tcPr>
          <w:p w14:paraId="6FFC890D">
            <w:pPr>
              <w:pStyle w:val="44"/>
              <w:bidi w:val="0"/>
              <w:ind w:firstLine="0" w:firstLineChars="0"/>
              <w:rPr>
                <w:rFonts w:hint="default" w:ascii="Times New Roman" w:hAnsi="Times New Roman" w:eastAsia="宋体" w:cs="Times New Roman"/>
                <w:color w:val="auto"/>
                <w:kern w:val="2"/>
                <w:sz w:val="21"/>
                <w:szCs w:val="21"/>
                <w:lang w:val="en-US" w:eastAsia="zh-CN" w:bidi="ar-SA"/>
              </w:rPr>
            </w:pPr>
            <w:r>
              <w:rPr>
                <w:rFonts w:hint="default"/>
                <w:color w:val="auto"/>
                <w:lang w:val="en-US" w:eastAsia="zh-CN"/>
              </w:rPr>
              <w:t>0</w:t>
            </w:r>
          </w:p>
        </w:tc>
        <w:tc>
          <w:tcPr>
            <w:tcW w:w="1252" w:type="dxa"/>
            <w:shd w:val="clear" w:color="auto" w:fill="auto"/>
            <w:noWrap w:val="0"/>
            <w:vAlign w:val="center"/>
          </w:tcPr>
          <w:p w14:paraId="019BDB02">
            <w:pPr>
              <w:pStyle w:val="44"/>
              <w:bidi w:val="0"/>
              <w:ind w:firstLine="0" w:firstLineChars="0"/>
              <w:rPr>
                <w:rFonts w:hint="default" w:ascii="Times New Roman" w:hAnsi="Times New Roman" w:eastAsia="宋体" w:cs="Times New Roman"/>
                <w:color w:val="auto"/>
                <w:kern w:val="2"/>
                <w:sz w:val="21"/>
                <w:szCs w:val="21"/>
                <w:lang w:val="en-US" w:eastAsia="zh-CN" w:bidi="ar-SA"/>
              </w:rPr>
            </w:pPr>
            <w:r>
              <w:rPr>
                <w:rFonts w:hint="default"/>
                <w:color w:val="auto"/>
                <w:lang w:val="en-US" w:eastAsia="zh-CN"/>
              </w:rPr>
              <w:t>0</w:t>
            </w:r>
          </w:p>
        </w:tc>
        <w:tc>
          <w:tcPr>
            <w:tcW w:w="1569" w:type="dxa"/>
            <w:shd w:val="clear" w:color="auto" w:fill="auto"/>
            <w:noWrap w:val="0"/>
            <w:vAlign w:val="center"/>
          </w:tcPr>
          <w:p w14:paraId="0B14FF5E">
            <w:pPr>
              <w:pStyle w:val="44"/>
              <w:bidi w:val="0"/>
              <w:ind w:firstLine="0" w:firstLineChars="0"/>
              <w:rPr>
                <w:rFonts w:hint="default" w:ascii="Times New Roman" w:hAnsi="Times New Roman" w:eastAsia="宋体" w:cs="Times New Roman"/>
                <w:color w:val="auto"/>
                <w:kern w:val="2"/>
                <w:sz w:val="21"/>
                <w:szCs w:val="21"/>
                <w:lang w:val="en-US" w:eastAsia="zh-CN" w:bidi="ar-SA"/>
              </w:rPr>
            </w:pPr>
            <w:r>
              <w:rPr>
                <w:rFonts w:hint="default"/>
                <w:color w:val="auto"/>
                <w:lang w:val="en-US" w:eastAsia="zh-CN"/>
              </w:rPr>
              <w:t>0</w:t>
            </w:r>
          </w:p>
        </w:tc>
        <w:tc>
          <w:tcPr>
            <w:tcW w:w="1559" w:type="dxa"/>
            <w:noWrap w:val="0"/>
            <w:vAlign w:val="center"/>
          </w:tcPr>
          <w:p w14:paraId="0EA2A90F">
            <w:pPr>
              <w:pStyle w:val="44"/>
              <w:bidi w:val="0"/>
              <w:ind w:firstLine="0" w:firstLineChars="0"/>
              <w:rPr>
                <w:rFonts w:hint="eastAsia"/>
                <w:color w:val="auto"/>
                <w:lang w:val="en-US" w:eastAsia="zh-CN"/>
              </w:rPr>
            </w:pPr>
            <w:r>
              <w:rPr>
                <w:rFonts w:hint="default" w:ascii="Times New Roman" w:hAnsi="Times New Roman" w:cs="Times New Roman"/>
                <w:color w:val="auto"/>
                <w:lang w:val="en-US" w:eastAsia="zh-CN"/>
              </w:rPr>
              <w:t>0.01</w:t>
            </w:r>
          </w:p>
        </w:tc>
        <w:tc>
          <w:tcPr>
            <w:tcW w:w="1617" w:type="dxa"/>
            <w:noWrap w:val="0"/>
            <w:vAlign w:val="center"/>
          </w:tcPr>
          <w:p w14:paraId="2E8BD444">
            <w:pPr>
              <w:pStyle w:val="44"/>
              <w:bidi w:val="0"/>
              <w:rPr>
                <w:rFonts w:hint="default"/>
                <w:color w:val="auto"/>
                <w:lang w:val="en-US" w:eastAsia="zh-CN"/>
              </w:rPr>
            </w:pPr>
            <w:r>
              <w:rPr>
                <w:rFonts w:hint="eastAsia"/>
                <w:color w:val="auto"/>
                <w:lang w:val="en-US" w:eastAsia="zh-CN"/>
              </w:rPr>
              <w:t>0</w:t>
            </w:r>
          </w:p>
        </w:tc>
        <w:tc>
          <w:tcPr>
            <w:tcW w:w="1441" w:type="dxa"/>
            <w:noWrap w:val="0"/>
            <w:vAlign w:val="center"/>
          </w:tcPr>
          <w:p w14:paraId="4050215B">
            <w:pPr>
              <w:pStyle w:val="44"/>
              <w:bidi w:val="0"/>
              <w:ind w:firstLine="0" w:firstLineChars="0"/>
              <w:rPr>
                <w:rFonts w:hint="eastAsia"/>
                <w:color w:val="auto"/>
                <w:lang w:val="en-US" w:eastAsia="zh-CN"/>
              </w:rPr>
            </w:pPr>
            <w:r>
              <w:rPr>
                <w:rFonts w:hint="default" w:ascii="Times New Roman" w:hAnsi="Times New Roman" w:cs="Times New Roman"/>
                <w:color w:val="auto"/>
                <w:lang w:val="en-US" w:eastAsia="zh-CN"/>
              </w:rPr>
              <w:t>0.01</w:t>
            </w:r>
          </w:p>
        </w:tc>
        <w:tc>
          <w:tcPr>
            <w:tcW w:w="1488" w:type="dxa"/>
            <w:noWrap w:val="0"/>
            <w:vAlign w:val="center"/>
          </w:tcPr>
          <w:p w14:paraId="34F9DCC7">
            <w:pPr>
              <w:pStyle w:val="44"/>
              <w:bidi w:val="0"/>
              <w:ind w:firstLine="0" w:firstLineChars="0"/>
              <w:rPr>
                <w:rFonts w:hint="eastAsia"/>
                <w:color w:val="auto"/>
                <w:lang w:val="en-US" w:eastAsia="zh-CN"/>
              </w:rPr>
            </w:pPr>
            <w:r>
              <w:rPr>
                <w:rFonts w:hint="eastAsia" w:ascii="Times New Roman" w:hAnsi="Times New Roman" w:cs="Times New Roman"/>
                <w:color w:val="auto"/>
                <w:lang w:val="en-US" w:eastAsia="zh-CN"/>
              </w:rPr>
              <w:t>+</w:t>
            </w:r>
            <w:r>
              <w:rPr>
                <w:rFonts w:hint="default" w:ascii="Times New Roman" w:hAnsi="Times New Roman" w:cs="Times New Roman"/>
                <w:color w:val="auto"/>
                <w:lang w:val="en-US" w:eastAsia="zh-CN"/>
              </w:rPr>
              <w:t>0.01</w:t>
            </w:r>
          </w:p>
        </w:tc>
      </w:tr>
    </w:tbl>
    <w:p w14:paraId="46017899">
      <w:pPr>
        <w:pStyle w:val="83"/>
        <w:spacing w:before="192" w:beforeLines="80" w:after="24"/>
        <w:ind w:firstLine="420"/>
        <w:jc w:val="left"/>
        <w:rPr>
          <w:rFonts w:hint="eastAsia" w:hAnsi="宋体" w:cs="宋体"/>
          <w:snapToGrid w:val="0"/>
          <w:color w:val="auto"/>
          <w:spacing w:val="-6"/>
          <w:kern w:val="21"/>
          <w:szCs w:val="21"/>
        </w:rPr>
      </w:pPr>
      <w:r>
        <w:rPr>
          <w:rFonts w:hint="eastAsia" w:hAnsi="宋体" w:cs="宋体"/>
          <w:snapToGrid w:val="0"/>
          <w:color w:val="auto"/>
          <w:kern w:val="21"/>
          <w:szCs w:val="21"/>
        </w:rPr>
        <w:t>注：</w:t>
      </w:r>
      <w:r>
        <w:rPr>
          <w:rFonts w:hint="eastAsia" w:hAnsi="宋体" w:cs="宋体"/>
          <w:snapToGrid w:val="0"/>
          <w:color w:val="auto"/>
          <w:spacing w:val="-16"/>
          <w:kern w:val="21"/>
          <w:szCs w:val="21"/>
        </w:rPr>
        <w:fldChar w:fldCharType="begin"/>
      </w:r>
      <w:r>
        <w:rPr>
          <w:rFonts w:hint="eastAsia" w:hAnsi="宋体" w:cs="宋体"/>
          <w:snapToGrid w:val="0"/>
          <w:color w:val="auto"/>
          <w:spacing w:val="-16"/>
          <w:kern w:val="21"/>
          <w:szCs w:val="21"/>
        </w:rPr>
        <w:instrText xml:space="preserve"> = 6 \* GB3 \* MERGEFORMAT </w:instrText>
      </w:r>
      <w:r>
        <w:rPr>
          <w:rFonts w:hint="eastAsia" w:hAnsi="宋体" w:cs="宋体"/>
          <w:snapToGrid w:val="0"/>
          <w:color w:val="auto"/>
          <w:spacing w:val="-16"/>
          <w:kern w:val="21"/>
          <w:szCs w:val="21"/>
        </w:rPr>
        <w:fldChar w:fldCharType="separate"/>
      </w:r>
      <w:r>
        <w:rPr>
          <w:rFonts w:hint="eastAsia" w:hAnsi="宋体" w:cs="宋体"/>
          <w:color w:val="auto"/>
          <w:szCs w:val="21"/>
        </w:rPr>
        <w:t>⑥</w:t>
      </w:r>
      <w:r>
        <w:rPr>
          <w:rFonts w:hint="eastAsia" w:hAnsi="宋体" w:cs="宋体"/>
          <w:snapToGrid w:val="0"/>
          <w:color w:val="auto"/>
          <w:spacing w:val="-16"/>
          <w:kern w:val="21"/>
          <w:szCs w:val="21"/>
        </w:rPr>
        <w:fldChar w:fldCharType="end"/>
      </w:r>
      <w:r>
        <w:rPr>
          <w:rFonts w:hint="eastAsia" w:hAnsi="宋体" w:cs="宋体"/>
          <w:snapToGrid w:val="0"/>
          <w:color w:val="auto"/>
          <w:spacing w:val="-16"/>
          <w:kern w:val="21"/>
          <w:szCs w:val="21"/>
        </w:rPr>
        <w:t>=</w:t>
      </w:r>
      <w:r>
        <w:rPr>
          <w:rFonts w:hint="eastAsia" w:hAnsi="宋体" w:cs="宋体"/>
          <w:snapToGrid w:val="0"/>
          <w:color w:val="auto"/>
          <w:spacing w:val="-6"/>
          <w:kern w:val="21"/>
          <w:szCs w:val="21"/>
        </w:rPr>
        <w:fldChar w:fldCharType="begin"/>
      </w:r>
      <w:r>
        <w:rPr>
          <w:rFonts w:hint="eastAsia" w:hAnsi="宋体" w:cs="宋体"/>
          <w:snapToGrid w:val="0"/>
          <w:color w:val="auto"/>
          <w:spacing w:val="-6"/>
          <w:kern w:val="21"/>
          <w:szCs w:val="21"/>
        </w:rPr>
        <w:instrText xml:space="preserve"> = 1 \* GB3 \* MERGEFORMAT </w:instrText>
      </w:r>
      <w:r>
        <w:rPr>
          <w:rFonts w:hint="eastAsia" w:hAnsi="宋体" w:cs="宋体"/>
          <w:snapToGrid w:val="0"/>
          <w:color w:val="auto"/>
          <w:spacing w:val="-6"/>
          <w:kern w:val="21"/>
          <w:szCs w:val="21"/>
        </w:rPr>
        <w:fldChar w:fldCharType="separate"/>
      </w:r>
      <w:r>
        <w:rPr>
          <w:rFonts w:hint="eastAsia" w:hAnsi="宋体" w:cs="宋体"/>
          <w:color w:val="auto"/>
          <w:szCs w:val="21"/>
        </w:rPr>
        <w:t>①</w:t>
      </w:r>
      <w:r>
        <w:rPr>
          <w:rFonts w:hint="eastAsia" w:hAnsi="宋体" w:cs="宋体"/>
          <w:snapToGrid w:val="0"/>
          <w:color w:val="auto"/>
          <w:spacing w:val="-6"/>
          <w:kern w:val="21"/>
          <w:szCs w:val="21"/>
        </w:rPr>
        <w:fldChar w:fldCharType="end"/>
      </w:r>
      <w:r>
        <w:rPr>
          <w:rFonts w:hint="eastAsia" w:hAnsi="宋体" w:cs="宋体"/>
          <w:snapToGrid w:val="0"/>
          <w:color w:val="auto"/>
          <w:spacing w:val="-6"/>
          <w:kern w:val="21"/>
          <w:szCs w:val="21"/>
        </w:rPr>
        <w:t>+</w:t>
      </w:r>
      <w:r>
        <w:rPr>
          <w:rFonts w:hint="eastAsia" w:hAnsi="宋体" w:cs="宋体"/>
          <w:snapToGrid w:val="0"/>
          <w:color w:val="auto"/>
          <w:spacing w:val="-6"/>
          <w:kern w:val="21"/>
          <w:szCs w:val="21"/>
        </w:rPr>
        <w:fldChar w:fldCharType="begin"/>
      </w:r>
      <w:r>
        <w:rPr>
          <w:rFonts w:hint="eastAsia" w:hAnsi="宋体" w:cs="宋体"/>
          <w:snapToGrid w:val="0"/>
          <w:color w:val="auto"/>
          <w:spacing w:val="-6"/>
          <w:kern w:val="21"/>
          <w:szCs w:val="21"/>
        </w:rPr>
        <w:instrText xml:space="preserve"> = 3 \* GB3 \* MERGEFORMAT </w:instrText>
      </w:r>
      <w:r>
        <w:rPr>
          <w:rFonts w:hint="eastAsia" w:hAnsi="宋体" w:cs="宋体"/>
          <w:snapToGrid w:val="0"/>
          <w:color w:val="auto"/>
          <w:spacing w:val="-6"/>
          <w:kern w:val="21"/>
          <w:szCs w:val="21"/>
        </w:rPr>
        <w:fldChar w:fldCharType="separate"/>
      </w:r>
      <w:r>
        <w:rPr>
          <w:rFonts w:hint="eastAsia" w:hAnsi="宋体" w:cs="宋体"/>
          <w:color w:val="auto"/>
          <w:szCs w:val="21"/>
        </w:rPr>
        <w:t>③</w:t>
      </w:r>
      <w:r>
        <w:rPr>
          <w:rFonts w:hint="eastAsia" w:hAnsi="宋体" w:cs="宋体"/>
          <w:snapToGrid w:val="0"/>
          <w:color w:val="auto"/>
          <w:spacing w:val="-6"/>
          <w:kern w:val="21"/>
          <w:szCs w:val="21"/>
        </w:rPr>
        <w:fldChar w:fldCharType="end"/>
      </w:r>
      <w:r>
        <w:rPr>
          <w:rFonts w:hint="eastAsia" w:hAnsi="宋体" w:cs="宋体"/>
          <w:snapToGrid w:val="0"/>
          <w:color w:val="auto"/>
          <w:spacing w:val="-6"/>
          <w:kern w:val="21"/>
          <w:szCs w:val="21"/>
        </w:rPr>
        <w:t>+</w:t>
      </w:r>
      <w:r>
        <w:rPr>
          <w:rFonts w:hint="eastAsia" w:hAnsi="宋体" w:cs="宋体"/>
          <w:snapToGrid w:val="0"/>
          <w:color w:val="auto"/>
          <w:spacing w:val="-6"/>
          <w:kern w:val="21"/>
          <w:szCs w:val="21"/>
        </w:rPr>
        <w:fldChar w:fldCharType="begin"/>
      </w:r>
      <w:r>
        <w:rPr>
          <w:rFonts w:hint="eastAsia" w:hAnsi="宋体" w:cs="宋体"/>
          <w:snapToGrid w:val="0"/>
          <w:color w:val="auto"/>
          <w:spacing w:val="-6"/>
          <w:kern w:val="21"/>
          <w:szCs w:val="21"/>
        </w:rPr>
        <w:instrText xml:space="preserve"> = 4 \* GB3 \* MERGEFORMAT </w:instrText>
      </w:r>
      <w:r>
        <w:rPr>
          <w:rFonts w:hint="eastAsia" w:hAnsi="宋体" w:cs="宋体"/>
          <w:snapToGrid w:val="0"/>
          <w:color w:val="auto"/>
          <w:spacing w:val="-6"/>
          <w:kern w:val="21"/>
          <w:szCs w:val="21"/>
        </w:rPr>
        <w:fldChar w:fldCharType="separate"/>
      </w:r>
      <w:r>
        <w:rPr>
          <w:rFonts w:hint="eastAsia" w:hAnsi="宋体" w:cs="宋体"/>
          <w:color w:val="auto"/>
          <w:szCs w:val="21"/>
        </w:rPr>
        <w:t>④</w:t>
      </w:r>
      <w:r>
        <w:rPr>
          <w:rFonts w:hint="eastAsia" w:hAnsi="宋体" w:cs="宋体"/>
          <w:snapToGrid w:val="0"/>
          <w:color w:val="auto"/>
          <w:spacing w:val="-6"/>
          <w:kern w:val="21"/>
          <w:szCs w:val="21"/>
        </w:rPr>
        <w:fldChar w:fldCharType="end"/>
      </w:r>
      <w:r>
        <w:rPr>
          <w:rFonts w:hint="eastAsia" w:hAnsi="宋体" w:cs="宋体"/>
          <w:snapToGrid w:val="0"/>
          <w:color w:val="auto"/>
          <w:spacing w:val="-6"/>
          <w:kern w:val="21"/>
          <w:szCs w:val="21"/>
        </w:rPr>
        <w:t>-</w:t>
      </w:r>
      <w:r>
        <w:rPr>
          <w:rFonts w:hint="eastAsia" w:hAnsi="宋体" w:cs="宋体"/>
          <w:snapToGrid w:val="0"/>
          <w:color w:val="auto"/>
          <w:spacing w:val="-16"/>
          <w:kern w:val="21"/>
          <w:szCs w:val="21"/>
        </w:rPr>
        <w:fldChar w:fldCharType="begin"/>
      </w:r>
      <w:r>
        <w:rPr>
          <w:rFonts w:hint="eastAsia" w:hAnsi="宋体" w:cs="宋体"/>
          <w:snapToGrid w:val="0"/>
          <w:color w:val="auto"/>
          <w:spacing w:val="-16"/>
          <w:kern w:val="21"/>
          <w:szCs w:val="21"/>
        </w:rPr>
        <w:instrText xml:space="preserve"> = 5 \* GB3 \* MERGEFORMAT </w:instrText>
      </w:r>
      <w:r>
        <w:rPr>
          <w:rFonts w:hint="eastAsia" w:hAnsi="宋体" w:cs="宋体"/>
          <w:snapToGrid w:val="0"/>
          <w:color w:val="auto"/>
          <w:spacing w:val="-16"/>
          <w:kern w:val="21"/>
          <w:szCs w:val="21"/>
        </w:rPr>
        <w:fldChar w:fldCharType="separate"/>
      </w:r>
      <w:r>
        <w:rPr>
          <w:rFonts w:hint="eastAsia" w:hAnsi="宋体" w:cs="宋体"/>
          <w:color w:val="auto"/>
          <w:szCs w:val="21"/>
        </w:rPr>
        <w:t>⑤</w:t>
      </w:r>
      <w:r>
        <w:rPr>
          <w:rFonts w:hint="eastAsia" w:hAnsi="宋体" w:cs="宋体"/>
          <w:snapToGrid w:val="0"/>
          <w:color w:val="auto"/>
          <w:spacing w:val="-16"/>
          <w:kern w:val="21"/>
          <w:szCs w:val="21"/>
        </w:rPr>
        <w:fldChar w:fldCharType="end"/>
      </w:r>
      <w:r>
        <w:rPr>
          <w:rFonts w:hint="eastAsia" w:hAnsi="宋体" w:cs="宋体"/>
          <w:snapToGrid w:val="0"/>
          <w:color w:val="auto"/>
          <w:spacing w:val="-16"/>
          <w:kern w:val="21"/>
          <w:szCs w:val="21"/>
        </w:rPr>
        <w:t>；</w:t>
      </w:r>
      <w:r>
        <w:rPr>
          <w:rFonts w:hint="eastAsia" w:hAnsi="宋体" w:cs="宋体"/>
          <w:snapToGrid w:val="0"/>
          <w:color w:val="auto"/>
          <w:spacing w:val="-6"/>
          <w:kern w:val="21"/>
          <w:szCs w:val="21"/>
        </w:rPr>
        <w:fldChar w:fldCharType="begin"/>
      </w:r>
      <w:r>
        <w:rPr>
          <w:rFonts w:hint="eastAsia" w:hAnsi="宋体" w:cs="宋体"/>
          <w:snapToGrid w:val="0"/>
          <w:color w:val="auto"/>
          <w:spacing w:val="-6"/>
          <w:kern w:val="21"/>
          <w:szCs w:val="21"/>
        </w:rPr>
        <w:instrText xml:space="preserve"> = 7 \* GB3 \* MERGEFORMAT </w:instrText>
      </w:r>
      <w:r>
        <w:rPr>
          <w:rFonts w:hint="eastAsia" w:hAnsi="宋体" w:cs="宋体"/>
          <w:snapToGrid w:val="0"/>
          <w:color w:val="auto"/>
          <w:spacing w:val="-6"/>
          <w:kern w:val="21"/>
          <w:szCs w:val="21"/>
        </w:rPr>
        <w:fldChar w:fldCharType="separate"/>
      </w:r>
      <w:r>
        <w:rPr>
          <w:rFonts w:hint="eastAsia" w:hAnsi="宋体" w:cs="宋体"/>
          <w:color w:val="auto"/>
          <w:szCs w:val="21"/>
        </w:rPr>
        <w:t>⑦</w:t>
      </w:r>
      <w:r>
        <w:rPr>
          <w:rFonts w:hint="eastAsia" w:hAnsi="宋体" w:cs="宋体"/>
          <w:snapToGrid w:val="0"/>
          <w:color w:val="auto"/>
          <w:spacing w:val="-6"/>
          <w:kern w:val="21"/>
          <w:szCs w:val="21"/>
        </w:rPr>
        <w:fldChar w:fldCharType="end"/>
      </w:r>
      <w:r>
        <w:rPr>
          <w:rFonts w:hint="eastAsia" w:hAnsi="宋体" w:cs="宋体"/>
          <w:snapToGrid w:val="0"/>
          <w:color w:val="auto"/>
          <w:spacing w:val="-6"/>
          <w:kern w:val="21"/>
          <w:szCs w:val="21"/>
        </w:rPr>
        <w:t>=</w:t>
      </w:r>
      <w:r>
        <w:rPr>
          <w:rFonts w:hint="eastAsia" w:hAnsi="宋体" w:cs="宋体"/>
          <w:snapToGrid w:val="0"/>
          <w:color w:val="auto"/>
          <w:spacing w:val="-16"/>
          <w:kern w:val="21"/>
          <w:szCs w:val="21"/>
        </w:rPr>
        <w:fldChar w:fldCharType="begin"/>
      </w:r>
      <w:r>
        <w:rPr>
          <w:rFonts w:hint="eastAsia" w:hAnsi="宋体" w:cs="宋体"/>
          <w:snapToGrid w:val="0"/>
          <w:color w:val="auto"/>
          <w:spacing w:val="-16"/>
          <w:kern w:val="21"/>
          <w:szCs w:val="21"/>
        </w:rPr>
        <w:instrText xml:space="preserve"> = 6 \* GB3 \* MERGEFORMAT </w:instrText>
      </w:r>
      <w:r>
        <w:rPr>
          <w:rFonts w:hint="eastAsia" w:hAnsi="宋体" w:cs="宋体"/>
          <w:snapToGrid w:val="0"/>
          <w:color w:val="auto"/>
          <w:spacing w:val="-16"/>
          <w:kern w:val="21"/>
          <w:szCs w:val="21"/>
        </w:rPr>
        <w:fldChar w:fldCharType="separate"/>
      </w:r>
      <w:r>
        <w:rPr>
          <w:rFonts w:hint="eastAsia" w:hAnsi="宋体" w:cs="宋体"/>
          <w:color w:val="auto"/>
          <w:szCs w:val="21"/>
        </w:rPr>
        <w:t>⑥</w:t>
      </w:r>
      <w:r>
        <w:rPr>
          <w:rFonts w:hint="eastAsia" w:hAnsi="宋体" w:cs="宋体"/>
          <w:snapToGrid w:val="0"/>
          <w:color w:val="auto"/>
          <w:spacing w:val="-16"/>
          <w:kern w:val="21"/>
          <w:szCs w:val="21"/>
        </w:rPr>
        <w:fldChar w:fldCharType="end"/>
      </w:r>
      <w:r>
        <w:rPr>
          <w:rFonts w:hint="eastAsia" w:hAnsi="宋体" w:cs="宋体"/>
          <w:snapToGrid w:val="0"/>
          <w:color w:val="auto"/>
          <w:spacing w:val="-16"/>
          <w:kern w:val="21"/>
          <w:szCs w:val="21"/>
        </w:rPr>
        <w:t>-</w:t>
      </w:r>
      <w:r>
        <w:rPr>
          <w:rFonts w:hint="eastAsia" w:hAnsi="宋体" w:cs="宋体"/>
          <w:snapToGrid w:val="0"/>
          <w:color w:val="auto"/>
          <w:spacing w:val="-6"/>
          <w:kern w:val="21"/>
          <w:szCs w:val="21"/>
        </w:rPr>
        <w:fldChar w:fldCharType="begin"/>
      </w:r>
      <w:r>
        <w:rPr>
          <w:rFonts w:hint="eastAsia" w:hAnsi="宋体" w:cs="宋体"/>
          <w:snapToGrid w:val="0"/>
          <w:color w:val="auto"/>
          <w:spacing w:val="-6"/>
          <w:kern w:val="21"/>
          <w:szCs w:val="21"/>
        </w:rPr>
        <w:instrText xml:space="preserve"> = 1 \* GB3 \* MERGEFORMAT </w:instrText>
      </w:r>
      <w:r>
        <w:rPr>
          <w:rFonts w:hint="eastAsia" w:hAnsi="宋体" w:cs="宋体"/>
          <w:snapToGrid w:val="0"/>
          <w:color w:val="auto"/>
          <w:spacing w:val="-6"/>
          <w:kern w:val="21"/>
          <w:szCs w:val="21"/>
        </w:rPr>
        <w:fldChar w:fldCharType="separate"/>
      </w:r>
      <w:r>
        <w:rPr>
          <w:rFonts w:hint="eastAsia" w:hAnsi="宋体" w:cs="宋体"/>
          <w:color w:val="auto"/>
          <w:szCs w:val="21"/>
        </w:rPr>
        <w:t>①</w:t>
      </w:r>
      <w:r>
        <w:rPr>
          <w:rFonts w:hint="eastAsia" w:hAnsi="宋体" w:cs="宋体"/>
          <w:snapToGrid w:val="0"/>
          <w:color w:val="auto"/>
          <w:spacing w:val="-6"/>
          <w:kern w:val="21"/>
          <w:szCs w:val="21"/>
        </w:rPr>
        <w:fldChar w:fldCharType="end"/>
      </w:r>
    </w:p>
    <w:sectPr>
      <w:footerReference r:id="rId8" w:type="default"/>
      <w:pgSz w:w="16838" w:h="11906" w:orient="landscape"/>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00" w:usb3="00000000" w:csb0="00040001" w:csb1="00000000"/>
  </w:font>
  <w:font w:name="Wingdings 2">
    <w:panose1 w:val="05020102010507070707"/>
    <w:charset w:val="02"/>
    <w:family w:val="auto"/>
    <w:pitch w:val="default"/>
    <w:sig w:usb0="00000000" w:usb1="00000000" w:usb2="00000000" w:usb3="00000000" w:csb0="80000000"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4BE17">
    <w:pPr>
      <w:pStyle w:val="24"/>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D54BB">
    <w:pPr>
      <w:pStyle w:val="24"/>
      <w:framePr w:wrap="around" w:vAnchor="text" w:hAnchor="margin" w:xAlign="center" w:y="1"/>
      <w:rPr>
        <w:rStyle w:val="40"/>
      </w:rPr>
    </w:pPr>
    <w:r>
      <w:fldChar w:fldCharType="begin"/>
    </w:r>
    <w:r>
      <w:rPr>
        <w:rStyle w:val="40"/>
      </w:rPr>
      <w:instrText xml:space="preserve">PAGE  </w:instrText>
    </w:r>
    <w:r>
      <w:fldChar w:fldCharType="end"/>
    </w:r>
  </w:p>
  <w:p w14:paraId="05ED879D">
    <w:pPr>
      <w:pStyle w:val="2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46C60">
    <w:pPr>
      <w:pStyle w:val="24"/>
      <w:ind w:right="360"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7B4BCE">
                          <w:pPr>
                            <w:pStyle w:val="24"/>
                          </w:pPr>
                          <w:r>
                            <w:fldChar w:fldCharType="begin"/>
                          </w:r>
                          <w:r>
                            <w:instrText xml:space="preserve"> PAGE  \* MERGEFORMAT </w:instrText>
                          </w:r>
                          <w:r>
                            <w:fldChar w:fldCharType="separate"/>
                          </w:r>
                          <w:r>
                            <w:t>49</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FQy2ssBAACdAwAADgAAAGRycy9lMm9Eb2MueG1srVPNjtMwEL4j8Q6W&#10;79RpB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lvchJeUOG5x4pfv3y4/fl1+fiXL&#10;avUqS9QHqDHzLmBuGt76AdNnP6AzMx9UtPmLnAjGUeDzVWA5JCLyo/Vqva4wJDA2XxCfPTwPEdI7&#10;6S3JRkMjTrAIy08fII2pc0qu5vytNqZM0bi/HIiZPSz3PvaYrTTsh4nQ3rdn5NPj8BvqcNcpMe8d&#10;apv3ZDbibOxn4xiiPnRlkXI9CG+OCZsoveUKI+xUGKdW2E0bltfiz3vJevir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BhUMtrLAQAAnQMAAA4AAAAAAAAAAQAgAAAAHgEAAGRycy9lMm9E&#10;b2MueG1sUEsFBgAAAAAGAAYAWQEAAFsFAAAAAA==&#10;">
              <v:fill on="f" focussize="0,0"/>
              <v:stroke on="f"/>
              <v:imagedata o:title=""/>
              <o:lock v:ext="edit" aspectratio="f"/>
              <v:textbox inset="0mm,0mm,0mm,0mm" style="mso-fit-shape-to-text:t;">
                <w:txbxContent>
                  <w:p w14:paraId="427B4BCE">
                    <w:pPr>
                      <w:pStyle w:val="24"/>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0CB5B">
    <w:pPr>
      <w:pStyle w:val="24"/>
      <w:ind w:right="360"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BE427F">
                          <w:pPr>
                            <w:pStyle w:val="24"/>
                            <w:rPr>
                              <w:rStyle w:val="40"/>
                              <w:rFonts w:ascii="宋体" w:hAnsi="宋体"/>
                              <w:sz w:val="28"/>
                              <w:szCs w:val="28"/>
                            </w:rPr>
                          </w:pPr>
                          <w:r>
                            <w:rPr>
                              <w:rStyle w:val="40"/>
                              <w:rFonts w:hint="eastAsia" w:ascii="宋体" w:hAnsi="宋体"/>
                              <w:sz w:val="28"/>
                              <w:szCs w:val="28"/>
                            </w:rPr>
                            <w:t>—</w:t>
                          </w:r>
                          <w:r>
                            <w:rPr>
                              <w:rStyle w:val="40"/>
                              <w:rFonts w:hint="eastAsia" w:ascii="宋体" w:hAnsi="宋体"/>
                              <w:sz w:val="20"/>
                            </w:rPr>
                            <w:t xml:space="preserve">  </w:t>
                          </w:r>
                          <w:r>
                            <w:rPr>
                              <w:rStyle w:val="40"/>
                              <w:rFonts w:ascii="宋体" w:hAnsi="宋体"/>
                              <w:sz w:val="26"/>
                              <w:szCs w:val="26"/>
                            </w:rPr>
                            <w:fldChar w:fldCharType="begin"/>
                          </w:r>
                          <w:r>
                            <w:rPr>
                              <w:rStyle w:val="40"/>
                              <w:rFonts w:ascii="宋体" w:hAnsi="宋体"/>
                              <w:sz w:val="26"/>
                              <w:szCs w:val="26"/>
                            </w:rPr>
                            <w:instrText xml:space="preserve">PAGE  </w:instrText>
                          </w:r>
                          <w:r>
                            <w:rPr>
                              <w:rStyle w:val="40"/>
                              <w:rFonts w:ascii="宋体" w:hAnsi="宋体"/>
                              <w:sz w:val="26"/>
                              <w:szCs w:val="26"/>
                            </w:rPr>
                            <w:fldChar w:fldCharType="separate"/>
                          </w:r>
                          <w:r>
                            <w:rPr>
                              <w:rStyle w:val="40"/>
                              <w:rFonts w:ascii="宋体" w:hAnsi="宋体"/>
                              <w:sz w:val="26"/>
                              <w:szCs w:val="26"/>
                            </w:rPr>
                            <w:t>53</w:t>
                          </w:r>
                          <w:r>
                            <w:rPr>
                              <w:rStyle w:val="40"/>
                              <w:rFonts w:ascii="宋体" w:hAnsi="宋体"/>
                              <w:sz w:val="26"/>
                              <w:szCs w:val="26"/>
                            </w:rPr>
                            <w:fldChar w:fldCharType="end"/>
                          </w:r>
                          <w:r>
                            <w:rPr>
                              <w:rStyle w:val="40"/>
                              <w:rFonts w:hint="eastAsia" w:ascii="宋体" w:hAnsi="宋体"/>
                              <w:sz w:val="20"/>
                            </w:rPr>
                            <w:t xml:space="preserve">  </w:t>
                          </w:r>
                          <w:r>
                            <w:rPr>
                              <w:rStyle w:val="40"/>
                              <w:rFonts w:hint="eastAsia" w:ascii="宋体" w:hAnsi="宋体"/>
                              <w:sz w:val="28"/>
                              <w:szCs w:val="28"/>
                            </w:rPr>
                            <w:t>—</w:t>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NMPWssBAACdAwAADgAAAGRycy9lMm9Eb2MueG1srVPNjtMwEL4j8Q6W&#10;79RpJ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3iJrymxHGLE7/8+H75+fvy6xtZ&#10;VqubLFEfoMbM+4C5aXjrB0yf/YDOzHxQ0eYvciIYR4HPV4HlkIjIj9ar9brCkMDYfEF89vA8REjv&#10;pLckGw2NOMEiLD99gDSmzim5mvN32pgyReP+ciBm9rDc+9hjttKwHyZCe9+ekU+Pw2+ow12nxLx3&#10;qG3ek9mIs7GfjWOI+tCVRcr1ILw5Jmyi9JYrjLBTYZxaYTdtWF6Lx/eS9fBXbf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NDTD1rLAQAAnQMAAA4AAAAAAAAAAQAgAAAAHgEAAGRycy9lMm9E&#10;b2MueG1sUEsFBgAAAAAGAAYAWQEAAFsFAAAAAA==&#10;">
              <v:fill on="f" focussize="0,0"/>
              <v:stroke on="f"/>
              <v:imagedata o:title=""/>
              <o:lock v:ext="edit" aspectratio="f"/>
              <v:textbox inset="0mm,0mm,0mm,0mm" style="mso-fit-shape-to-text:t;">
                <w:txbxContent>
                  <w:p w14:paraId="5EBE427F">
                    <w:pPr>
                      <w:pStyle w:val="24"/>
                      <w:rPr>
                        <w:rStyle w:val="40"/>
                        <w:rFonts w:ascii="宋体" w:hAnsi="宋体"/>
                        <w:sz w:val="28"/>
                        <w:szCs w:val="28"/>
                      </w:rPr>
                    </w:pPr>
                    <w:r>
                      <w:rPr>
                        <w:rStyle w:val="40"/>
                        <w:rFonts w:hint="eastAsia" w:ascii="宋体" w:hAnsi="宋体"/>
                        <w:sz w:val="28"/>
                        <w:szCs w:val="28"/>
                      </w:rPr>
                      <w:t>—</w:t>
                    </w:r>
                    <w:r>
                      <w:rPr>
                        <w:rStyle w:val="40"/>
                        <w:rFonts w:hint="eastAsia" w:ascii="宋体" w:hAnsi="宋体"/>
                        <w:sz w:val="20"/>
                      </w:rPr>
                      <w:t xml:space="preserve">  </w:t>
                    </w:r>
                    <w:r>
                      <w:rPr>
                        <w:rStyle w:val="40"/>
                        <w:rFonts w:ascii="宋体" w:hAnsi="宋体"/>
                        <w:sz w:val="26"/>
                        <w:szCs w:val="26"/>
                      </w:rPr>
                      <w:fldChar w:fldCharType="begin"/>
                    </w:r>
                    <w:r>
                      <w:rPr>
                        <w:rStyle w:val="40"/>
                        <w:rFonts w:ascii="宋体" w:hAnsi="宋体"/>
                        <w:sz w:val="26"/>
                        <w:szCs w:val="26"/>
                      </w:rPr>
                      <w:instrText xml:space="preserve">PAGE  </w:instrText>
                    </w:r>
                    <w:r>
                      <w:rPr>
                        <w:rStyle w:val="40"/>
                        <w:rFonts w:ascii="宋体" w:hAnsi="宋体"/>
                        <w:sz w:val="26"/>
                        <w:szCs w:val="26"/>
                      </w:rPr>
                      <w:fldChar w:fldCharType="separate"/>
                    </w:r>
                    <w:r>
                      <w:rPr>
                        <w:rStyle w:val="40"/>
                        <w:rFonts w:ascii="宋体" w:hAnsi="宋体"/>
                        <w:sz w:val="26"/>
                        <w:szCs w:val="26"/>
                      </w:rPr>
                      <w:t>53</w:t>
                    </w:r>
                    <w:r>
                      <w:rPr>
                        <w:rStyle w:val="40"/>
                        <w:rFonts w:ascii="宋体" w:hAnsi="宋体"/>
                        <w:sz w:val="26"/>
                        <w:szCs w:val="26"/>
                      </w:rPr>
                      <w:fldChar w:fldCharType="end"/>
                    </w:r>
                    <w:r>
                      <w:rPr>
                        <w:rStyle w:val="40"/>
                        <w:rFonts w:hint="eastAsia" w:ascii="宋体" w:hAnsi="宋体"/>
                        <w:sz w:val="20"/>
                      </w:rPr>
                      <w:t xml:space="preserve">  </w:t>
                    </w:r>
                    <w:r>
                      <w:rPr>
                        <w:rStyle w:val="40"/>
                        <w:rFonts w:hint="eastAsia" w:ascii="宋体" w:hAnsi="宋体"/>
                        <w:sz w:val="28"/>
                        <w:szCs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19BBB9"/>
    <w:multiLevelType w:val="singleLevel"/>
    <w:tmpl w:val="9719BBB9"/>
    <w:lvl w:ilvl="0" w:tentative="0">
      <w:start w:val="2"/>
      <w:numFmt w:val="decimal"/>
      <w:suff w:val="nothing"/>
      <w:lvlText w:val="（%1）"/>
      <w:lvlJc w:val="left"/>
    </w:lvl>
  </w:abstractNum>
  <w:abstractNum w:abstractNumId="1">
    <w:nsid w:val="DE9C488E"/>
    <w:multiLevelType w:val="singleLevel"/>
    <w:tmpl w:val="DE9C488E"/>
    <w:lvl w:ilvl="0" w:tentative="0">
      <w:start w:val="4"/>
      <w:numFmt w:val="chineseCounting"/>
      <w:suff w:val="nothing"/>
      <w:lvlText w:val="%1、"/>
      <w:lvlJc w:val="left"/>
      <w:rPr>
        <w:rFonts w:hint="eastAsia"/>
      </w:rPr>
    </w:lvl>
  </w:abstractNum>
  <w:abstractNum w:abstractNumId="2">
    <w:nsid w:val="079E2FD7"/>
    <w:multiLevelType w:val="singleLevel"/>
    <w:tmpl w:val="079E2FD7"/>
    <w:lvl w:ilvl="0" w:tentative="0">
      <w:start w:val="1"/>
      <w:numFmt w:val="decimal"/>
      <w:suff w:val="nothing"/>
      <w:lvlText w:val="%1、"/>
      <w:lvlJc w:val="left"/>
    </w:lvl>
  </w:abstractNum>
  <w:abstractNum w:abstractNumId="3">
    <w:nsid w:val="0F131F33"/>
    <w:multiLevelType w:val="singleLevel"/>
    <w:tmpl w:val="0F131F33"/>
    <w:lvl w:ilvl="0" w:tentative="0">
      <w:start w:val="1"/>
      <w:numFmt w:val="decimal"/>
      <w:suff w:val="nothing"/>
      <w:lvlText w:val="%1、"/>
      <w:lvlJc w:val="left"/>
    </w:lvl>
  </w:abstractNum>
  <w:abstractNum w:abstractNumId="4">
    <w:nsid w:val="11043860"/>
    <w:multiLevelType w:val="multilevel"/>
    <w:tmpl w:val="11043860"/>
    <w:lvl w:ilvl="0" w:tentative="0">
      <w:start w:val="1"/>
      <w:numFmt w:val="decimal"/>
      <w:suff w:val="nothing"/>
      <w:lvlText w:val="%1"/>
      <w:lvlJc w:val="left"/>
      <w:pPr>
        <w:ind w:left="5045" w:hanging="1985"/>
      </w:pPr>
      <w:rPr>
        <w:rFonts w:hint="eastAsia"/>
      </w:rPr>
    </w:lvl>
    <w:lvl w:ilvl="1" w:tentative="0">
      <w:start w:val="1"/>
      <w:numFmt w:val="decimal"/>
      <w:pStyle w:val="4"/>
      <w:suff w:val="nothing"/>
      <w:lvlText w:val="%1.%2 "/>
      <w:lvlJc w:val="left"/>
      <w:pPr>
        <w:ind w:left="2345" w:hanging="1985"/>
      </w:pPr>
      <w:rPr>
        <w:rFonts w:hint="default" w:ascii="Times New Roman" w:hAnsi="Times New Roman" w:eastAsia="黑体"/>
      </w:rPr>
    </w:lvl>
    <w:lvl w:ilvl="2" w:tentative="0">
      <w:start w:val="1"/>
      <w:numFmt w:val="decimal"/>
      <w:suff w:val="nothing"/>
      <w:lvlText w:val="%1.%2.%3 "/>
      <w:lvlJc w:val="left"/>
      <w:pPr>
        <w:ind w:left="1985" w:hanging="1985"/>
      </w:pPr>
      <w:rPr>
        <w:rFonts w:hint="default" w:ascii="Times New Roman" w:hAnsi="Times New Roman" w:eastAsia="黑体"/>
      </w:rPr>
    </w:lvl>
    <w:lvl w:ilvl="3" w:tentative="0">
      <w:start w:val="1"/>
      <w:numFmt w:val="decimal"/>
      <w:suff w:val="nothing"/>
      <w:lvlText w:val="%1.%2.%3.%4 "/>
      <w:lvlJc w:val="left"/>
      <w:pPr>
        <w:ind w:left="2884" w:hanging="1984"/>
      </w:pPr>
      <w:rPr>
        <w:rFonts w:hint="default" w:ascii="Times New Roman" w:hAnsi="Times New Roman"/>
      </w:rPr>
    </w:lvl>
    <w:lvl w:ilvl="4" w:tentative="0">
      <w:start w:val="1"/>
      <w:numFmt w:val="decimal"/>
      <w:lvlText w:val="%1.%2.%3.%4.%5"/>
      <w:lvlJc w:val="left"/>
      <w:pPr>
        <w:tabs>
          <w:tab w:val="left" w:pos="2551"/>
        </w:tabs>
        <w:ind w:left="2551" w:hanging="2551"/>
      </w:pPr>
      <w:rPr>
        <w:rFonts w:hint="eastAsia"/>
      </w:rPr>
    </w:lvl>
    <w:lvl w:ilvl="5" w:tentative="0">
      <w:start w:val="1"/>
      <w:numFmt w:val="decimal"/>
      <w:lvlText w:val="%1.%2.%3.%4.%5.%6"/>
      <w:lvlJc w:val="left"/>
      <w:pPr>
        <w:tabs>
          <w:tab w:val="left" w:pos="3260"/>
        </w:tabs>
        <w:ind w:left="3260" w:hanging="3260"/>
      </w:pPr>
      <w:rPr>
        <w:rFonts w:hint="eastAsia"/>
      </w:rPr>
    </w:lvl>
    <w:lvl w:ilvl="6" w:tentative="0">
      <w:start w:val="1"/>
      <w:numFmt w:val="decimal"/>
      <w:lvlText w:val="%1.%2.%3.%4.%5.%6.%7"/>
      <w:lvlJc w:val="left"/>
      <w:pPr>
        <w:tabs>
          <w:tab w:val="left" w:pos="3827"/>
        </w:tabs>
        <w:ind w:left="3827" w:hanging="3827"/>
      </w:pPr>
      <w:rPr>
        <w:rFonts w:hint="eastAsia"/>
      </w:rPr>
    </w:lvl>
    <w:lvl w:ilvl="7" w:tentative="0">
      <w:start w:val="1"/>
      <w:numFmt w:val="decimal"/>
      <w:lvlText w:val="%1.%2.%3.%4.%5.%6.%7.%8"/>
      <w:lvlJc w:val="left"/>
      <w:pPr>
        <w:tabs>
          <w:tab w:val="left" w:pos="4394"/>
        </w:tabs>
        <w:ind w:left="4394" w:hanging="4394"/>
      </w:pPr>
      <w:rPr>
        <w:rFonts w:hint="eastAsia"/>
      </w:rPr>
    </w:lvl>
    <w:lvl w:ilvl="8" w:tentative="0">
      <w:start w:val="1"/>
      <w:numFmt w:val="decimal"/>
      <w:lvlText w:val="%1.%2.%3.%4.%5.%6.%7.%8.%9"/>
      <w:lvlJc w:val="left"/>
      <w:pPr>
        <w:tabs>
          <w:tab w:val="left" w:pos="5102"/>
        </w:tabs>
        <w:ind w:left="5102" w:hanging="5102"/>
      </w:pPr>
      <w:rPr>
        <w:rFonts w:hint="eastAsia"/>
      </w:rPr>
    </w:lvl>
  </w:abstractNum>
  <w:abstractNum w:abstractNumId="5">
    <w:nsid w:val="4904B92D"/>
    <w:multiLevelType w:val="singleLevel"/>
    <w:tmpl w:val="4904B92D"/>
    <w:lvl w:ilvl="0" w:tentative="0">
      <w:start w:val="1"/>
      <w:numFmt w:val="decimal"/>
      <w:suff w:val="nothing"/>
      <w:lvlText w:val="%1、"/>
      <w:lvlJc w:val="left"/>
    </w:lvl>
  </w:abstractNum>
  <w:abstractNum w:abstractNumId="6">
    <w:nsid w:val="55604833"/>
    <w:multiLevelType w:val="singleLevel"/>
    <w:tmpl w:val="55604833"/>
    <w:lvl w:ilvl="0" w:tentative="0">
      <w:start w:val="1"/>
      <w:numFmt w:val="bullet"/>
      <w:pStyle w:val="12"/>
      <w:lvlText w:val=""/>
      <w:lvlJc w:val="left"/>
      <w:pPr>
        <w:tabs>
          <w:tab w:val="left" w:pos="2040"/>
        </w:tabs>
        <w:ind w:left="2040" w:hanging="360"/>
      </w:pPr>
      <w:rPr>
        <w:rFonts w:hint="default" w:ascii="Wingdings" w:hAnsi="Wingdings"/>
      </w:rPr>
    </w:lvl>
  </w:abstractNum>
  <w:abstractNum w:abstractNumId="7">
    <w:nsid w:val="79C0EF88"/>
    <w:multiLevelType w:val="multilevel"/>
    <w:tmpl w:val="79C0EF88"/>
    <w:lvl w:ilvl="0" w:tentative="0">
      <w:start w:val="1"/>
      <w:numFmt w:val="decimal"/>
      <w:lvlText w:val="%1"/>
      <w:lvlJc w:val="left"/>
      <w:pPr>
        <w:tabs>
          <w:tab w:val="left" w:pos="432"/>
        </w:tabs>
        <w:ind w:left="432" w:hanging="432"/>
      </w:pPr>
      <w:rPr>
        <w:rFonts w:hint="eastAsia"/>
      </w:rPr>
    </w:lvl>
    <w:lvl w:ilvl="1" w:tentative="0">
      <w:start w:val="1"/>
      <w:numFmt w:val="decimal"/>
      <w:lvlText w:val="%1.%2"/>
      <w:lvlJc w:val="left"/>
      <w:pPr>
        <w:tabs>
          <w:tab w:val="left" w:pos="756"/>
        </w:tabs>
        <w:ind w:left="756" w:hanging="576"/>
      </w:pPr>
      <w:rPr>
        <w:rFonts w:hint="eastAsia"/>
      </w:rPr>
    </w:lvl>
    <w:lvl w:ilvl="2" w:tentative="0">
      <w:start w:val="1"/>
      <w:numFmt w:val="decimal"/>
      <w:pStyle w:val="5"/>
      <w:lvlText w:val="%1.%2.%3"/>
      <w:lvlJc w:val="left"/>
      <w:pPr>
        <w:tabs>
          <w:tab w:val="left" w:pos="0"/>
        </w:tabs>
        <w:ind w:left="0" w:firstLine="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4"/>
  </w:num>
  <w:num w:numId="2">
    <w:abstractNumId w:val="7"/>
  </w:num>
  <w:num w:numId="3">
    <w:abstractNumId w:val="6"/>
  </w:num>
  <w:num w:numId="4">
    <w:abstractNumId w:val="2"/>
  </w:num>
  <w:num w:numId="5">
    <w:abstractNumId w:val="1"/>
  </w:num>
  <w:num w:numId="6">
    <w:abstractNumId w:val="5"/>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19"/>
  <w:hyphenationZone w:val="36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jM2EzZDgxODVlNmNjMjA0NWRjMGEyMjIxMzE1NjcifQ=="/>
  </w:docVars>
  <w:rsids>
    <w:rsidRoot w:val="00172A27"/>
    <w:rsid w:val="000060B3"/>
    <w:rsid w:val="000409B8"/>
    <w:rsid w:val="0004364B"/>
    <w:rsid w:val="000470BC"/>
    <w:rsid w:val="00061B1F"/>
    <w:rsid w:val="00063418"/>
    <w:rsid w:val="000723ED"/>
    <w:rsid w:val="000733C4"/>
    <w:rsid w:val="00073FFE"/>
    <w:rsid w:val="00074783"/>
    <w:rsid w:val="000775ED"/>
    <w:rsid w:val="0008070B"/>
    <w:rsid w:val="000810AC"/>
    <w:rsid w:val="00081A02"/>
    <w:rsid w:val="00082231"/>
    <w:rsid w:val="00082530"/>
    <w:rsid w:val="00092D38"/>
    <w:rsid w:val="0009377B"/>
    <w:rsid w:val="000A20C9"/>
    <w:rsid w:val="000A6C4E"/>
    <w:rsid w:val="000B058F"/>
    <w:rsid w:val="000B2E85"/>
    <w:rsid w:val="000B4467"/>
    <w:rsid w:val="000B4DB9"/>
    <w:rsid w:val="000C09AC"/>
    <w:rsid w:val="000C767F"/>
    <w:rsid w:val="000D5A44"/>
    <w:rsid w:val="000E3ED2"/>
    <w:rsid w:val="001129A2"/>
    <w:rsid w:val="00116D2E"/>
    <w:rsid w:val="00131F42"/>
    <w:rsid w:val="001357F1"/>
    <w:rsid w:val="00136B0A"/>
    <w:rsid w:val="00140FA8"/>
    <w:rsid w:val="00142FEB"/>
    <w:rsid w:val="00143A2D"/>
    <w:rsid w:val="0014526A"/>
    <w:rsid w:val="00145A41"/>
    <w:rsid w:val="00151675"/>
    <w:rsid w:val="00157435"/>
    <w:rsid w:val="001602AE"/>
    <w:rsid w:val="0017504D"/>
    <w:rsid w:val="0017671A"/>
    <w:rsid w:val="00177422"/>
    <w:rsid w:val="00184590"/>
    <w:rsid w:val="001870D1"/>
    <w:rsid w:val="0018781E"/>
    <w:rsid w:val="0019262D"/>
    <w:rsid w:val="00193168"/>
    <w:rsid w:val="001A0460"/>
    <w:rsid w:val="001A1B35"/>
    <w:rsid w:val="001A48A2"/>
    <w:rsid w:val="001A6F61"/>
    <w:rsid w:val="001B72B8"/>
    <w:rsid w:val="001C1F95"/>
    <w:rsid w:val="001C69B3"/>
    <w:rsid w:val="001D5595"/>
    <w:rsid w:val="001D7874"/>
    <w:rsid w:val="001D7F22"/>
    <w:rsid w:val="001E144C"/>
    <w:rsid w:val="001E766E"/>
    <w:rsid w:val="001F0F17"/>
    <w:rsid w:val="001F3347"/>
    <w:rsid w:val="001F69E4"/>
    <w:rsid w:val="002125B4"/>
    <w:rsid w:val="002155B8"/>
    <w:rsid w:val="00224839"/>
    <w:rsid w:val="002249B2"/>
    <w:rsid w:val="00226574"/>
    <w:rsid w:val="002278EC"/>
    <w:rsid w:val="0023280E"/>
    <w:rsid w:val="002377D1"/>
    <w:rsid w:val="002506BC"/>
    <w:rsid w:val="00254345"/>
    <w:rsid w:val="002559C6"/>
    <w:rsid w:val="00264557"/>
    <w:rsid w:val="002805AB"/>
    <w:rsid w:val="00284204"/>
    <w:rsid w:val="00291773"/>
    <w:rsid w:val="002A168C"/>
    <w:rsid w:val="002A3DC7"/>
    <w:rsid w:val="002B49E2"/>
    <w:rsid w:val="002B7B00"/>
    <w:rsid w:val="002B7C44"/>
    <w:rsid w:val="002C2B17"/>
    <w:rsid w:val="002D3DD0"/>
    <w:rsid w:val="002D4A96"/>
    <w:rsid w:val="002E1F3A"/>
    <w:rsid w:val="002E298A"/>
    <w:rsid w:val="002E782C"/>
    <w:rsid w:val="002F24B3"/>
    <w:rsid w:val="00301978"/>
    <w:rsid w:val="0030332C"/>
    <w:rsid w:val="003051C2"/>
    <w:rsid w:val="00312296"/>
    <w:rsid w:val="00314F0E"/>
    <w:rsid w:val="00321D8E"/>
    <w:rsid w:val="00322EEE"/>
    <w:rsid w:val="00325928"/>
    <w:rsid w:val="0032629E"/>
    <w:rsid w:val="00332863"/>
    <w:rsid w:val="003367CE"/>
    <w:rsid w:val="0033684D"/>
    <w:rsid w:val="00337B42"/>
    <w:rsid w:val="00341B42"/>
    <w:rsid w:val="0034348F"/>
    <w:rsid w:val="00343826"/>
    <w:rsid w:val="003461B5"/>
    <w:rsid w:val="00356653"/>
    <w:rsid w:val="0035743F"/>
    <w:rsid w:val="00357BE2"/>
    <w:rsid w:val="00357DEE"/>
    <w:rsid w:val="0036170C"/>
    <w:rsid w:val="00366E0F"/>
    <w:rsid w:val="00381A72"/>
    <w:rsid w:val="00384676"/>
    <w:rsid w:val="00390857"/>
    <w:rsid w:val="00397093"/>
    <w:rsid w:val="003A142C"/>
    <w:rsid w:val="003A4BF3"/>
    <w:rsid w:val="003B0B45"/>
    <w:rsid w:val="003B420D"/>
    <w:rsid w:val="003C6C16"/>
    <w:rsid w:val="003D794D"/>
    <w:rsid w:val="003E3058"/>
    <w:rsid w:val="003E556F"/>
    <w:rsid w:val="003E76A9"/>
    <w:rsid w:val="003F0809"/>
    <w:rsid w:val="003F6A8C"/>
    <w:rsid w:val="003F755C"/>
    <w:rsid w:val="00402B02"/>
    <w:rsid w:val="00406F01"/>
    <w:rsid w:val="00416D50"/>
    <w:rsid w:val="00416FD5"/>
    <w:rsid w:val="00417772"/>
    <w:rsid w:val="00420E6A"/>
    <w:rsid w:val="00425A9E"/>
    <w:rsid w:val="00426D6B"/>
    <w:rsid w:val="00427251"/>
    <w:rsid w:val="00431E6C"/>
    <w:rsid w:val="00433CE7"/>
    <w:rsid w:val="00445D79"/>
    <w:rsid w:val="00452738"/>
    <w:rsid w:val="00456091"/>
    <w:rsid w:val="00457480"/>
    <w:rsid w:val="00461B47"/>
    <w:rsid w:val="00466321"/>
    <w:rsid w:val="00466818"/>
    <w:rsid w:val="00484B9B"/>
    <w:rsid w:val="004855F6"/>
    <w:rsid w:val="0048661E"/>
    <w:rsid w:val="0049181A"/>
    <w:rsid w:val="00493075"/>
    <w:rsid w:val="00494670"/>
    <w:rsid w:val="004A124A"/>
    <w:rsid w:val="004A1DCA"/>
    <w:rsid w:val="004A313E"/>
    <w:rsid w:val="004A3823"/>
    <w:rsid w:val="004E6946"/>
    <w:rsid w:val="004F1AD8"/>
    <w:rsid w:val="004F1CA4"/>
    <w:rsid w:val="005039CB"/>
    <w:rsid w:val="0050558F"/>
    <w:rsid w:val="00506286"/>
    <w:rsid w:val="00510813"/>
    <w:rsid w:val="00511990"/>
    <w:rsid w:val="00511DE0"/>
    <w:rsid w:val="00514870"/>
    <w:rsid w:val="00514B9B"/>
    <w:rsid w:val="00517F02"/>
    <w:rsid w:val="00524303"/>
    <w:rsid w:val="0052484E"/>
    <w:rsid w:val="005258A2"/>
    <w:rsid w:val="005401AE"/>
    <w:rsid w:val="00541ABE"/>
    <w:rsid w:val="00542E07"/>
    <w:rsid w:val="00545424"/>
    <w:rsid w:val="00554A7B"/>
    <w:rsid w:val="0055572C"/>
    <w:rsid w:val="005563AF"/>
    <w:rsid w:val="0056106A"/>
    <w:rsid w:val="005720AE"/>
    <w:rsid w:val="00572A8A"/>
    <w:rsid w:val="00587006"/>
    <w:rsid w:val="00594D77"/>
    <w:rsid w:val="005969E4"/>
    <w:rsid w:val="005A06B7"/>
    <w:rsid w:val="005A0D90"/>
    <w:rsid w:val="005A1759"/>
    <w:rsid w:val="005A3E19"/>
    <w:rsid w:val="005A68A7"/>
    <w:rsid w:val="005B3A8A"/>
    <w:rsid w:val="005C1C71"/>
    <w:rsid w:val="005C6998"/>
    <w:rsid w:val="005D36AB"/>
    <w:rsid w:val="00606F1E"/>
    <w:rsid w:val="00616467"/>
    <w:rsid w:val="00617CC3"/>
    <w:rsid w:val="006377A6"/>
    <w:rsid w:val="00637A3D"/>
    <w:rsid w:val="006411EF"/>
    <w:rsid w:val="00642D95"/>
    <w:rsid w:val="00644D67"/>
    <w:rsid w:val="00644E79"/>
    <w:rsid w:val="00657788"/>
    <w:rsid w:val="006625C5"/>
    <w:rsid w:val="006748B8"/>
    <w:rsid w:val="006775C3"/>
    <w:rsid w:val="0069290A"/>
    <w:rsid w:val="006941AB"/>
    <w:rsid w:val="0069775A"/>
    <w:rsid w:val="00697813"/>
    <w:rsid w:val="006A3EE8"/>
    <w:rsid w:val="006A72BF"/>
    <w:rsid w:val="006B03F2"/>
    <w:rsid w:val="006B37DC"/>
    <w:rsid w:val="006B4DDC"/>
    <w:rsid w:val="006B4F68"/>
    <w:rsid w:val="006C0592"/>
    <w:rsid w:val="006C1D15"/>
    <w:rsid w:val="006C272E"/>
    <w:rsid w:val="006C5479"/>
    <w:rsid w:val="006D13B5"/>
    <w:rsid w:val="006E0580"/>
    <w:rsid w:val="006E12FF"/>
    <w:rsid w:val="006E5E6A"/>
    <w:rsid w:val="006E607E"/>
    <w:rsid w:val="006F728A"/>
    <w:rsid w:val="0070593B"/>
    <w:rsid w:val="00706C5D"/>
    <w:rsid w:val="00707B36"/>
    <w:rsid w:val="00731BE1"/>
    <w:rsid w:val="00732922"/>
    <w:rsid w:val="007349E6"/>
    <w:rsid w:val="007351FF"/>
    <w:rsid w:val="007446BD"/>
    <w:rsid w:val="0075162E"/>
    <w:rsid w:val="00754034"/>
    <w:rsid w:val="00756556"/>
    <w:rsid w:val="007618C4"/>
    <w:rsid w:val="00767980"/>
    <w:rsid w:val="00770B19"/>
    <w:rsid w:val="0077463F"/>
    <w:rsid w:val="00775751"/>
    <w:rsid w:val="007836EA"/>
    <w:rsid w:val="00784228"/>
    <w:rsid w:val="00784CDA"/>
    <w:rsid w:val="007906C4"/>
    <w:rsid w:val="00793BA1"/>
    <w:rsid w:val="007940EA"/>
    <w:rsid w:val="007967E8"/>
    <w:rsid w:val="007A2170"/>
    <w:rsid w:val="007A22BF"/>
    <w:rsid w:val="007A3323"/>
    <w:rsid w:val="007B46C4"/>
    <w:rsid w:val="007B6748"/>
    <w:rsid w:val="007B72B8"/>
    <w:rsid w:val="007B7A58"/>
    <w:rsid w:val="007C21B5"/>
    <w:rsid w:val="007D01BE"/>
    <w:rsid w:val="007E4BD2"/>
    <w:rsid w:val="00801393"/>
    <w:rsid w:val="00802F88"/>
    <w:rsid w:val="0081293E"/>
    <w:rsid w:val="00812B7C"/>
    <w:rsid w:val="00815465"/>
    <w:rsid w:val="00817E9A"/>
    <w:rsid w:val="008306BD"/>
    <w:rsid w:val="00831A80"/>
    <w:rsid w:val="00833743"/>
    <w:rsid w:val="008340A4"/>
    <w:rsid w:val="00835306"/>
    <w:rsid w:val="008427AF"/>
    <w:rsid w:val="0087135F"/>
    <w:rsid w:val="00872D94"/>
    <w:rsid w:val="00880364"/>
    <w:rsid w:val="00884DBE"/>
    <w:rsid w:val="00890241"/>
    <w:rsid w:val="00891592"/>
    <w:rsid w:val="00891E9E"/>
    <w:rsid w:val="008A2F68"/>
    <w:rsid w:val="008B4FA6"/>
    <w:rsid w:val="008B5282"/>
    <w:rsid w:val="008B7C17"/>
    <w:rsid w:val="008C2D01"/>
    <w:rsid w:val="008C40E6"/>
    <w:rsid w:val="008D0F7A"/>
    <w:rsid w:val="008D68E4"/>
    <w:rsid w:val="008E0506"/>
    <w:rsid w:val="008E0CFF"/>
    <w:rsid w:val="008E1ABB"/>
    <w:rsid w:val="008E5D6B"/>
    <w:rsid w:val="008E76F0"/>
    <w:rsid w:val="008F15FE"/>
    <w:rsid w:val="008F25DE"/>
    <w:rsid w:val="008F2D29"/>
    <w:rsid w:val="008F5187"/>
    <w:rsid w:val="008F60D8"/>
    <w:rsid w:val="00902727"/>
    <w:rsid w:val="0090312B"/>
    <w:rsid w:val="0091736D"/>
    <w:rsid w:val="0092689A"/>
    <w:rsid w:val="0093037A"/>
    <w:rsid w:val="0094154D"/>
    <w:rsid w:val="0095155F"/>
    <w:rsid w:val="00953C31"/>
    <w:rsid w:val="00954429"/>
    <w:rsid w:val="009563CE"/>
    <w:rsid w:val="00970D7E"/>
    <w:rsid w:val="00976328"/>
    <w:rsid w:val="0097680D"/>
    <w:rsid w:val="00982438"/>
    <w:rsid w:val="0098404C"/>
    <w:rsid w:val="00985283"/>
    <w:rsid w:val="00987167"/>
    <w:rsid w:val="00995992"/>
    <w:rsid w:val="009A0254"/>
    <w:rsid w:val="009A03E5"/>
    <w:rsid w:val="009A0F3B"/>
    <w:rsid w:val="009A1BB4"/>
    <w:rsid w:val="009A2628"/>
    <w:rsid w:val="009A3200"/>
    <w:rsid w:val="009B0897"/>
    <w:rsid w:val="009B7BD9"/>
    <w:rsid w:val="009C7DD5"/>
    <w:rsid w:val="009E227D"/>
    <w:rsid w:val="009E5019"/>
    <w:rsid w:val="009F2156"/>
    <w:rsid w:val="00A00AF1"/>
    <w:rsid w:val="00A04F1B"/>
    <w:rsid w:val="00A0501B"/>
    <w:rsid w:val="00A14947"/>
    <w:rsid w:val="00A162B6"/>
    <w:rsid w:val="00A20F14"/>
    <w:rsid w:val="00A32A83"/>
    <w:rsid w:val="00A368DB"/>
    <w:rsid w:val="00A423AA"/>
    <w:rsid w:val="00A53EC6"/>
    <w:rsid w:val="00A55C0F"/>
    <w:rsid w:val="00A56B97"/>
    <w:rsid w:val="00A85826"/>
    <w:rsid w:val="00A8713F"/>
    <w:rsid w:val="00A90BA1"/>
    <w:rsid w:val="00A93EB3"/>
    <w:rsid w:val="00A97A9A"/>
    <w:rsid w:val="00AA0671"/>
    <w:rsid w:val="00AA2531"/>
    <w:rsid w:val="00AA43D8"/>
    <w:rsid w:val="00AB1E09"/>
    <w:rsid w:val="00AB5330"/>
    <w:rsid w:val="00AB7747"/>
    <w:rsid w:val="00AC14CE"/>
    <w:rsid w:val="00AC2A56"/>
    <w:rsid w:val="00AD055E"/>
    <w:rsid w:val="00AD47A7"/>
    <w:rsid w:val="00AF0CBF"/>
    <w:rsid w:val="00AF257F"/>
    <w:rsid w:val="00AF33CF"/>
    <w:rsid w:val="00AF4D50"/>
    <w:rsid w:val="00AF6179"/>
    <w:rsid w:val="00B0582C"/>
    <w:rsid w:val="00B1295A"/>
    <w:rsid w:val="00B201A7"/>
    <w:rsid w:val="00B20A45"/>
    <w:rsid w:val="00B22C5C"/>
    <w:rsid w:val="00B24F30"/>
    <w:rsid w:val="00B31ABF"/>
    <w:rsid w:val="00B33BE3"/>
    <w:rsid w:val="00B458EC"/>
    <w:rsid w:val="00B53B5D"/>
    <w:rsid w:val="00B6055E"/>
    <w:rsid w:val="00B61589"/>
    <w:rsid w:val="00B6317D"/>
    <w:rsid w:val="00B64B9E"/>
    <w:rsid w:val="00B7723F"/>
    <w:rsid w:val="00B80534"/>
    <w:rsid w:val="00B8433C"/>
    <w:rsid w:val="00B87491"/>
    <w:rsid w:val="00B97DA1"/>
    <w:rsid w:val="00BA29E9"/>
    <w:rsid w:val="00BA7142"/>
    <w:rsid w:val="00BB237C"/>
    <w:rsid w:val="00BB41A3"/>
    <w:rsid w:val="00BC1E00"/>
    <w:rsid w:val="00BC32DC"/>
    <w:rsid w:val="00BC35B6"/>
    <w:rsid w:val="00BC6457"/>
    <w:rsid w:val="00BD1B51"/>
    <w:rsid w:val="00BD4596"/>
    <w:rsid w:val="00BE1405"/>
    <w:rsid w:val="00BE312D"/>
    <w:rsid w:val="00BF1930"/>
    <w:rsid w:val="00BF1C20"/>
    <w:rsid w:val="00C00B38"/>
    <w:rsid w:val="00C06EE7"/>
    <w:rsid w:val="00C10578"/>
    <w:rsid w:val="00C135BC"/>
    <w:rsid w:val="00C15C95"/>
    <w:rsid w:val="00C16C78"/>
    <w:rsid w:val="00C2596A"/>
    <w:rsid w:val="00C27537"/>
    <w:rsid w:val="00C328FE"/>
    <w:rsid w:val="00C33507"/>
    <w:rsid w:val="00C4250F"/>
    <w:rsid w:val="00C4409D"/>
    <w:rsid w:val="00C44E72"/>
    <w:rsid w:val="00C45A06"/>
    <w:rsid w:val="00C47E5B"/>
    <w:rsid w:val="00C61878"/>
    <w:rsid w:val="00C61E4B"/>
    <w:rsid w:val="00C64BFF"/>
    <w:rsid w:val="00C704E9"/>
    <w:rsid w:val="00C763C9"/>
    <w:rsid w:val="00C80057"/>
    <w:rsid w:val="00C82232"/>
    <w:rsid w:val="00C82913"/>
    <w:rsid w:val="00C972B1"/>
    <w:rsid w:val="00CA2CCE"/>
    <w:rsid w:val="00CA43FD"/>
    <w:rsid w:val="00CA7EF8"/>
    <w:rsid w:val="00CB743D"/>
    <w:rsid w:val="00CC489B"/>
    <w:rsid w:val="00CD2BCD"/>
    <w:rsid w:val="00CD3A4C"/>
    <w:rsid w:val="00CE10E9"/>
    <w:rsid w:val="00CE2910"/>
    <w:rsid w:val="00CE5393"/>
    <w:rsid w:val="00CF36BE"/>
    <w:rsid w:val="00CF6000"/>
    <w:rsid w:val="00D003F3"/>
    <w:rsid w:val="00D0364F"/>
    <w:rsid w:val="00D06834"/>
    <w:rsid w:val="00D308ED"/>
    <w:rsid w:val="00D36D86"/>
    <w:rsid w:val="00D428AA"/>
    <w:rsid w:val="00D50A34"/>
    <w:rsid w:val="00D53EFA"/>
    <w:rsid w:val="00D64D63"/>
    <w:rsid w:val="00D66715"/>
    <w:rsid w:val="00D9469D"/>
    <w:rsid w:val="00D94A7C"/>
    <w:rsid w:val="00D95896"/>
    <w:rsid w:val="00DB2983"/>
    <w:rsid w:val="00DB7FEC"/>
    <w:rsid w:val="00DC1257"/>
    <w:rsid w:val="00DC3DC0"/>
    <w:rsid w:val="00DC5B2B"/>
    <w:rsid w:val="00DD318D"/>
    <w:rsid w:val="00DF2E12"/>
    <w:rsid w:val="00DF514A"/>
    <w:rsid w:val="00DF6690"/>
    <w:rsid w:val="00DF6804"/>
    <w:rsid w:val="00E0358D"/>
    <w:rsid w:val="00E03EDD"/>
    <w:rsid w:val="00E04323"/>
    <w:rsid w:val="00E070A2"/>
    <w:rsid w:val="00E25946"/>
    <w:rsid w:val="00E2656A"/>
    <w:rsid w:val="00E277CD"/>
    <w:rsid w:val="00E30F4D"/>
    <w:rsid w:val="00E34C07"/>
    <w:rsid w:val="00E412D0"/>
    <w:rsid w:val="00E46784"/>
    <w:rsid w:val="00E56322"/>
    <w:rsid w:val="00E60982"/>
    <w:rsid w:val="00E62C62"/>
    <w:rsid w:val="00E654C1"/>
    <w:rsid w:val="00E65D97"/>
    <w:rsid w:val="00E72A5A"/>
    <w:rsid w:val="00E73354"/>
    <w:rsid w:val="00E9242D"/>
    <w:rsid w:val="00E956C9"/>
    <w:rsid w:val="00EB5255"/>
    <w:rsid w:val="00EB5C47"/>
    <w:rsid w:val="00EC4807"/>
    <w:rsid w:val="00ED0639"/>
    <w:rsid w:val="00ED6A31"/>
    <w:rsid w:val="00EF4755"/>
    <w:rsid w:val="00EF7135"/>
    <w:rsid w:val="00EF7ADA"/>
    <w:rsid w:val="00F027DB"/>
    <w:rsid w:val="00F14A7A"/>
    <w:rsid w:val="00F22985"/>
    <w:rsid w:val="00F3383E"/>
    <w:rsid w:val="00F465A7"/>
    <w:rsid w:val="00F50B7C"/>
    <w:rsid w:val="00F550E6"/>
    <w:rsid w:val="00F555EF"/>
    <w:rsid w:val="00F64644"/>
    <w:rsid w:val="00F74345"/>
    <w:rsid w:val="00F80A0A"/>
    <w:rsid w:val="00F82B19"/>
    <w:rsid w:val="00F9212D"/>
    <w:rsid w:val="00F965DA"/>
    <w:rsid w:val="00FA406A"/>
    <w:rsid w:val="00FB0A23"/>
    <w:rsid w:val="00FB503A"/>
    <w:rsid w:val="00FB516C"/>
    <w:rsid w:val="00FC64C7"/>
    <w:rsid w:val="00FD0236"/>
    <w:rsid w:val="00FD18F4"/>
    <w:rsid w:val="00FD1B74"/>
    <w:rsid w:val="00FD54DB"/>
    <w:rsid w:val="00FD619F"/>
    <w:rsid w:val="01290F7E"/>
    <w:rsid w:val="015D1E09"/>
    <w:rsid w:val="01663B6C"/>
    <w:rsid w:val="01905E65"/>
    <w:rsid w:val="02103B5A"/>
    <w:rsid w:val="02697903"/>
    <w:rsid w:val="0271318D"/>
    <w:rsid w:val="02746D69"/>
    <w:rsid w:val="02F96569"/>
    <w:rsid w:val="033370C7"/>
    <w:rsid w:val="037404DE"/>
    <w:rsid w:val="038F6EE3"/>
    <w:rsid w:val="03EA7B21"/>
    <w:rsid w:val="04162FCF"/>
    <w:rsid w:val="04AF4457"/>
    <w:rsid w:val="0544634F"/>
    <w:rsid w:val="059C5E02"/>
    <w:rsid w:val="05AD3936"/>
    <w:rsid w:val="05F83EAE"/>
    <w:rsid w:val="063E7D85"/>
    <w:rsid w:val="06F04422"/>
    <w:rsid w:val="06F3462A"/>
    <w:rsid w:val="07293586"/>
    <w:rsid w:val="07295285"/>
    <w:rsid w:val="07462294"/>
    <w:rsid w:val="075B4D12"/>
    <w:rsid w:val="07636392"/>
    <w:rsid w:val="076F2ABA"/>
    <w:rsid w:val="07770C56"/>
    <w:rsid w:val="078E70D0"/>
    <w:rsid w:val="0911187A"/>
    <w:rsid w:val="092217DD"/>
    <w:rsid w:val="093A7294"/>
    <w:rsid w:val="0A202CFA"/>
    <w:rsid w:val="0A263993"/>
    <w:rsid w:val="0A2D3AC2"/>
    <w:rsid w:val="0AA755DF"/>
    <w:rsid w:val="0AAB1C21"/>
    <w:rsid w:val="0B120D44"/>
    <w:rsid w:val="0B3C3152"/>
    <w:rsid w:val="0B776EC0"/>
    <w:rsid w:val="0BD27BF6"/>
    <w:rsid w:val="0BF77791"/>
    <w:rsid w:val="0C0F4D8F"/>
    <w:rsid w:val="0C120B04"/>
    <w:rsid w:val="0C3B3C7D"/>
    <w:rsid w:val="0C760F26"/>
    <w:rsid w:val="0CAB2EAE"/>
    <w:rsid w:val="0CD072EC"/>
    <w:rsid w:val="0D621C7D"/>
    <w:rsid w:val="0DCD1E7F"/>
    <w:rsid w:val="0E185306"/>
    <w:rsid w:val="0E73034D"/>
    <w:rsid w:val="0E9C79C6"/>
    <w:rsid w:val="0EE26D46"/>
    <w:rsid w:val="0F042516"/>
    <w:rsid w:val="0F13775A"/>
    <w:rsid w:val="0F5F45FE"/>
    <w:rsid w:val="0F9A112B"/>
    <w:rsid w:val="10111E35"/>
    <w:rsid w:val="10420F34"/>
    <w:rsid w:val="10423695"/>
    <w:rsid w:val="106D2F64"/>
    <w:rsid w:val="107734BE"/>
    <w:rsid w:val="10A50214"/>
    <w:rsid w:val="10B63710"/>
    <w:rsid w:val="10F10820"/>
    <w:rsid w:val="111C2F7A"/>
    <w:rsid w:val="11537A88"/>
    <w:rsid w:val="11665CA1"/>
    <w:rsid w:val="12492CBA"/>
    <w:rsid w:val="12500052"/>
    <w:rsid w:val="12666DBA"/>
    <w:rsid w:val="12954B1D"/>
    <w:rsid w:val="12C32F26"/>
    <w:rsid w:val="13066B90"/>
    <w:rsid w:val="13766C65"/>
    <w:rsid w:val="13951726"/>
    <w:rsid w:val="13D951E2"/>
    <w:rsid w:val="14396509"/>
    <w:rsid w:val="14DD2C3C"/>
    <w:rsid w:val="15E87E37"/>
    <w:rsid w:val="16087E1D"/>
    <w:rsid w:val="163559AE"/>
    <w:rsid w:val="1739327C"/>
    <w:rsid w:val="17701D14"/>
    <w:rsid w:val="17735226"/>
    <w:rsid w:val="185C6978"/>
    <w:rsid w:val="189F624C"/>
    <w:rsid w:val="18D2639D"/>
    <w:rsid w:val="18DF7E53"/>
    <w:rsid w:val="191A317F"/>
    <w:rsid w:val="1925777F"/>
    <w:rsid w:val="195F53C8"/>
    <w:rsid w:val="199211C8"/>
    <w:rsid w:val="1A1C66C0"/>
    <w:rsid w:val="1A42393B"/>
    <w:rsid w:val="1A674621"/>
    <w:rsid w:val="1A6C6B6D"/>
    <w:rsid w:val="1A874E9C"/>
    <w:rsid w:val="1AAD45DE"/>
    <w:rsid w:val="1AC53C54"/>
    <w:rsid w:val="1B046F80"/>
    <w:rsid w:val="1B3267B5"/>
    <w:rsid w:val="1B40161D"/>
    <w:rsid w:val="1B441859"/>
    <w:rsid w:val="1B6606B1"/>
    <w:rsid w:val="1C5E7925"/>
    <w:rsid w:val="1CE65C54"/>
    <w:rsid w:val="1CFD070F"/>
    <w:rsid w:val="1D42325F"/>
    <w:rsid w:val="1D5F6196"/>
    <w:rsid w:val="1D6132A5"/>
    <w:rsid w:val="1D725739"/>
    <w:rsid w:val="1D8C2B4A"/>
    <w:rsid w:val="1D8E56D5"/>
    <w:rsid w:val="1D9F7EC8"/>
    <w:rsid w:val="1E583197"/>
    <w:rsid w:val="1E7A43DA"/>
    <w:rsid w:val="1E841D36"/>
    <w:rsid w:val="1E971721"/>
    <w:rsid w:val="1F211521"/>
    <w:rsid w:val="1F4F0695"/>
    <w:rsid w:val="1FA12F25"/>
    <w:rsid w:val="1FD33BCB"/>
    <w:rsid w:val="1FE7539E"/>
    <w:rsid w:val="1FF61104"/>
    <w:rsid w:val="20671BE0"/>
    <w:rsid w:val="206F1D23"/>
    <w:rsid w:val="20857532"/>
    <w:rsid w:val="208C34BF"/>
    <w:rsid w:val="20963CB8"/>
    <w:rsid w:val="20A81A1B"/>
    <w:rsid w:val="20B07FB6"/>
    <w:rsid w:val="20B646FB"/>
    <w:rsid w:val="213B74B1"/>
    <w:rsid w:val="21445F86"/>
    <w:rsid w:val="21471BB1"/>
    <w:rsid w:val="215A2310"/>
    <w:rsid w:val="21D21CED"/>
    <w:rsid w:val="21DE318A"/>
    <w:rsid w:val="21EF5B80"/>
    <w:rsid w:val="2231205F"/>
    <w:rsid w:val="22576990"/>
    <w:rsid w:val="22DF0165"/>
    <w:rsid w:val="22F47480"/>
    <w:rsid w:val="22F5333A"/>
    <w:rsid w:val="23300095"/>
    <w:rsid w:val="233236DC"/>
    <w:rsid w:val="233366AC"/>
    <w:rsid w:val="235E73F4"/>
    <w:rsid w:val="23A3278F"/>
    <w:rsid w:val="23DE1C48"/>
    <w:rsid w:val="23FB4D9D"/>
    <w:rsid w:val="240210CD"/>
    <w:rsid w:val="24BF09F7"/>
    <w:rsid w:val="252D53FE"/>
    <w:rsid w:val="25EC2D81"/>
    <w:rsid w:val="266F0A68"/>
    <w:rsid w:val="267D4877"/>
    <w:rsid w:val="26A660F3"/>
    <w:rsid w:val="274A3283"/>
    <w:rsid w:val="275168AE"/>
    <w:rsid w:val="27615D27"/>
    <w:rsid w:val="277057A2"/>
    <w:rsid w:val="27D77C0D"/>
    <w:rsid w:val="28BB06C3"/>
    <w:rsid w:val="28F84AB7"/>
    <w:rsid w:val="29206EB8"/>
    <w:rsid w:val="29595666"/>
    <w:rsid w:val="29656940"/>
    <w:rsid w:val="29874881"/>
    <w:rsid w:val="29C554FD"/>
    <w:rsid w:val="29E325E0"/>
    <w:rsid w:val="29F64FFC"/>
    <w:rsid w:val="2A452503"/>
    <w:rsid w:val="2B0E1393"/>
    <w:rsid w:val="2B1D4306"/>
    <w:rsid w:val="2B7E2D23"/>
    <w:rsid w:val="2B991967"/>
    <w:rsid w:val="2BA936A8"/>
    <w:rsid w:val="2BF46911"/>
    <w:rsid w:val="2C115C0B"/>
    <w:rsid w:val="2C315A5A"/>
    <w:rsid w:val="2C4B1C25"/>
    <w:rsid w:val="2CC84006"/>
    <w:rsid w:val="2CE44FA5"/>
    <w:rsid w:val="2CF57952"/>
    <w:rsid w:val="2D9E56F5"/>
    <w:rsid w:val="2DA316A4"/>
    <w:rsid w:val="2E667F96"/>
    <w:rsid w:val="2E8226AB"/>
    <w:rsid w:val="2E915E1B"/>
    <w:rsid w:val="2EFD0DFD"/>
    <w:rsid w:val="2F011B6F"/>
    <w:rsid w:val="2F125B53"/>
    <w:rsid w:val="2F5864D1"/>
    <w:rsid w:val="2F5E5B1E"/>
    <w:rsid w:val="2FB75802"/>
    <w:rsid w:val="2FD065E6"/>
    <w:rsid w:val="2FD96870"/>
    <w:rsid w:val="30344E12"/>
    <w:rsid w:val="30580BC9"/>
    <w:rsid w:val="30910F32"/>
    <w:rsid w:val="311E2ED7"/>
    <w:rsid w:val="315619EE"/>
    <w:rsid w:val="315C449C"/>
    <w:rsid w:val="31963175"/>
    <w:rsid w:val="31B82709"/>
    <w:rsid w:val="31D05482"/>
    <w:rsid w:val="31F22435"/>
    <w:rsid w:val="323C66B9"/>
    <w:rsid w:val="32400B34"/>
    <w:rsid w:val="324337FF"/>
    <w:rsid w:val="329E6876"/>
    <w:rsid w:val="32DA6910"/>
    <w:rsid w:val="330F21F9"/>
    <w:rsid w:val="333015F2"/>
    <w:rsid w:val="334B3A0C"/>
    <w:rsid w:val="334B6320"/>
    <w:rsid w:val="33B34C37"/>
    <w:rsid w:val="33D934D4"/>
    <w:rsid w:val="33FE2F6A"/>
    <w:rsid w:val="340E07E5"/>
    <w:rsid w:val="341F3296"/>
    <w:rsid w:val="34235BF7"/>
    <w:rsid w:val="345C2E14"/>
    <w:rsid w:val="34F825F3"/>
    <w:rsid w:val="356563A5"/>
    <w:rsid w:val="358C5FA8"/>
    <w:rsid w:val="35C15DF1"/>
    <w:rsid w:val="36074A7F"/>
    <w:rsid w:val="36280C33"/>
    <w:rsid w:val="3630259E"/>
    <w:rsid w:val="36923549"/>
    <w:rsid w:val="36B75FBF"/>
    <w:rsid w:val="36BD0C45"/>
    <w:rsid w:val="36D5280E"/>
    <w:rsid w:val="374B2E2B"/>
    <w:rsid w:val="37702892"/>
    <w:rsid w:val="37E00298"/>
    <w:rsid w:val="381D3211"/>
    <w:rsid w:val="386B3417"/>
    <w:rsid w:val="387B29C2"/>
    <w:rsid w:val="38B302F9"/>
    <w:rsid w:val="38EB6C1C"/>
    <w:rsid w:val="38F12CD3"/>
    <w:rsid w:val="38F94775"/>
    <w:rsid w:val="392971ED"/>
    <w:rsid w:val="39325651"/>
    <w:rsid w:val="39D75630"/>
    <w:rsid w:val="3A01082A"/>
    <w:rsid w:val="3A872856"/>
    <w:rsid w:val="3B116F54"/>
    <w:rsid w:val="3B254F1C"/>
    <w:rsid w:val="3B3763D1"/>
    <w:rsid w:val="3B4D5EDA"/>
    <w:rsid w:val="3BB6503F"/>
    <w:rsid w:val="3C2F6E1E"/>
    <w:rsid w:val="3C4F64BA"/>
    <w:rsid w:val="3C5B60FB"/>
    <w:rsid w:val="3C844032"/>
    <w:rsid w:val="3CDA245A"/>
    <w:rsid w:val="3CDB53A2"/>
    <w:rsid w:val="3D1E069A"/>
    <w:rsid w:val="3D1E06B7"/>
    <w:rsid w:val="3D401083"/>
    <w:rsid w:val="3D4F4CF8"/>
    <w:rsid w:val="3DB87EE7"/>
    <w:rsid w:val="3DC01678"/>
    <w:rsid w:val="3ED277E7"/>
    <w:rsid w:val="3EDA0523"/>
    <w:rsid w:val="3F12422F"/>
    <w:rsid w:val="403E7988"/>
    <w:rsid w:val="407A6407"/>
    <w:rsid w:val="4105385E"/>
    <w:rsid w:val="411A735C"/>
    <w:rsid w:val="418A7F9F"/>
    <w:rsid w:val="419E635E"/>
    <w:rsid w:val="4200449D"/>
    <w:rsid w:val="423A3BCC"/>
    <w:rsid w:val="423B1ED3"/>
    <w:rsid w:val="424E57D2"/>
    <w:rsid w:val="427174BE"/>
    <w:rsid w:val="42B26C49"/>
    <w:rsid w:val="42FC597E"/>
    <w:rsid w:val="4319215D"/>
    <w:rsid w:val="433A6FE6"/>
    <w:rsid w:val="43480868"/>
    <w:rsid w:val="4350713C"/>
    <w:rsid w:val="436653E0"/>
    <w:rsid w:val="437B05F4"/>
    <w:rsid w:val="438B76F5"/>
    <w:rsid w:val="43905D85"/>
    <w:rsid w:val="43C21AE0"/>
    <w:rsid w:val="43C4431A"/>
    <w:rsid w:val="441B50AB"/>
    <w:rsid w:val="44290050"/>
    <w:rsid w:val="44B951CC"/>
    <w:rsid w:val="44CD14E0"/>
    <w:rsid w:val="44F20B0B"/>
    <w:rsid w:val="452B3F75"/>
    <w:rsid w:val="452E5F4C"/>
    <w:rsid w:val="45612018"/>
    <w:rsid w:val="458946E9"/>
    <w:rsid w:val="45A47C0E"/>
    <w:rsid w:val="45F938BE"/>
    <w:rsid w:val="46275A13"/>
    <w:rsid w:val="46577FD6"/>
    <w:rsid w:val="46D955A7"/>
    <w:rsid w:val="46F9465F"/>
    <w:rsid w:val="47133957"/>
    <w:rsid w:val="47A07E0C"/>
    <w:rsid w:val="47BE447C"/>
    <w:rsid w:val="47C93C61"/>
    <w:rsid w:val="48067952"/>
    <w:rsid w:val="4870272E"/>
    <w:rsid w:val="488B3960"/>
    <w:rsid w:val="491C0184"/>
    <w:rsid w:val="49512E1A"/>
    <w:rsid w:val="49833DF2"/>
    <w:rsid w:val="49DB003F"/>
    <w:rsid w:val="49DC7715"/>
    <w:rsid w:val="4A023139"/>
    <w:rsid w:val="4A763EAD"/>
    <w:rsid w:val="4A7B576F"/>
    <w:rsid w:val="4AAD2843"/>
    <w:rsid w:val="4ABA4F6F"/>
    <w:rsid w:val="4AF561A9"/>
    <w:rsid w:val="4B756271"/>
    <w:rsid w:val="4BB33A7C"/>
    <w:rsid w:val="4C2C513F"/>
    <w:rsid w:val="4C4A0649"/>
    <w:rsid w:val="4C7E5ECA"/>
    <w:rsid w:val="4C876AA5"/>
    <w:rsid w:val="4CD24C1E"/>
    <w:rsid w:val="4CE30FB8"/>
    <w:rsid w:val="4CE4428F"/>
    <w:rsid w:val="4D0E00FB"/>
    <w:rsid w:val="4D176606"/>
    <w:rsid w:val="4DEC4FB0"/>
    <w:rsid w:val="4E075D8A"/>
    <w:rsid w:val="4E0B5E7A"/>
    <w:rsid w:val="4E2714E0"/>
    <w:rsid w:val="4E6F2A96"/>
    <w:rsid w:val="4EC00FAD"/>
    <w:rsid w:val="4EC746C5"/>
    <w:rsid w:val="4EDD6607"/>
    <w:rsid w:val="4EE25141"/>
    <w:rsid w:val="4F0A2BC7"/>
    <w:rsid w:val="4F9843DC"/>
    <w:rsid w:val="4FB058E0"/>
    <w:rsid w:val="4FC62A8C"/>
    <w:rsid w:val="4FD415C8"/>
    <w:rsid w:val="4FE20F0D"/>
    <w:rsid w:val="4FE227D2"/>
    <w:rsid w:val="4FE51552"/>
    <w:rsid w:val="50056B41"/>
    <w:rsid w:val="50504C4B"/>
    <w:rsid w:val="509C6E7C"/>
    <w:rsid w:val="509E63CF"/>
    <w:rsid w:val="50B25872"/>
    <w:rsid w:val="515F3303"/>
    <w:rsid w:val="5162104E"/>
    <w:rsid w:val="51B976D0"/>
    <w:rsid w:val="532C190B"/>
    <w:rsid w:val="535D469E"/>
    <w:rsid w:val="53754FD6"/>
    <w:rsid w:val="53A039CC"/>
    <w:rsid w:val="53A1505A"/>
    <w:rsid w:val="54063E08"/>
    <w:rsid w:val="54165217"/>
    <w:rsid w:val="543437E8"/>
    <w:rsid w:val="543E3E8F"/>
    <w:rsid w:val="54424EA8"/>
    <w:rsid w:val="547111E4"/>
    <w:rsid w:val="54734EC4"/>
    <w:rsid w:val="549C17C7"/>
    <w:rsid w:val="54E03E4A"/>
    <w:rsid w:val="54F73313"/>
    <w:rsid w:val="54F80955"/>
    <w:rsid w:val="54FA0480"/>
    <w:rsid w:val="555170A7"/>
    <w:rsid w:val="555E5E13"/>
    <w:rsid w:val="5587536D"/>
    <w:rsid w:val="559B174B"/>
    <w:rsid w:val="55CE0CF4"/>
    <w:rsid w:val="56B22A9C"/>
    <w:rsid w:val="56D04BE4"/>
    <w:rsid w:val="56D94134"/>
    <w:rsid w:val="57543A9F"/>
    <w:rsid w:val="57922F1A"/>
    <w:rsid w:val="579417ED"/>
    <w:rsid w:val="57B72A76"/>
    <w:rsid w:val="57C3426C"/>
    <w:rsid w:val="57CE1F93"/>
    <w:rsid w:val="58250ADB"/>
    <w:rsid w:val="58753A6F"/>
    <w:rsid w:val="58854B47"/>
    <w:rsid w:val="588743D1"/>
    <w:rsid w:val="5887701A"/>
    <w:rsid w:val="589F1880"/>
    <w:rsid w:val="58BB2AAA"/>
    <w:rsid w:val="59824FFB"/>
    <w:rsid w:val="59B43A2B"/>
    <w:rsid w:val="59C0439F"/>
    <w:rsid w:val="59D834A5"/>
    <w:rsid w:val="5A11715F"/>
    <w:rsid w:val="5A335AF0"/>
    <w:rsid w:val="5A3D77C2"/>
    <w:rsid w:val="5A720D92"/>
    <w:rsid w:val="5ABE2233"/>
    <w:rsid w:val="5B6F77D8"/>
    <w:rsid w:val="5B9C7AD3"/>
    <w:rsid w:val="5BDF5D95"/>
    <w:rsid w:val="5BFE7528"/>
    <w:rsid w:val="5CAC586B"/>
    <w:rsid w:val="5D074634"/>
    <w:rsid w:val="5D350389"/>
    <w:rsid w:val="5D9808AB"/>
    <w:rsid w:val="5E150D69"/>
    <w:rsid w:val="5E2467F1"/>
    <w:rsid w:val="5EA13F02"/>
    <w:rsid w:val="5ED94942"/>
    <w:rsid w:val="5F1A2B43"/>
    <w:rsid w:val="5FB837BB"/>
    <w:rsid w:val="60075343"/>
    <w:rsid w:val="607C7302"/>
    <w:rsid w:val="60AE3960"/>
    <w:rsid w:val="60CB2852"/>
    <w:rsid w:val="60CC405A"/>
    <w:rsid w:val="60FB47DB"/>
    <w:rsid w:val="612B1C16"/>
    <w:rsid w:val="61E215D8"/>
    <w:rsid w:val="621B3775"/>
    <w:rsid w:val="62364782"/>
    <w:rsid w:val="6284202E"/>
    <w:rsid w:val="634A37C9"/>
    <w:rsid w:val="6394356A"/>
    <w:rsid w:val="63C61B2C"/>
    <w:rsid w:val="63CC711C"/>
    <w:rsid w:val="63D40BE9"/>
    <w:rsid w:val="63D86AA1"/>
    <w:rsid w:val="64102431"/>
    <w:rsid w:val="64553541"/>
    <w:rsid w:val="64A5243A"/>
    <w:rsid w:val="64F531DE"/>
    <w:rsid w:val="650A212E"/>
    <w:rsid w:val="65373578"/>
    <w:rsid w:val="65C66526"/>
    <w:rsid w:val="65F04A1A"/>
    <w:rsid w:val="6622484F"/>
    <w:rsid w:val="671F124A"/>
    <w:rsid w:val="677A33C6"/>
    <w:rsid w:val="67814D37"/>
    <w:rsid w:val="67DB1759"/>
    <w:rsid w:val="67FF2CF3"/>
    <w:rsid w:val="681F6961"/>
    <w:rsid w:val="68610A2F"/>
    <w:rsid w:val="68634C04"/>
    <w:rsid w:val="68734CE2"/>
    <w:rsid w:val="687E4739"/>
    <w:rsid w:val="68805514"/>
    <w:rsid w:val="68D0631D"/>
    <w:rsid w:val="69316E2F"/>
    <w:rsid w:val="693774A4"/>
    <w:rsid w:val="694E2071"/>
    <w:rsid w:val="695B712E"/>
    <w:rsid w:val="69766163"/>
    <w:rsid w:val="697A3B33"/>
    <w:rsid w:val="69D44760"/>
    <w:rsid w:val="69ED5961"/>
    <w:rsid w:val="69FB3E16"/>
    <w:rsid w:val="6A520EC7"/>
    <w:rsid w:val="6A6316A0"/>
    <w:rsid w:val="6AF87E20"/>
    <w:rsid w:val="6B244AEC"/>
    <w:rsid w:val="6B322639"/>
    <w:rsid w:val="6BE91B26"/>
    <w:rsid w:val="6C3B25A4"/>
    <w:rsid w:val="6C453E82"/>
    <w:rsid w:val="6C636C38"/>
    <w:rsid w:val="6C873F52"/>
    <w:rsid w:val="6CBE317C"/>
    <w:rsid w:val="6CE55B1A"/>
    <w:rsid w:val="6CF823DA"/>
    <w:rsid w:val="6D6B3656"/>
    <w:rsid w:val="6D7F4976"/>
    <w:rsid w:val="6DB34098"/>
    <w:rsid w:val="6DB545B6"/>
    <w:rsid w:val="6DE02FB4"/>
    <w:rsid w:val="6DF42BCE"/>
    <w:rsid w:val="6DF93E70"/>
    <w:rsid w:val="6E3928CA"/>
    <w:rsid w:val="6E514CED"/>
    <w:rsid w:val="6E6C09B6"/>
    <w:rsid w:val="6E764E40"/>
    <w:rsid w:val="6E874A80"/>
    <w:rsid w:val="6EB34837"/>
    <w:rsid w:val="6EB563D5"/>
    <w:rsid w:val="6ED92677"/>
    <w:rsid w:val="6F225983"/>
    <w:rsid w:val="6F7973AC"/>
    <w:rsid w:val="6FFC5590"/>
    <w:rsid w:val="706D1DD0"/>
    <w:rsid w:val="70856B87"/>
    <w:rsid w:val="709B0F32"/>
    <w:rsid w:val="70D527EE"/>
    <w:rsid w:val="70F90D22"/>
    <w:rsid w:val="71134645"/>
    <w:rsid w:val="715B5300"/>
    <w:rsid w:val="71D27F8A"/>
    <w:rsid w:val="72553024"/>
    <w:rsid w:val="726605FC"/>
    <w:rsid w:val="726F426A"/>
    <w:rsid w:val="72912CD9"/>
    <w:rsid w:val="729845D0"/>
    <w:rsid w:val="72C133B4"/>
    <w:rsid w:val="72DF2296"/>
    <w:rsid w:val="73021175"/>
    <w:rsid w:val="73122968"/>
    <w:rsid w:val="731B4F3A"/>
    <w:rsid w:val="731F5D5E"/>
    <w:rsid w:val="736A2BC4"/>
    <w:rsid w:val="73C51AD5"/>
    <w:rsid w:val="741E793C"/>
    <w:rsid w:val="745E3944"/>
    <w:rsid w:val="74727E34"/>
    <w:rsid w:val="755D1CDF"/>
    <w:rsid w:val="75A6081C"/>
    <w:rsid w:val="7635099D"/>
    <w:rsid w:val="76BF2DDD"/>
    <w:rsid w:val="77276A3D"/>
    <w:rsid w:val="77277B70"/>
    <w:rsid w:val="77762421"/>
    <w:rsid w:val="779C232A"/>
    <w:rsid w:val="77AB737E"/>
    <w:rsid w:val="77B56B1F"/>
    <w:rsid w:val="77B627AB"/>
    <w:rsid w:val="780F09F4"/>
    <w:rsid w:val="78A90480"/>
    <w:rsid w:val="78B25EFE"/>
    <w:rsid w:val="78C338C8"/>
    <w:rsid w:val="791F31F5"/>
    <w:rsid w:val="7A154099"/>
    <w:rsid w:val="7A364017"/>
    <w:rsid w:val="7A8265E1"/>
    <w:rsid w:val="7ABC1ADE"/>
    <w:rsid w:val="7AE95AE1"/>
    <w:rsid w:val="7AEB44F3"/>
    <w:rsid w:val="7AF77D09"/>
    <w:rsid w:val="7B42141C"/>
    <w:rsid w:val="7B686D42"/>
    <w:rsid w:val="7B841746"/>
    <w:rsid w:val="7BB2613B"/>
    <w:rsid w:val="7BF722B1"/>
    <w:rsid w:val="7C6C5AC7"/>
    <w:rsid w:val="7C972180"/>
    <w:rsid w:val="7CC6544B"/>
    <w:rsid w:val="7CF95082"/>
    <w:rsid w:val="7D0239FF"/>
    <w:rsid w:val="7D0D0F5E"/>
    <w:rsid w:val="7D1F35C6"/>
    <w:rsid w:val="7D5E40CD"/>
    <w:rsid w:val="7DCD56F2"/>
    <w:rsid w:val="7E19183E"/>
    <w:rsid w:val="7E493507"/>
    <w:rsid w:val="7E591655"/>
    <w:rsid w:val="7E891C89"/>
    <w:rsid w:val="7F001CE7"/>
    <w:rsid w:val="7F3A41FE"/>
    <w:rsid w:val="7F630367"/>
    <w:rsid w:val="7FE47E50"/>
    <w:rsid w:val="7FED06F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semiHidden="0" w:name="heading 2" w:locked="1"/>
    <w:lsdException w:qFormat="1" w:unhideWhenUsed="0" w:uiPriority="0" w:semiHidden="0" w:name="heading 3" w:locked="1"/>
    <w:lsdException w:qFormat="1" w:uiPriority="0" w:name="heading 4" w:locked="1"/>
    <w:lsdException w:qFormat="1" w:unhideWhenUsed="0" w:uiPriority="0" w:semiHidden="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qFormat="1" w:unhideWhenUsed="0" w:uiPriority="0" w:semiHidden="0" w:name="index 7" w:locked="1"/>
    <w:lsdException w:unhideWhenUsed="0" w:uiPriority="0" w:semiHidden="0" w:name="index 8" w:locked="1"/>
    <w:lsdException w:unhideWhenUsed="0" w:uiPriority="0" w:semiHidden="0" w:name="index 9" w:locked="1"/>
    <w:lsdException w:qFormat="1"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ocked="1"/>
    <w:lsdException w:qFormat="1" w:unhideWhenUsed="0" w:uiPriority="0" w:semiHidden="0" w:name="caption" w:locked="1"/>
    <w:lsdException w:qFormat="1"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unhideWhenUsed="0" w:uiPriority="0" w:name="annotation reference"/>
    <w:lsdException w:unhideWhenUsed="0" w:uiPriority="0" w:semiHidden="0" w:name="line number" w:locked="1"/>
    <w:lsdException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qFormat="1" w:unhideWhenUsed="0" w:uiPriority="99"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qFormat="1"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qFormat="1" w:uiPriority="0" w:semiHidden="0" w:name="Salutation" w:locked="1"/>
    <w:lsdException w:qFormat="1" w:unhideWhenUsed="0" w:uiPriority="0" w:semiHidden="0" w:name="Date"/>
    <w:lsdException w:qFormat="1" w:unhideWhenUsed="0" w:uiPriority="0" w:semiHidden="0" w:name="Body Text First Indent" w:locked="1"/>
    <w:lsdException w:qFormat="1"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qFormat="1" w:unhideWhenUsed="0" w:uiPriority="0" w:semiHidden="0" w:name="Body Text Indent 2" w:locked="1"/>
    <w:lsdException w:unhideWhenUsed="0" w:uiPriority="0" w:semiHidden="0" w:name="Body Text Indent 3" w:locked="1"/>
    <w:lsdException w:unhideWhenUsed="0" w:uiPriority="0" w:semiHidden="0" w:name="Block Text" w:locked="1"/>
    <w:lsdException w:uiPriority="99"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qFormat="1" w:unhideWhenUsed="0"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nhideWhenUsed="0" w:uiPriority="0" w:name="Normal Table"/>
    <w:lsdException w:qFormat="1" w:unhideWhenUsed="0" w:uiPriority="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0" w:name="Balloon Text"/>
    <w:lsdException w:unhideWhenUsed="0" w:uiPriority="0"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1"/>
      <w:lang w:val="en-US" w:eastAsia="zh-CN" w:bidi="ar-SA"/>
    </w:rPr>
  </w:style>
  <w:style w:type="paragraph" w:styleId="3">
    <w:name w:val="heading 1"/>
    <w:basedOn w:val="1"/>
    <w:next w:val="1"/>
    <w:link w:val="50"/>
    <w:qFormat/>
    <w:locked/>
    <w:uiPriority w:val="99"/>
    <w:pPr>
      <w:keepNext/>
      <w:overflowPunct w:val="0"/>
      <w:snapToGrid w:val="0"/>
      <w:spacing w:line="240" w:lineRule="auto"/>
      <w:ind w:left="431" w:hanging="431"/>
      <w:outlineLvl w:val="0"/>
    </w:pPr>
    <w:rPr>
      <w:rFonts w:ascii="Times New Roman" w:hAnsi="Times New Roman" w:eastAsia="黑体"/>
      <w:bCs/>
      <w:color w:val="000000"/>
      <w:kern w:val="44"/>
      <w:sz w:val="30"/>
      <w:szCs w:val="30"/>
    </w:rPr>
  </w:style>
  <w:style w:type="paragraph" w:styleId="4">
    <w:name w:val="heading 2"/>
    <w:basedOn w:val="1"/>
    <w:next w:val="1"/>
    <w:link w:val="51"/>
    <w:unhideWhenUsed/>
    <w:qFormat/>
    <w:locked/>
    <w:uiPriority w:val="0"/>
    <w:pPr>
      <w:keepNext/>
      <w:keepLines/>
      <w:numPr>
        <w:ilvl w:val="1"/>
        <w:numId w:val="1"/>
      </w:numPr>
      <w:snapToGrid/>
      <w:spacing w:line="360" w:lineRule="auto"/>
      <w:ind w:left="0" w:firstLine="0"/>
      <w:outlineLvl w:val="1"/>
    </w:pPr>
    <w:rPr>
      <w:rFonts w:eastAsia="黑体"/>
      <w:bCs/>
      <w:szCs w:val="30"/>
    </w:rPr>
  </w:style>
  <w:style w:type="paragraph" w:styleId="5">
    <w:name w:val="heading 3"/>
    <w:basedOn w:val="1"/>
    <w:next w:val="1"/>
    <w:link w:val="43"/>
    <w:qFormat/>
    <w:locked/>
    <w:uiPriority w:val="0"/>
    <w:pPr>
      <w:keepNext/>
      <w:keepLines/>
      <w:numPr>
        <w:ilvl w:val="2"/>
        <w:numId w:val="2"/>
      </w:numPr>
      <w:ind w:firstLineChars="0"/>
      <w:jc w:val="left"/>
      <w:outlineLvl w:val="2"/>
    </w:pPr>
    <w:rPr>
      <w:rFonts w:eastAsia="黑体"/>
      <w:kern w:val="0"/>
      <w:szCs w:val="24"/>
    </w:rPr>
  </w:style>
  <w:style w:type="paragraph" w:styleId="6">
    <w:name w:val="heading 5"/>
    <w:basedOn w:val="1"/>
    <w:next w:val="1"/>
    <w:qFormat/>
    <w:locked/>
    <w:uiPriority w:val="0"/>
    <w:pPr>
      <w:ind w:left="1360" w:hanging="901"/>
      <w:outlineLvl w:val="4"/>
    </w:pPr>
    <w:rPr>
      <w:b/>
      <w:bCs/>
      <w:sz w:val="24"/>
      <w:szCs w:val="24"/>
    </w:rPr>
  </w:style>
  <w:style w:type="character" w:default="1" w:styleId="38">
    <w:name w:val="Default Paragraph Font"/>
    <w:semiHidden/>
    <w:qFormat/>
    <w:uiPriority w:val="0"/>
  </w:style>
  <w:style w:type="table" w:default="1" w:styleId="33">
    <w:name w:val="Normal Table"/>
    <w:semiHidden/>
    <w:qFormat/>
    <w:uiPriority w:val="0"/>
    <w:tblPr>
      <w:tblCellMar>
        <w:top w:w="0" w:type="dxa"/>
        <w:left w:w="108" w:type="dxa"/>
        <w:bottom w:w="0" w:type="dxa"/>
        <w:right w:w="108" w:type="dxa"/>
      </w:tblCellMar>
    </w:tblPr>
  </w:style>
  <w:style w:type="paragraph" w:styleId="2">
    <w:name w:val="macro"/>
    <w:basedOn w:val="1"/>
    <w:next w:val="1"/>
    <w:qFormat/>
    <w:locked/>
    <w:uiPriority w:val="99"/>
    <w:pPr>
      <w:widowControl/>
      <w:tabs>
        <w:tab w:val="left" w:pos="480"/>
        <w:tab w:val="left" w:pos="960"/>
        <w:tab w:val="left" w:pos="1276"/>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spacing w:before="50" w:beforeLines="50"/>
      <w:ind w:left="2127"/>
      <w:jc w:val="center"/>
    </w:pPr>
    <w:rPr>
      <w:rFonts w:eastAsia="黑体"/>
      <w:sz w:val="24"/>
      <w:szCs w:val="21"/>
    </w:rPr>
  </w:style>
  <w:style w:type="paragraph" w:styleId="7">
    <w:name w:val="Normal Indent"/>
    <w:basedOn w:val="1"/>
    <w:qFormat/>
    <w:locked/>
    <w:uiPriority w:val="0"/>
    <w:pPr>
      <w:spacing w:line="360" w:lineRule="auto"/>
      <w:ind w:firstLine="200" w:firstLineChars="200"/>
    </w:pPr>
    <w:rPr>
      <w:kern w:val="0"/>
      <w:sz w:val="28"/>
    </w:rPr>
  </w:style>
  <w:style w:type="paragraph" w:styleId="8">
    <w:name w:val="caption"/>
    <w:basedOn w:val="1"/>
    <w:next w:val="1"/>
    <w:qFormat/>
    <w:locked/>
    <w:uiPriority w:val="0"/>
    <w:pPr>
      <w:adjustRightInd w:val="0"/>
      <w:snapToGrid w:val="0"/>
      <w:ind w:firstLine="0" w:firstLineChars="0"/>
      <w:jc w:val="center"/>
    </w:pPr>
    <w:rPr>
      <w:rFonts w:eastAsia="黑体"/>
      <w:kern w:val="0"/>
      <w:szCs w:val="20"/>
    </w:rPr>
  </w:style>
  <w:style w:type="paragraph" w:styleId="9">
    <w:name w:val="annotation text"/>
    <w:basedOn w:val="1"/>
    <w:link w:val="52"/>
    <w:semiHidden/>
    <w:qFormat/>
    <w:uiPriority w:val="0"/>
    <w:pPr>
      <w:jc w:val="left"/>
    </w:pPr>
    <w:rPr>
      <w:kern w:val="0"/>
      <w:szCs w:val="20"/>
    </w:rPr>
  </w:style>
  <w:style w:type="paragraph" w:styleId="10">
    <w:name w:val="Salutation"/>
    <w:basedOn w:val="1"/>
    <w:next w:val="1"/>
    <w:unhideWhenUsed/>
    <w:qFormat/>
    <w:locked/>
    <w:uiPriority w:val="0"/>
    <w:rPr>
      <w:sz w:val="28"/>
    </w:rPr>
  </w:style>
  <w:style w:type="paragraph" w:styleId="11">
    <w:name w:val="Body Text"/>
    <w:basedOn w:val="1"/>
    <w:next w:val="12"/>
    <w:link w:val="53"/>
    <w:qFormat/>
    <w:uiPriority w:val="0"/>
    <w:pPr>
      <w:widowControl/>
      <w:snapToGrid w:val="0"/>
      <w:spacing w:before="60" w:after="160" w:line="259" w:lineRule="auto"/>
      <w:ind w:right="113"/>
    </w:pPr>
    <w:rPr>
      <w:kern w:val="0"/>
      <w:sz w:val="18"/>
      <w:szCs w:val="20"/>
    </w:rPr>
  </w:style>
  <w:style w:type="paragraph" w:styleId="12">
    <w:name w:val="List Bullet 5"/>
    <w:basedOn w:val="1"/>
    <w:qFormat/>
    <w:locked/>
    <w:uiPriority w:val="0"/>
    <w:pPr>
      <w:numPr>
        <w:ilvl w:val="0"/>
        <w:numId w:val="3"/>
      </w:numPr>
    </w:pPr>
  </w:style>
  <w:style w:type="paragraph" w:styleId="13">
    <w:name w:val="Body Text Indent"/>
    <w:basedOn w:val="1"/>
    <w:next w:val="14"/>
    <w:link w:val="54"/>
    <w:qFormat/>
    <w:uiPriority w:val="0"/>
    <w:pPr>
      <w:spacing w:after="120"/>
      <w:ind w:left="420" w:leftChars="200"/>
    </w:pPr>
    <w:rPr>
      <w:kern w:val="0"/>
      <w:szCs w:val="20"/>
    </w:rPr>
  </w:style>
  <w:style w:type="paragraph" w:styleId="14">
    <w:name w:val="header"/>
    <w:basedOn w:val="1"/>
    <w:next w:val="15"/>
    <w:link w:val="62"/>
    <w:qFormat/>
    <w:uiPriority w:val="0"/>
    <w:pPr>
      <w:pBdr>
        <w:bottom w:val="single" w:color="auto" w:sz="6" w:space="1"/>
      </w:pBdr>
      <w:tabs>
        <w:tab w:val="center" w:pos="4153"/>
        <w:tab w:val="right" w:pos="8306"/>
      </w:tabs>
      <w:snapToGrid w:val="0"/>
      <w:jc w:val="center"/>
    </w:pPr>
    <w:rPr>
      <w:kern w:val="0"/>
      <w:sz w:val="18"/>
      <w:szCs w:val="20"/>
    </w:rPr>
  </w:style>
  <w:style w:type="paragraph" w:customStyle="1" w:styleId="15">
    <w:name w:val="样式5"/>
    <w:basedOn w:val="16"/>
    <w:next w:val="1"/>
    <w:qFormat/>
    <w:uiPriority w:val="0"/>
    <w:pPr>
      <w:tabs>
        <w:tab w:val="center" w:pos="105"/>
      </w:tabs>
      <w:spacing w:after="0"/>
    </w:pPr>
    <w:rPr>
      <w:sz w:val="24"/>
      <w:szCs w:val="20"/>
    </w:rPr>
  </w:style>
  <w:style w:type="paragraph" w:customStyle="1" w:styleId="16">
    <w:name w:val="正文1"/>
    <w:basedOn w:val="11"/>
    <w:next w:val="1"/>
    <w:link w:val="63"/>
    <w:qFormat/>
    <w:uiPriority w:val="0"/>
    <w:pPr>
      <w:widowControl/>
      <w:tabs>
        <w:tab w:val="center" w:pos="105"/>
      </w:tabs>
      <w:spacing w:line="360" w:lineRule="auto"/>
      <w:ind w:firstLine="482"/>
    </w:pPr>
    <w:rPr>
      <w:kern w:val="0"/>
      <w:szCs w:val="20"/>
    </w:rPr>
  </w:style>
  <w:style w:type="paragraph" w:styleId="17">
    <w:name w:val="Plain Text"/>
    <w:basedOn w:val="1"/>
    <w:next w:val="18"/>
    <w:link w:val="57"/>
    <w:qFormat/>
    <w:locked/>
    <w:uiPriority w:val="0"/>
    <w:pPr>
      <w:widowControl/>
      <w:jc w:val="left"/>
    </w:pPr>
    <w:rPr>
      <w:rFonts w:ascii="宋体" w:hAnsi="Courier New"/>
      <w:sz w:val="21"/>
      <w:szCs w:val="20"/>
    </w:rPr>
  </w:style>
  <w:style w:type="paragraph" w:customStyle="1" w:styleId="18">
    <w:name w:val="报告正文"/>
    <w:basedOn w:val="1"/>
    <w:qFormat/>
    <w:uiPriority w:val="0"/>
    <w:pPr>
      <w:spacing w:line="360" w:lineRule="auto"/>
      <w:ind w:firstLine="200" w:firstLineChars="200"/>
    </w:pPr>
    <w:rPr>
      <w:rFonts w:cs="宋体"/>
      <w:sz w:val="24"/>
    </w:rPr>
  </w:style>
  <w:style w:type="paragraph" w:styleId="19">
    <w:name w:val="Date"/>
    <w:basedOn w:val="1"/>
    <w:next w:val="1"/>
    <w:link w:val="58"/>
    <w:qFormat/>
    <w:uiPriority w:val="0"/>
    <w:pPr>
      <w:ind w:left="100" w:leftChars="2500"/>
    </w:pPr>
    <w:rPr>
      <w:kern w:val="0"/>
      <w:szCs w:val="20"/>
    </w:rPr>
  </w:style>
  <w:style w:type="paragraph" w:styleId="20">
    <w:name w:val="Body Text Indent 2"/>
    <w:basedOn w:val="1"/>
    <w:next w:val="21"/>
    <w:link w:val="59"/>
    <w:qFormat/>
    <w:locked/>
    <w:uiPriority w:val="0"/>
    <w:pPr>
      <w:spacing w:after="120" w:line="480" w:lineRule="auto"/>
      <w:ind w:left="420" w:leftChars="200"/>
    </w:pPr>
    <w:rPr>
      <w:sz w:val="21"/>
      <w:szCs w:val="24"/>
    </w:rPr>
  </w:style>
  <w:style w:type="paragraph" w:customStyle="1" w:styleId="21">
    <w:name w:val="reader-word-layer reader-word-s46-2"/>
    <w:next w:val="22"/>
    <w:qFormat/>
    <w:uiPriority w:val="0"/>
    <w:pPr>
      <w:spacing w:before="100" w:beforeAutospacing="1" w:after="100" w:afterAutospacing="1"/>
    </w:pPr>
    <w:rPr>
      <w:rFonts w:ascii="宋体" w:hAnsi="宋体" w:eastAsia="Calibri" w:cs="宋体"/>
      <w:sz w:val="24"/>
      <w:szCs w:val="24"/>
      <w:lang w:val="en-US" w:eastAsia="en-US" w:bidi="ar-SA"/>
    </w:rPr>
  </w:style>
  <w:style w:type="paragraph" w:customStyle="1" w:styleId="22">
    <w:name w:val="xl35"/>
    <w:next w:val="1"/>
    <w:qFormat/>
    <w:uiPriority w:val="0"/>
    <w:pPr>
      <w:pBdr>
        <w:left w:val="single" w:color="000000" w:sz="4" w:space="0"/>
        <w:right w:val="single" w:color="000000" w:sz="4" w:space="0"/>
      </w:pBdr>
      <w:shd w:val="clear" w:color="FFFFFF" w:fill="FFFFFF"/>
      <w:spacing w:before="100" w:beforeAutospacing="1" w:after="100" w:afterAutospacing="1"/>
      <w:textAlignment w:val="center"/>
    </w:pPr>
    <w:rPr>
      <w:rFonts w:ascii="Arial Unicode MS" w:hAnsi="Arial Unicode MS" w:eastAsia="Arial Unicode MS" w:cs="Arial Unicode MS"/>
      <w:sz w:val="24"/>
      <w:szCs w:val="24"/>
      <w:lang w:val="en-US" w:eastAsia="en-US" w:bidi="ar-SA"/>
    </w:rPr>
  </w:style>
  <w:style w:type="paragraph" w:styleId="23">
    <w:name w:val="Balloon Text"/>
    <w:basedOn w:val="1"/>
    <w:link w:val="60"/>
    <w:semiHidden/>
    <w:qFormat/>
    <w:uiPriority w:val="0"/>
    <w:rPr>
      <w:kern w:val="0"/>
      <w:sz w:val="18"/>
      <w:szCs w:val="20"/>
    </w:rPr>
  </w:style>
  <w:style w:type="paragraph" w:styleId="24">
    <w:name w:val="footer"/>
    <w:basedOn w:val="1"/>
    <w:link w:val="61"/>
    <w:qFormat/>
    <w:uiPriority w:val="99"/>
    <w:pPr>
      <w:tabs>
        <w:tab w:val="center" w:pos="4153"/>
        <w:tab w:val="right" w:pos="8306"/>
      </w:tabs>
      <w:snapToGrid w:val="0"/>
      <w:jc w:val="left"/>
    </w:pPr>
    <w:rPr>
      <w:kern w:val="0"/>
      <w:sz w:val="18"/>
      <w:szCs w:val="20"/>
    </w:rPr>
  </w:style>
  <w:style w:type="paragraph" w:styleId="25">
    <w:name w:val="toc 1"/>
    <w:basedOn w:val="1"/>
    <w:next w:val="1"/>
    <w:qFormat/>
    <w:locked/>
    <w:uiPriority w:val="0"/>
  </w:style>
  <w:style w:type="paragraph" w:styleId="26">
    <w:name w:val="index 7"/>
    <w:basedOn w:val="1"/>
    <w:next w:val="1"/>
    <w:qFormat/>
    <w:locked/>
    <w:uiPriority w:val="0"/>
    <w:pPr>
      <w:ind w:left="1200" w:leftChars="1200"/>
    </w:pPr>
  </w:style>
  <w:style w:type="paragraph" w:styleId="27">
    <w:name w:val="table of figures"/>
    <w:basedOn w:val="1"/>
    <w:next w:val="1"/>
    <w:qFormat/>
    <w:locked/>
    <w:uiPriority w:val="0"/>
  </w:style>
  <w:style w:type="paragraph" w:styleId="28">
    <w:name w:val="Normal (Web)"/>
    <w:basedOn w:val="1"/>
    <w:next w:val="26"/>
    <w:link w:val="64"/>
    <w:qFormat/>
    <w:uiPriority w:val="0"/>
    <w:pPr>
      <w:widowControl/>
      <w:spacing w:before="100" w:beforeAutospacing="1" w:after="100" w:afterAutospacing="1"/>
      <w:jc w:val="left"/>
    </w:pPr>
    <w:rPr>
      <w:rFonts w:ascii="宋体" w:hAnsi="宋体"/>
      <w:kern w:val="0"/>
      <w:szCs w:val="20"/>
    </w:rPr>
  </w:style>
  <w:style w:type="paragraph" w:styleId="29">
    <w:name w:val="Title"/>
    <w:basedOn w:val="1"/>
    <w:next w:val="1"/>
    <w:link w:val="65"/>
    <w:qFormat/>
    <w:locked/>
    <w:uiPriority w:val="0"/>
    <w:pPr>
      <w:jc w:val="center"/>
      <w:outlineLvl w:val="0"/>
    </w:pPr>
    <w:rPr>
      <w:rFonts w:eastAsia="黑体"/>
      <w:bCs/>
      <w:sz w:val="21"/>
      <w:szCs w:val="32"/>
    </w:rPr>
  </w:style>
  <w:style w:type="paragraph" w:styleId="30">
    <w:name w:val="annotation subject"/>
    <w:basedOn w:val="9"/>
    <w:next w:val="9"/>
    <w:link w:val="66"/>
    <w:semiHidden/>
    <w:qFormat/>
    <w:uiPriority w:val="0"/>
    <w:rPr>
      <w:b/>
      <w:kern w:val="2"/>
    </w:rPr>
  </w:style>
  <w:style w:type="paragraph" w:styleId="31">
    <w:name w:val="Body Text First Indent"/>
    <w:basedOn w:val="11"/>
    <w:next w:val="1"/>
    <w:link w:val="67"/>
    <w:qFormat/>
    <w:locked/>
    <w:uiPriority w:val="0"/>
    <w:pPr>
      <w:widowControl w:val="0"/>
      <w:snapToGrid/>
      <w:spacing w:before="0" w:after="120" w:line="240" w:lineRule="auto"/>
      <w:ind w:right="0" w:firstLine="420" w:firstLineChars="100"/>
    </w:pPr>
    <w:rPr>
      <w:kern w:val="2"/>
      <w:sz w:val="21"/>
      <w:szCs w:val="24"/>
    </w:rPr>
  </w:style>
  <w:style w:type="paragraph" w:styleId="32">
    <w:name w:val="Body Text First Indent 2"/>
    <w:basedOn w:val="13"/>
    <w:next w:val="1"/>
    <w:link w:val="68"/>
    <w:qFormat/>
    <w:locked/>
    <w:uiPriority w:val="0"/>
    <w:pPr>
      <w:ind w:firstLine="420" w:firstLineChars="200"/>
    </w:pPr>
    <w:rPr>
      <w:kern w:val="2"/>
      <w:sz w:val="21"/>
      <w:szCs w:val="24"/>
    </w:rPr>
  </w:style>
  <w:style w:type="table" w:styleId="34">
    <w:name w:val="Table Grid"/>
    <w:basedOn w:val="33"/>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5">
    <w:name w:val="Table Classic 1"/>
    <w:basedOn w:val="33"/>
    <w:locked/>
    <w:uiPriority w:val="0"/>
    <w:pPr>
      <w:widowControl w:val="0"/>
      <w:jc w:val="both"/>
    </w:pPr>
    <w:tblPr>
      <w:tblBorders>
        <w:top w:val="single" w:color="000000" w:sz="12" w:space="0"/>
        <w:bottom w:val="single" w:color="000000" w:sz="12" w:space="0"/>
        <w:insideH w:val="dashSmallGap" w:color="000000" w:sz="4" w:space="0"/>
        <w:insideV w:val="dashSmallGap" w:color="000000" w:sz="4" w:space="0"/>
      </w:tblBorders>
    </w:tblPr>
    <w:tcPr>
      <w:shd w:val="clear" w:color="auto" w:fill="auto"/>
    </w:tcPr>
    <w:tblStylePr w:type="firstRow">
      <w:rPr>
        <w:i/>
        <w:i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6">
    <w:name w:val="Table Classic 2"/>
    <w:basedOn w:val="33"/>
    <w:locked/>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top w:val="nil"/>
          <w:left w:val="single" w:color="000000" w:sz="6" w:space="0"/>
          <w:bottom w:val="nil"/>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37">
    <w:name w:val="Table List 3"/>
    <w:basedOn w:val="33"/>
    <w:locked/>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character" w:styleId="39">
    <w:name w:val="Strong"/>
    <w:qFormat/>
    <w:locked/>
    <w:uiPriority w:val="0"/>
    <w:rPr>
      <w:b/>
      <w:bCs/>
    </w:rPr>
  </w:style>
  <w:style w:type="character" w:styleId="40">
    <w:name w:val="page number"/>
    <w:basedOn w:val="38"/>
    <w:locked/>
    <w:uiPriority w:val="0"/>
  </w:style>
  <w:style w:type="character" w:styleId="41">
    <w:name w:val="Hyperlink"/>
    <w:unhideWhenUsed/>
    <w:locked/>
    <w:uiPriority w:val="99"/>
    <w:rPr>
      <w:color w:val="0000FF"/>
      <w:u w:val="single"/>
    </w:rPr>
  </w:style>
  <w:style w:type="character" w:styleId="42">
    <w:name w:val="annotation reference"/>
    <w:semiHidden/>
    <w:uiPriority w:val="0"/>
    <w:rPr>
      <w:sz w:val="21"/>
    </w:rPr>
  </w:style>
  <w:style w:type="character" w:customStyle="1" w:styleId="43">
    <w:name w:val="标题 3 Char1"/>
    <w:link w:val="5"/>
    <w:qFormat/>
    <w:uiPriority w:val="9"/>
    <w:rPr>
      <w:rFonts w:eastAsia="黑体"/>
      <w:kern w:val="0"/>
      <w:szCs w:val="24"/>
    </w:rPr>
  </w:style>
  <w:style w:type="paragraph" w:customStyle="1" w:styleId="44">
    <w:name w:val="wf-表格内容"/>
    <w:basedOn w:val="1"/>
    <w:qFormat/>
    <w:uiPriority w:val="0"/>
    <w:pPr>
      <w:adjustRightInd w:val="0"/>
      <w:spacing w:line="240" w:lineRule="auto"/>
      <w:jc w:val="center"/>
      <w:textAlignment w:val="baseline"/>
    </w:pPr>
    <w:rPr>
      <w:sz w:val="21"/>
      <w:szCs w:val="21"/>
    </w:rPr>
  </w:style>
  <w:style w:type="paragraph" w:customStyle="1" w:styleId="45">
    <w:name w:val="wf-表格标题"/>
    <w:basedOn w:val="1"/>
    <w:link w:val="69"/>
    <w:qFormat/>
    <w:uiPriority w:val="0"/>
    <w:pPr>
      <w:adjustRightInd w:val="0"/>
      <w:snapToGrid w:val="0"/>
      <w:spacing w:line="240" w:lineRule="auto"/>
      <w:ind w:firstLine="0" w:firstLineChars="0"/>
      <w:jc w:val="center"/>
    </w:pPr>
    <w:rPr>
      <w:rFonts w:hint="eastAsia" w:ascii="Times New Roman" w:hAnsi="Times New Roman" w:eastAsia="黑体" w:cs="Times New Roman"/>
      <w:bCs/>
      <w:color w:val="auto"/>
      <w:sz w:val="24"/>
      <w:szCs w:val="32"/>
    </w:rPr>
  </w:style>
  <w:style w:type="paragraph" w:customStyle="1" w:styleId="46">
    <w:name w:val="WF-表格标题"/>
    <w:basedOn w:val="45"/>
    <w:next w:val="45"/>
    <w:qFormat/>
    <w:uiPriority w:val="0"/>
    <w:pPr>
      <w:widowControl w:val="0"/>
      <w:adjustRightInd/>
      <w:snapToGrid/>
      <w:spacing w:after="0"/>
      <w:ind w:firstLine="0" w:firstLineChars="0"/>
    </w:pPr>
    <w:rPr>
      <w:rFonts w:ascii="Times New Roman" w:hAnsi="Times New Roman" w:eastAsia="黑体" w:cs="Times New Roman"/>
      <w:kern w:val="2"/>
    </w:rPr>
  </w:style>
  <w:style w:type="paragraph" w:customStyle="1" w:styleId="47">
    <w:name w:val="表格题目"/>
    <w:basedOn w:val="45"/>
    <w:link w:val="70"/>
    <w:qFormat/>
    <w:uiPriority w:val="0"/>
    <w:pPr>
      <w:keepNext/>
      <w:autoSpaceDE w:val="0"/>
      <w:autoSpaceDN w:val="0"/>
      <w:adjustRightInd w:val="0"/>
      <w:snapToGrid w:val="0"/>
      <w:spacing w:line="240" w:lineRule="auto"/>
      <w:jc w:val="center"/>
    </w:pPr>
    <w:rPr>
      <w:rFonts w:ascii="Times New Roman" w:hAnsi="Times New Roman" w:eastAsia="黑体"/>
      <w:color w:val="000000"/>
      <w:szCs w:val="24"/>
    </w:rPr>
  </w:style>
  <w:style w:type="paragraph" w:customStyle="1" w:styleId="48">
    <w:name w:val="表格内容"/>
    <w:basedOn w:val="11"/>
    <w:next w:val="1"/>
    <w:qFormat/>
    <w:uiPriority w:val="0"/>
    <w:pPr>
      <w:pBdr>
        <w:top w:val="none" w:color="auto" w:sz="0" w:space="1"/>
        <w:left w:val="none" w:color="auto" w:sz="0" w:space="4"/>
        <w:bottom w:val="none" w:color="auto" w:sz="0" w:space="1"/>
        <w:right w:val="none" w:color="auto" w:sz="0" w:space="4"/>
      </w:pBdr>
      <w:tabs>
        <w:tab w:val="center" w:pos="105"/>
        <w:tab w:val="center" w:pos="283"/>
      </w:tabs>
      <w:overflowPunct w:val="0"/>
      <w:adjustRightInd w:val="0"/>
      <w:spacing w:beforeLines="0" w:afterLines="0" w:line="240" w:lineRule="auto"/>
      <w:jc w:val="center"/>
      <w:textAlignment w:val="baseline"/>
    </w:pPr>
    <w:rPr>
      <w:rFonts w:cs="Times New Roman"/>
      <w:kern w:val="0"/>
      <w:sz w:val="21"/>
    </w:rPr>
  </w:style>
  <w:style w:type="paragraph" w:customStyle="1" w:styleId="49">
    <w:name w:val="xl27"/>
    <w:basedOn w:val="1"/>
    <w:qFormat/>
    <w:uiPriority w:val="99"/>
    <w:pPr>
      <w:widowControl/>
      <w:pBdr>
        <w:left w:val="single" w:color="auto" w:sz="12" w:space="0"/>
        <w:bottom w:val="single" w:color="auto" w:sz="12" w:space="0"/>
      </w:pBdr>
      <w:spacing w:before="100" w:beforeAutospacing="1" w:after="100" w:afterAutospacing="1"/>
      <w:jc w:val="left"/>
    </w:pPr>
    <w:rPr>
      <w:rFonts w:ascii="Arial Unicode MS" w:hAnsi="Arial Unicode MS"/>
      <w:kern w:val="0"/>
    </w:rPr>
  </w:style>
  <w:style w:type="character" w:customStyle="1" w:styleId="50">
    <w:name w:val="标题 1 Char1"/>
    <w:link w:val="3"/>
    <w:uiPriority w:val="99"/>
    <w:rPr>
      <w:rFonts w:ascii="Times New Roman" w:hAnsi="Times New Roman" w:eastAsia="黑体"/>
      <w:bCs/>
      <w:color w:val="000000"/>
      <w:kern w:val="44"/>
      <w:sz w:val="30"/>
      <w:szCs w:val="30"/>
    </w:rPr>
  </w:style>
  <w:style w:type="character" w:customStyle="1" w:styleId="51">
    <w:name w:val="标题 2 Char"/>
    <w:link w:val="4"/>
    <w:uiPriority w:val="0"/>
    <w:rPr>
      <w:rFonts w:ascii="Times New Roman" w:hAnsi="Times New Roman" w:eastAsia="黑体"/>
      <w:bCs/>
      <w:sz w:val="24"/>
      <w:szCs w:val="30"/>
    </w:rPr>
  </w:style>
  <w:style w:type="character" w:customStyle="1" w:styleId="52">
    <w:name w:val="批注文字 Char"/>
    <w:link w:val="9"/>
    <w:locked/>
    <w:uiPriority w:val="0"/>
    <w:rPr>
      <w:rFonts w:ascii="Times New Roman" w:hAnsi="Times New Roman" w:eastAsia="宋体"/>
      <w:sz w:val="24"/>
    </w:rPr>
  </w:style>
  <w:style w:type="character" w:customStyle="1" w:styleId="53">
    <w:name w:val="正文文本 Char"/>
    <w:link w:val="11"/>
    <w:locked/>
    <w:uiPriority w:val="0"/>
    <w:rPr>
      <w:sz w:val="18"/>
    </w:rPr>
  </w:style>
  <w:style w:type="character" w:customStyle="1" w:styleId="54">
    <w:name w:val="正文文本缩进 Char"/>
    <w:link w:val="13"/>
    <w:semiHidden/>
    <w:locked/>
    <w:uiPriority w:val="0"/>
    <w:rPr>
      <w:rFonts w:ascii="Times New Roman" w:hAnsi="Times New Roman" w:eastAsia="宋体"/>
      <w:sz w:val="24"/>
    </w:rPr>
  </w:style>
  <w:style w:type="paragraph" w:customStyle="1" w:styleId="55">
    <w:name w:val="样式 正文文本缩进 + 行距: 1.5 倍行距"/>
    <w:basedOn w:val="56"/>
    <w:qFormat/>
    <w:uiPriority w:val="0"/>
    <w:pPr>
      <w:spacing w:before="0" w:after="120"/>
      <w:ind w:left="90" w:leftChars="32" w:firstLine="560" w:firstLineChars="200"/>
    </w:pPr>
    <w:rPr>
      <w:rFonts w:ascii="Times New Roman" w:cs="宋体"/>
    </w:rPr>
  </w:style>
  <w:style w:type="paragraph" w:customStyle="1" w:styleId="56">
    <w:name w:val="正文文本缩进1"/>
    <w:basedOn w:val="1"/>
    <w:next w:val="55"/>
    <w:qFormat/>
    <w:uiPriority w:val="0"/>
    <w:pPr>
      <w:spacing w:line="560" w:lineRule="exact"/>
      <w:ind w:firstLine="560" w:firstLineChars="200"/>
    </w:pPr>
    <w:rPr>
      <w:rFonts w:ascii="宋体" w:hAnsi="宋体"/>
      <w:sz w:val="28"/>
    </w:rPr>
  </w:style>
  <w:style w:type="character" w:customStyle="1" w:styleId="57">
    <w:name w:val="纯文本 Char"/>
    <w:link w:val="17"/>
    <w:uiPriority w:val="0"/>
    <w:rPr>
      <w:rFonts w:ascii="宋体" w:hAnsi="Courier New"/>
      <w:kern w:val="2"/>
      <w:sz w:val="21"/>
    </w:rPr>
  </w:style>
  <w:style w:type="character" w:customStyle="1" w:styleId="58">
    <w:name w:val="日期 Char"/>
    <w:link w:val="19"/>
    <w:locked/>
    <w:uiPriority w:val="0"/>
    <w:rPr>
      <w:rFonts w:ascii="Times New Roman" w:hAnsi="Times New Roman" w:eastAsia="宋体"/>
      <w:sz w:val="24"/>
    </w:rPr>
  </w:style>
  <w:style w:type="character" w:customStyle="1" w:styleId="59">
    <w:name w:val="正文文本缩进 2 Char"/>
    <w:link w:val="20"/>
    <w:uiPriority w:val="0"/>
    <w:rPr>
      <w:kern w:val="2"/>
      <w:sz w:val="21"/>
      <w:szCs w:val="24"/>
    </w:rPr>
  </w:style>
  <w:style w:type="character" w:customStyle="1" w:styleId="60">
    <w:name w:val="批注框文本 Char"/>
    <w:link w:val="23"/>
    <w:semiHidden/>
    <w:locked/>
    <w:uiPriority w:val="0"/>
    <w:rPr>
      <w:rFonts w:ascii="Times New Roman" w:hAnsi="Times New Roman" w:eastAsia="宋体"/>
      <w:sz w:val="18"/>
    </w:rPr>
  </w:style>
  <w:style w:type="character" w:customStyle="1" w:styleId="61">
    <w:name w:val="页脚 Char"/>
    <w:link w:val="24"/>
    <w:locked/>
    <w:uiPriority w:val="99"/>
    <w:rPr>
      <w:sz w:val="18"/>
    </w:rPr>
  </w:style>
  <w:style w:type="character" w:customStyle="1" w:styleId="62">
    <w:name w:val="页眉 Char"/>
    <w:link w:val="14"/>
    <w:locked/>
    <w:uiPriority w:val="0"/>
    <w:rPr>
      <w:sz w:val="18"/>
    </w:rPr>
  </w:style>
  <w:style w:type="character" w:customStyle="1" w:styleId="63">
    <w:name w:val="正文1 字符"/>
    <w:link w:val="16"/>
    <w:uiPriority w:val="0"/>
    <w:rPr>
      <w:kern w:val="0"/>
      <w:sz w:val="24"/>
    </w:rPr>
  </w:style>
  <w:style w:type="character" w:customStyle="1" w:styleId="64">
    <w:name w:val="普通(网站) Char"/>
    <w:link w:val="28"/>
    <w:locked/>
    <w:uiPriority w:val="0"/>
    <w:rPr>
      <w:rFonts w:ascii="宋体" w:hAnsi="宋体" w:eastAsia="宋体"/>
      <w:sz w:val="24"/>
    </w:rPr>
  </w:style>
  <w:style w:type="character" w:customStyle="1" w:styleId="65">
    <w:name w:val="标题 Char"/>
    <w:link w:val="29"/>
    <w:uiPriority w:val="0"/>
    <w:rPr>
      <w:rFonts w:eastAsia="黑体" w:cs="Times New Roman"/>
      <w:bCs/>
      <w:kern w:val="2"/>
      <w:sz w:val="21"/>
      <w:szCs w:val="32"/>
    </w:rPr>
  </w:style>
  <w:style w:type="character" w:customStyle="1" w:styleId="66">
    <w:name w:val="批注主题 Char"/>
    <w:link w:val="30"/>
    <w:semiHidden/>
    <w:locked/>
    <w:uiPriority w:val="0"/>
    <w:rPr>
      <w:rFonts w:ascii="Times New Roman" w:hAnsi="Times New Roman" w:eastAsia="宋体"/>
      <w:b/>
      <w:kern w:val="2"/>
      <w:sz w:val="24"/>
    </w:rPr>
  </w:style>
  <w:style w:type="character" w:customStyle="1" w:styleId="67">
    <w:name w:val="正文首行缩进 Char"/>
    <w:link w:val="31"/>
    <w:uiPriority w:val="0"/>
    <w:rPr>
      <w:kern w:val="2"/>
      <w:sz w:val="21"/>
      <w:szCs w:val="24"/>
    </w:rPr>
  </w:style>
  <w:style w:type="character" w:customStyle="1" w:styleId="68">
    <w:name w:val="正文首行缩进 2 Char"/>
    <w:link w:val="32"/>
    <w:qFormat/>
    <w:uiPriority w:val="0"/>
    <w:rPr>
      <w:rFonts w:ascii="Times New Roman" w:hAnsi="Times New Roman" w:eastAsia="宋体"/>
      <w:kern w:val="2"/>
      <w:sz w:val="21"/>
      <w:szCs w:val="24"/>
    </w:rPr>
  </w:style>
  <w:style w:type="character" w:customStyle="1" w:styleId="69">
    <w:name w:val="wf-表格标题 Char"/>
    <w:link w:val="45"/>
    <w:qFormat/>
    <w:uiPriority w:val="0"/>
    <w:rPr>
      <w:rFonts w:hint="eastAsia" w:ascii="Times New Roman" w:hAnsi="Times New Roman" w:eastAsia="黑体" w:cs="Times New Roman"/>
      <w:bCs/>
      <w:color w:val="auto"/>
      <w:sz w:val="24"/>
      <w:szCs w:val="32"/>
    </w:rPr>
  </w:style>
  <w:style w:type="character" w:customStyle="1" w:styleId="70">
    <w:name w:val="表格题目 Char"/>
    <w:link w:val="47"/>
    <w:qFormat/>
    <w:uiPriority w:val="0"/>
    <w:rPr>
      <w:rFonts w:ascii="Times New Roman" w:hAnsi="Times New Roman" w:eastAsia="黑体"/>
      <w:color w:val="000000"/>
      <w:kern w:val="2"/>
      <w:sz w:val="24"/>
      <w:szCs w:val="24"/>
    </w:rPr>
  </w:style>
  <w:style w:type="paragraph" w:customStyle="1" w:styleId="71">
    <w:name w:val="Default1"/>
    <w:basedOn w:val="1"/>
    <w:qFormat/>
    <w:uiPriority w:val="0"/>
    <w:pPr>
      <w:autoSpaceDE w:val="0"/>
      <w:autoSpaceDN w:val="0"/>
      <w:adjustRightInd w:val="0"/>
      <w:jc w:val="left"/>
    </w:pPr>
    <w:rPr>
      <w:rFonts w:ascii="宋体" w:hAnsi="Times New Roman" w:cs="宋体"/>
      <w:color w:val="000000"/>
      <w:kern w:val="0"/>
      <w:sz w:val="24"/>
      <w:szCs w:val="24"/>
    </w:rPr>
  </w:style>
  <w:style w:type="paragraph" w:customStyle="1" w:styleId="72">
    <w:name w:val="Default"/>
    <w:basedOn w:val="73"/>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73">
    <w:name w:val="纯文本1"/>
    <w:basedOn w:val="1"/>
    <w:next w:val="1"/>
    <w:qFormat/>
    <w:uiPriority w:val="0"/>
    <w:pPr>
      <w:adjustRightInd w:val="0"/>
    </w:pPr>
    <w:rPr>
      <w:rFonts w:ascii="宋体" w:hAnsi="Courier New"/>
      <w:szCs w:val="20"/>
    </w:rPr>
  </w:style>
  <w:style w:type="paragraph" w:customStyle="1" w:styleId="74">
    <w:name w:val="样式35"/>
    <w:basedOn w:val="1"/>
    <w:next w:val="1"/>
    <w:qFormat/>
    <w:uiPriority w:val="0"/>
    <w:pPr>
      <w:spacing w:line="312" w:lineRule="auto"/>
      <w:ind w:firstLine="567"/>
    </w:pPr>
    <w:rPr>
      <w:rFonts w:ascii="宋体"/>
      <w:sz w:val="28"/>
    </w:rPr>
  </w:style>
  <w:style w:type="character" w:customStyle="1" w:styleId="75">
    <w:name w:val="页脚 字符"/>
    <w:basedOn w:val="38"/>
    <w:uiPriority w:val="99"/>
  </w:style>
  <w:style w:type="paragraph" w:customStyle="1" w:styleId="76">
    <w:name w:val="UserStyle_0"/>
    <w:basedOn w:val="77"/>
    <w:next w:val="1"/>
    <w:qFormat/>
    <w:uiPriority w:val="0"/>
    <w:pPr>
      <w:snapToGrid w:val="0"/>
      <w:spacing w:line="360" w:lineRule="auto"/>
      <w:ind w:firstLine="510"/>
      <w:jc w:val="center"/>
      <w:textAlignment w:val="baseline"/>
    </w:pPr>
    <w:rPr>
      <w:kern w:val="0"/>
      <w:sz w:val="24"/>
      <w:szCs w:val="20"/>
      <w:lang w:val="en-US" w:eastAsia="zh-CN" w:bidi="ar-SA"/>
    </w:rPr>
  </w:style>
  <w:style w:type="paragraph" w:customStyle="1" w:styleId="77">
    <w:name w:val="UserStyle_1"/>
    <w:basedOn w:val="1"/>
    <w:next w:val="1"/>
    <w:qFormat/>
    <w:uiPriority w:val="0"/>
    <w:pPr>
      <w:snapToGrid w:val="0"/>
      <w:spacing w:line="360" w:lineRule="atLeast"/>
      <w:jc w:val="center"/>
      <w:textAlignment w:val="baseline"/>
    </w:pPr>
    <w:rPr>
      <w:kern w:val="21"/>
      <w:sz w:val="21"/>
      <w:szCs w:val="20"/>
      <w:lang w:val="en-US" w:eastAsia="zh-CN" w:bidi="ar-SA"/>
    </w:rPr>
  </w:style>
  <w:style w:type="paragraph" w:customStyle="1" w:styleId="78">
    <w:name w:val="li_正文"/>
    <w:basedOn w:val="1"/>
    <w:qFormat/>
    <w:uiPriority w:val="0"/>
    <w:pPr>
      <w:widowControl w:val="0"/>
      <w:tabs>
        <w:tab w:val="left" w:pos="2340"/>
        <w:tab w:val="left" w:pos="4320"/>
      </w:tabs>
      <w:ind w:firstLine="530" w:firstLineChars="200"/>
      <w:jc w:val="left"/>
    </w:pPr>
    <w:rPr>
      <w:sz w:val="28"/>
      <w:szCs w:val="28"/>
    </w:rPr>
  </w:style>
  <w:style w:type="paragraph" w:customStyle="1" w:styleId="79">
    <w:name w:val="样式 正文文本缩进正文文字缩进 + 首行缩进:  2 字符"/>
    <w:basedOn w:val="1"/>
    <w:next w:val="1"/>
    <w:unhideWhenUsed/>
    <w:qFormat/>
    <w:uiPriority w:val="0"/>
    <w:pPr>
      <w:widowControl/>
      <w:spacing w:beforeLines="0" w:afterLines="0" w:line="336" w:lineRule="auto"/>
      <w:ind w:firstLine="560"/>
      <w:jc w:val="left"/>
    </w:pPr>
    <w:rPr>
      <w:rFonts w:hint="default" w:ascii="宋体" w:eastAsia="宋体" w:cs="宋体"/>
      <w:sz w:val="28"/>
      <w:szCs w:val="28"/>
    </w:rPr>
  </w:style>
  <w:style w:type="paragraph" w:customStyle="1" w:styleId="80">
    <w:name w:val="正文首行缩进1"/>
    <w:basedOn w:val="1"/>
    <w:qFormat/>
    <w:uiPriority w:val="99"/>
    <w:pPr>
      <w:spacing w:after="120"/>
      <w:ind w:firstLine="420" w:firstLineChars="100"/>
    </w:pPr>
  </w:style>
  <w:style w:type="character" w:customStyle="1" w:styleId="81">
    <w:name w:val="正文文本 字符1"/>
    <w:semiHidden/>
    <w:uiPriority w:val="0"/>
    <w:rPr>
      <w:rFonts w:ascii="Times New Roman" w:hAnsi="Times New Roman" w:eastAsia="宋体"/>
      <w:sz w:val="24"/>
    </w:rPr>
  </w:style>
  <w:style w:type="character" w:customStyle="1" w:styleId="82">
    <w:name w:val="表格 Char"/>
    <w:link w:val="83"/>
    <w:locked/>
    <w:uiPriority w:val="0"/>
    <w:rPr>
      <w:rFonts w:ascii="宋体"/>
      <w:sz w:val="21"/>
    </w:rPr>
  </w:style>
  <w:style w:type="paragraph" w:customStyle="1" w:styleId="83">
    <w:name w:val="表格"/>
    <w:basedOn w:val="48"/>
    <w:next w:val="1"/>
    <w:link w:val="82"/>
    <w:qFormat/>
    <w:uiPriority w:val="0"/>
    <w:pPr>
      <w:adjustRightInd w:val="0"/>
      <w:snapToGrid w:val="0"/>
      <w:spacing w:beforeLines="10" w:afterLines="10" w:line="259" w:lineRule="auto"/>
      <w:jc w:val="center"/>
    </w:pPr>
    <w:rPr>
      <w:rFonts w:ascii="宋体"/>
      <w:sz w:val="21"/>
      <w:szCs w:val="20"/>
    </w:rPr>
  </w:style>
  <w:style w:type="character" w:customStyle="1" w:styleId="84">
    <w:name w:val="日期 字符"/>
    <w:semiHidden/>
    <w:uiPriority w:val="0"/>
    <w:rPr>
      <w:rFonts w:ascii="Times New Roman" w:hAnsi="Times New Roman" w:eastAsia="宋体"/>
      <w:sz w:val="24"/>
    </w:rPr>
  </w:style>
  <w:style w:type="character" w:customStyle="1" w:styleId="85">
    <w:name w:val="批注文字 字符1"/>
    <w:semiHidden/>
    <w:uiPriority w:val="0"/>
    <w:rPr>
      <w:rFonts w:ascii="Times New Roman" w:hAnsi="Times New Roman" w:eastAsia="宋体"/>
      <w:sz w:val="24"/>
    </w:rPr>
  </w:style>
  <w:style w:type="paragraph" w:customStyle="1" w:styleId="86">
    <w:name w:val="正文_10"/>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7">
    <w:name w:val="普通(网站)2"/>
    <w:basedOn w:val="1"/>
    <w:uiPriority w:val="0"/>
    <w:pPr>
      <w:widowControl/>
      <w:spacing w:before="100" w:beforeAutospacing="1" w:after="100" w:afterAutospacing="1"/>
      <w:jc w:val="left"/>
    </w:pPr>
    <w:rPr>
      <w:rFonts w:ascii="宋体" w:hAnsi="宋体"/>
      <w:sz w:val="24"/>
      <w:szCs w:val="20"/>
    </w:rPr>
  </w:style>
  <w:style w:type="paragraph" w:customStyle="1" w:styleId="88">
    <w:name w:val="表头"/>
    <w:basedOn w:val="16"/>
    <w:next w:val="1"/>
    <w:uiPriority w:val="0"/>
    <w:pPr>
      <w:spacing w:line="360" w:lineRule="auto"/>
      <w:jc w:val="center"/>
    </w:pPr>
    <w:rPr>
      <w:b/>
      <w:szCs w:val="21"/>
    </w:rPr>
  </w:style>
  <w:style w:type="paragraph" w:customStyle="1" w:styleId="89">
    <w:name w:val="A正文"/>
    <w:basedOn w:val="1"/>
    <w:qFormat/>
    <w:uiPriority w:val="0"/>
    <w:pPr>
      <w:spacing w:line="360" w:lineRule="auto"/>
      <w:ind w:firstLine="200" w:firstLineChars="200"/>
    </w:pPr>
    <w:rPr>
      <w:rFonts w:ascii="Calibri" w:hAnsi="Calibri"/>
      <w:kern w:val="0"/>
      <w:sz w:val="24"/>
    </w:rPr>
  </w:style>
  <w:style w:type="paragraph" w:customStyle="1" w:styleId="90">
    <w:name w:val="Table Paragraph"/>
    <w:basedOn w:val="1"/>
    <w:qFormat/>
    <w:uiPriority w:val="1"/>
    <w:pPr>
      <w:autoSpaceDE w:val="0"/>
      <w:autoSpaceDN w:val="0"/>
      <w:jc w:val="center"/>
    </w:pPr>
    <w:rPr>
      <w:rFonts w:eastAsia="Times New Roman"/>
      <w:kern w:val="0"/>
      <w:sz w:val="22"/>
      <w:szCs w:val="22"/>
      <w:lang w:eastAsia="en-US" w:bidi="en-US"/>
    </w:rPr>
  </w:style>
  <w:style w:type="paragraph" w:customStyle="1" w:styleId="91">
    <w:name w:val="表格0"/>
    <w:next w:val="1"/>
    <w:qFormat/>
    <w:uiPriority w:val="0"/>
    <w:pPr>
      <w:adjustRightInd w:val="0"/>
      <w:snapToGrid w:val="0"/>
      <w:jc w:val="center"/>
    </w:pPr>
    <w:rPr>
      <w:rFonts w:ascii="Times New Roman" w:hAnsi="Times New Roman" w:eastAsia="宋体" w:cs="Times New Roman"/>
      <w:sz w:val="21"/>
      <w:lang w:val="en-US" w:eastAsia="zh-CN" w:bidi="ar-SA"/>
    </w:rPr>
  </w:style>
  <w:style w:type="character" w:customStyle="1" w:styleId="92">
    <w:name w:val="A表头 Char"/>
    <w:link w:val="93"/>
    <w:qFormat/>
    <w:uiPriority w:val="0"/>
    <w:rPr>
      <w:b/>
    </w:rPr>
  </w:style>
  <w:style w:type="paragraph" w:customStyle="1" w:styleId="93">
    <w:name w:val="A表头"/>
    <w:basedOn w:val="89"/>
    <w:link w:val="92"/>
    <w:qFormat/>
    <w:uiPriority w:val="0"/>
    <w:pPr>
      <w:spacing w:line="240" w:lineRule="auto"/>
      <w:ind w:firstLine="0" w:firstLineChars="0"/>
      <w:jc w:val="center"/>
    </w:pPr>
    <w:rPr>
      <w:rFonts w:ascii="Times New Roman" w:hAnsi="Times New Roman"/>
      <w:b/>
      <w:sz w:val="20"/>
      <w:szCs w:val="20"/>
    </w:rPr>
  </w:style>
  <w:style w:type="paragraph" w:customStyle="1" w:styleId="94">
    <w:name w:val="表标题"/>
    <w:basedOn w:val="31"/>
    <w:qFormat/>
    <w:uiPriority w:val="0"/>
    <w:pPr>
      <w:spacing w:line="500" w:lineRule="exact"/>
      <w:ind w:firstLine="482" w:firstLineChars="200"/>
      <w:jc w:val="center"/>
    </w:pPr>
    <w:rPr>
      <w:rFonts w:ascii="仿宋_GB2312" w:eastAsia="仿宋_GB2312"/>
      <w:b/>
      <w:bCs/>
      <w:sz w:val="24"/>
      <w:szCs w:val="20"/>
    </w:rPr>
  </w:style>
  <w:style w:type="paragraph" w:customStyle="1" w:styleId="95">
    <w:name w:val="图表文字"/>
    <w:basedOn w:val="1"/>
    <w:qFormat/>
    <w:uiPriority w:val="0"/>
    <w:pPr>
      <w:spacing w:line="300" w:lineRule="exact"/>
      <w:jc w:val="center"/>
    </w:pPr>
    <w:rPr>
      <w:bCs/>
      <w:szCs w:val="20"/>
    </w:rPr>
  </w:style>
  <w:style w:type="character" w:customStyle="1" w:styleId="96">
    <w:name w:val="表格内容内置 字符"/>
    <w:link w:val="97"/>
    <w:uiPriority w:val="0"/>
    <w:rPr>
      <w:rFonts w:ascii="Calibri" w:hAnsi="Calibri"/>
      <w:color w:val="000000"/>
      <w:sz w:val="21"/>
      <w:u w:val="none" w:color="000000"/>
    </w:rPr>
  </w:style>
  <w:style w:type="paragraph" w:customStyle="1" w:styleId="97">
    <w:name w:val="表格内容内置"/>
    <w:basedOn w:val="1"/>
    <w:link w:val="96"/>
    <w:qFormat/>
    <w:uiPriority w:val="0"/>
    <w:pPr>
      <w:widowControl/>
      <w:adjustRightInd w:val="0"/>
      <w:snapToGrid w:val="0"/>
      <w:jc w:val="center"/>
      <w:textAlignment w:val="baseline"/>
    </w:pPr>
    <w:rPr>
      <w:rFonts w:ascii="Calibri" w:hAnsi="Calibri"/>
      <w:color w:val="000000"/>
      <w:kern w:val="0"/>
      <w:sz w:val="21"/>
      <w:szCs w:val="20"/>
      <w:u w:val="none" w:color="000000"/>
    </w:rPr>
  </w:style>
  <w:style w:type="character" w:customStyle="1" w:styleId="98">
    <w:name w:val="纯文本 字符"/>
    <w:uiPriority w:val="0"/>
    <w:rPr>
      <w:rFonts w:ascii="宋体" w:hAnsi="Courier New" w:cs="Courier New"/>
      <w:kern w:val="2"/>
      <w:sz w:val="21"/>
      <w:szCs w:val="21"/>
    </w:rPr>
  </w:style>
  <w:style w:type="paragraph" w:customStyle="1" w:styleId="99">
    <w:name w:val="正文文本2"/>
    <w:basedOn w:val="11"/>
    <w:qFormat/>
    <w:uiPriority w:val="0"/>
    <w:pPr>
      <w:widowControl w:val="0"/>
      <w:snapToGrid/>
      <w:spacing w:before="0" w:after="0" w:line="360" w:lineRule="auto"/>
      <w:ind w:right="0" w:firstLine="480" w:firstLineChars="200"/>
    </w:pPr>
    <w:rPr>
      <w:rFonts w:ascii="宋体" w:cs="宋体"/>
      <w:kern w:val="2"/>
      <w:sz w:val="24"/>
    </w:rPr>
  </w:style>
  <w:style w:type="paragraph" w:customStyle="1" w:styleId="100">
    <w:name w:val="_Style 2"/>
    <w:basedOn w:val="1"/>
    <w:qFormat/>
    <w:uiPriority w:val="0"/>
    <w:pPr>
      <w:spacing w:line="360" w:lineRule="auto"/>
      <w:ind w:firstLine="200" w:firstLineChars="200"/>
    </w:pPr>
    <w:rPr>
      <w:sz w:val="24"/>
      <w:szCs w:val="20"/>
    </w:rPr>
  </w:style>
  <w:style w:type="paragraph" w:customStyle="1" w:styleId="101">
    <w:name w:val="HP正文"/>
    <w:basedOn w:val="1"/>
    <w:qFormat/>
    <w:uiPriority w:val="0"/>
    <w:pPr>
      <w:spacing w:line="360" w:lineRule="auto"/>
      <w:ind w:firstLine="480" w:firstLineChars="200"/>
    </w:pPr>
    <w:rPr>
      <w:kern w:val="0"/>
    </w:rPr>
  </w:style>
  <w:style w:type="paragraph" w:customStyle="1" w:styleId="102">
    <w:name w:val="Other|1"/>
    <w:basedOn w:val="1"/>
    <w:qFormat/>
    <w:uiPriority w:val="0"/>
    <w:pPr>
      <w:widowControl w:val="0"/>
      <w:shd w:val="clear" w:color="auto" w:fill="auto"/>
      <w:jc w:val="center"/>
    </w:pPr>
    <w:rPr>
      <w:sz w:val="19"/>
      <w:szCs w:val="19"/>
      <w:u w:val="none"/>
      <w:shd w:val="clear" w:color="auto" w:fill="auto"/>
      <w:lang w:val="zh-TW" w:eastAsia="zh-TW" w:bidi="zh-TW"/>
    </w:rPr>
  </w:style>
  <w:style w:type="paragraph" w:customStyle="1" w:styleId="103">
    <w:name w:val="报告书正文"/>
    <w:basedOn w:val="1"/>
    <w:qFormat/>
    <w:uiPriority w:val="0"/>
    <w:pPr>
      <w:adjustRightInd w:val="0"/>
      <w:snapToGrid w:val="0"/>
      <w:spacing w:line="480" w:lineRule="atLeast"/>
      <w:ind w:firstLine="425"/>
    </w:pPr>
    <w:rPr>
      <w:rFonts w:hAnsi="宋体"/>
      <w:kern w:val="0"/>
      <w:sz w:val="24"/>
    </w:rPr>
  </w:style>
  <w:style w:type="paragraph" w:customStyle="1" w:styleId="104">
    <w:name w:val="三级标题"/>
    <w:basedOn w:val="1"/>
    <w:qFormat/>
    <w:uiPriority w:val="0"/>
    <w:pPr>
      <w:widowControl w:val="0"/>
      <w:spacing w:line="360" w:lineRule="auto"/>
      <w:ind w:firstLine="482" w:firstLineChars="200"/>
      <w:jc w:val="both"/>
    </w:pPr>
    <w:rPr>
      <w:rFonts w:ascii="宋体" w:hAnsi="宋体" w:eastAsia="宋体" w:cs="Times New Roman"/>
      <w:b/>
      <w:bCs/>
      <w:sz w:val="24"/>
      <w:szCs w:val="24"/>
    </w:rPr>
  </w:style>
  <w:style w:type="paragraph" w:customStyle="1" w:styleId="105">
    <w:name w:val="EIA正文"/>
    <w:basedOn w:val="1"/>
    <w:qFormat/>
    <w:uiPriority w:val="0"/>
    <w:pPr>
      <w:widowControl w:val="0"/>
      <w:ind w:firstLine="200" w:firstLineChars="200"/>
      <w:jc w:val="both"/>
    </w:pPr>
    <w:rPr>
      <w:rFonts w:ascii="Calibri" w:hAnsi="Calibri" w:eastAsia="宋体" w:cs="Times New Roman"/>
      <w:color w:val="000000"/>
      <w:sz w:val="24"/>
      <w:szCs w:val="20"/>
    </w:rPr>
  </w:style>
  <w:style w:type="paragraph" w:customStyle="1" w:styleId="106">
    <w:name w:val="正文啦"/>
    <w:basedOn w:val="1"/>
    <w:qFormat/>
    <w:uiPriority w:val="0"/>
    <w:pPr>
      <w:spacing w:line="360" w:lineRule="auto"/>
      <w:ind w:firstLine="480" w:firstLineChars="200"/>
    </w:pPr>
    <w:rPr>
      <w:rFonts w:ascii="宋体" w:hAnsi="宋体"/>
      <w:bCs/>
      <w:sz w:val="24"/>
    </w:rPr>
  </w:style>
  <w:style w:type="paragraph" w:customStyle="1" w:styleId="107">
    <w:name w:val="+正文"/>
    <w:basedOn w:val="1"/>
    <w:uiPriority w:val="0"/>
    <w:pPr>
      <w:spacing w:line="360" w:lineRule="auto"/>
      <w:ind w:firstLine="200" w:firstLineChars="200"/>
    </w:pPr>
    <w:rPr>
      <w:sz w:val="24"/>
    </w:rPr>
  </w:style>
  <w:style w:type="paragraph" w:customStyle="1" w:styleId="108">
    <w:name w:val="A表格"/>
    <w:basedOn w:val="1"/>
    <w:uiPriority w:val="0"/>
    <w:pPr>
      <w:jc w:val="center"/>
    </w:pPr>
    <w:rPr>
      <w:kern w:val="0"/>
      <w:szCs w:val="21"/>
    </w:rPr>
  </w:style>
  <w:style w:type="paragraph" w:customStyle="1" w:styleId="109">
    <w:name w:val="Normal"/>
    <w:uiPriority w:val="0"/>
    <w:pPr>
      <w:jc w:val="both"/>
    </w:pPr>
    <w:rPr>
      <w:rFonts w:ascii="Times New Roman" w:hAnsi="Times New Roman" w:eastAsia="宋体" w:cs="Times New Roman"/>
      <w:kern w:val="2"/>
      <w:sz w:val="21"/>
      <w:szCs w:val="21"/>
      <w:lang w:val="en-US" w:eastAsia="zh-CN" w:bidi="ar-SA"/>
    </w:rPr>
  </w:style>
  <w:style w:type="paragraph" w:customStyle="1" w:styleId="110">
    <w:name w:val="正1"/>
    <w:basedOn w:val="111"/>
    <w:qFormat/>
    <w:uiPriority w:val="0"/>
    <w:pPr>
      <w:widowControl w:val="0"/>
    </w:pPr>
    <w:rPr>
      <w:rFonts w:eastAsia="楷体_GB2312" w:cs="Times New Roman"/>
    </w:rPr>
  </w:style>
  <w:style w:type="paragraph" w:customStyle="1" w:styleId="111">
    <w:name w:val="正文快捷"/>
    <w:basedOn w:val="1"/>
    <w:qFormat/>
    <w:uiPriority w:val="0"/>
    <w:pPr>
      <w:ind w:firstLine="200" w:firstLineChars="200"/>
    </w:pPr>
  </w:style>
  <w:style w:type="paragraph" w:customStyle="1" w:styleId="112">
    <w:name w:val="表格文字"/>
    <w:basedOn w:val="7"/>
    <w:next w:val="1"/>
    <w:qFormat/>
    <w:uiPriority w:val="0"/>
    <w:pPr>
      <w:snapToGrid w:val="0"/>
      <w:spacing w:line="240" w:lineRule="auto"/>
      <w:ind w:firstLine="0" w:firstLineChars="0"/>
      <w:jc w:val="center"/>
    </w:pPr>
    <w:rPr>
      <w:rFonts w:ascii="宋体" w:hAnsi="Arial"/>
      <w:kern w:val="2"/>
      <w:sz w:val="21"/>
      <w:szCs w:val="20"/>
    </w:rPr>
  </w:style>
  <w:style w:type="paragraph" w:customStyle="1" w:styleId="113">
    <w:name w:val="表的表格"/>
    <w:basedOn w:val="1"/>
    <w:qFormat/>
    <w:uiPriority w:val="0"/>
    <w:pPr>
      <w:jc w:val="center"/>
    </w:pPr>
    <w:rPr>
      <w:rFonts w:ascii="宋体" w:hAnsi="宋体"/>
      <w:szCs w:val="21"/>
    </w:rPr>
  </w:style>
  <w:style w:type="paragraph" w:customStyle="1" w:styleId="114">
    <w:name w:val="目录2"/>
    <w:basedOn w:val="1"/>
    <w:qFormat/>
    <w:uiPriority w:val="0"/>
    <w:pPr>
      <w:jc w:val="left"/>
    </w:pPr>
    <w:rPr>
      <w:rFonts w:ascii="Times New Roman" w:hAnsi="Times New Roman"/>
      <w:b/>
      <w:sz w:val="24"/>
    </w:rPr>
  </w:style>
  <w:style w:type="paragraph" w:customStyle="1" w:styleId="115">
    <w:name w:val="wwwww"/>
    <w:basedOn w:val="1"/>
    <w:link w:val="116"/>
    <w:qFormat/>
    <w:uiPriority w:val="0"/>
    <w:pPr>
      <w:spacing w:line="360" w:lineRule="auto"/>
      <w:ind w:firstLine="200" w:firstLineChars="200"/>
    </w:pPr>
    <w:rPr>
      <w:sz w:val="24"/>
      <w:szCs w:val="28"/>
    </w:rPr>
  </w:style>
  <w:style w:type="character" w:customStyle="1" w:styleId="116">
    <w:name w:val="wwwww Char"/>
    <w:link w:val="115"/>
    <w:uiPriority w:val="0"/>
    <w:rPr>
      <w:sz w:val="24"/>
      <w:szCs w:val="28"/>
    </w:rPr>
  </w:style>
  <w:style w:type="paragraph" w:customStyle="1" w:styleId="117">
    <w:name w:val="表标题编号"/>
    <w:basedOn w:val="1"/>
    <w:next w:val="83"/>
    <w:qFormat/>
    <w:uiPriority w:val="0"/>
    <w:pPr>
      <w:tabs>
        <w:tab w:val="left" w:pos="0"/>
        <w:tab w:val="left" w:pos="360"/>
      </w:tabs>
      <w:adjustRightInd w:val="0"/>
      <w:snapToGrid w:val="0"/>
      <w:jc w:val="center"/>
    </w:pPr>
    <w:rPr>
      <w:sz w:val="24"/>
      <w:szCs w:val="22"/>
    </w:rPr>
  </w:style>
  <w:style w:type="character" w:customStyle="1" w:styleId="118">
    <w:name w:val="fontstyle01"/>
    <w:basedOn w:val="38"/>
    <w:qFormat/>
    <w:uiPriority w:val="0"/>
    <w:rPr>
      <w:rFonts w:hint="eastAsia" w:ascii="宋体" w:hAnsi="宋体" w:eastAsia="宋体"/>
      <w:color w:val="000000"/>
      <w:sz w:val="24"/>
      <w:szCs w:val="24"/>
    </w:rPr>
  </w:style>
  <w:style w:type="character" w:customStyle="1" w:styleId="119">
    <w:name w:val="fontstyle11"/>
    <w:basedOn w:val="38"/>
    <w:qFormat/>
    <w:uiPriority w:val="0"/>
    <w:rPr>
      <w:rFonts w:hint="default" w:ascii="TimesNewRomanPSMT" w:hAnsi="TimesNewRomanPSMT"/>
      <w:color w:val="000000"/>
      <w:sz w:val="22"/>
      <w:szCs w:val="22"/>
    </w:rPr>
  </w:style>
  <w:style w:type="paragraph" w:customStyle="1" w:styleId="120">
    <w:name w:val="_Style 5"/>
    <w:basedOn w:val="1"/>
    <w:qFormat/>
    <w:uiPriority w:val="34"/>
    <w:pPr>
      <w:ind w:left="720"/>
      <w:contextualSpacing/>
    </w:pPr>
  </w:style>
  <w:style w:type="paragraph" w:customStyle="1" w:styleId="121">
    <w:name w:val="正文lzq"/>
    <w:basedOn w:val="1"/>
    <w:qFormat/>
    <w:uiPriority w:val="0"/>
    <w:pPr>
      <w:autoSpaceDE w:val="0"/>
      <w:autoSpaceDN w:val="0"/>
      <w:adjustRightInd w:val="0"/>
      <w:snapToGrid w:val="0"/>
      <w:spacing w:line="500" w:lineRule="exact"/>
      <w:ind w:firstLine="420" w:firstLineChars="200"/>
      <w:jc w:val="left"/>
    </w:pPr>
    <w:rPr>
      <w:rFonts w:ascii="Times New Roman" w:hAnsi="Times New Roman" w:cs="Times New Roman"/>
      <w:sz w:val="24"/>
      <w:szCs w:val="24"/>
    </w:rPr>
  </w:style>
  <w:style w:type="character" w:customStyle="1" w:styleId="122">
    <w:name w:val="font21"/>
    <w:basedOn w:val="38"/>
    <w:qFormat/>
    <w:uiPriority w:val="0"/>
    <w:rPr>
      <w:rFonts w:hint="default" w:ascii="Courier New" w:hAnsi="Courier New" w:cs="Courier New"/>
      <w:color w:val="000000"/>
      <w:sz w:val="20"/>
      <w:szCs w:val="20"/>
      <w:u w:val="none"/>
    </w:rPr>
  </w:style>
  <w:style w:type="paragraph" w:customStyle="1" w:styleId="123">
    <w:name w:val="BodyText1I2"/>
    <w:basedOn w:val="124"/>
    <w:next w:val="1"/>
    <w:qFormat/>
    <w:uiPriority w:val="0"/>
    <w:pPr>
      <w:spacing w:after="120"/>
      <w:ind w:left="420" w:leftChars="200" w:firstLine="420" w:firstLineChars="200"/>
      <w:jc w:val="both"/>
      <w:textAlignment w:val="baseline"/>
    </w:pPr>
  </w:style>
  <w:style w:type="paragraph" w:customStyle="1" w:styleId="124">
    <w:name w:val="BodyTextIndent"/>
    <w:basedOn w:val="1"/>
    <w:next w:val="1"/>
    <w:qFormat/>
    <w:uiPriority w:val="0"/>
    <w:pPr>
      <w:spacing w:after="120"/>
      <w:ind w:left="420" w:leftChars="200"/>
      <w:jc w:val="both"/>
      <w:textAlignment w:val="baseline"/>
    </w:pPr>
  </w:style>
  <w:style w:type="paragraph" w:customStyle="1" w:styleId="125">
    <w:name w:val="表格内文字"/>
    <w:next w:val="1"/>
    <w:qFormat/>
    <w:uiPriority w:val="0"/>
    <w:pPr>
      <w:widowControl w:val="0"/>
      <w:tabs>
        <w:tab w:val="left" w:pos="0"/>
      </w:tabs>
      <w:adjustRightInd w:val="0"/>
      <w:snapToGrid w:val="0"/>
      <w:jc w:val="center"/>
    </w:pPr>
    <w:rPr>
      <w:rFonts w:ascii="Times New Roman" w:hAnsi="Times New Roman" w:eastAsia="仿宋_GB2312" w:cs="Times New Roman"/>
      <w:kern w:val="2"/>
      <w:sz w:val="24"/>
      <w:szCs w:val="24"/>
      <w:lang w:val="en-US" w:eastAsia="zh-CN" w:bidi="ar-SA"/>
    </w:rPr>
  </w:style>
  <w:style w:type="paragraph" w:customStyle="1" w:styleId="126">
    <w:name w:val="表内容"/>
    <w:basedOn w:val="1"/>
    <w:link w:val="127"/>
    <w:qFormat/>
    <w:uiPriority w:val="0"/>
    <w:pPr>
      <w:adjustRightInd w:val="0"/>
      <w:snapToGrid w:val="0"/>
      <w:jc w:val="center"/>
    </w:pPr>
    <w:rPr>
      <w:kern w:val="0"/>
      <w:szCs w:val="21"/>
    </w:rPr>
  </w:style>
  <w:style w:type="character" w:customStyle="1" w:styleId="127">
    <w:name w:val="表内容 Char"/>
    <w:link w:val="126"/>
    <w:qFormat/>
    <w:uiPriority w:val="0"/>
    <w:rPr>
      <w:kern w:val="0"/>
      <w:szCs w:val="21"/>
    </w:rPr>
  </w:style>
  <w:style w:type="paragraph" w:customStyle="1" w:styleId="128">
    <w:name w:val="样式 正文 行距: 固定值 25 磅"/>
    <w:basedOn w:val="1"/>
    <w:qFormat/>
    <w:uiPriority w:val="0"/>
    <w:pPr>
      <w:spacing w:line="500" w:lineRule="exact"/>
    </w:pPr>
  </w:style>
  <w:style w:type="paragraph" w:customStyle="1" w:styleId="129">
    <w:name w:val="缩进正文"/>
    <w:qFormat/>
    <w:uiPriority w:val="0"/>
    <w:pPr>
      <w:adjustRightInd w:val="0"/>
      <w:snapToGrid w:val="0"/>
      <w:spacing w:line="360" w:lineRule="auto"/>
      <w:ind w:firstLine="200" w:firstLineChars="200"/>
      <w:jc w:val="both"/>
    </w:pPr>
    <w:rPr>
      <w:rFonts w:ascii="Times New Roman" w:hAnsi="Times New Roman" w:eastAsia="宋体" w:cs="Times New Roman"/>
      <w:kern w:val="0"/>
      <w:sz w:val="24"/>
      <w:szCs w:val="20"/>
      <w:lang w:val="en-US" w:eastAsia="zh-CN" w:bidi="ar-SA"/>
    </w:rPr>
  </w:style>
  <w:style w:type="paragraph" w:customStyle="1" w:styleId="130">
    <w:name w:val="正文lcc"/>
    <w:basedOn w:val="1"/>
    <w:qFormat/>
    <w:uiPriority w:val="0"/>
    <w:pPr>
      <w:snapToGrid w:val="0"/>
      <w:spacing w:line="360" w:lineRule="auto"/>
      <w:ind w:firstLine="480" w:firstLineChars="200"/>
    </w:pPr>
    <w:rPr>
      <w:color w:val="000000"/>
      <w:sz w:val="24"/>
    </w:rPr>
  </w:style>
  <w:style w:type="character" w:customStyle="1" w:styleId="131">
    <w:name w:val="font01"/>
    <w:basedOn w:val="38"/>
    <w:qFormat/>
    <w:uiPriority w:val="0"/>
    <w:rPr>
      <w:rFonts w:hint="eastAsia" w:ascii="宋体" w:hAnsi="宋体" w:eastAsia="宋体" w:cs="宋体"/>
      <w:color w:val="000000"/>
      <w:sz w:val="22"/>
      <w:szCs w:val="22"/>
      <w:u w:val="none"/>
    </w:rPr>
  </w:style>
  <w:style w:type="character" w:customStyle="1" w:styleId="132">
    <w:name w:val="font31"/>
    <w:basedOn w:val="38"/>
    <w:qFormat/>
    <w:uiPriority w:val="0"/>
    <w:rPr>
      <w:rFonts w:hint="eastAsia" w:ascii="宋体" w:hAnsi="宋体" w:eastAsia="宋体" w:cs="宋体"/>
      <w:color w:val="000000"/>
      <w:sz w:val="22"/>
      <w:szCs w:val="22"/>
      <w:u w:val="none"/>
    </w:rPr>
  </w:style>
  <w:style w:type="paragraph" w:customStyle="1" w:styleId="133">
    <w:name w:val="段落"/>
    <w:basedOn w:val="1"/>
    <w:qFormat/>
    <w:uiPriority w:val="0"/>
    <w:pPr>
      <w:tabs>
        <w:tab w:val="left" w:pos="1021"/>
      </w:tabs>
      <w:adjustRightInd w:val="0"/>
      <w:snapToGrid w:val="0"/>
      <w:spacing w:line="360" w:lineRule="auto"/>
    </w:pPr>
    <w:rPr>
      <w:rFonts w:ascii="宋体" w:hAnsi="宋体"/>
      <w:sz w:val="24"/>
    </w:rPr>
  </w:style>
  <w:style w:type="paragraph" w:customStyle="1" w:styleId="134">
    <w:name w:val="正文小四首缩1.3行距"/>
    <w:basedOn w:val="1"/>
    <w:qFormat/>
    <w:uiPriority w:val="0"/>
    <w:pPr>
      <w:widowControl/>
      <w:spacing w:line="312" w:lineRule="auto"/>
      <w:ind w:firstLine="420" w:firstLineChars="200"/>
      <w:jc w:val="left"/>
    </w:pPr>
    <w:rPr>
      <w:rFonts w:ascii="宋体" w:hAnsi="宋体"/>
      <w:kern w:val="0"/>
      <w:sz w:val="24"/>
      <w:szCs w:val="20"/>
    </w:rPr>
  </w:style>
  <w:style w:type="paragraph" w:customStyle="1" w:styleId="135">
    <w:name w:val="Char Char Char Char Char Char"/>
    <w:basedOn w:val="1"/>
    <w:qFormat/>
    <w:uiPriority w:val="0"/>
    <w:rPr>
      <w:sz w:val="24"/>
    </w:rPr>
  </w:style>
  <w:style w:type="character" w:customStyle="1" w:styleId="136">
    <w:name w:val="NormalCharacter"/>
    <w:semiHidden/>
    <w:qFormat/>
    <w:uiPriority w:val="0"/>
  </w:style>
  <w:style w:type="paragraph" w:styleId="137">
    <w:name w:val="List Paragraph"/>
    <w:basedOn w:val="1"/>
    <w:unhideWhenUsed/>
    <w:qFormat/>
    <w:uiPriority w:val="1"/>
    <w:pPr>
      <w:spacing w:beforeLines="0" w:afterLines="0"/>
    </w:pPr>
    <w:rPr>
      <w:rFonts w:hint="default"/>
      <w:sz w:val="24"/>
      <w:szCs w:val="24"/>
    </w:rPr>
  </w:style>
  <w:style w:type="paragraph" w:customStyle="1" w:styleId="138">
    <w:name w:val="标准正文文本"/>
    <w:basedOn w:val="1"/>
    <w:qFormat/>
    <w:uiPriority w:val="0"/>
    <w:pPr>
      <w:adjustRightInd w:val="0"/>
      <w:snapToGrid w:val="0"/>
      <w:spacing w:line="360" w:lineRule="auto"/>
      <w:ind w:firstLine="643" w:firstLineChars="200"/>
    </w:pPr>
    <w:rPr>
      <w:kern w:val="0"/>
      <w:sz w:val="24"/>
      <w:szCs w:val="22"/>
    </w:rPr>
  </w:style>
  <w:style w:type="table" w:customStyle="1" w:styleId="139">
    <w:name w:val="Table Normal"/>
    <w:unhideWhenUsed/>
    <w:qFormat/>
    <w:uiPriority w:val="0"/>
    <w:pPr>
      <w:widowControl w:val="0"/>
    </w:pPr>
    <w:rPr>
      <w:rFonts w:ascii="Calibri" w:hAnsi="Calibri"/>
      <w:sz w:val="22"/>
      <w:szCs w:val="22"/>
      <w:lang w:val="en-US" w:eastAsia="en-US" w:bidi="ar-SA"/>
    </w:rPr>
    <w:tblPr>
      <w:tblCellMar>
        <w:top w:w="0" w:type="dxa"/>
        <w:left w:w="0" w:type="dxa"/>
        <w:bottom w:w="0" w:type="dxa"/>
        <w:right w:w="0" w:type="dxa"/>
      </w:tblCellMar>
    </w:tblPr>
  </w:style>
  <w:style w:type="paragraph" w:customStyle="1" w:styleId="140">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65</Pages>
  <Words>15726</Words>
  <Characters>16811</Characters>
  <Lines>267</Lines>
  <Paragraphs>75</Paragraphs>
  <TotalTime>1</TotalTime>
  <ScaleCrop>false</ScaleCrop>
  <LinksUpToDate>false</LinksUpToDate>
  <CharactersWithSpaces>17020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2022-12-13T07:24:00Z</dcterms:created>
  <dc:creator>lhj</dc:creator>
  <cp:lastModifiedBy>wf3757</cp:lastModifiedBy>
  <cp:lastPrinted>2024-11-05T00:38:00Z</cp:lastPrinted>
  <dcterms:modified xsi:type="dcterms:W3CDTF">2025-02-12T09:44:03Z</dcterms:modified>
  <dc:title>附件2</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6276A2335E5245E48315A2B1F16AEBDE_13</vt:lpwstr>
  </property>
  <property fmtid="{D5CDD505-2E9C-101B-9397-08002B2CF9AE}" pid="4" name="KSOTemplateDocerSaveRecord">
    <vt:lpwstr>eyJoZGlkIjoiMGNjM2EzZDgxODVlNmNjMjA0NWRjMGEyMjIxMzE1NjciLCJ1c2VySWQiOiIxOTQzNjg5MzUifQ==</vt:lpwstr>
  </property>
</Properties>
</file>