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泗水县住建局2020年“双随机一公开”监管</w:t>
      </w:r>
      <w:r>
        <w:rPr>
          <w:rFonts w:hint="eastAsia" w:ascii="Times New Roman" w:hAnsi="Times New Roman" w:eastAsia="方正小标宋_GBK"/>
          <w:sz w:val="44"/>
          <w:szCs w:val="44"/>
        </w:rPr>
        <w:t>随机抽查事项清单</w:t>
      </w:r>
    </w:p>
    <w:p>
      <w:pPr>
        <w:spacing w:line="580" w:lineRule="exact"/>
        <w:jc w:val="center"/>
        <w:rPr>
          <w:rFonts w:ascii="Times New Roman" w:hAnsi="Times New Roman" w:eastAsia="黑体"/>
        </w:rPr>
      </w:pPr>
      <w:r>
        <w:rPr>
          <w:rFonts w:ascii="Times New Roman" w:hAnsi="Times New Roman" w:eastAsia="仿宋_GB2312"/>
          <w:color w:val="000000"/>
          <w:sz w:val="24"/>
        </w:rPr>
        <w:t xml:space="preserve">                                                               </w:t>
      </w:r>
      <w:r>
        <w:rPr>
          <w:rFonts w:ascii="Times New Roman" w:hAnsi="Times New Roman" w:eastAsia="黑体"/>
        </w:rPr>
        <w:t xml:space="preserve">                                                                     </w:t>
      </w:r>
    </w:p>
    <w:tbl>
      <w:tblPr>
        <w:tblStyle w:val="7"/>
        <w:tblW w:w="14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00"/>
        <w:gridCol w:w="1020"/>
        <w:gridCol w:w="1695"/>
        <w:gridCol w:w="6255"/>
        <w:gridCol w:w="930"/>
        <w:gridCol w:w="120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p>
            <w:pPr>
              <w:spacing w:line="260" w:lineRule="exact"/>
              <w:jc w:val="both"/>
              <w:rPr>
                <w:rFonts w:hint="eastAsia" w:ascii="宋体" w:hAnsi="宋体" w:eastAsia="宋体" w:cs="宋体"/>
                <w:color w:val="000000" w:themeColor="text1"/>
                <w:sz w:val="21"/>
                <w:szCs w:val="21"/>
                <w14:textFill>
                  <w14:solidFill>
                    <w14:schemeClr w14:val="tx1"/>
                  </w14:solidFill>
                </w14:textFill>
              </w:rPr>
            </w:pPr>
          </w:p>
        </w:tc>
        <w:tc>
          <w:tcPr>
            <w:tcW w:w="90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抽查 </w:t>
            </w:r>
          </w:p>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事项</w:t>
            </w:r>
          </w:p>
        </w:tc>
        <w:tc>
          <w:tcPr>
            <w:tcW w:w="102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抽查 </w:t>
            </w:r>
          </w:p>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对象</w:t>
            </w:r>
          </w:p>
        </w:tc>
        <w:tc>
          <w:tcPr>
            <w:tcW w:w="1695"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抽查 </w:t>
            </w:r>
          </w:p>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内容</w:t>
            </w:r>
          </w:p>
        </w:tc>
        <w:tc>
          <w:tcPr>
            <w:tcW w:w="6255"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抽查依据</w:t>
            </w:r>
          </w:p>
        </w:tc>
        <w:tc>
          <w:tcPr>
            <w:tcW w:w="93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抽查</w:t>
            </w:r>
          </w:p>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方式</w:t>
            </w:r>
          </w:p>
        </w:tc>
        <w:tc>
          <w:tcPr>
            <w:tcW w:w="120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抽查比例 </w:t>
            </w:r>
          </w:p>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和频次</w:t>
            </w:r>
          </w:p>
        </w:tc>
        <w:tc>
          <w:tcPr>
            <w:tcW w:w="90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抽查结果公示方式</w:t>
            </w:r>
          </w:p>
        </w:tc>
        <w:tc>
          <w:tcPr>
            <w:tcW w:w="720" w:type="dxa"/>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90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对建筑业企业监督检查</w:t>
            </w:r>
          </w:p>
        </w:tc>
        <w:tc>
          <w:tcPr>
            <w:tcW w:w="102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建筑业企业</w:t>
            </w:r>
          </w:p>
        </w:tc>
        <w:tc>
          <w:tcPr>
            <w:tcW w:w="1695"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主要人员、技术、装备等满足资质标准情况。</w:t>
            </w:r>
          </w:p>
        </w:tc>
        <w:tc>
          <w:tcPr>
            <w:tcW w:w="6255"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建筑业企业资质管理规定》（建设部令第22号）第二十四条：“县级以上人民政府住房城乡建设主管部门和其他有关部门应当依照有关法律、法规和本规定，加强对企业取得建筑业企业资质后是否满足资质标准和市场行为的监督管理。”</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2.《工程监理企业资质管理规定》(建设部令第158号)第四条：“省、自治区、直辖市人民政府建设主管部门负责本行政区域内工程监理企业资质的统一监督管理工作。”</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.《山东省住房城乡建设厅关于印发&lt;山东省房屋建筑和市政公用工程监理人员定岗标准&gt;的通知》(鲁建建字〔2013〕27号)。</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.《建筑工程项目总监理工程师质量安全责任六项规定》（建市〔2015〕35号）。</w:t>
            </w:r>
          </w:p>
        </w:tc>
        <w:tc>
          <w:tcPr>
            <w:tcW w:w="93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现场检查、实地核查</w:t>
            </w:r>
          </w:p>
        </w:tc>
        <w:tc>
          <w:tcPr>
            <w:tcW w:w="120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一年1</w:t>
            </w:r>
            <w:r>
              <w:rPr>
                <w:rFonts w:hint="eastAsia" w:ascii="宋体" w:hAnsi="宋体" w:eastAsia="宋体" w:cs="宋体"/>
                <w:color w:val="auto"/>
                <w:sz w:val="21"/>
                <w:szCs w:val="21"/>
              </w:rPr>
              <w:t>次</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抽查比</w:t>
            </w:r>
            <w:r>
              <w:rPr>
                <w:rFonts w:hint="eastAsia" w:ascii="宋体" w:hAnsi="宋体" w:eastAsia="宋体" w:cs="宋体"/>
                <w:color w:val="auto"/>
                <w:sz w:val="21"/>
                <w:szCs w:val="21"/>
                <w:lang w:eastAsia="zh-CN"/>
              </w:rPr>
              <w:t>例</w:t>
            </w:r>
            <w:r>
              <w:rPr>
                <w:rFonts w:hint="eastAsia" w:ascii="宋体" w:hAnsi="宋体" w:eastAsia="宋体" w:cs="宋体"/>
                <w:color w:val="auto"/>
                <w:sz w:val="21"/>
                <w:szCs w:val="21"/>
                <w:lang w:val="en-US" w:eastAsia="zh-CN"/>
              </w:rPr>
              <w:t>20%。</w:t>
            </w:r>
          </w:p>
        </w:tc>
        <w:tc>
          <w:tcPr>
            <w:tcW w:w="90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通过网站等方式公示</w:t>
            </w:r>
          </w:p>
        </w:tc>
        <w:tc>
          <w:tcPr>
            <w:tcW w:w="72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69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2</w:t>
            </w:r>
          </w:p>
        </w:tc>
        <w:tc>
          <w:tcPr>
            <w:tcW w:w="900" w:type="dxa"/>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000000" w:themeColor="text1"/>
                <w:sz w:val="21"/>
                <w:szCs w:val="21"/>
                <w:lang w:eastAsia="zh-CN"/>
                <w14:textFill>
                  <w14:solidFill>
                    <w14:schemeClr w14:val="tx1"/>
                  </w14:solidFill>
                </w14:textFill>
              </w:rPr>
              <w:t>对</w:t>
            </w:r>
            <w:r>
              <w:rPr>
                <w:rFonts w:hint="eastAsia" w:ascii="宋体" w:hAnsi="宋体" w:eastAsia="宋体" w:cs="宋体"/>
                <w:color w:val="000000" w:themeColor="text1"/>
                <w:sz w:val="21"/>
                <w:szCs w:val="21"/>
                <w14:textFill>
                  <w14:solidFill>
                    <w14:schemeClr w14:val="tx1"/>
                  </w14:solidFill>
                </w14:textFill>
              </w:rPr>
              <w:t>城乡建设档案的监督检查</w:t>
            </w:r>
          </w:p>
        </w:tc>
        <w:tc>
          <w:tcPr>
            <w:tcW w:w="1020" w:type="dxa"/>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城市规划区内建设单位</w:t>
            </w:r>
          </w:p>
        </w:tc>
        <w:tc>
          <w:tcPr>
            <w:tcW w:w="1695" w:type="dxa"/>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000000" w:themeColor="text1"/>
                <w:sz w:val="21"/>
                <w:szCs w:val="21"/>
                <w14:textFill>
                  <w14:solidFill>
                    <w14:schemeClr w14:val="tx1"/>
                  </w14:solidFill>
                </w14:textFill>
              </w:rPr>
              <w:t>城市规划区内在建建设单位建设工程档案的接收、整理、编目、统计、鉴定、保管与保护等情况</w:t>
            </w:r>
          </w:p>
        </w:tc>
        <w:tc>
          <w:tcPr>
            <w:tcW w:w="6255"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1、《城市建设档案管理规定》（建设部90号令）第三条“县级以上地方人民政府建设行政主管部门负责本行政区域内的城建档案管理工作，业务上受同级档案部门的监督、指导。城市的建设行政主管部门应当设置城建档案工作管理机构或者配备城建档案管理人员，负责全市城建档案工作。城市建设行政主管部门也可以委托城建档案馆负责城建档案工作的日常管理工作。”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城市地下管线工程档案管理办法》（建设部第136号令）第三条“县级以上城市人民政府建设行政主管部门或者规划主管部门负责本行政区域内城市地下管线工程档案的管理工作，并接受上一级建设主管部门的指导、监督。城市地下管线工程档案的收集、保管、利用等具体工作，由城建档案馆或者城建档案室（以下简称城建档案管理机构）负责。”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济宁市城建档案管理办法》（济政发（2008）27号）第五条“县（市）建设（规划）行政主管部门负责本行政区域城建档案的监督管理工作，并协助市城建档案馆做好本行政区域市级以上（包括市级）重点工程的档案管理工作，县（市）建设（规划）行政主管部门所属的城建档案管理机构负责本行政区域城建档案的日常管理工作。”</w:t>
            </w:r>
          </w:p>
        </w:tc>
        <w:tc>
          <w:tcPr>
            <w:tcW w:w="930" w:type="dxa"/>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000000" w:themeColor="text1"/>
                <w:sz w:val="21"/>
                <w:szCs w:val="21"/>
                <w14:textFill>
                  <w14:solidFill>
                    <w14:schemeClr w14:val="tx1"/>
                  </w14:solidFill>
                </w14:textFill>
              </w:rPr>
              <w:t>实地查验</w:t>
            </w:r>
          </w:p>
        </w:tc>
        <w:tc>
          <w:tcPr>
            <w:tcW w:w="1200" w:type="dxa"/>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次，</w:t>
            </w:r>
            <w:r>
              <w:rPr>
                <w:rFonts w:hint="eastAsia" w:ascii="宋体" w:hAnsi="宋体" w:eastAsia="宋体" w:cs="宋体"/>
                <w:color w:val="000000" w:themeColor="text1"/>
                <w:sz w:val="21"/>
                <w:szCs w:val="21"/>
                <w:lang w:val="en-US" w:eastAsia="zh-CN"/>
                <w14:textFill>
                  <w14:solidFill>
                    <w14:schemeClr w14:val="tx1"/>
                  </w14:solidFill>
                </w14:textFill>
              </w:rPr>
              <w:t>抽查</w:t>
            </w:r>
            <w:r>
              <w:rPr>
                <w:rFonts w:hint="eastAsia" w:ascii="宋体" w:hAnsi="宋体" w:eastAsia="宋体" w:cs="宋体"/>
                <w:color w:val="000000" w:themeColor="text1"/>
                <w:sz w:val="21"/>
                <w:szCs w:val="21"/>
                <w14:textFill>
                  <w14:solidFill>
                    <w14:schemeClr w14:val="tx1"/>
                  </w14:solidFill>
                </w14:textFill>
              </w:rPr>
              <w:t>比例</w:t>
            </w:r>
            <w:r>
              <w:rPr>
                <w:rFonts w:hint="eastAsia" w:ascii="宋体" w:hAnsi="宋体" w:eastAsia="宋体" w:cs="宋体"/>
                <w:color w:val="000000" w:themeColor="text1"/>
                <w:sz w:val="21"/>
                <w:szCs w:val="21"/>
                <w:lang w:eastAsia="zh-CN"/>
                <w14:textFill>
                  <w14:solidFill>
                    <w14:schemeClr w14:val="tx1"/>
                  </w14:solidFill>
                </w14:textFill>
              </w:rPr>
              <w:t>不低于</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900" w:type="dxa"/>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通过网站等方式公示</w:t>
            </w:r>
          </w:p>
        </w:tc>
        <w:tc>
          <w:tcPr>
            <w:tcW w:w="720" w:type="dxa"/>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69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90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对从事建筑活动的单位和施工现场的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安全</w:t>
            </w:r>
            <w:r>
              <w:rPr>
                <w:rFonts w:hint="eastAsia" w:ascii="宋体" w:hAnsi="宋体" w:eastAsia="宋体" w:cs="宋体"/>
                <w:b w:val="0"/>
                <w:bCs w:val="0"/>
                <w:color w:val="000000" w:themeColor="text1"/>
                <w:sz w:val="21"/>
                <w:szCs w:val="21"/>
                <w14:textFill>
                  <w14:solidFill>
                    <w14:schemeClr w14:val="tx1"/>
                  </w14:solidFill>
                </w14:textFill>
              </w:rPr>
              <w:t>监督检查</w:t>
            </w:r>
          </w:p>
        </w:tc>
        <w:tc>
          <w:tcPr>
            <w:tcW w:w="102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建筑施工现场</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69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检查建筑工程施工现场安全生产情况是否符合法律法规规章规定的要求，对涉嫌违法行为依法开展调查</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6255" w:type="dxa"/>
            <w:vAlign w:val="top"/>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《安全生产法》（第九届全国人民代表大会常务委员会第二十八次会议于 2002 年 6月29日通过公布， 2014 年 8月31  日修订 ） 第九条：“ …… 县级以上地方各级人民政府有关部门依照本法和其他有关法律 、 法规的规定 ， 在各自的职责范围内对有关行业、 领域的安全生产工作实施监督管理 …”2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建设工程安全生产管理条例》（国务院令第393号）第四十条：“… 县级以上地方人民政府建设行政主管部门对本行政区域内的建设工程安全生产实施监督管理 …”.3. 《山东省建筑安全生产管理规定》（ 山东省政府令第132  号）第五条“ …设区的市 、 县 （ 市 ） 建设行政主管部门负责本行政区域内的建筑安全生产管理工作 ……”</w:t>
            </w:r>
          </w:p>
        </w:tc>
        <w:tc>
          <w:tcPr>
            <w:tcW w:w="93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现场检查、书面检查</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120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一年1</w:t>
            </w:r>
            <w:r>
              <w:rPr>
                <w:rFonts w:hint="eastAsia" w:ascii="宋体" w:hAnsi="宋体" w:eastAsia="宋体" w:cs="宋体"/>
                <w:b w:val="0"/>
                <w:bCs w:val="0"/>
                <w:color w:val="000000" w:themeColor="text1"/>
                <w:sz w:val="21"/>
                <w:szCs w:val="21"/>
                <w14:textFill>
                  <w14:solidFill>
                    <w14:schemeClr w14:val="tx1"/>
                  </w14:solidFill>
                </w14:textFill>
              </w:rPr>
              <w:t>次</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抽查比</w:t>
            </w:r>
            <w:r>
              <w:rPr>
                <w:rFonts w:hint="eastAsia" w:ascii="宋体" w:hAnsi="宋体" w:eastAsia="宋体" w:cs="宋体"/>
                <w:b w:val="0"/>
                <w:bCs w:val="0"/>
                <w:color w:val="000000" w:themeColor="text1"/>
                <w:sz w:val="21"/>
                <w:szCs w:val="21"/>
                <w:lang w:eastAsia="zh-CN"/>
                <w14:textFill>
                  <w14:solidFill>
                    <w14:schemeClr w14:val="tx1"/>
                  </w14:solidFill>
                </w14:textFill>
              </w:rPr>
              <w:t>例</w:t>
            </w:r>
            <w:r>
              <w:rPr>
                <w:rFonts w:hint="eastAsia" w:ascii="宋体" w:hAnsi="宋体" w:eastAsia="宋体" w:cs="宋体"/>
                <w:b w:val="0"/>
                <w:bCs w:val="0"/>
                <w:color w:val="000000" w:themeColor="text1"/>
                <w:sz w:val="21"/>
                <w:szCs w:val="21"/>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90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通过网站等方式公示</w:t>
            </w:r>
          </w:p>
        </w:tc>
        <w:tc>
          <w:tcPr>
            <w:tcW w:w="720" w:type="dxa"/>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690"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color w:val="000000" w:themeColor="text1"/>
                <w:sz w:val="21"/>
                <w:szCs w:val="21"/>
                <w14:textFill>
                  <w14:solidFill>
                    <w14:schemeClr w14:val="tx1"/>
                  </w14:solidFill>
                </w14:textFill>
              </w:rPr>
            </w:pPr>
            <w:bookmarkStart w:id="0" w:name="_GoBack"/>
            <w:r>
              <w:rPr>
                <w:rFonts w:hint="eastAsia" w:ascii="宋体" w:hAnsi="宋体" w:cs="宋体"/>
                <w:b w:val="0"/>
                <w:bCs w:val="0"/>
                <w:color w:val="000000" w:themeColor="text1"/>
                <w:kern w:val="0"/>
                <w:sz w:val="21"/>
                <w:szCs w:val="21"/>
                <w:lang w:eastAsia="zh-CN"/>
                <w14:textFill>
                  <w14:solidFill>
                    <w14:schemeClr w14:val="tx1"/>
                  </w14:solidFill>
                </w14:textFill>
              </w:rPr>
              <w:t>对</w:t>
            </w:r>
            <w:r>
              <w:rPr>
                <w:rFonts w:hint="eastAsia" w:ascii="宋体" w:hAnsi="宋体" w:eastAsia="宋体" w:cs="宋体"/>
                <w:b w:val="0"/>
                <w:bCs w:val="0"/>
                <w:color w:val="000000" w:themeColor="text1"/>
                <w:kern w:val="0"/>
                <w:sz w:val="21"/>
                <w:szCs w:val="21"/>
                <w14:textFill>
                  <w14:solidFill>
                    <w14:schemeClr w14:val="tx1"/>
                  </w14:solidFill>
                </w14:textFill>
              </w:rPr>
              <w:t>房地产企业市场行为监督管理</w:t>
            </w:r>
            <w:bookmarkEnd w:id="0"/>
          </w:p>
        </w:tc>
        <w:tc>
          <w:tcPr>
            <w:tcW w:w="102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房地产开发企业</w:t>
            </w:r>
          </w:p>
        </w:tc>
        <w:tc>
          <w:tcPr>
            <w:tcW w:w="1695"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检查房地产开发企业市场行为是否符合法律法规规章规定的规范；对涉嫌违法行为依法开展调查</w:t>
            </w:r>
          </w:p>
        </w:tc>
        <w:tc>
          <w:tcPr>
            <w:tcW w:w="6255"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《商品房销售管理办法》（建设部令第88号）第五条：“……直辖市、市、县人民政府建设行政主管部门、房地产行政主管部门按照职责分工，负责本行政区域内商品房的销售管理工作”</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14:textFill>
                  <w14:solidFill>
                    <w14:schemeClr w14:val="tx1"/>
                  </w14:solidFill>
                </w14:textFill>
              </w:rPr>
              <w:t>《城市商品房预售管理办法》（建设部令第131号）第四条“…市、县人民政府建设行政主管部门或房地产行政主管部门负责本行政区域内城市商品房预售管理。”</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14:textFill>
                  <w14:solidFill>
                    <w14:schemeClr w14:val="tx1"/>
                  </w14:solidFill>
                </w14:textFill>
              </w:rPr>
              <w:t>.《山东省商品房销售条例》（2005年3月31日山东省第十届人民代表大会常务委员会第十三次会议通过）第六条“商品房预售实行预售许可制度。房地产开发企业进行商品房预售，应当向设区的市县（市）商品房销售管理部门申请预售许可，取得商品房预售许可证明。未取得商品房预售许可证明的，不得进行商品房预售。”</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现场检查、书面检查、实地核查</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kern w:val="0"/>
                <w:sz w:val="21"/>
                <w:szCs w:val="21"/>
                <w14:textFill>
                  <w14:solidFill>
                    <w14:schemeClr w14:val="tx1"/>
                  </w14:solidFill>
                </w14:textFill>
              </w:rPr>
              <w:t>年1次</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14:textFill>
                  <w14:solidFill>
                    <w14:schemeClr w14:val="tx1"/>
                  </w14:solidFill>
                </w14:textFill>
              </w:rPr>
              <w:t>抽查比例</w:t>
            </w:r>
            <w:r>
              <w:rPr>
                <w:rFonts w:hint="eastAsia" w:ascii="宋体" w:hAnsi="宋体" w:cs="宋体"/>
                <w:b w:val="0"/>
                <w:bCs w:val="0"/>
                <w:color w:val="000000" w:themeColor="text1"/>
                <w:kern w:val="0"/>
                <w:sz w:val="21"/>
                <w:szCs w:val="21"/>
                <w:lang w:val="en-US" w:eastAsia="zh-CN"/>
                <w14:textFill>
                  <w14:solidFill>
                    <w14:schemeClr w14:val="tx1"/>
                  </w14:solidFill>
                </w14:textFill>
              </w:rPr>
              <w:t>20</w:t>
            </w:r>
            <w:r>
              <w:rPr>
                <w:rFonts w:hint="eastAsia" w:ascii="宋体" w:hAnsi="宋体" w:eastAsia="宋体" w:cs="宋体"/>
                <w:b w:val="0"/>
                <w:bCs w:val="0"/>
                <w:color w:val="000000" w:themeColor="text1"/>
                <w:kern w:val="0"/>
                <w:sz w:val="21"/>
                <w:szCs w:val="21"/>
                <w14:textFill>
                  <w14:solidFill>
                    <w14:schemeClr w14:val="tx1"/>
                  </w14:solidFill>
                </w14:textFill>
              </w:rPr>
              <w:t>%</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通过网站等方式公示</w:t>
            </w:r>
          </w:p>
        </w:tc>
        <w:tc>
          <w:tcPr>
            <w:tcW w:w="720" w:type="dxa"/>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p>
        </w:tc>
      </w:tr>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7" w:right="1440" w:bottom="141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D06C4"/>
    <w:multiLevelType w:val="singleLevel"/>
    <w:tmpl w:val="593D06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F2"/>
    <w:rsid w:val="003A7EF5"/>
    <w:rsid w:val="005F71F2"/>
    <w:rsid w:val="007C501A"/>
    <w:rsid w:val="00AC556E"/>
    <w:rsid w:val="00B07C21"/>
    <w:rsid w:val="00D34395"/>
    <w:rsid w:val="00E06A3A"/>
    <w:rsid w:val="02641396"/>
    <w:rsid w:val="03480E39"/>
    <w:rsid w:val="05150402"/>
    <w:rsid w:val="05EE79F6"/>
    <w:rsid w:val="06523306"/>
    <w:rsid w:val="088B6517"/>
    <w:rsid w:val="09A91FCC"/>
    <w:rsid w:val="0A1F7B89"/>
    <w:rsid w:val="0BB4244A"/>
    <w:rsid w:val="0F3B77E8"/>
    <w:rsid w:val="1059537C"/>
    <w:rsid w:val="11D543DE"/>
    <w:rsid w:val="1211368F"/>
    <w:rsid w:val="12131C6E"/>
    <w:rsid w:val="14206D90"/>
    <w:rsid w:val="15A86694"/>
    <w:rsid w:val="17DB669A"/>
    <w:rsid w:val="1B1B6EB3"/>
    <w:rsid w:val="1FD03BE2"/>
    <w:rsid w:val="20BD3C3B"/>
    <w:rsid w:val="222553E0"/>
    <w:rsid w:val="253325A8"/>
    <w:rsid w:val="29C32959"/>
    <w:rsid w:val="2B4120B0"/>
    <w:rsid w:val="2C993230"/>
    <w:rsid w:val="2D063FAE"/>
    <w:rsid w:val="2E78328C"/>
    <w:rsid w:val="30B636EB"/>
    <w:rsid w:val="316244DD"/>
    <w:rsid w:val="35D63E7F"/>
    <w:rsid w:val="374E62A7"/>
    <w:rsid w:val="3AD3088E"/>
    <w:rsid w:val="3C70597D"/>
    <w:rsid w:val="3C863D20"/>
    <w:rsid w:val="3F873CFC"/>
    <w:rsid w:val="42C44A5F"/>
    <w:rsid w:val="431B2CD9"/>
    <w:rsid w:val="43F77252"/>
    <w:rsid w:val="457A26FD"/>
    <w:rsid w:val="4AF84043"/>
    <w:rsid w:val="4B373BEE"/>
    <w:rsid w:val="4BF2259B"/>
    <w:rsid w:val="4F2877E9"/>
    <w:rsid w:val="4F9D7D02"/>
    <w:rsid w:val="5398417F"/>
    <w:rsid w:val="55E83CB9"/>
    <w:rsid w:val="59BE3A6F"/>
    <w:rsid w:val="5C1B3010"/>
    <w:rsid w:val="5E197296"/>
    <w:rsid w:val="5E785399"/>
    <w:rsid w:val="5EC91F3D"/>
    <w:rsid w:val="5F6E102D"/>
    <w:rsid w:val="5FFE04D2"/>
    <w:rsid w:val="61AC470F"/>
    <w:rsid w:val="65620EED"/>
    <w:rsid w:val="665046F0"/>
    <w:rsid w:val="66A1614A"/>
    <w:rsid w:val="6CCF7A8E"/>
    <w:rsid w:val="6D566456"/>
    <w:rsid w:val="6D8D31E5"/>
    <w:rsid w:val="6F626D16"/>
    <w:rsid w:val="6FE81C81"/>
    <w:rsid w:val="7031424E"/>
    <w:rsid w:val="72513EEE"/>
    <w:rsid w:val="7337210C"/>
    <w:rsid w:val="739255AB"/>
    <w:rsid w:val="74D04CC7"/>
    <w:rsid w:val="75C03F3E"/>
    <w:rsid w:val="78650C99"/>
    <w:rsid w:val="7F4C12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8" w:lineRule="auto"/>
      <w:outlineLvl w:val="0"/>
    </w:pPr>
    <w:rPr>
      <w:b/>
      <w:bCs/>
      <w:kern w:val="44"/>
      <w:sz w:val="44"/>
      <w:szCs w:val="44"/>
    </w:rPr>
  </w:style>
  <w:style w:type="paragraph" w:styleId="3">
    <w:name w:val="heading 3"/>
    <w:basedOn w:val="1"/>
    <w:next w:val="1"/>
    <w:link w:val="12"/>
    <w:qFormat/>
    <w:uiPriority w:val="99"/>
    <w:pPr>
      <w:spacing w:before="100" w:beforeAutospacing="1" w:after="100" w:afterAutospacing="1"/>
      <w:jc w:val="left"/>
      <w:outlineLvl w:val="2"/>
    </w:pPr>
    <w:rPr>
      <w:rFonts w:ascii="宋体" w:hAnsi="宋体" w:cs="宋体"/>
      <w:b/>
      <w:kern w:val="0"/>
      <w:sz w:val="27"/>
      <w:szCs w:val="27"/>
    </w:rPr>
  </w:style>
  <w:style w:type="character" w:default="1" w:styleId="9">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customStyle="1" w:styleId="12">
    <w:name w:val="Heading 3 Char"/>
    <w:basedOn w:val="9"/>
    <w:link w:val="3"/>
    <w:semiHidden/>
    <w:qFormat/>
    <w:uiPriority w:val="9"/>
    <w:rPr>
      <w:b/>
      <w:bCs/>
      <w:sz w:val="32"/>
      <w:szCs w:val="32"/>
    </w:rPr>
  </w:style>
  <w:style w:type="character" w:customStyle="1" w:styleId="13">
    <w:name w:val="Footer Char"/>
    <w:basedOn w:val="9"/>
    <w:link w:val="4"/>
    <w:semiHidden/>
    <w:qFormat/>
    <w:uiPriority w:val="99"/>
    <w:rPr>
      <w:sz w:val="18"/>
      <w:szCs w:val="18"/>
    </w:rPr>
  </w:style>
  <w:style w:type="paragraph" w:customStyle="1" w:styleId="14">
    <w:name w:val="p17"/>
    <w:basedOn w:val="1"/>
    <w:qFormat/>
    <w:uiPriority w:val="99"/>
    <w:pPr>
      <w:widowControl/>
    </w:pPr>
    <w:rPr>
      <w:rFonts w:ascii="Times New Roman" w:hAnsi="Times New Roman"/>
      <w:kern w:val="0"/>
      <w:szCs w:val="21"/>
    </w:rPr>
  </w:style>
  <w:style w:type="character" w:customStyle="1" w:styleId="15">
    <w:name w:val="Header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1422</Words>
  <Characters>8108</Characters>
  <Lines>0</Lines>
  <Paragraphs>0</Paragraphs>
  <TotalTime>19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2017-11-23T07:28:00Z</dcterms:created>
  <dc:creator>Administrator</dc:creator>
  <cp:lastModifiedBy>依莲</cp:lastModifiedBy>
  <cp:lastPrinted>2017-11-24T06:45:00Z</cp:lastPrinted>
  <dcterms:modified xsi:type="dcterms:W3CDTF">2020-12-16T08:20:56Z</dcterms:modified>
  <dc:title>随机抽查事项清单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