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8B" w:rsidRDefault="00FC02A7" w:rsidP="00D7418B">
      <w:pPr>
        <w:spacing w:line="900" w:lineRule="exact"/>
        <w:jc w:val="center"/>
        <w:rPr>
          <w:rFonts w:ascii="方正小标宋简体" w:eastAsia="方正小标宋简体"/>
          <w:b/>
          <w:sz w:val="44"/>
        </w:rPr>
      </w:pPr>
      <w:r w:rsidRPr="000F09C6">
        <w:rPr>
          <w:rFonts w:ascii="方正小标宋简体" w:eastAsia="方正小标宋简体" w:hint="eastAsia"/>
          <w:b/>
          <w:sz w:val="44"/>
        </w:rPr>
        <w:t>泗水</w:t>
      </w:r>
      <w:r w:rsidRPr="000F09C6">
        <w:rPr>
          <w:rFonts w:ascii="方正小标宋简体" w:eastAsia="方正小标宋简体"/>
          <w:b/>
          <w:sz w:val="44"/>
        </w:rPr>
        <w:t>县水</w:t>
      </w:r>
      <w:proofErr w:type="gramStart"/>
      <w:r w:rsidRPr="000F09C6">
        <w:rPr>
          <w:rFonts w:ascii="方正小标宋简体" w:eastAsia="方正小标宋简体"/>
          <w:b/>
          <w:sz w:val="44"/>
        </w:rPr>
        <w:t>务</w:t>
      </w:r>
      <w:proofErr w:type="gramEnd"/>
      <w:r w:rsidRPr="000F09C6">
        <w:rPr>
          <w:rFonts w:ascii="方正小标宋简体" w:eastAsia="方正小标宋简体"/>
          <w:b/>
          <w:sz w:val="44"/>
        </w:rPr>
        <w:t>局</w:t>
      </w:r>
      <w:r w:rsidR="00D7418B">
        <w:rPr>
          <w:rFonts w:ascii="方正小标宋简体" w:eastAsia="方正小标宋简体" w:hint="eastAsia"/>
          <w:b/>
          <w:sz w:val="44"/>
        </w:rPr>
        <w:t>2</w:t>
      </w:r>
      <w:r w:rsidR="00D7418B">
        <w:rPr>
          <w:rFonts w:ascii="方正小标宋简体" w:eastAsia="方正小标宋简体"/>
          <w:b/>
          <w:sz w:val="44"/>
        </w:rPr>
        <w:t>019</w:t>
      </w:r>
      <w:r w:rsidR="00D7418B">
        <w:rPr>
          <w:rFonts w:ascii="方正小标宋简体" w:eastAsia="方正小标宋简体" w:hint="eastAsia"/>
          <w:b/>
          <w:sz w:val="44"/>
        </w:rPr>
        <w:t>年</w:t>
      </w:r>
      <w:r w:rsidRPr="000F09C6">
        <w:rPr>
          <w:rFonts w:ascii="方正小标宋简体" w:eastAsia="方正小标宋简体" w:hint="eastAsia"/>
          <w:b/>
          <w:sz w:val="44"/>
        </w:rPr>
        <w:t>政府信息公开工作</w:t>
      </w:r>
    </w:p>
    <w:p w:rsidR="00FC02A7" w:rsidRPr="000F09C6" w:rsidRDefault="00FC02A7" w:rsidP="00D7418B">
      <w:pPr>
        <w:spacing w:line="900" w:lineRule="exact"/>
        <w:jc w:val="center"/>
        <w:rPr>
          <w:rFonts w:ascii="方正小标宋简体" w:eastAsia="方正小标宋简体"/>
          <w:b/>
          <w:sz w:val="44"/>
        </w:rPr>
      </w:pPr>
      <w:r w:rsidRPr="000F09C6">
        <w:rPr>
          <w:rFonts w:ascii="方正小标宋简体" w:eastAsia="方正小标宋简体" w:hint="eastAsia"/>
          <w:b/>
          <w:sz w:val="44"/>
        </w:rPr>
        <w:t>年度报告</w:t>
      </w:r>
    </w:p>
    <w:p w:rsidR="00FC02A7" w:rsidRPr="000F09C6" w:rsidRDefault="00FC02A7" w:rsidP="00FC02A7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一、总体情况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2019</w:t>
      </w:r>
      <w:r w:rsidRPr="000F09C6">
        <w:rPr>
          <w:rFonts w:ascii="Times New Roman" w:eastAsia="方正仿宋简体" w:hAnsi="Times New Roman" w:cs="Times New Roman"/>
          <w:b/>
        </w:rPr>
        <w:t>年以来</w:t>
      </w:r>
      <w:r w:rsidRPr="000F09C6">
        <w:rPr>
          <w:rFonts w:ascii="Times New Roman" w:eastAsia="方正仿宋简体" w:hAnsi="Times New Roman" w:cs="Times New Roman" w:hint="eastAsia"/>
          <w:b/>
        </w:rPr>
        <w:t>泗水</w:t>
      </w:r>
      <w:r w:rsidRPr="000F09C6">
        <w:rPr>
          <w:rFonts w:ascii="Times New Roman" w:eastAsia="方正仿宋简体" w:hAnsi="Times New Roman" w:cs="Times New Roman"/>
          <w:b/>
        </w:rPr>
        <w:t>县水</w:t>
      </w:r>
      <w:proofErr w:type="gramStart"/>
      <w:r w:rsidRPr="000F09C6">
        <w:rPr>
          <w:rFonts w:ascii="Times New Roman" w:eastAsia="方正仿宋简体" w:hAnsi="Times New Roman" w:cs="Times New Roman"/>
          <w:b/>
        </w:rPr>
        <w:t>务</w:t>
      </w:r>
      <w:proofErr w:type="gramEnd"/>
      <w:r w:rsidRPr="000F09C6">
        <w:rPr>
          <w:rFonts w:ascii="Times New Roman" w:eastAsia="方正仿宋简体" w:hAnsi="Times New Roman" w:cs="Times New Roman"/>
          <w:b/>
        </w:rPr>
        <w:t>局在</w:t>
      </w:r>
      <w:r w:rsidRPr="000F09C6">
        <w:rPr>
          <w:rFonts w:ascii="Times New Roman" w:eastAsia="方正仿宋简体" w:hAnsi="Times New Roman" w:cs="Times New Roman" w:hint="eastAsia"/>
          <w:b/>
        </w:rPr>
        <w:t>泗水县</w:t>
      </w:r>
      <w:r w:rsidRPr="000F09C6">
        <w:rPr>
          <w:rFonts w:ascii="Times New Roman" w:eastAsia="方正仿宋简体" w:hAnsi="Times New Roman" w:cs="Times New Roman"/>
          <w:b/>
        </w:rPr>
        <w:t>委、</w:t>
      </w:r>
      <w:r w:rsidRPr="000F09C6">
        <w:rPr>
          <w:rFonts w:ascii="Times New Roman" w:eastAsia="方正仿宋简体" w:hAnsi="Times New Roman" w:cs="Times New Roman" w:hint="eastAsia"/>
          <w:b/>
        </w:rPr>
        <w:t>县</w:t>
      </w:r>
      <w:r w:rsidRPr="000F09C6">
        <w:rPr>
          <w:rFonts w:ascii="Times New Roman" w:eastAsia="方正仿宋简体" w:hAnsi="Times New Roman" w:cs="Times New Roman"/>
          <w:b/>
        </w:rPr>
        <w:t>政府和上级水利部门的领导下，认真落实政府信息公开工作相关要求，紧密结合我局水利工作实际，紧紧</w:t>
      </w:r>
      <w:r w:rsidRPr="000F09C6">
        <w:rPr>
          <w:rFonts w:ascii="Times New Roman" w:eastAsia="方正仿宋简体" w:hAnsi="Times New Roman" w:cs="Times New Roman" w:hint="eastAsia"/>
          <w:b/>
        </w:rPr>
        <w:t>围绕政策落实扩大、解读回应深化、</w:t>
      </w:r>
      <w:proofErr w:type="gramStart"/>
      <w:r w:rsidRPr="000F09C6">
        <w:rPr>
          <w:rFonts w:ascii="Times New Roman" w:eastAsia="方正仿宋简体" w:hAnsi="Times New Roman" w:cs="Times New Roman" w:hint="eastAsia"/>
          <w:b/>
        </w:rPr>
        <w:t>政民互动</w:t>
      </w:r>
      <w:proofErr w:type="gramEnd"/>
      <w:r w:rsidRPr="000F09C6">
        <w:rPr>
          <w:rFonts w:ascii="Times New Roman" w:eastAsia="方正仿宋简体" w:hAnsi="Times New Roman" w:cs="Times New Roman" w:hint="eastAsia"/>
          <w:b/>
        </w:rPr>
        <w:t>拓展、平台建设优化、组织保障强化公开</w:t>
      </w:r>
      <w:r w:rsidRPr="000F09C6">
        <w:rPr>
          <w:rFonts w:ascii="Times New Roman" w:eastAsia="方正仿宋简体" w:hAnsi="Times New Roman" w:cs="Times New Roman"/>
          <w:b/>
        </w:rPr>
        <w:t>等年度政务公开工作</w:t>
      </w:r>
      <w:r w:rsidRPr="000F09C6">
        <w:rPr>
          <w:rFonts w:ascii="Times New Roman" w:eastAsia="方正仿宋简体" w:hAnsi="Times New Roman" w:cs="Times New Roman" w:hint="eastAsia"/>
          <w:b/>
        </w:rPr>
        <w:t>要点</w:t>
      </w:r>
      <w:r w:rsidR="00765233">
        <w:rPr>
          <w:rFonts w:ascii="Times New Roman" w:eastAsia="方正仿宋简体" w:hAnsi="Times New Roman" w:cs="Times New Roman" w:hint="eastAsia"/>
          <w:b/>
        </w:rPr>
        <w:t>任务</w:t>
      </w:r>
      <w:r w:rsidRPr="000F09C6">
        <w:rPr>
          <w:rFonts w:ascii="Times New Roman" w:eastAsia="方正仿宋简体" w:hAnsi="Times New Roman" w:cs="Times New Roman"/>
          <w:b/>
        </w:rPr>
        <w:t>，以进一步实现政务公开透明为目标，扎实推动政府信息公开工作常态化、制度化发展，取得良好效果。</w:t>
      </w:r>
    </w:p>
    <w:p w:rsidR="00FC02A7" w:rsidRPr="000F09C6" w:rsidRDefault="00FC02A7" w:rsidP="00FC02A7">
      <w:pPr>
        <w:ind w:firstLineChars="200" w:firstLine="634"/>
        <w:rPr>
          <w:rFonts w:ascii="方正楷体简体" w:eastAsia="方正楷体简体" w:hAnsi="Times New Roman" w:cs="Times New Roman"/>
          <w:b/>
        </w:rPr>
      </w:pPr>
      <w:r w:rsidRPr="000F09C6">
        <w:rPr>
          <w:rFonts w:ascii="方正楷体简体" w:eastAsia="方正楷体简体" w:hAnsi="Times New Roman" w:cs="Times New Roman" w:hint="eastAsia"/>
          <w:b/>
        </w:rPr>
        <w:t>（一）主要亮点和成效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对涉及机关事务工作方面重点改革任务、重大政策措施、重大工程项目等决策部署</w:t>
      </w:r>
      <w:r w:rsidRPr="000F09C6">
        <w:rPr>
          <w:rFonts w:ascii="Times New Roman" w:eastAsia="方正仿宋简体" w:hAnsi="Times New Roman" w:cs="Times New Roman"/>
          <w:b/>
        </w:rPr>
        <w:t>,</w:t>
      </w:r>
      <w:r w:rsidRPr="000F09C6">
        <w:rPr>
          <w:rFonts w:ascii="Times New Roman" w:eastAsia="方正仿宋简体" w:hAnsi="Times New Roman" w:cs="Times New Roman"/>
          <w:b/>
        </w:rPr>
        <w:t>主动将任务目标、主要措施、实施步骤、责任分工、监督方式和工作进展、存在问题、后续举措等向社会公开</w:t>
      </w:r>
      <w:r w:rsidRPr="000F09C6">
        <w:rPr>
          <w:rFonts w:ascii="Times New Roman" w:eastAsia="方正仿宋简体" w:hAnsi="Times New Roman" w:cs="Times New Roman"/>
          <w:b/>
        </w:rPr>
        <w:t>,</w:t>
      </w:r>
      <w:r w:rsidRPr="000F09C6">
        <w:rPr>
          <w:rFonts w:ascii="Times New Roman" w:eastAsia="方正仿宋简体" w:hAnsi="Times New Roman" w:cs="Times New Roman"/>
          <w:b/>
        </w:rPr>
        <w:t>接受社会监督</w:t>
      </w:r>
      <w:r w:rsidRPr="000F09C6">
        <w:rPr>
          <w:rFonts w:ascii="Times New Roman" w:eastAsia="方正仿宋简体" w:hAnsi="Times New Roman" w:cs="Times New Roman"/>
          <w:b/>
        </w:rPr>
        <w:t>,</w:t>
      </w:r>
      <w:r w:rsidRPr="000F09C6">
        <w:rPr>
          <w:rFonts w:ascii="Times New Roman" w:eastAsia="方正仿宋简体" w:hAnsi="Times New Roman" w:cs="Times New Roman"/>
          <w:b/>
        </w:rPr>
        <w:t>推动决策落实。根据</w:t>
      </w:r>
      <w:r w:rsidRPr="000F09C6">
        <w:rPr>
          <w:rFonts w:ascii="Times New Roman" w:eastAsia="方正仿宋简体" w:hAnsi="Times New Roman" w:cs="Times New Roman" w:hint="eastAsia"/>
          <w:b/>
        </w:rPr>
        <w:t>县</w:t>
      </w:r>
      <w:r w:rsidRPr="000F09C6">
        <w:rPr>
          <w:rFonts w:ascii="Times New Roman" w:eastAsia="方正仿宋简体" w:hAnsi="Times New Roman" w:cs="Times New Roman"/>
          <w:b/>
        </w:rPr>
        <w:t>财政统一要求，做好部门预、决算信息公开。加强机关单位人事信息公开，做到公开、公平、公正。</w:t>
      </w:r>
    </w:p>
    <w:p w:rsidR="00FC02A7" w:rsidRPr="000F09C6" w:rsidRDefault="00FC02A7" w:rsidP="00FC02A7">
      <w:pPr>
        <w:ind w:firstLineChars="200" w:firstLine="634"/>
        <w:rPr>
          <w:rFonts w:ascii="方正楷体简体" w:eastAsia="方正楷体简体" w:hAnsi="Times New Roman" w:cs="Times New Roman"/>
          <w:b/>
        </w:rPr>
      </w:pPr>
      <w:r w:rsidRPr="000F09C6">
        <w:rPr>
          <w:rFonts w:ascii="方正楷体简体" w:eastAsia="方正楷体简体" w:hAnsi="Times New Roman" w:cs="Times New Roman"/>
          <w:b/>
        </w:rPr>
        <w:t>（二）部署和落实情况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我局始终坚持建立和完善决策合法性论证制度，克服违法决策现象，避免和减少决策失误，保证决策合法、科学与民主，始终坚持依法执政，重大事件由班子集体研究决定。落实重大决策预公开，涉及公共利益和公众权益的重大事项，除依法应当保密</w:t>
      </w:r>
      <w:r w:rsidRPr="000F09C6">
        <w:rPr>
          <w:rFonts w:ascii="Times New Roman" w:eastAsia="方正仿宋简体" w:hAnsi="Times New Roman" w:cs="Times New Roman"/>
          <w:b/>
        </w:rPr>
        <w:lastRenderedPageBreak/>
        <w:t>的外，主动向社会公布决策草案、决策依据等。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按照</w:t>
      </w:r>
      <w:r w:rsidRPr="000F09C6">
        <w:rPr>
          <w:rFonts w:ascii="Times New Roman" w:eastAsia="方正仿宋简体" w:hAnsi="Times New Roman" w:cs="Times New Roman"/>
          <w:b/>
        </w:rPr>
        <w:t>“</w:t>
      </w:r>
      <w:r w:rsidRPr="000F09C6">
        <w:rPr>
          <w:rFonts w:ascii="Times New Roman" w:eastAsia="方正仿宋简体" w:hAnsi="Times New Roman" w:cs="Times New Roman"/>
          <w:b/>
        </w:rPr>
        <w:t>谁执法</w:t>
      </w:r>
      <w:r w:rsidRPr="000F09C6">
        <w:rPr>
          <w:rFonts w:ascii="Times New Roman" w:eastAsia="方正仿宋简体" w:hAnsi="Times New Roman" w:cs="Times New Roman" w:hint="eastAsia"/>
          <w:b/>
        </w:rPr>
        <w:t>、</w:t>
      </w:r>
      <w:r w:rsidRPr="000F09C6">
        <w:rPr>
          <w:rFonts w:ascii="Times New Roman" w:eastAsia="方正仿宋简体" w:hAnsi="Times New Roman" w:cs="Times New Roman"/>
          <w:b/>
        </w:rPr>
        <w:t>谁公示</w:t>
      </w:r>
      <w:r w:rsidRPr="000F09C6">
        <w:rPr>
          <w:rFonts w:ascii="Times New Roman" w:eastAsia="方正仿宋简体" w:hAnsi="Times New Roman" w:cs="Times New Roman"/>
          <w:b/>
        </w:rPr>
        <w:t>”</w:t>
      </w:r>
      <w:r w:rsidRPr="000F09C6">
        <w:rPr>
          <w:rFonts w:ascii="Times New Roman" w:eastAsia="方正仿宋简体" w:hAnsi="Times New Roman" w:cs="Times New Roman"/>
          <w:b/>
        </w:rPr>
        <w:t>原则，严格落实行政执法公示制度，</w:t>
      </w:r>
      <w:proofErr w:type="gramStart"/>
      <w:r w:rsidRPr="000F09C6">
        <w:rPr>
          <w:rFonts w:ascii="Times New Roman" w:eastAsia="方正仿宋简体" w:hAnsi="Times New Roman" w:cs="Times New Roman"/>
          <w:b/>
        </w:rPr>
        <w:t>督促水</w:t>
      </w:r>
      <w:proofErr w:type="gramEnd"/>
      <w:r w:rsidRPr="000F09C6">
        <w:rPr>
          <w:rFonts w:ascii="Times New Roman" w:eastAsia="方正仿宋简体" w:hAnsi="Times New Roman" w:cs="Times New Roman"/>
          <w:b/>
        </w:rPr>
        <w:t>政执法人员在办案过程中依法办案，认真调查事实，收集证据。水政执法人员处理水事案件时都能做到事实清楚，证据确凿，定性准确，并按照法定程序进行。我局利用</w:t>
      </w:r>
      <w:r w:rsidR="00BE0084" w:rsidRPr="000F09C6">
        <w:rPr>
          <w:rFonts w:ascii="Times New Roman" w:eastAsia="方正仿宋简体" w:hAnsi="Times New Roman" w:cs="Times New Roman" w:hint="eastAsia"/>
          <w:b/>
        </w:rPr>
        <w:t>行政执法</w:t>
      </w:r>
      <w:r w:rsidR="00BE0084" w:rsidRPr="000F09C6">
        <w:rPr>
          <w:rFonts w:ascii="Times New Roman" w:eastAsia="方正仿宋简体" w:hAnsi="Times New Roman" w:cs="Times New Roman"/>
          <w:b/>
        </w:rPr>
        <w:t>公示专栏</w:t>
      </w:r>
      <w:r w:rsidRPr="000F09C6">
        <w:rPr>
          <w:rFonts w:ascii="Times New Roman" w:eastAsia="方正仿宋简体" w:hAnsi="Times New Roman" w:cs="Times New Roman"/>
          <w:b/>
        </w:rPr>
        <w:t>，向社会依法公开</w:t>
      </w:r>
      <w:r w:rsidR="00BE0084" w:rsidRPr="000F09C6">
        <w:rPr>
          <w:rFonts w:ascii="Times New Roman" w:eastAsia="方正仿宋简体" w:hAnsi="Times New Roman" w:cs="Times New Roman" w:hint="eastAsia"/>
          <w:b/>
        </w:rPr>
        <w:t>权责清单</w:t>
      </w:r>
      <w:r w:rsidR="00BE0084" w:rsidRPr="000F09C6">
        <w:rPr>
          <w:rFonts w:ascii="Times New Roman" w:eastAsia="方正仿宋简体" w:hAnsi="Times New Roman" w:cs="Times New Roman"/>
          <w:b/>
        </w:rPr>
        <w:t>、执法依据、执法程序</w:t>
      </w:r>
      <w:r w:rsidR="00BE0084" w:rsidRPr="000F09C6">
        <w:rPr>
          <w:rFonts w:ascii="Times New Roman" w:eastAsia="方正仿宋简体" w:hAnsi="Times New Roman" w:cs="Times New Roman" w:hint="eastAsia"/>
          <w:b/>
        </w:rPr>
        <w:t>、</w:t>
      </w:r>
      <w:r w:rsidRPr="000F09C6">
        <w:rPr>
          <w:rFonts w:ascii="Times New Roman" w:eastAsia="方正仿宋简体" w:hAnsi="Times New Roman" w:cs="Times New Roman"/>
          <w:b/>
        </w:rPr>
        <w:t>执法结果</w:t>
      </w:r>
      <w:r w:rsidR="00BE0084" w:rsidRPr="000F09C6">
        <w:rPr>
          <w:rFonts w:ascii="Times New Roman" w:eastAsia="方正仿宋简体" w:hAnsi="Times New Roman" w:cs="Times New Roman" w:hint="eastAsia"/>
          <w:b/>
        </w:rPr>
        <w:t>和救济</w:t>
      </w:r>
      <w:r w:rsidR="00BE0084" w:rsidRPr="000F09C6">
        <w:rPr>
          <w:rFonts w:ascii="Times New Roman" w:eastAsia="方正仿宋简体" w:hAnsi="Times New Roman" w:cs="Times New Roman"/>
          <w:b/>
        </w:rPr>
        <w:t>渠道</w:t>
      </w:r>
      <w:r w:rsidRPr="000F09C6">
        <w:rPr>
          <w:rFonts w:ascii="Times New Roman" w:eastAsia="方正仿宋简体" w:hAnsi="Times New Roman" w:cs="Times New Roman"/>
          <w:b/>
        </w:rPr>
        <w:t>等信息。</w:t>
      </w:r>
    </w:p>
    <w:p w:rsidR="00BE0084" w:rsidRPr="000F09C6" w:rsidRDefault="00FC02A7" w:rsidP="00FC02A7">
      <w:pPr>
        <w:ind w:firstLineChars="200" w:firstLine="634"/>
        <w:rPr>
          <w:rFonts w:ascii="方正楷体简体" w:eastAsia="方正楷体简体" w:hAnsi="Times New Roman" w:cs="Times New Roman"/>
          <w:b/>
        </w:rPr>
      </w:pPr>
      <w:r w:rsidRPr="000F09C6">
        <w:rPr>
          <w:rFonts w:ascii="方正楷体简体" w:eastAsia="方正楷体简体" w:hAnsi="Times New Roman" w:cs="Times New Roman"/>
          <w:b/>
        </w:rPr>
        <w:t>（三）公开制度建设情况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我局高度重视政府信息公开机制的建立健全工作，采用规范发文稿由局主要领导审核每一个对外公布信息，确保公开程序及时、有效。严格按照上级对公开内容、时间、程序、范围等要求，使政府信息公开工作有章、有据，促使信息公开工作规范化、制度化，真正达到内容、形式、效果相统一。</w:t>
      </w:r>
    </w:p>
    <w:p w:rsidR="00FC02A7" w:rsidRPr="000F09C6" w:rsidRDefault="00FC02A7" w:rsidP="00FC02A7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/>
          <w:b/>
        </w:rPr>
        <w:t>我局成立了政府信息工作领导小组，由局主要领导任组长、分管领导任副组长的领导机构，局办公室工作人员负责政府信息公开工作，确保全局政务公开工作快速、高效、持续、规范开展。</w:t>
      </w:r>
    </w:p>
    <w:p w:rsidR="008F3FEB" w:rsidRPr="000F09C6" w:rsidRDefault="008F3FEB" w:rsidP="008F3FEB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二、主动公开政府信息情况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2126"/>
        <w:gridCol w:w="1978"/>
        <w:gridCol w:w="2029"/>
      </w:tblGrid>
      <w:tr w:rsidR="008F3FEB" w:rsidRPr="000F09C6" w:rsidTr="00765233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第二十条第（一）项</w:t>
            </w:r>
          </w:p>
        </w:tc>
      </w:tr>
      <w:tr w:rsidR="00E5498A" w:rsidRPr="000F09C6" w:rsidTr="00765233">
        <w:trPr>
          <w:trHeight w:val="567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信息内容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612B3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本年新</w:t>
            </w:r>
            <w:r w:rsidRPr="000F09C6">
              <w:rPr>
                <w:rFonts w:ascii="Times New Roman" w:eastAsia="方正仿宋简体" w:hAnsi="Times New Roman" w:cs="Times New Roman"/>
                <w:b/>
                <w:sz w:val="24"/>
              </w:rPr>
              <w:t>制作数量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612B3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本年新</w:t>
            </w:r>
            <w:r w:rsidRPr="000F09C6">
              <w:rPr>
                <w:rFonts w:ascii="Times New Roman" w:eastAsia="方正仿宋简体" w:hAnsi="Times New Roman" w:cs="Times New Roman"/>
                <w:b/>
                <w:sz w:val="24"/>
              </w:rPr>
              <w:t>公开数量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612B3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对外公开总数量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规章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规范性文件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F21655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8F3FEB" w:rsidRPr="000F09C6" w:rsidTr="00765233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第二十条第（五）项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信息内容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上一年项目数量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本年增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/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处理决定数量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行政许可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18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FB34A8">
              <w:rPr>
                <w:rFonts w:ascii="Times New Roman" w:eastAsia="方正仿宋简体" w:hAnsi="Times New Roman" w:cs="Times New Roman"/>
                <w:b/>
                <w:sz w:val="24"/>
              </w:rPr>
              <w:t>17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其他对外管理服务事项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15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6</w:t>
            </w:r>
          </w:p>
        </w:tc>
        <w:tc>
          <w:tcPr>
            <w:tcW w:w="115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9</w:t>
            </w:r>
          </w:p>
        </w:tc>
      </w:tr>
      <w:tr w:rsidR="008F3FEB" w:rsidRPr="000F09C6" w:rsidTr="00765233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lastRenderedPageBreak/>
              <w:t>第二十条第（六）项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信息内容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上一年项目数量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3FEB" w:rsidRPr="00FB34A8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本年增</w:t>
            </w: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t>/</w:t>
            </w: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FB34A8">
              <w:rPr>
                <w:rFonts w:ascii="Times New Roman" w:eastAsia="方正仿宋简体" w:hAnsi="Times New Roman" w:cs="Times New Roman" w:hint="eastAsia"/>
                <w:b/>
                <w:sz w:val="24"/>
              </w:rPr>
              <w:t>处理决定数量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行政处罚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162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  <w:r>
              <w:rPr>
                <w:rFonts w:ascii="Times New Roman" w:eastAsia="方正仿宋简体" w:hAnsi="Times New Roman" w:cs="Times New Roman"/>
                <w:b/>
                <w:sz w:val="24"/>
              </w:rPr>
              <w:t>25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137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行政强制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FB34A8" w:rsidRDefault="00FB34A8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</w:rPr>
              <w:t>17</w:t>
            </w:r>
          </w:p>
        </w:tc>
      </w:tr>
      <w:tr w:rsidR="008F3FEB" w:rsidRPr="000F09C6" w:rsidTr="00765233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第二十条第（八）项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信息内容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上一年项目数量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本年增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/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减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行政事业性收费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1C2D74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273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1C2D74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8F3FEB" w:rsidRPr="000F09C6" w:rsidTr="00765233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第二十条第（九）项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信息内容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采购项目数量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0F09C6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proofErr w:type="gramStart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采购总</w:t>
            </w:r>
            <w:proofErr w:type="gramEnd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金额</w:t>
            </w:r>
          </w:p>
        </w:tc>
      </w:tr>
      <w:tr w:rsidR="00E5498A" w:rsidRPr="000F09C6" w:rsidTr="00765233">
        <w:trPr>
          <w:trHeight w:val="283"/>
          <w:jc w:val="center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765233" w:rsidRDefault="008F3FEB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 w:hint="eastAsia"/>
                <w:b/>
                <w:sz w:val="24"/>
              </w:rPr>
              <w:t>政府集中采购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765233" w:rsidRDefault="00765233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1</w:t>
            </w:r>
          </w:p>
        </w:tc>
        <w:tc>
          <w:tcPr>
            <w:tcW w:w="227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F3FEB" w:rsidRPr="00765233" w:rsidRDefault="00765233" w:rsidP="008F3FE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98650</w:t>
            </w:r>
            <w:r>
              <w:rPr>
                <w:rFonts w:ascii="Times New Roman" w:eastAsia="方正仿宋简体" w:hAnsi="Times New Roman" w:cs="Times New Roman"/>
                <w:b/>
                <w:sz w:val="24"/>
              </w:rPr>
              <w:t>.00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元</w:t>
            </w:r>
          </w:p>
        </w:tc>
      </w:tr>
    </w:tbl>
    <w:p w:rsidR="008F3FEB" w:rsidRPr="000F09C6" w:rsidRDefault="00E5498A" w:rsidP="00FC02A7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三、收到和处理政府信息公开申请情况</w:t>
      </w:r>
    </w:p>
    <w:tbl>
      <w:tblPr>
        <w:tblW w:w="5000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987"/>
        <w:gridCol w:w="3254"/>
        <w:gridCol w:w="423"/>
        <w:gridCol w:w="707"/>
        <w:gridCol w:w="709"/>
        <w:gridCol w:w="709"/>
        <w:gridCol w:w="709"/>
        <w:gridCol w:w="435"/>
        <w:gridCol w:w="465"/>
      </w:tblGrid>
      <w:tr w:rsidR="00E5498A" w:rsidRPr="000F09C6" w:rsidTr="00765233">
        <w:trPr>
          <w:jc w:val="center"/>
        </w:trPr>
        <w:tc>
          <w:tcPr>
            <w:tcW w:w="264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612B3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（本列数据的勾</w:t>
            </w:r>
            <w:proofErr w:type="gramStart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稽</w:t>
            </w:r>
            <w:proofErr w:type="gramEnd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关系为：第一项加第二项之和，等于第三项加第四项之和）</w:t>
            </w:r>
          </w:p>
        </w:tc>
        <w:tc>
          <w:tcPr>
            <w:tcW w:w="2358" w:type="pct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申请人情况</w:t>
            </w:r>
          </w:p>
        </w:tc>
      </w:tr>
      <w:tr w:rsidR="00612B3D" w:rsidRPr="000F09C6" w:rsidTr="00765233">
        <w:trPr>
          <w:trHeight w:val="283"/>
          <w:jc w:val="center"/>
        </w:trPr>
        <w:tc>
          <w:tcPr>
            <w:tcW w:w="2642" w:type="pct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4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自然人</w:t>
            </w:r>
          </w:p>
        </w:tc>
        <w:tc>
          <w:tcPr>
            <w:tcW w:w="185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法人或其他组织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总计</w:t>
            </w:r>
          </w:p>
        </w:tc>
      </w:tr>
      <w:tr w:rsidR="00612B3D" w:rsidRPr="000F09C6" w:rsidTr="00765233">
        <w:trPr>
          <w:jc w:val="center"/>
        </w:trPr>
        <w:tc>
          <w:tcPr>
            <w:tcW w:w="2642" w:type="pct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4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商业企业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科研机构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社会公益组织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法律服务机构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</w:t>
            </w:r>
          </w:p>
        </w:tc>
        <w:tc>
          <w:tcPr>
            <w:tcW w:w="2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612B3D" w:rsidRPr="000F09C6" w:rsidTr="00765233">
        <w:trPr>
          <w:trHeight w:val="283"/>
          <w:jc w:val="center"/>
        </w:trPr>
        <w:tc>
          <w:tcPr>
            <w:tcW w:w="2642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一、本年新收政府信息公开申请数量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612B3D" w:rsidRPr="000F09C6" w:rsidTr="00765233">
        <w:trPr>
          <w:trHeight w:val="283"/>
          <w:jc w:val="center"/>
        </w:trPr>
        <w:tc>
          <w:tcPr>
            <w:tcW w:w="2642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二、上年结转政府信息公开申请数量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三、本年度办理结果</w:t>
            </w:r>
          </w:p>
        </w:tc>
        <w:tc>
          <w:tcPr>
            <w:tcW w:w="2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/>
                <w:b/>
                <w:sz w:val="24"/>
              </w:rPr>
              <w:t>（一）予以公开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612B3D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2B3D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（三）</w:t>
            </w:r>
          </w:p>
          <w:p w:rsidR="00BC7DF9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不予</w:t>
            </w:r>
          </w:p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公开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BC7DF9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1.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属于国家秘密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612B3D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BC7DF9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2.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其他法律行政法规禁止公开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F21655" w:rsidP="00E5498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3.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危及“三安全</w:t>
            </w:r>
            <w:proofErr w:type="gramStart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一</w:t>
            </w:r>
            <w:proofErr w:type="gramEnd"/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稳定”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4.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保护第三方合法权益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5.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属于三类内部事务信息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6.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属于四类过程性信息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7.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属于行政执法案卷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8.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属于行政查询事项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（四）无法</w:t>
            </w:r>
          </w:p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提供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1.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本机关不掌握相关政府信息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2.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没有现成信息需要另行制作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3.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补正后申请内容仍不明确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（五）不予</w:t>
            </w:r>
          </w:p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处理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1.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信访举报投诉类申请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2.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重复申请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3.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要求提供公开出版物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4.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无正当理由大量反复申请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5.</w:t>
            </w: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要求行政机关确认</w:t>
            </w:r>
          </w:p>
          <w:p w:rsidR="00F21655" w:rsidRPr="000F09C6" w:rsidRDefault="00F21655" w:rsidP="00F21655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或重新出具已获取信息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（六）其他处理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3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40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（七）总计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  <w:tr w:rsidR="00F21655" w:rsidRPr="000F09C6" w:rsidTr="00765233">
        <w:trPr>
          <w:trHeight w:val="283"/>
          <w:jc w:val="center"/>
        </w:trPr>
        <w:tc>
          <w:tcPr>
            <w:tcW w:w="2642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四、结转下年度继续办理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1655" w:rsidRPr="000F09C6" w:rsidRDefault="00F21655" w:rsidP="00F21655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0</w:t>
            </w:r>
          </w:p>
        </w:tc>
      </w:tr>
    </w:tbl>
    <w:p w:rsidR="00E5498A" w:rsidRPr="000F09C6" w:rsidRDefault="00E5498A" w:rsidP="00FC02A7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四、政府信息公开行政复议、行政诉讼情况</w:t>
      </w:r>
    </w:p>
    <w:tbl>
      <w:tblPr>
        <w:tblW w:w="5000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528"/>
        <w:gridCol w:w="453"/>
        <w:gridCol w:w="540"/>
        <w:gridCol w:w="706"/>
        <w:gridCol w:w="565"/>
        <w:gridCol w:w="565"/>
        <w:gridCol w:w="566"/>
        <w:gridCol w:w="566"/>
        <w:gridCol w:w="855"/>
        <w:gridCol w:w="564"/>
        <w:gridCol w:w="453"/>
        <w:gridCol w:w="566"/>
        <w:gridCol w:w="541"/>
        <w:gridCol w:w="894"/>
      </w:tblGrid>
      <w:tr w:rsidR="000F09C6" w:rsidRPr="000F09C6" w:rsidTr="00765233">
        <w:trPr>
          <w:jc w:val="center"/>
        </w:trPr>
        <w:tc>
          <w:tcPr>
            <w:tcW w:w="152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行政复议</w:t>
            </w:r>
          </w:p>
        </w:tc>
        <w:tc>
          <w:tcPr>
            <w:tcW w:w="3480" w:type="pct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行政诉讼</w:t>
            </w:r>
          </w:p>
        </w:tc>
      </w:tr>
      <w:tr w:rsidR="000F09C6" w:rsidRPr="000F09C6" w:rsidTr="00765233">
        <w:trPr>
          <w:jc w:val="center"/>
        </w:trPr>
        <w:tc>
          <w:tcPr>
            <w:tcW w:w="256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结果维持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结果纠正</w:t>
            </w:r>
          </w:p>
        </w:tc>
        <w:tc>
          <w:tcPr>
            <w:tcW w:w="2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其他结果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尚未审结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总计</w:t>
            </w:r>
          </w:p>
        </w:tc>
        <w:tc>
          <w:tcPr>
            <w:tcW w:w="17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未经复议直接起诉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复议后起诉</w:t>
            </w:r>
          </w:p>
        </w:tc>
      </w:tr>
      <w:tr w:rsidR="00765233" w:rsidRPr="000F09C6" w:rsidTr="00765233">
        <w:trPr>
          <w:jc w:val="center"/>
        </w:trPr>
        <w:tc>
          <w:tcPr>
            <w:tcW w:w="256" w:type="pct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612B3D">
            <w:pPr>
              <w:ind w:firstLineChars="200" w:firstLine="433"/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jc w:val="center"/>
              <w:rPr>
                <w:rFonts w:ascii="Times New Roman" w:eastAsia="方正仿宋简体" w:hAnsi="Times New Roman" w:cs="Times New Roman"/>
                <w:b/>
                <w:sz w:val="22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0F09C6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结果维持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结果纠正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其他结果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尚未审结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总计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结果维持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结果纠正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其他结果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尚未审结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E5498A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0F09C6">
              <w:rPr>
                <w:rFonts w:ascii="Times New Roman" w:eastAsia="方正仿宋简体" w:hAnsi="Times New Roman" w:cs="Times New Roman" w:hint="eastAsia"/>
                <w:b/>
                <w:sz w:val="24"/>
              </w:rPr>
              <w:t>总计</w:t>
            </w:r>
          </w:p>
        </w:tc>
      </w:tr>
      <w:tr w:rsidR="00765233" w:rsidRPr="000F09C6" w:rsidTr="00765233">
        <w:trPr>
          <w:trHeight w:val="283"/>
          <w:jc w:val="center"/>
        </w:trPr>
        <w:tc>
          <w:tcPr>
            <w:tcW w:w="25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765233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5498A" w:rsidRPr="000F09C6" w:rsidRDefault="00765233" w:rsidP="0076523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765233">
              <w:rPr>
                <w:rFonts w:ascii="Times New Roman" w:eastAsia="方正仿宋简体" w:hAnsi="Times New Roman" w:cs="Times New Roman"/>
                <w:b/>
                <w:sz w:val="24"/>
              </w:rPr>
              <w:t>0</w:t>
            </w:r>
          </w:p>
        </w:tc>
      </w:tr>
    </w:tbl>
    <w:p w:rsidR="00141E3E" w:rsidRPr="000F09C6" w:rsidRDefault="00141E3E" w:rsidP="00141E3E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五、存在的主要问题及改进情况</w:t>
      </w:r>
    </w:p>
    <w:p w:rsidR="00141E3E" w:rsidRPr="000F09C6" w:rsidRDefault="00141E3E" w:rsidP="00141E3E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 w:hint="eastAsia"/>
          <w:b/>
        </w:rPr>
        <w:t>2019</w:t>
      </w:r>
      <w:r w:rsidRPr="000F09C6">
        <w:rPr>
          <w:rFonts w:ascii="Times New Roman" w:eastAsia="方正仿宋简体" w:hAnsi="Times New Roman" w:cs="Times New Roman" w:hint="eastAsia"/>
          <w:b/>
        </w:rPr>
        <w:t>年我局政府信息公开工作还存在一些问题，局机关</w:t>
      </w:r>
      <w:r w:rsidR="007C3B02" w:rsidRPr="000F09C6">
        <w:rPr>
          <w:rFonts w:ascii="Times New Roman" w:eastAsia="方正仿宋简体" w:hAnsi="Times New Roman" w:cs="Times New Roman" w:hint="eastAsia"/>
          <w:b/>
        </w:rPr>
        <w:t>各科</w:t>
      </w:r>
      <w:r w:rsidRPr="000F09C6">
        <w:rPr>
          <w:rFonts w:ascii="Times New Roman" w:eastAsia="方正仿宋简体" w:hAnsi="Times New Roman" w:cs="Times New Roman" w:hint="eastAsia"/>
          <w:b/>
        </w:rPr>
        <w:t>室和局属各单位主动公开意识还需进一步加强，信息公开的广度和深度还有待进一步提升。</w:t>
      </w:r>
    </w:p>
    <w:p w:rsidR="00141E3E" w:rsidRPr="000F09C6" w:rsidRDefault="00141E3E" w:rsidP="00141E3E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 w:hint="eastAsia"/>
          <w:b/>
        </w:rPr>
        <w:t>2020</w:t>
      </w:r>
      <w:r w:rsidRPr="000F09C6">
        <w:rPr>
          <w:rFonts w:ascii="Times New Roman" w:eastAsia="方正仿宋简体" w:hAnsi="Times New Roman" w:cs="Times New Roman" w:hint="eastAsia"/>
          <w:b/>
        </w:rPr>
        <w:t>年重点做好以下几项工作。一是强化主动公开。按照“公开为常态，不公开为例外”的要求，切实抓好政府信息主动公开。重点加强防汛抗旱信息、重大水利工程建设信息、水资源和水环境信息、涉水行政</w:t>
      </w:r>
      <w:r w:rsidR="008875DD">
        <w:rPr>
          <w:rFonts w:ascii="Times New Roman" w:eastAsia="方正仿宋简体" w:hAnsi="Times New Roman" w:cs="Times New Roman" w:hint="eastAsia"/>
          <w:b/>
        </w:rPr>
        <w:t>执法</w:t>
      </w:r>
      <w:r w:rsidRPr="000F09C6">
        <w:rPr>
          <w:rFonts w:ascii="Times New Roman" w:eastAsia="方正仿宋简体" w:hAnsi="Times New Roman" w:cs="Times New Roman" w:hint="eastAsia"/>
          <w:b/>
        </w:rPr>
        <w:t>信息等内容的公开；二是统一认识，提高效率。加大信息主动公开力度，不断提高局机关</w:t>
      </w:r>
      <w:r w:rsidR="007C3B02" w:rsidRPr="000F09C6">
        <w:rPr>
          <w:rFonts w:ascii="Times New Roman" w:eastAsia="方正仿宋简体" w:hAnsi="Times New Roman" w:cs="Times New Roman" w:hint="eastAsia"/>
          <w:b/>
        </w:rPr>
        <w:t>各科室</w:t>
      </w:r>
      <w:r w:rsidRPr="000F09C6">
        <w:rPr>
          <w:rFonts w:ascii="Times New Roman" w:eastAsia="方正仿宋简体" w:hAnsi="Times New Roman" w:cs="Times New Roman" w:hint="eastAsia"/>
          <w:b/>
        </w:rPr>
        <w:t>和局属各单位做好政务公开工作的积极性和主动性，提升效率，定期维护，确保政府信息公开工作能按照有效的工作机制稳定运行，公众能够有效查询。</w:t>
      </w:r>
    </w:p>
    <w:p w:rsidR="00141E3E" w:rsidRPr="000F09C6" w:rsidRDefault="00141E3E" w:rsidP="00141E3E">
      <w:pPr>
        <w:ind w:firstLineChars="200" w:firstLine="634"/>
        <w:rPr>
          <w:rFonts w:ascii="方正黑体简体" w:eastAsia="方正黑体简体"/>
          <w:b/>
        </w:rPr>
      </w:pPr>
      <w:r w:rsidRPr="000F09C6">
        <w:rPr>
          <w:rFonts w:ascii="方正黑体简体" w:eastAsia="方正黑体简体" w:hint="eastAsia"/>
          <w:b/>
        </w:rPr>
        <w:t>六、其他需要报告的事项</w:t>
      </w:r>
    </w:p>
    <w:p w:rsidR="00141E3E" w:rsidRDefault="00141E3E" w:rsidP="00141E3E">
      <w:pPr>
        <w:ind w:firstLineChars="200" w:firstLine="634"/>
        <w:rPr>
          <w:rFonts w:ascii="Times New Roman" w:eastAsia="方正仿宋简体" w:hAnsi="Times New Roman" w:cs="Times New Roman"/>
          <w:b/>
        </w:rPr>
      </w:pPr>
      <w:r w:rsidRPr="000F09C6">
        <w:rPr>
          <w:rFonts w:ascii="Times New Roman" w:eastAsia="方正仿宋简体" w:hAnsi="Times New Roman" w:cs="Times New Roman" w:hint="eastAsia"/>
          <w:b/>
        </w:rPr>
        <w:t>没有需要说明的其他事项。</w:t>
      </w:r>
      <w:bookmarkStart w:id="0" w:name="_GoBack"/>
      <w:bookmarkEnd w:id="0"/>
    </w:p>
    <w:sectPr w:rsidR="00141E3E" w:rsidSect="00765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18" w:rsidRDefault="00331118" w:rsidP="00FC02A7">
      <w:r>
        <w:separator/>
      </w:r>
    </w:p>
  </w:endnote>
  <w:endnote w:type="continuationSeparator" w:id="0">
    <w:p w:rsidR="00331118" w:rsidRDefault="00331118" w:rsidP="00FC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Default="00765233" w:rsidP="00765233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Pr="00765233" w:rsidRDefault="00765233" w:rsidP="00765233">
    <w:pPr>
      <w:pStyle w:val="a4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451778">
      <w:rPr>
        <w:rFonts w:ascii="宋体" w:eastAsia="宋体" w:hAnsi="宋体"/>
        <w:noProof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Default="00765233" w:rsidP="007652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18" w:rsidRDefault="00331118" w:rsidP="00FC02A7">
      <w:r>
        <w:separator/>
      </w:r>
    </w:p>
  </w:footnote>
  <w:footnote w:type="continuationSeparator" w:id="0">
    <w:p w:rsidR="00331118" w:rsidRDefault="00331118" w:rsidP="00FC0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Default="007652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Default="00765233" w:rsidP="0076523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33" w:rsidRDefault="00765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AF"/>
    <w:rsid w:val="000F09C6"/>
    <w:rsid w:val="000F663F"/>
    <w:rsid w:val="00141E3E"/>
    <w:rsid w:val="00154F2B"/>
    <w:rsid w:val="001C2D74"/>
    <w:rsid w:val="002320AC"/>
    <w:rsid w:val="00233BFB"/>
    <w:rsid w:val="00331118"/>
    <w:rsid w:val="00451778"/>
    <w:rsid w:val="00612B3D"/>
    <w:rsid w:val="00717D05"/>
    <w:rsid w:val="00765233"/>
    <w:rsid w:val="007C3B02"/>
    <w:rsid w:val="008875DD"/>
    <w:rsid w:val="008B17AF"/>
    <w:rsid w:val="008F3FEB"/>
    <w:rsid w:val="00BC7DF9"/>
    <w:rsid w:val="00BE0084"/>
    <w:rsid w:val="00D1755B"/>
    <w:rsid w:val="00D5059F"/>
    <w:rsid w:val="00D7418B"/>
    <w:rsid w:val="00E5498A"/>
    <w:rsid w:val="00F21655"/>
    <w:rsid w:val="00FB34A8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A1E0E-DB89-4497-A894-2F67321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2A7"/>
    <w:rPr>
      <w:sz w:val="18"/>
      <w:szCs w:val="18"/>
    </w:rPr>
  </w:style>
  <w:style w:type="paragraph" w:styleId="a5">
    <w:name w:val="Normal (Web)"/>
    <w:basedOn w:val="a"/>
    <w:rsid w:val="00141E3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3B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3B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1AB8-5BBD-42CF-BA5D-80511A72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2020-01-08T09:18:00Z</cp:lastPrinted>
  <dcterms:created xsi:type="dcterms:W3CDTF">2020-01-08T06:38:00Z</dcterms:created>
  <dcterms:modified xsi:type="dcterms:W3CDTF">2020-02-18T05:47:00Z</dcterms:modified>
</cp:coreProperties>
</file>