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宋体" w:hAnsi="宋体" w:eastAsia="仿宋_GB2312" w:cs="宋体"/>
          <w:kern w:val="0"/>
          <w:sz w:val="32"/>
          <w:szCs w:val="32"/>
        </w:rPr>
      </w:pPr>
      <w:bookmarkStart w:id="0" w:name="OLE_LINK1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宋体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宋体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宋体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宋体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宋体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宋体" w:hAnsi="宋体" w:eastAsia="仿宋_GB2312" w:cs="宋体"/>
          <w:kern w:val="0"/>
          <w:sz w:val="32"/>
          <w:szCs w:val="32"/>
        </w:rPr>
      </w:pPr>
    </w:p>
    <w:p>
      <w:pPr>
        <w:widowControl/>
        <w:jc w:val="center"/>
        <w:rPr>
          <w:rFonts w:hint="eastAsia" w:ascii="宋体" w:hAnsi="宋体" w:eastAsia="仿宋_GB2312" w:cs="宋体"/>
          <w:spacing w:val="-8"/>
          <w:kern w:val="0"/>
          <w:sz w:val="32"/>
          <w:szCs w:val="32"/>
        </w:rPr>
      </w:pPr>
      <w:r>
        <w:rPr>
          <w:rFonts w:hint="eastAsia" w:ascii="宋体" w:hAnsi="宋体" w:eastAsia="仿宋_GB2312" w:cs="宋体"/>
          <w:spacing w:val="-8"/>
          <w:kern w:val="0"/>
          <w:sz w:val="32"/>
          <w:szCs w:val="32"/>
        </w:rPr>
        <w:t>泗政</w:t>
      </w:r>
      <w:r>
        <w:rPr>
          <w:rFonts w:hint="eastAsia" w:ascii="宋体" w:hAnsi="宋体" w:eastAsia="仿宋_GB2312" w:cs="宋体"/>
          <w:spacing w:val="-16"/>
          <w:kern w:val="0"/>
          <w:sz w:val="32"/>
          <w:szCs w:val="32"/>
        </w:rPr>
        <w:t>发</w:t>
      </w:r>
      <w:bookmarkStart w:id="1" w:name="OLE_LINK12"/>
      <w:bookmarkStart w:id="2" w:name="OLE_LINK11"/>
      <w:r>
        <w:rPr>
          <w:rFonts w:hint="eastAsia" w:ascii="宋体" w:hAnsi="宋体" w:eastAsia="仿宋_GB2312" w:cs="宋体"/>
          <w:spacing w:val="-16"/>
          <w:kern w:val="0"/>
          <w:sz w:val="32"/>
          <w:szCs w:val="32"/>
        </w:rPr>
        <w:t>〔</w:t>
      </w:r>
      <w:r>
        <w:rPr>
          <w:rFonts w:hint="eastAsia" w:ascii="宋体" w:hAnsi="宋体" w:eastAsia="宋体" w:cs="宋体"/>
          <w:spacing w:val="-16"/>
          <w:kern w:val="0"/>
          <w:sz w:val="32"/>
          <w:szCs w:val="32"/>
        </w:rPr>
        <w:t>20</w:t>
      </w:r>
      <w:r>
        <w:rPr>
          <w:rFonts w:ascii="宋体" w:hAnsi="宋体" w:eastAsia="宋体" w:cs="宋体"/>
          <w:spacing w:val="-16"/>
          <w:kern w:val="0"/>
          <w:sz w:val="32"/>
          <w:szCs w:val="32"/>
        </w:rPr>
        <w:t>2</w:t>
      </w:r>
      <w:r>
        <w:rPr>
          <w:rFonts w:hint="eastAsia" w:ascii="宋体" w:hAnsi="宋体" w:eastAsia="宋体" w:cs="宋体"/>
          <w:spacing w:val="-16"/>
          <w:kern w:val="0"/>
          <w:sz w:val="32"/>
          <w:szCs w:val="32"/>
        </w:rPr>
        <w:t>3</w:t>
      </w:r>
      <w:r>
        <w:rPr>
          <w:rFonts w:hint="eastAsia" w:ascii="宋体" w:hAnsi="宋体" w:eastAsia="仿宋_GB2312" w:cs="宋体"/>
          <w:spacing w:val="-16"/>
          <w:kern w:val="0"/>
          <w:sz w:val="32"/>
          <w:szCs w:val="32"/>
        </w:rPr>
        <w:t>〕</w:t>
      </w:r>
      <w:bookmarkEnd w:id="1"/>
      <w:bookmarkEnd w:id="2"/>
      <w:r>
        <w:rPr>
          <w:rFonts w:hint="eastAsia" w:ascii="宋体" w:hAnsi="宋体" w:eastAsia="仿宋_GB2312" w:cs="宋体"/>
          <w:spacing w:val="-16"/>
          <w:kern w:val="0"/>
          <w:sz w:val="32"/>
          <w:szCs w:val="32"/>
          <w:lang w:val="en-US" w:eastAsia="zh-CN"/>
        </w:rPr>
        <w:t>7</w:t>
      </w:r>
      <w:bookmarkStart w:id="4" w:name="_GoBack"/>
      <w:bookmarkEnd w:id="4"/>
      <w:r>
        <w:rPr>
          <w:rFonts w:hint="eastAsia" w:ascii="宋体" w:hAnsi="宋体" w:eastAsia="仿宋_GB2312" w:cs="宋体"/>
          <w:spacing w:val="-8"/>
          <w:kern w:val="0"/>
          <w:sz w:val="32"/>
          <w:szCs w:val="32"/>
        </w:rPr>
        <w:t>号</w:t>
      </w:r>
    </w:p>
    <w:p>
      <w:pPr>
        <w:jc w:val="center"/>
        <w:rPr>
          <w:rFonts w:hint="eastAsia" w:ascii="宋体" w:hAnsi="宋体" w:eastAsia="宋体" w:cs="Times New Roman"/>
          <w:sz w:val="24"/>
        </w:rPr>
      </w:pPr>
    </w:p>
    <w:p>
      <w:pPr>
        <w:jc w:val="center"/>
        <w:rPr>
          <w:rFonts w:hint="eastAsia" w:ascii="宋体" w:hAnsi="宋体" w:eastAsia="宋体" w:cs="Times New Roman"/>
          <w:sz w:val="24"/>
        </w:rPr>
      </w:pPr>
    </w:p>
    <w:p>
      <w:pPr>
        <w:jc w:val="center"/>
        <w:rPr>
          <w:rFonts w:hint="eastAsia" w:ascii="宋体" w:hAnsi="宋体" w:eastAsia="宋体" w:cs="Times New Roman"/>
          <w:sz w:val="24"/>
        </w:rPr>
      </w:pPr>
    </w:p>
    <w:p>
      <w:pPr>
        <w:spacing w:line="240" w:lineRule="exact"/>
        <w:jc w:val="center"/>
        <w:rPr>
          <w:rFonts w:hint="eastAsia" w:ascii="宋体" w:hAnsi="宋体" w:eastAsia="宋体" w:cs="Times New Roman"/>
          <w:sz w:val="24"/>
        </w:rPr>
      </w:pPr>
    </w:p>
    <w:p>
      <w:pPr>
        <w:spacing w:line="700" w:lineRule="exact"/>
        <w:jc w:val="center"/>
        <w:rPr>
          <w:rFonts w:hint="eastAsia" w:ascii="宋体" w:hAnsi="宋体" w:eastAsia="方正小标宋简体" w:cs="Times New Roman"/>
          <w:sz w:val="32"/>
          <w:szCs w:val="32"/>
        </w:rPr>
      </w:pPr>
      <w:r>
        <w:rPr>
          <w:rFonts w:hint="eastAsia" w:ascii="宋体" w:hAnsi="宋体" w:eastAsia="方正小标宋简体" w:cs="AdobeHeitiStd-Regular,Bold"/>
          <w:bCs/>
          <w:spacing w:val="40"/>
          <w:kern w:val="0"/>
          <w:sz w:val="44"/>
          <w:szCs w:val="44"/>
        </w:rPr>
        <w:t>泗水县人民政</w:t>
      </w:r>
      <w:r>
        <w:rPr>
          <w:rFonts w:hint="eastAsia" w:ascii="宋体" w:hAnsi="宋体" w:eastAsia="方正小标宋简体" w:cs="AdobeHeitiStd-Regular,Bold"/>
          <w:bCs/>
          <w:spacing w:val="14"/>
          <w:kern w:val="0"/>
          <w:sz w:val="44"/>
          <w:szCs w:val="44"/>
        </w:rPr>
        <w:t>府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宋体" w:hAnsi="宋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宋体" w:hAnsi="宋体" w:eastAsia="方正小标宋简体" w:cs="方正小标宋简体"/>
          <w:b w:val="0"/>
          <w:bCs/>
          <w:sz w:val="44"/>
          <w:szCs w:val="44"/>
          <w:lang w:eastAsia="zh-CN"/>
        </w:rPr>
        <w:t>关于</w:t>
      </w:r>
      <w:r>
        <w:rPr>
          <w:rFonts w:hint="eastAsia" w:ascii="宋体" w:hAnsi="宋体" w:eastAsia="方正小标宋简体" w:cs="方正小标宋简体"/>
          <w:b w:val="0"/>
          <w:bCs/>
          <w:sz w:val="44"/>
          <w:szCs w:val="44"/>
          <w:lang w:val="en-US" w:eastAsia="zh-CN"/>
        </w:rPr>
        <w:t>印发</w:t>
      </w:r>
      <w:r>
        <w:rPr>
          <w:rFonts w:hint="eastAsia" w:ascii="宋体" w:hAnsi="宋体" w:eastAsia="方正小标宋简体" w:cs="方正小标宋简体"/>
          <w:b w:val="0"/>
          <w:bCs/>
          <w:sz w:val="44"/>
          <w:szCs w:val="44"/>
          <w:lang w:eastAsia="zh-CN"/>
        </w:rPr>
        <w:t>泗水县</w:t>
      </w:r>
      <w:r>
        <w:rPr>
          <w:rFonts w:hint="eastAsia" w:ascii="宋体" w:hAnsi="宋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宋体" w:hAnsi="宋体" w:eastAsia="方正小标宋简体" w:cs="方正小标宋简体"/>
          <w:b w:val="0"/>
          <w:bCs/>
          <w:sz w:val="44"/>
          <w:szCs w:val="44"/>
          <w:lang w:val="en-US" w:eastAsia="zh-CN"/>
        </w:rPr>
        <w:t>3</w:t>
      </w:r>
      <w:r>
        <w:rPr>
          <w:rFonts w:hint="eastAsia" w:ascii="宋体" w:hAnsi="宋体" w:eastAsia="方正小标宋简体" w:cs="方正小标宋简体"/>
          <w:b w:val="0"/>
          <w:bCs/>
          <w:sz w:val="44"/>
          <w:szCs w:val="44"/>
        </w:rPr>
        <w:t>年国民经济和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宋体" w:hAnsi="宋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宋体" w:hAnsi="宋体" w:eastAsia="方正小标宋简体" w:cs="方正小标宋简体"/>
          <w:b w:val="0"/>
          <w:bCs/>
          <w:sz w:val="44"/>
          <w:szCs w:val="44"/>
        </w:rPr>
        <w:t>社会发展计划的</w:t>
      </w:r>
      <w:r>
        <w:rPr>
          <w:rFonts w:hint="eastAsia" w:ascii="宋体" w:hAnsi="宋体" w:eastAsia="方正小标宋简体" w:cs="方正小标宋简体"/>
          <w:b w:val="0"/>
          <w:bCs/>
          <w:sz w:val="44"/>
          <w:szCs w:val="44"/>
          <w:lang w:eastAsia="zh-CN"/>
        </w:rPr>
        <w:t>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700" w:lineRule="exact"/>
        <w:jc w:val="center"/>
        <w:textAlignment w:val="auto"/>
        <w:rPr>
          <w:rFonts w:hint="eastAsia" w:ascii="宋体" w:hAnsi="宋体" w:eastAsia="方正小标宋简体" w:cs="方正小标宋简体"/>
          <w:b w:val="0"/>
          <w:bCs/>
          <w:sz w:val="44"/>
          <w:szCs w:val="44"/>
        </w:rPr>
      </w:pPr>
    </w:p>
    <w:p>
      <w:pPr>
        <w:spacing w:line="400" w:lineRule="exact"/>
        <w:ind w:left="2077" w:hanging="2076" w:hangingChars="649"/>
        <w:rPr>
          <w:rFonts w:hint="default" w:ascii="宋体" w:hAnsi="宋体" w:eastAsia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/>
          <w:sz w:val="32"/>
          <w:szCs w:val="32"/>
          <w:lang w:val="en-US" w:eastAsia="zh-CN"/>
        </w:rPr>
        <w:t>各镇人民政府、街道办事处，县政府各部门，各企事业单位：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《泗水县2023年国民经济和社会发展计划》已经</w:t>
      </w:r>
      <w:r>
        <w:rPr>
          <w:rFonts w:hint="eastAsia" w:ascii="宋体" w:hAnsi="宋体" w:eastAsia="仿宋_GB2312" w:cs="仿宋_GB2312"/>
          <w:sz w:val="32"/>
          <w:szCs w:val="32"/>
        </w:rPr>
        <w:t>泗水县第十九届人民代表大会第二次会议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审议批准，现印发给你们，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请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认真组织实施。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textAlignment w:val="auto"/>
        <w:rPr>
          <w:rFonts w:hint="eastAsia" w:ascii="宋体" w:hAnsi="宋体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840" w:rightChars="400" w:firstLine="4800" w:firstLineChars="1500"/>
        <w:jc w:val="center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泗水县人民政府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840" w:rightChars="400" w:firstLine="4800" w:firstLineChars="1500"/>
        <w:jc w:val="center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2023年6月14日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bottom"/>
        <w:rPr>
          <w:rFonts w:hint="eastAsia" w:ascii="宋体" w:hAnsi="宋体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宋体" w:hAnsi="宋体" w:cs="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仿宋_GB2312"/>
          <w:b w:val="0"/>
          <w:bCs/>
          <w:sz w:val="32"/>
          <w:szCs w:val="32"/>
          <w:lang w:val="en-US" w:eastAsia="zh-CN"/>
        </w:rPr>
        <w:t>此件公开发布</w:t>
      </w:r>
      <w:r>
        <w:rPr>
          <w:rFonts w:hint="eastAsia" w:ascii="宋体" w:hAnsi="宋体" w:cs="仿宋_GB2312"/>
          <w:b w:val="0"/>
          <w:bCs/>
          <w:sz w:val="32"/>
          <w:szCs w:val="32"/>
          <w:lang w:eastAsia="zh-CN"/>
        </w:rPr>
        <w:t>）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firstLine="0" w:firstLineChars="0"/>
        <w:jc w:val="center"/>
        <w:textAlignment w:val="bottom"/>
        <w:rPr>
          <w:rFonts w:hint="eastAsia" w:ascii="宋体" w:hAnsi="宋体" w:eastAsia="方正小标宋简体" w:cs="方正小标宋简体"/>
          <w:b w:val="0"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  <w:lang w:eastAsia="zh-CN"/>
        </w:rPr>
        <w:t>泗水县</w:t>
      </w:r>
      <w:r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</w:rPr>
        <w:t>2023年</w:t>
      </w:r>
      <w:r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  <w:lang w:eastAsia="zh-CN"/>
        </w:rPr>
        <w:t>国民</w:t>
      </w:r>
      <w:r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</w:rPr>
        <w:t>经济</w:t>
      </w:r>
      <w:r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  <w:lang w:eastAsia="zh-CN"/>
        </w:rPr>
        <w:t>和</w:t>
      </w:r>
      <w:r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</w:rPr>
        <w:t>社会发展计划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firstLine="0" w:firstLineChars="0"/>
        <w:jc w:val="center"/>
        <w:textAlignment w:val="bottom"/>
        <w:rPr>
          <w:rFonts w:hint="eastAsia" w:ascii="宋体" w:hAnsi="宋体" w:eastAsia="方正小标宋简体" w:cs="方正小标宋简体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2023年经济社会发展总体要求和基本思路：坚持以习近平新时代中国特色社会主义思想为指导，全面贯彻落实党的二十大精神，坚持稳中求进工作总基调，完整、准确、全面贯彻新发展理念，主动服务和融入新发展格局，着力推动高质量发展，锚定“走在前、开新局”，奋力“争一流、争第一、争唯一”，更好统筹疫情防控和经济社会发展，更好统筹发展和安全，聚焦建设“生态泗水、活力泗水、文化泗水、幸福泗水”，持续深化“1+2345”工作体系，纵深推进全面从严治党，大力推进产业现代化、新型城镇化、发展绿色化、治理现代化，全力实现经济行稳致远、社会安定和谐、人民幸福安康，奋力谱写新时代现代化泗水建设新篇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/>
          <w:sz w:val="32"/>
          <w:szCs w:val="32"/>
          <w:lang w:val="zh-CN"/>
        </w:rPr>
      </w:pPr>
      <w:r>
        <w:rPr>
          <w:rFonts w:hint="eastAsia" w:ascii="宋体" w:hAnsi="宋体" w:eastAsia="仿宋_GB2312" w:cs="仿宋_GB2312"/>
          <w:b w:val="0"/>
          <w:bCs/>
          <w:sz w:val="32"/>
          <w:szCs w:val="32"/>
          <w:lang w:val="zh-CN"/>
        </w:rPr>
        <w:t>主要预期目标：地区生产总值增长6.5%左右，一般公共预算收入增长6%左右，固定资产投资增长8.5%左右，城镇和农村居民人均可支配收入高于全市平均水平，争创全省县域经济高质量发展进步县。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/>
          <w:kern w:val="0"/>
          <w:sz w:val="32"/>
          <w:szCs w:val="32"/>
          <w:lang w:val="zh-CN"/>
        </w:rPr>
      </w:pPr>
      <w:r>
        <w:rPr>
          <w:rFonts w:hint="eastAsia" w:ascii="宋体" w:hAnsi="宋体" w:eastAsia="仿宋_GB2312" w:cs="仿宋_GB2312"/>
          <w:b w:val="0"/>
          <w:bCs/>
          <w:kern w:val="0"/>
          <w:sz w:val="32"/>
          <w:szCs w:val="32"/>
          <w:lang w:val="zh-CN"/>
        </w:rPr>
        <w:t>为确保完成全年任务目标，必须按照县委确定的指导思想和工作思路，重点抓好以下</w:t>
      </w:r>
      <w:r>
        <w:rPr>
          <w:rFonts w:hint="eastAsia" w:ascii="宋体" w:hAnsi="宋体" w:eastAsia="仿宋_GB2312" w:cs="仿宋_GB2312"/>
          <w:b w:val="0"/>
          <w:bCs/>
          <w:kern w:val="0"/>
          <w:sz w:val="32"/>
          <w:szCs w:val="32"/>
        </w:rPr>
        <w:t>七</w:t>
      </w:r>
      <w:r>
        <w:rPr>
          <w:rFonts w:hint="eastAsia" w:ascii="宋体" w:hAnsi="宋体" w:eastAsia="仿宋_GB2312" w:cs="仿宋_GB2312"/>
          <w:b w:val="0"/>
          <w:bCs/>
          <w:kern w:val="0"/>
          <w:sz w:val="32"/>
          <w:szCs w:val="32"/>
          <w:lang w:val="zh-CN"/>
        </w:rPr>
        <w:t>个方面工作。</w:t>
      </w:r>
    </w:p>
    <w:p>
      <w:pPr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宋体" w:hAnsi="宋体" w:eastAsia="方正黑体简体" w:cs="方正黑体简体"/>
          <w:b w:val="0"/>
          <w:bCs/>
          <w:sz w:val="32"/>
        </w:rPr>
        <w:t>一</w:t>
      </w:r>
      <w:r>
        <w:rPr>
          <w:rFonts w:hint="eastAsia" w:ascii="宋体" w:hAnsi="宋体" w:eastAsia="方正黑体简体" w:cs="方正黑体简体"/>
          <w:b w:val="0"/>
          <w:bCs/>
          <w:sz w:val="32"/>
          <w:lang w:eastAsia="zh-CN"/>
        </w:rPr>
        <w:t>、</w:t>
      </w:r>
      <w:r>
        <w:rPr>
          <w:rFonts w:hint="eastAsia" w:ascii="宋体" w:hAnsi="宋体" w:eastAsia="方正黑体简体" w:cs="方正黑体简体"/>
          <w:b w:val="0"/>
          <w:bCs/>
          <w:sz w:val="32"/>
        </w:rPr>
        <w:t>抓项目，扩投资，保持经济稳健增长。</w:t>
      </w:r>
      <w:r>
        <w:rPr>
          <w:rFonts w:hint="eastAsia" w:ascii="宋体" w:hAnsi="宋体" w:eastAsia="仿宋_GB2312" w:cs="仿宋_GB2312"/>
          <w:b w:val="0"/>
          <w:bCs/>
          <w:kern w:val="0"/>
          <w:sz w:val="32"/>
          <w:szCs w:val="32"/>
        </w:rPr>
        <w:t>树立“项目为王”理念，持续实施“项目带动”战略，全力全速突破大项目建设，用项目的落地开工、建设投产，强势拉动县域经济后发快进、进位赶超。</w:t>
      </w:r>
      <w:r>
        <w:rPr>
          <w:rFonts w:hint="eastAsia" w:ascii="宋体" w:hAnsi="宋体" w:eastAsia="楷体_GB2312" w:cs="楷体_GB2312"/>
          <w:b w:val="0"/>
          <w:bCs/>
          <w:kern w:val="0"/>
          <w:sz w:val="32"/>
          <w:szCs w:val="32"/>
          <w:lang w:eastAsia="zh-CN"/>
        </w:rPr>
        <w:t>（</w:t>
      </w:r>
      <w:r>
        <w:rPr>
          <w:rFonts w:hint="eastAsia" w:ascii="宋体" w:hAnsi="宋体" w:eastAsia="楷体_GB2312" w:cs="楷体_GB2312"/>
          <w:b w:val="0"/>
          <w:bCs/>
          <w:kern w:val="0"/>
          <w:sz w:val="32"/>
          <w:szCs w:val="32"/>
          <w:lang w:val="en-US" w:eastAsia="zh-CN"/>
        </w:rPr>
        <w:t>一</w:t>
      </w:r>
      <w:r>
        <w:rPr>
          <w:rFonts w:hint="eastAsia" w:ascii="宋体" w:hAnsi="宋体" w:eastAsia="楷体_GB2312" w:cs="楷体_GB2312"/>
          <w:b w:val="0"/>
          <w:bCs/>
          <w:kern w:val="0"/>
          <w:sz w:val="32"/>
          <w:szCs w:val="32"/>
          <w:lang w:eastAsia="zh-CN"/>
        </w:rPr>
        <w:t>）</w:t>
      </w:r>
      <w:r>
        <w:rPr>
          <w:rFonts w:hint="eastAsia" w:ascii="宋体" w:hAnsi="宋体" w:eastAsia="楷体_GB2312" w:cs="楷体_GB2312"/>
          <w:b w:val="0"/>
          <w:bCs/>
          <w:kern w:val="0"/>
          <w:sz w:val="32"/>
          <w:szCs w:val="32"/>
        </w:rPr>
        <w:t>全力攻坚招商引资。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建立产业招商图谱，充实目标企业库，大力开展以企招商、全员招商、园区招商、专业招商、乡情招商，深耕长三角、珠三角、京津冀等重点地区，深入开展“精准敲门行动”，主攻500强企业、行业领军企业、隐形冠军企业，落地亿元以上产业项目20个，其中过10亿元2个，完成实物工作量20亿元以上。</w:t>
      </w:r>
      <w:r>
        <w:rPr>
          <w:rFonts w:hint="eastAsia" w:ascii="宋体" w:hAnsi="宋体" w:eastAsia="楷体_GB2312" w:cs="楷体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宋体" w:hAnsi="宋体" w:eastAsia="楷体_GB2312" w:cs="楷体_GB2312"/>
          <w:b w:val="0"/>
          <w:bCs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楷体_GB2312" w:cs="楷体_GB2312"/>
          <w:b w:val="0"/>
          <w:bCs/>
          <w:sz w:val="32"/>
          <w:szCs w:val="32"/>
          <w:lang w:eastAsia="zh-CN"/>
        </w:rPr>
        <w:t>）全力攻坚项目建设。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深化“指挥部+专班”“要素跟着项目走”、全流程服务、“七点半”晨会等工作机制，紧盯开工率、投资率、竣工率，集中攻坚35个重点项目建设，竣工投产10个以上，完成今后五年观摩项目的落地建设。</w:t>
      </w:r>
      <w:r>
        <w:rPr>
          <w:rFonts w:hint="eastAsia" w:ascii="宋体" w:hAnsi="宋体" w:eastAsia="楷体_GB2312" w:cs="楷体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宋体" w:hAnsi="宋体" w:eastAsia="楷体_GB2312" w:cs="楷体_GB2312"/>
          <w:b w:val="0"/>
          <w:bCs/>
          <w:sz w:val="32"/>
          <w:szCs w:val="32"/>
          <w:lang w:val="en-US" w:eastAsia="zh-CN"/>
        </w:rPr>
        <w:t>三</w:t>
      </w:r>
      <w:r>
        <w:rPr>
          <w:rFonts w:hint="eastAsia" w:ascii="宋体" w:hAnsi="宋体" w:eastAsia="楷体_GB2312" w:cs="楷体_GB2312"/>
          <w:b w:val="0"/>
          <w:bCs/>
          <w:sz w:val="32"/>
          <w:szCs w:val="32"/>
          <w:lang w:eastAsia="zh-CN"/>
        </w:rPr>
        <w:t>）全力攻坚园区建设。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将开发区作为主战场，镇街“双创”产业园为辅，实施规划、基础设施、公共服务平台、“双创”产业园、土地整备、服务保障、体制机制优化等七大提升专项行动，全面提升产业平台生产、生态、空间等基本承载能力和创新、融合、生活、服务等核心承载能力；强化园区经济发展主阵地作用，落地过10亿元项目2个以上，主要指标增幅高于全县2个百分点以上；新建改造道路10.9公里、蒸汽管道4.5公里、污水管道4.9公里，新建标准化厂房9万平方米，启动产城融合项目一期建设。</w:t>
      </w:r>
      <w:r>
        <w:rPr>
          <w:rFonts w:hint="eastAsia" w:ascii="宋体" w:hAnsi="宋体" w:eastAsia="楷体_GB2312" w:cs="楷体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宋体" w:hAnsi="宋体" w:eastAsia="楷体_GB2312" w:cs="楷体_GB2312"/>
          <w:b w:val="0"/>
          <w:bCs/>
          <w:sz w:val="32"/>
          <w:szCs w:val="32"/>
          <w:lang w:val="en-US" w:eastAsia="zh-CN"/>
        </w:rPr>
        <w:t>四</w:t>
      </w:r>
      <w:r>
        <w:rPr>
          <w:rFonts w:hint="eastAsia" w:ascii="宋体" w:hAnsi="宋体" w:eastAsia="楷体_GB2312" w:cs="楷体_GB2312"/>
          <w:b w:val="0"/>
          <w:bCs/>
          <w:sz w:val="32"/>
          <w:szCs w:val="32"/>
          <w:lang w:eastAsia="zh-CN"/>
        </w:rPr>
        <w:t>）</w:t>
      </w:r>
      <w:r>
        <w:rPr>
          <w:rFonts w:hint="eastAsia" w:ascii="宋体" w:hAnsi="宋体" w:eastAsia="楷体_GB2312" w:cs="楷体_GB2312"/>
          <w:b w:val="0"/>
          <w:bCs/>
          <w:sz w:val="32"/>
          <w:szCs w:val="32"/>
        </w:rPr>
        <w:t>全力攻坚营商环境优化提升。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开展政策保障攻坚行动，严格落实优化营商环境十条意见，用好“红信封”“免申即享”“容缺办理”“全程代办”等联系帮扶机制，强化企业全生命周期服务。对各类市场主体一视同仁、平等对待，落实落细惠企政策，更大力度减负纾困。深化政银企合作，新增贷款30亿元以上；新增挂牌上市企业5家。</w:t>
      </w:r>
      <w:r>
        <w:rPr>
          <w:rFonts w:hint="eastAsia" w:ascii="宋体" w:hAnsi="宋体" w:eastAsia="楷体_GB2312" w:cs="楷体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宋体" w:hAnsi="宋体" w:eastAsia="楷体_GB2312" w:cs="楷体_GB2312"/>
          <w:b w:val="0"/>
          <w:bCs/>
          <w:sz w:val="32"/>
          <w:szCs w:val="32"/>
          <w:lang w:val="en-US" w:eastAsia="zh-CN"/>
        </w:rPr>
        <w:t>五</w:t>
      </w:r>
      <w:r>
        <w:rPr>
          <w:rFonts w:hint="eastAsia" w:ascii="宋体" w:hAnsi="宋体" w:eastAsia="楷体_GB2312" w:cs="楷体_GB2312"/>
          <w:b w:val="0"/>
          <w:bCs/>
          <w:sz w:val="32"/>
          <w:szCs w:val="32"/>
          <w:lang w:eastAsia="zh-CN"/>
        </w:rPr>
        <w:t>）全力抓好对上争取。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争取上级资金22亿元，其中无偿资金9亿元以上，推动30个项目纳入省市重点项目库，争取专项债券项目40个。</w:t>
      </w:r>
    </w:p>
    <w:p>
      <w:pPr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宋体" w:hAnsi="宋体" w:eastAsia="方正黑体简体" w:cs="方正黑体简体"/>
          <w:b w:val="0"/>
          <w:bCs/>
          <w:sz w:val="32"/>
        </w:rPr>
        <w:t>二</w:t>
      </w:r>
      <w:r>
        <w:rPr>
          <w:rFonts w:hint="eastAsia" w:ascii="宋体" w:hAnsi="宋体" w:eastAsia="方正黑体简体" w:cs="方正黑体简体"/>
          <w:b w:val="0"/>
          <w:bCs/>
          <w:sz w:val="32"/>
          <w:lang w:eastAsia="zh-CN"/>
        </w:rPr>
        <w:t>、</w:t>
      </w:r>
      <w:r>
        <w:rPr>
          <w:rFonts w:hint="eastAsia" w:ascii="宋体" w:hAnsi="宋体" w:eastAsia="方正黑体简体" w:cs="方正黑体简体"/>
          <w:b w:val="0"/>
          <w:bCs/>
          <w:sz w:val="32"/>
        </w:rPr>
        <w:t>促转型，调结构，实现工业提质增效。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坚持“工业首位”意识引领，从竣工项目带动、存量企业拉动、新纳统企业贡献等方面深挖增长点，算清“缺口账”“支撑账”，全力以赴推动我县工业经济争先进、稳增长。</w:t>
      </w:r>
      <w:r>
        <w:rPr>
          <w:rFonts w:hint="eastAsia" w:ascii="宋体" w:hAnsi="宋体" w:eastAsia="楷体_GB2312" w:cs="楷体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宋体" w:hAnsi="宋体" w:eastAsia="楷体_GB2312" w:cs="楷体_GB2312"/>
          <w:b w:val="0"/>
          <w:bCs/>
          <w:sz w:val="32"/>
          <w:szCs w:val="32"/>
          <w:lang w:val="en-US" w:eastAsia="zh-CN"/>
        </w:rPr>
        <w:t>一</w:t>
      </w:r>
      <w:r>
        <w:rPr>
          <w:rFonts w:hint="eastAsia" w:ascii="宋体" w:hAnsi="宋体" w:eastAsia="楷体_GB2312" w:cs="楷体_GB2312"/>
          <w:b w:val="0"/>
          <w:bCs/>
          <w:sz w:val="32"/>
          <w:szCs w:val="32"/>
          <w:lang w:eastAsia="zh-CN"/>
        </w:rPr>
        <w:t>）</w:t>
      </w:r>
      <w:r>
        <w:rPr>
          <w:rFonts w:hint="eastAsia" w:ascii="宋体" w:hAnsi="宋体" w:eastAsia="楷体_GB2312" w:cs="楷体_GB2312"/>
          <w:b w:val="0"/>
          <w:bCs/>
          <w:sz w:val="32"/>
          <w:szCs w:val="32"/>
        </w:rPr>
        <w:t>加快传统产业和新兴产业培育。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围绕“传统产业、新兴产业”两端发力，重点推动无穷、陈村等项目加快建设，推动中创粮油、华颂等项目尽快落地，重点推进利丰甘薯膳食纤维蛋白、鸿润肉禽废弃物资源化利用等项目加快建设；以水发达丰铸造产能为基础，谋划机械产业园区化发展，引进数控机床整机加工龙头企业，打造国内工业母机研发生产重要基地。</w:t>
      </w:r>
      <w:r>
        <w:rPr>
          <w:rFonts w:hint="eastAsia" w:ascii="宋体" w:hAnsi="宋体" w:eastAsia="楷体_GB2312" w:cs="楷体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宋体" w:hAnsi="宋体" w:eastAsia="楷体_GB2312" w:cs="楷体_GB2312"/>
          <w:b w:val="0"/>
          <w:bCs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楷体_GB2312" w:cs="楷体_GB2312"/>
          <w:b w:val="0"/>
          <w:bCs/>
          <w:sz w:val="32"/>
          <w:szCs w:val="32"/>
          <w:lang w:eastAsia="zh-CN"/>
        </w:rPr>
        <w:t>）加快推动产业转型升级。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①抓创新驱动转型升级。组织商动力申报省级数字经济园区，服务数聚（山东）、山科世鑫建设数字经济服务平台；聚焦盐芯微电子、5G智能盖板、九德半导体等电子信息产业项目，补链强链。②抓智能制造转型升级。加快推进泗水智能制造产业园基础设施项目，建设车间、孵化器，集中机床附件加工优势企业入驻。③抓绿色低碳转型升级。做好国家级、省级绿色工厂、水效“领跑者”申报工作，争取筹办全省建材行业绿色发展现场推进会。</w:t>
      </w:r>
      <w:r>
        <w:rPr>
          <w:rFonts w:hint="eastAsia" w:ascii="宋体" w:hAnsi="宋体" w:eastAsia="楷体_GB2312" w:cs="楷体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宋体" w:hAnsi="宋体" w:eastAsia="楷体_GB2312" w:cs="楷体_GB2312"/>
          <w:b w:val="0"/>
          <w:bCs/>
          <w:sz w:val="32"/>
          <w:szCs w:val="32"/>
          <w:lang w:val="en-US" w:eastAsia="zh-CN"/>
        </w:rPr>
        <w:t>三</w:t>
      </w:r>
      <w:r>
        <w:rPr>
          <w:rFonts w:hint="eastAsia" w:ascii="宋体" w:hAnsi="宋体" w:eastAsia="楷体_GB2312" w:cs="楷体_GB2312"/>
          <w:b w:val="0"/>
          <w:bCs/>
          <w:sz w:val="32"/>
          <w:szCs w:val="32"/>
          <w:lang w:eastAsia="zh-CN"/>
        </w:rPr>
        <w:t>）深化实施4项工程。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①深化驻企攀登工程。开展差异化、精准化服务，新增攀登企业20家以上。②深化1050技改工程。新备案技改项目50个以上，其中过5亿元项目3个以上。③深化企业培育工程。开展优质企业服务直通车，培育入库企业50家以上。④深化企业家素质提升工程。加大对企业家的培训，年内培训企业经营管理人才600人次以上。</w:t>
      </w:r>
      <w:r>
        <w:rPr>
          <w:rFonts w:hint="eastAsia" w:ascii="宋体" w:hAnsi="宋体" w:eastAsia="楷体_GB2312" w:cs="楷体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宋体" w:hAnsi="宋体" w:eastAsia="楷体_GB2312" w:cs="楷体_GB2312"/>
          <w:b w:val="0"/>
          <w:bCs/>
          <w:sz w:val="32"/>
          <w:szCs w:val="32"/>
          <w:lang w:val="en-US" w:eastAsia="zh-CN"/>
        </w:rPr>
        <w:t>四</w:t>
      </w:r>
      <w:r>
        <w:rPr>
          <w:rFonts w:hint="eastAsia" w:ascii="宋体" w:hAnsi="宋体" w:eastAsia="楷体_GB2312" w:cs="楷体_GB2312"/>
          <w:b w:val="0"/>
          <w:bCs/>
          <w:sz w:val="32"/>
          <w:szCs w:val="32"/>
          <w:lang w:eastAsia="zh-CN"/>
        </w:rPr>
        <w:t>）聚力实现5个突破。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①规上工业总产值增长15%，总量突破170亿元；②工业增加值增速达到8%以上，实现双位增长。③新培育优质企业20家以上，实现国家级重点小巨人、国家级单项冠军、省级绿色工厂“三破零”。④完成技改投资40亿元，增长10%以上。⑤数字经济核心增加值增速达到40%以上，占GDP比重突破3%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/>
          <w:sz w:val="32"/>
          <w:szCs w:val="32"/>
        </w:rPr>
      </w:pPr>
      <w:r>
        <w:rPr>
          <w:rFonts w:hint="eastAsia" w:ascii="宋体" w:hAnsi="宋体" w:eastAsia="方正黑体简体" w:cs="方正黑体简体"/>
          <w:b w:val="0"/>
          <w:bCs/>
          <w:sz w:val="32"/>
        </w:rPr>
        <w:t>三</w:t>
      </w:r>
      <w:r>
        <w:rPr>
          <w:rFonts w:hint="eastAsia" w:ascii="宋体" w:hAnsi="宋体" w:eastAsia="方正黑体简体" w:cs="方正黑体简体"/>
          <w:b w:val="0"/>
          <w:bCs/>
          <w:sz w:val="32"/>
          <w:lang w:eastAsia="zh-CN"/>
        </w:rPr>
        <w:t>、</w:t>
      </w:r>
      <w:r>
        <w:rPr>
          <w:rFonts w:hint="eastAsia" w:ascii="宋体" w:hAnsi="宋体" w:eastAsia="方正黑体简体" w:cs="方正黑体简体"/>
          <w:b w:val="0"/>
          <w:bCs/>
          <w:sz w:val="32"/>
        </w:rPr>
        <w:t>激活力，重培育，促进服务业跨越发展。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以市场化、产业化、品质化、社会化为方向，大力发展具有自身特色和比较优势的现代服务业。</w:t>
      </w:r>
      <w:r>
        <w:rPr>
          <w:rFonts w:hint="eastAsia" w:ascii="宋体" w:hAnsi="宋体" w:eastAsia="楷体_GB2312" w:cs="楷体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宋体" w:hAnsi="宋体" w:eastAsia="楷体_GB2312" w:cs="楷体_GB2312"/>
          <w:b w:val="0"/>
          <w:bCs/>
          <w:sz w:val="32"/>
          <w:szCs w:val="32"/>
          <w:lang w:val="en-US" w:eastAsia="zh-CN"/>
        </w:rPr>
        <w:t>一</w:t>
      </w:r>
      <w:r>
        <w:rPr>
          <w:rFonts w:hint="eastAsia" w:ascii="宋体" w:hAnsi="宋体" w:eastAsia="楷体_GB2312" w:cs="楷体_GB2312"/>
          <w:b w:val="0"/>
          <w:bCs/>
          <w:sz w:val="32"/>
          <w:szCs w:val="32"/>
          <w:lang w:eastAsia="zh-CN"/>
        </w:rPr>
        <w:t>）</w:t>
      </w:r>
      <w:r>
        <w:rPr>
          <w:rFonts w:hint="eastAsia" w:ascii="宋体" w:hAnsi="宋体" w:eastAsia="楷体_GB2312" w:cs="楷体_GB2312"/>
          <w:b w:val="0"/>
          <w:bCs/>
          <w:sz w:val="32"/>
          <w:szCs w:val="32"/>
        </w:rPr>
        <w:t>做好文旅项目招引。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引导西侯幽谷项目再次合作招商，推进凤仙山开发、汇源游乐园项目落地；策划包装“龙湾湖国际旅游度假区、泗张桃源乡村旅游综合体、泉源胜地古韵水乡、北部山区山地颐养”四个重点招商项目。</w:t>
      </w:r>
      <w:r>
        <w:rPr>
          <w:rFonts w:hint="eastAsia" w:ascii="宋体" w:hAnsi="宋体" w:eastAsia="楷体_GB2312" w:cs="楷体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宋体" w:hAnsi="宋体" w:eastAsia="楷体_GB2312" w:cs="楷体_GB2312"/>
          <w:b w:val="0"/>
          <w:bCs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楷体_GB2312" w:cs="楷体_GB2312"/>
          <w:b w:val="0"/>
          <w:bCs/>
          <w:sz w:val="32"/>
          <w:szCs w:val="32"/>
          <w:lang w:eastAsia="zh-CN"/>
        </w:rPr>
        <w:t>）擦亮文化旅游节会品牌。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精心筹备开展泗水“赏花汇”，对原有景点进行提升打造。鼓励万紫千红、尼山鹿鸣、仲都等重点景区承办音乐节、“野奢露营”帐篷节、“泉乡好礼”手造集市、“山东好时节”等有大型旅游节事活动。引导景区在产品设计、业态构成、技术创新方面实现“年轻化”“沉浸化”，逐步发展夜经济。</w:t>
      </w:r>
      <w:r>
        <w:rPr>
          <w:rFonts w:hint="eastAsia" w:ascii="宋体" w:hAnsi="宋体" w:eastAsia="楷体_GB2312" w:cs="楷体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宋体" w:hAnsi="宋体" w:eastAsia="楷体_GB2312" w:cs="楷体_GB2312"/>
          <w:b w:val="0"/>
          <w:bCs/>
          <w:sz w:val="32"/>
          <w:szCs w:val="32"/>
          <w:lang w:val="en-US" w:eastAsia="zh-CN"/>
        </w:rPr>
        <w:t>三</w:t>
      </w:r>
      <w:r>
        <w:rPr>
          <w:rFonts w:hint="eastAsia" w:ascii="宋体" w:hAnsi="宋体" w:eastAsia="楷体_GB2312" w:cs="楷体_GB2312"/>
          <w:b w:val="0"/>
          <w:bCs/>
          <w:sz w:val="32"/>
          <w:szCs w:val="32"/>
          <w:lang w:eastAsia="zh-CN"/>
        </w:rPr>
        <w:t>）加大文旅市场宣传促销力度。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多渠道全方位宣传泗水文旅形象，与中国旅游报、山东画报等业内知名媒体合作，加大对泗水文旅尤其是龙湾湖乡村振兴示范区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  <w:lang w:val="en-US" w:eastAsia="zh-CN"/>
        </w:rPr>
        <w:t>的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专题宣传。</w:t>
      </w:r>
      <w:r>
        <w:rPr>
          <w:rFonts w:hint="eastAsia" w:ascii="宋体" w:hAnsi="宋体" w:eastAsia="楷体_GB2312" w:cs="楷体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宋体" w:hAnsi="宋体" w:eastAsia="楷体_GB2312" w:cs="楷体_GB2312"/>
          <w:b w:val="0"/>
          <w:bCs/>
          <w:sz w:val="32"/>
          <w:szCs w:val="32"/>
          <w:lang w:val="en-US" w:eastAsia="zh-CN"/>
        </w:rPr>
        <w:t>四</w:t>
      </w:r>
      <w:r>
        <w:rPr>
          <w:rFonts w:hint="eastAsia" w:ascii="宋体" w:hAnsi="宋体" w:eastAsia="楷体_GB2312" w:cs="楷体_GB2312"/>
          <w:b w:val="0"/>
          <w:bCs/>
          <w:sz w:val="32"/>
          <w:szCs w:val="32"/>
          <w:lang w:eastAsia="zh-CN"/>
        </w:rPr>
        <w:t>）加大康养产业培育力度。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深度推进“医养结合”，培育健康养老服务产业链，县医院医养结合楼、县妇幼保健中心医养型老年公寓、万紫千红文旅康养社区投运，积极发展普惠型养老和互助性养老，打造康养示范基地。</w:t>
      </w:r>
      <w:r>
        <w:rPr>
          <w:rFonts w:hint="eastAsia" w:ascii="宋体" w:hAnsi="宋体" w:eastAsia="楷体_GB2312" w:cs="楷体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宋体" w:hAnsi="宋体" w:eastAsia="楷体_GB2312" w:cs="楷体_GB2312"/>
          <w:b w:val="0"/>
          <w:bCs/>
          <w:sz w:val="32"/>
          <w:szCs w:val="32"/>
          <w:lang w:val="en-US" w:eastAsia="zh-CN"/>
        </w:rPr>
        <w:t>五</w:t>
      </w:r>
      <w:r>
        <w:rPr>
          <w:rFonts w:hint="eastAsia" w:ascii="宋体" w:hAnsi="宋体" w:eastAsia="楷体_GB2312" w:cs="楷体_GB2312"/>
          <w:b w:val="0"/>
          <w:bCs/>
          <w:sz w:val="32"/>
          <w:szCs w:val="32"/>
          <w:lang w:eastAsia="zh-CN"/>
        </w:rPr>
        <w:t>）不断加大激活消费市场力度。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县域商业体系持续推进，明慧电商启动县域物流配送中心建设；华联公司启动镇村共送共配，提升镇村便利店、商超产品质量。2023年社会消费品零售总额实现143.5亿元，增长8%；新增限额以上批零住餐企业40家。</w:t>
      </w:r>
      <w:r>
        <w:rPr>
          <w:rFonts w:hint="eastAsia" w:ascii="宋体" w:hAnsi="宋体" w:eastAsia="楷体_GB2312" w:cs="楷体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宋体" w:hAnsi="宋体" w:eastAsia="楷体_GB2312" w:cs="楷体_GB2312"/>
          <w:b w:val="0"/>
          <w:bCs/>
          <w:sz w:val="32"/>
          <w:szCs w:val="32"/>
          <w:lang w:val="en-US" w:eastAsia="zh-CN"/>
        </w:rPr>
        <w:t>六</w:t>
      </w:r>
      <w:r>
        <w:rPr>
          <w:rFonts w:hint="eastAsia" w:ascii="宋体" w:hAnsi="宋体" w:eastAsia="楷体_GB2312" w:cs="楷体_GB2312"/>
          <w:b w:val="0"/>
          <w:bCs/>
          <w:sz w:val="32"/>
          <w:szCs w:val="32"/>
          <w:lang w:eastAsia="zh-CN"/>
        </w:rPr>
        <w:t>）不断加大外资外贸企业培育力度。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立足食品、玩具、机械等主导产品，引进一批、培育一批、壮大一批外贸企业，坚决稳住外贸基本盘。2023年全年进出口目标增幅高于15%，跨境电商增幅高于20%。</w:t>
      </w:r>
      <w:r>
        <w:rPr>
          <w:rFonts w:hint="eastAsia" w:ascii="宋体" w:hAnsi="宋体" w:eastAsia="楷体_GB2312" w:cs="楷体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宋体" w:hAnsi="宋体" w:eastAsia="楷体_GB2312" w:cs="楷体_GB2312"/>
          <w:b w:val="0"/>
          <w:bCs/>
          <w:sz w:val="32"/>
          <w:szCs w:val="32"/>
          <w:lang w:val="en-US" w:eastAsia="zh-CN"/>
        </w:rPr>
        <w:t>七</w:t>
      </w:r>
      <w:r>
        <w:rPr>
          <w:rFonts w:hint="eastAsia" w:ascii="宋体" w:hAnsi="宋体" w:eastAsia="楷体_GB2312" w:cs="楷体_GB2312"/>
          <w:b w:val="0"/>
          <w:bCs/>
          <w:sz w:val="32"/>
          <w:szCs w:val="32"/>
          <w:lang w:eastAsia="zh-CN"/>
        </w:rPr>
        <w:t>）不断加大实际使用外资力度。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积极参加跨国公司领导人青岛峰会、儒商大会、山东与世界500强合作专场等重大招商活动，吸引外资企业到泗水考察洽谈；针对在谈的5G盖板、智能终端生产、翰林生物科技等制造业、日韩资项目，力争早日签约。2023年争取利用外资6000万美元，增长20%；签约书记市长项目工程项目4个，利用外资5000万美元。</w:t>
      </w:r>
    </w:p>
    <w:p>
      <w:pPr>
        <w:pStyle w:val="5"/>
        <w:keepNext w:val="0"/>
        <w:keepLines w:val="0"/>
        <w:pageBreakBefore w:val="0"/>
        <w:widowControl w:val="0"/>
        <w:tabs>
          <w:tab w:val="clea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宋体" w:hAnsi="宋体" w:eastAsia="方正黑体简体" w:cs="方正黑体简体"/>
          <w:b w:val="0"/>
          <w:bCs/>
          <w:kern w:val="2"/>
          <w:sz w:val="32"/>
          <w:szCs w:val="24"/>
          <w:lang w:val="en-US" w:eastAsia="zh-CN" w:bidi="ar-SA"/>
        </w:rPr>
        <w:t>四、强三农，补短板，推动乡村全面振兴。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编制新一轮乡村振兴规划，坚持以五大振兴为统领，促进农业高质高效、农村宜居宜业、农民富裕富足，争创国家乡村振兴示范县、国家农业现代化示范区。</w:t>
      </w:r>
      <w:r>
        <w:rPr>
          <w:rFonts w:hint="eastAsia" w:ascii="宋体" w:hAnsi="宋体" w:eastAsia="楷体_GB2312" w:cs="楷体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宋体" w:hAnsi="宋体" w:eastAsia="楷体_GB2312" w:cs="楷体_GB2312"/>
          <w:b w:val="0"/>
          <w:bCs/>
          <w:sz w:val="32"/>
          <w:szCs w:val="32"/>
          <w:lang w:val="en-US" w:eastAsia="zh-CN"/>
        </w:rPr>
        <w:t>一</w:t>
      </w:r>
      <w:r>
        <w:rPr>
          <w:rFonts w:hint="eastAsia" w:ascii="宋体" w:hAnsi="宋体" w:eastAsia="楷体_GB2312" w:cs="楷体_GB2312"/>
          <w:b w:val="0"/>
          <w:bCs/>
          <w:sz w:val="32"/>
          <w:szCs w:val="32"/>
          <w:lang w:eastAsia="zh-CN"/>
        </w:rPr>
        <w:t>）</w:t>
      </w:r>
      <w:r>
        <w:rPr>
          <w:rFonts w:hint="eastAsia" w:ascii="宋体" w:hAnsi="宋体" w:eastAsia="楷体_GB2312" w:cs="楷体_GB2312"/>
          <w:b w:val="0"/>
          <w:bCs/>
          <w:sz w:val="32"/>
          <w:szCs w:val="32"/>
        </w:rPr>
        <w:t>不断提高综合产能保供给。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深入实施“藏粮于地、藏粮于技”战略，坚决遏制“非农化”、严格管控“非粮化”，新建高标准农田4万亩、提升改造2万亩，粮食产量稳定在24万吨以上。加快国家级现代农业（甘薯）产业园18个重点项目建设，完成投资10亿元以上，争创“泗水地瓜”国家现代农业全产业链标准化示范基地。</w:t>
      </w:r>
      <w:r>
        <w:rPr>
          <w:rFonts w:hint="eastAsia" w:ascii="宋体" w:hAnsi="宋体" w:eastAsia="楷体_GB2312" w:cs="楷体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宋体" w:hAnsi="宋体" w:eastAsia="楷体_GB2312" w:cs="楷体_GB2312"/>
          <w:b w:val="0"/>
          <w:bCs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楷体_GB2312" w:cs="楷体_GB2312"/>
          <w:b w:val="0"/>
          <w:bCs/>
          <w:sz w:val="32"/>
          <w:szCs w:val="32"/>
          <w:lang w:eastAsia="zh-CN"/>
        </w:rPr>
        <w:t>）不断提升农业品牌影响力。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深入实施质量兴农、品牌强农，新认定“三品一标”5个。实施乡村产业振兴助企攀登，新增市级以上农业龙头企业7家。实施13个按揭农业（畜牧业）项目，扩大“鲁担惠农贷”覆盖面。聚力推进龙湾湖、杨柳薯乐恬园、金庄卞家庄、泉林青龙山、泗张桃源等示范区建设。</w:t>
      </w:r>
      <w:r>
        <w:rPr>
          <w:rFonts w:hint="eastAsia" w:ascii="宋体" w:hAnsi="宋体" w:eastAsia="楷体_GB2312" w:cs="楷体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宋体" w:hAnsi="宋体" w:eastAsia="楷体_GB2312" w:cs="楷体_GB2312"/>
          <w:b w:val="0"/>
          <w:bCs/>
          <w:sz w:val="32"/>
          <w:szCs w:val="32"/>
          <w:lang w:val="en-US" w:eastAsia="zh-CN"/>
        </w:rPr>
        <w:t>三</w:t>
      </w:r>
      <w:r>
        <w:rPr>
          <w:rFonts w:hint="eastAsia" w:ascii="宋体" w:hAnsi="宋体" w:eastAsia="楷体_GB2312" w:cs="楷体_GB2312"/>
          <w:b w:val="0"/>
          <w:bCs/>
          <w:sz w:val="32"/>
          <w:szCs w:val="32"/>
          <w:lang w:eastAsia="zh-CN"/>
        </w:rPr>
        <w:t>）不断加大人居环境整治。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深入实施农村人居环境整治提升五年行动计划，建成农村人居环境示范村150个、省市级美丽乡村示范村23个。实施农村重点对象危房改造100户、无害化卫生厕所改造100户。实施县道改建43.9公里、乡村道路提升50公里、“户户通”工程75公里。新建改造输配电线路118.14公里，新增变压器63台。</w:t>
      </w:r>
      <w:r>
        <w:rPr>
          <w:rFonts w:hint="eastAsia" w:ascii="宋体" w:hAnsi="宋体" w:eastAsia="楷体_GB2312" w:cs="楷体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宋体" w:hAnsi="宋体" w:eastAsia="楷体_GB2312" w:cs="楷体_GB2312"/>
          <w:b w:val="0"/>
          <w:bCs/>
          <w:sz w:val="32"/>
          <w:szCs w:val="32"/>
          <w:lang w:val="en-US" w:eastAsia="zh-CN"/>
        </w:rPr>
        <w:t>四</w:t>
      </w:r>
      <w:r>
        <w:rPr>
          <w:rFonts w:hint="eastAsia" w:ascii="宋体" w:hAnsi="宋体" w:eastAsia="楷体_GB2312" w:cs="楷体_GB2312"/>
          <w:b w:val="0"/>
          <w:bCs/>
          <w:sz w:val="32"/>
          <w:szCs w:val="32"/>
          <w:lang w:eastAsia="zh-CN"/>
        </w:rPr>
        <w:t>）不断推进各项惠农改革。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强化农业经营主体与农户利益联结，新培育市级以上农民合作社示范社、家庭农场示范场10家。新增乡村振兴“合伙人”项目30个，推进乡村振兴工作站实体化运营。启动村集体经济三年翻番行动，过50万元的村达到100个以上。加强新型职业农民教育，培训农村实用人才3000人次以上。深化“泗郎回乡”创业工程，创办项目200个以上。推进移风易俗，提升文明达标村建设水平。</w:t>
      </w:r>
    </w:p>
    <w:p>
      <w:pPr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/>
          <w:sz w:val="32"/>
          <w:szCs w:val="32"/>
        </w:rPr>
      </w:pPr>
      <w:r>
        <w:rPr>
          <w:rFonts w:hint="eastAsia" w:ascii="宋体" w:hAnsi="宋体" w:eastAsia="方正黑体简体" w:cs="方正黑体简体"/>
          <w:b w:val="0"/>
          <w:bCs/>
          <w:sz w:val="32"/>
          <w:lang w:val="en-US" w:eastAsia="zh-CN"/>
        </w:rPr>
        <w:t>五、谋统筹，优协调，提升城乡发展品质。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坚持群众视角，有效整合各方资源力量，因地制宜、精准施策，不断提升精致城镇建设水平。</w:t>
      </w:r>
      <w:r>
        <w:rPr>
          <w:rFonts w:hint="eastAsia" w:ascii="宋体" w:hAnsi="宋体" w:eastAsia="楷体_GB2312" w:cs="楷体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宋体" w:hAnsi="宋体" w:eastAsia="楷体_GB2312" w:cs="楷体_GB2312"/>
          <w:b w:val="0"/>
          <w:bCs/>
          <w:sz w:val="32"/>
          <w:szCs w:val="32"/>
          <w:lang w:val="en-US" w:eastAsia="zh-CN"/>
        </w:rPr>
        <w:t>一</w:t>
      </w:r>
      <w:r>
        <w:rPr>
          <w:rFonts w:hint="eastAsia" w:ascii="宋体" w:hAnsi="宋体" w:eastAsia="楷体_GB2312" w:cs="楷体_GB2312"/>
          <w:b w:val="0"/>
          <w:bCs/>
          <w:sz w:val="32"/>
          <w:szCs w:val="32"/>
          <w:lang w:eastAsia="zh-CN"/>
        </w:rPr>
        <w:t>）</w:t>
      </w:r>
      <w:r>
        <w:rPr>
          <w:rFonts w:hint="eastAsia" w:ascii="宋体" w:hAnsi="宋体" w:eastAsia="楷体_GB2312" w:cs="楷体_GB2312"/>
          <w:b w:val="0"/>
          <w:bCs/>
          <w:sz w:val="32"/>
          <w:szCs w:val="32"/>
        </w:rPr>
        <w:t>持续做好城市更新和城市建设重点工作。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ab/>
      </w: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实施29个家属院小区2225户、100栋楼老旧小区改造任务，完成城区45个以上老旧小区雨污分流改造。加快推进新城道路配套升级，实施中兴路北段道路提升改造工程建设，实施圣华路、泗阳大道续建及绿化亮化工程，实施古城路翻修改建续建工程，疏通老城区主动脉，切实改善群众居住环境。</w:t>
      </w:r>
      <w:r>
        <w:rPr>
          <w:rFonts w:hint="eastAsia" w:ascii="宋体" w:hAnsi="宋体" w:eastAsia="楷体_GB2312" w:cs="楷体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宋体" w:hAnsi="宋体" w:eastAsia="楷体_GB2312" w:cs="楷体_GB2312"/>
          <w:b w:val="0"/>
          <w:bCs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楷体_GB2312" w:cs="楷体_GB2312"/>
          <w:b w:val="0"/>
          <w:bCs/>
          <w:sz w:val="32"/>
          <w:szCs w:val="32"/>
          <w:lang w:eastAsia="zh-CN"/>
        </w:rPr>
        <w:t>）</w:t>
      </w:r>
      <w:r>
        <w:rPr>
          <w:rFonts w:hint="eastAsia" w:ascii="宋体" w:hAnsi="宋体" w:eastAsia="楷体_GB2312" w:cs="楷体_GB2312"/>
          <w:b w:val="0"/>
          <w:bCs/>
          <w:sz w:val="32"/>
          <w:szCs w:val="32"/>
        </w:rPr>
        <w:t>畅通城乡要素循环，促进城乡融合发展。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省道512改建工程建成通车，积极推进省道103改建、国道327改线工程。新增集中供热10万平方米，新建改造供水管网90.8公里。实施泗河引调水三期工程，推进引泉入城入户。全面提升镇村公共服务能力，以金庄镇、泉林镇为试点，探索建立城乡融合发展体制机制，持续推进镇驻地“十个一”建设，完成小城镇基础设施建设提升项目8个以上。</w:t>
      </w:r>
      <w:r>
        <w:rPr>
          <w:rFonts w:hint="eastAsia" w:ascii="宋体" w:hAnsi="宋体" w:eastAsia="楷体_GB2312" w:cs="楷体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宋体" w:hAnsi="宋体" w:eastAsia="楷体_GB2312" w:cs="楷体_GB2312"/>
          <w:b w:val="0"/>
          <w:bCs/>
          <w:sz w:val="32"/>
          <w:szCs w:val="32"/>
          <w:lang w:val="en-US" w:eastAsia="zh-CN"/>
        </w:rPr>
        <w:t>三</w:t>
      </w:r>
      <w:r>
        <w:rPr>
          <w:rFonts w:hint="eastAsia" w:ascii="宋体" w:hAnsi="宋体" w:eastAsia="楷体_GB2312" w:cs="楷体_GB2312"/>
          <w:b w:val="0"/>
          <w:bCs/>
          <w:sz w:val="32"/>
          <w:szCs w:val="32"/>
          <w:lang w:eastAsia="zh-CN"/>
        </w:rPr>
        <w:t>）推动住建产业迈出高质量发展新步伐。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ab/>
      </w: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推进建筑业转型升级，指导本地企业资质升级，提高核心竞争力，筑牢“三个留在当地”政策基石。严格落实预售资金监管政策，及时释放更多资金用于工程建设，加快推进21个房地产开发项目工程建设进度。2023年房地产开发投资24.73亿元以上，新开工面积44.3万平方米以上。</w:t>
      </w:r>
      <w:r>
        <w:rPr>
          <w:rFonts w:hint="eastAsia" w:ascii="宋体" w:hAnsi="宋体" w:eastAsia="楷体_GB2312" w:cs="楷体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宋体" w:hAnsi="宋体" w:eastAsia="楷体_GB2312" w:cs="楷体_GB2312"/>
          <w:b w:val="0"/>
          <w:bCs/>
          <w:sz w:val="32"/>
          <w:szCs w:val="32"/>
          <w:lang w:val="en-US" w:eastAsia="zh-CN"/>
        </w:rPr>
        <w:t>四</w:t>
      </w:r>
      <w:r>
        <w:rPr>
          <w:rFonts w:hint="eastAsia" w:ascii="宋体" w:hAnsi="宋体" w:eastAsia="楷体_GB2312" w:cs="楷体_GB2312"/>
          <w:b w:val="0"/>
          <w:bCs/>
          <w:sz w:val="32"/>
          <w:szCs w:val="32"/>
          <w:lang w:eastAsia="zh-CN"/>
        </w:rPr>
        <w:t>）不断提高城市精细化管理水平。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推动城市运行“一网统管”“一网通办”，持续推进城市“六乱”治理活动，不断提高整治标准，扩大治理整治范围，消除整治盲区。抓实“红色物业”建设，打造市级物业服务样板小区6个，城市管理进社区覆盖率达到60%。</w:t>
      </w:r>
    </w:p>
    <w:p>
      <w:pPr>
        <w:pStyle w:val="5"/>
        <w:keepNext w:val="0"/>
        <w:keepLines w:val="0"/>
        <w:pageBreakBefore w:val="0"/>
        <w:widowControl w:val="0"/>
        <w:tabs>
          <w:tab w:val="clea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宋体" w:hAnsi="宋体" w:eastAsia="方正黑体简体" w:cs="方正黑体简体"/>
          <w:b w:val="0"/>
          <w:bCs/>
          <w:kern w:val="2"/>
          <w:sz w:val="32"/>
          <w:szCs w:val="24"/>
          <w:lang w:val="en-US" w:eastAsia="zh-CN" w:bidi="ar-SA"/>
        </w:rPr>
        <w:t>六、保生态，谋长远，推动绿色低碳发展。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大力推进黄河流域生态保护和高质量发展重大战略，协同推进降碳、减污、扩绿、增长，以更高绿色指数为泗水赢得更多生态红利。</w:t>
      </w:r>
      <w:r>
        <w:rPr>
          <w:rFonts w:hint="eastAsia" w:ascii="宋体" w:hAnsi="宋体" w:eastAsia="楷体_GB2312" w:cs="楷体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宋体" w:hAnsi="宋体" w:eastAsia="楷体_GB2312" w:cs="楷体_GB2312"/>
          <w:b w:val="0"/>
          <w:bCs/>
          <w:sz w:val="32"/>
          <w:szCs w:val="32"/>
          <w:lang w:val="en-US" w:eastAsia="zh-CN"/>
        </w:rPr>
        <w:t>一</w:t>
      </w:r>
      <w:r>
        <w:rPr>
          <w:rFonts w:hint="eastAsia" w:ascii="宋体" w:hAnsi="宋体" w:eastAsia="楷体_GB2312" w:cs="楷体_GB2312"/>
          <w:b w:val="0"/>
          <w:bCs/>
          <w:sz w:val="32"/>
          <w:szCs w:val="32"/>
          <w:lang w:eastAsia="zh-CN"/>
        </w:rPr>
        <w:t>）</w:t>
      </w:r>
      <w:r>
        <w:rPr>
          <w:rFonts w:hint="eastAsia" w:ascii="宋体" w:hAnsi="宋体" w:eastAsia="楷体_GB2312" w:cs="楷体_GB2312"/>
          <w:b w:val="0"/>
          <w:bCs/>
          <w:sz w:val="32"/>
          <w:szCs w:val="32"/>
        </w:rPr>
        <w:t>全力攻坚污染防治。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全面落实河湖长制，常态化整治河湖“四乱”，深化“两清零、一提标”攻坚，完成45个小区雨污分流改造、95个村污水治理，黑臭水体动态清零。狠抓“十二条工作线”落实，做好重污染天气应急联防联控，空气质量优良天数228天以上。推进化肥农药减量增效，0.01毫米地膜使用实现全覆盖；实施10万亩绿色种养循环农业项目；改造垃圾中转站9个；全链条闭环管理固危废物。严格执法监管，严厉打击环境违法行为。统筹推进中央和省环保督察反馈问题整改，确保按时见底清零。加强“三线一单”生态环境分区管控。</w:t>
      </w:r>
      <w:r>
        <w:rPr>
          <w:rFonts w:hint="eastAsia" w:ascii="宋体" w:hAnsi="宋体" w:eastAsia="楷体_GB2312" w:cs="楷体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宋体" w:hAnsi="宋体" w:eastAsia="楷体_GB2312" w:cs="楷体_GB2312"/>
          <w:b w:val="0"/>
          <w:bCs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楷体_GB2312" w:cs="楷体_GB2312"/>
          <w:b w:val="0"/>
          <w:bCs/>
          <w:sz w:val="32"/>
          <w:szCs w:val="32"/>
          <w:lang w:eastAsia="zh-CN"/>
        </w:rPr>
        <w:t>）</w:t>
      </w:r>
      <w:r>
        <w:rPr>
          <w:rFonts w:hint="eastAsia" w:ascii="宋体" w:hAnsi="宋体" w:eastAsia="楷体_GB2312" w:cs="楷体_GB2312"/>
          <w:b w:val="0"/>
          <w:bCs/>
          <w:sz w:val="32"/>
          <w:szCs w:val="32"/>
        </w:rPr>
        <w:t>全力攻坚生态修复重大工程。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实施重点水利工程5项，新打造美丽幸福示范河湖7条；治理水土流失14平方公里。科学推进国土绿化，完成荒山绿化1万亩、森林抚育6000亩。实施废弃矿山修复治理891亩，创建省市级绿色矿山7处。科学编制碳达峰工作方案，深入推进新一轮“四减四增”专项行动，完成年度节能减排约束性指标，培育市级以上绿色工厂2家。</w:t>
      </w:r>
      <w:r>
        <w:rPr>
          <w:rFonts w:hint="eastAsia" w:ascii="宋体" w:hAnsi="宋体" w:eastAsia="楷体_GB2312" w:cs="楷体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宋体" w:hAnsi="宋体" w:eastAsia="楷体_GB2312" w:cs="楷体_GB2312"/>
          <w:b w:val="0"/>
          <w:bCs/>
          <w:sz w:val="32"/>
          <w:szCs w:val="32"/>
          <w:lang w:val="en-US" w:eastAsia="zh-CN"/>
        </w:rPr>
        <w:t>三</w:t>
      </w:r>
      <w:r>
        <w:rPr>
          <w:rFonts w:hint="eastAsia" w:ascii="宋体" w:hAnsi="宋体" w:eastAsia="楷体_GB2312" w:cs="楷体_GB2312"/>
          <w:b w:val="0"/>
          <w:bCs/>
          <w:sz w:val="32"/>
          <w:szCs w:val="32"/>
          <w:lang w:eastAsia="zh-CN"/>
        </w:rPr>
        <w:t>）大力实施绿色低碳发展。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发展清洁能源，加快长峰峪抽水蓄能项目建设，推动海螺打造业内首家全绿电示范园。坚持“四水四定”，推动深度节水控水。开展绿色低碳全民行动，倡导简约适度、绿色低碳生活方式。严格落实能源消费总量和强度双控制度，淘汰改造落后产能，坚决遏制“两高”项目盲目发展。</w:t>
      </w:r>
    </w:p>
    <w:p>
      <w:pPr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宋体" w:hAnsi="宋体" w:eastAsia="方正黑体简体" w:cs="方正黑体简体"/>
          <w:b w:val="0"/>
          <w:bCs/>
          <w:sz w:val="32"/>
        </w:rPr>
        <w:t>七</w:t>
      </w:r>
      <w:r>
        <w:rPr>
          <w:rFonts w:hint="eastAsia" w:ascii="宋体" w:hAnsi="宋体" w:eastAsia="方正黑体简体" w:cs="方正黑体简体"/>
          <w:b w:val="0"/>
          <w:bCs/>
          <w:sz w:val="32"/>
          <w:lang w:eastAsia="zh-CN"/>
        </w:rPr>
        <w:t>、</w:t>
      </w:r>
      <w:r>
        <w:rPr>
          <w:rFonts w:hint="eastAsia" w:ascii="宋体" w:hAnsi="宋体" w:eastAsia="方正黑体简体" w:cs="方正黑体简体"/>
          <w:b w:val="0"/>
          <w:bCs/>
          <w:sz w:val="32"/>
        </w:rPr>
        <w:t>保稳定，惠民生，提高公共服务水平。</w:t>
      </w:r>
      <w:r>
        <w:rPr>
          <w:rFonts w:hint="eastAsia" w:ascii="宋体" w:hAnsi="宋体" w:eastAsia="仿宋_GB2312" w:cs="仿宋_GB2312"/>
          <w:b w:val="0"/>
          <w:bCs/>
          <w:kern w:val="0"/>
          <w:sz w:val="32"/>
          <w:szCs w:val="32"/>
        </w:rPr>
        <w:t>始终把人民对美好生活的向往作为奋斗目标，坚持共同富裕方向，加强普惠性、基础性、兜底性民生建设，持续增进民生福祉，努力使改革发展成果更多更公平惠及全县人民。</w:t>
      </w:r>
      <w:r>
        <w:rPr>
          <w:rFonts w:hint="eastAsia" w:ascii="宋体" w:hAnsi="宋体" w:eastAsia="楷体_GB2312" w:cs="楷体_GB2312"/>
          <w:b w:val="0"/>
          <w:bCs/>
          <w:kern w:val="0"/>
          <w:sz w:val="32"/>
          <w:szCs w:val="32"/>
          <w:lang w:eastAsia="zh-CN"/>
        </w:rPr>
        <w:t>（</w:t>
      </w:r>
      <w:r>
        <w:rPr>
          <w:rFonts w:hint="eastAsia" w:ascii="宋体" w:hAnsi="宋体" w:eastAsia="楷体_GB2312" w:cs="楷体_GB2312"/>
          <w:b w:val="0"/>
          <w:bCs/>
          <w:kern w:val="0"/>
          <w:sz w:val="32"/>
          <w:szCs w:val="32"/>
          <w:lang w:val="en-US" w:eastAsia="zh-CN"/>
        </w:rPr>
        <w:t>一</w:t>
      </w:r>
      <w:r>
        <w:rPr>
          <w:rFonts w:hint="eastAsia" w:ascii="宋体" w:hAnsi="宋体" w:eastAsia="楷体_GB2312" w:cs="楷体_GB2312"/>
          <w:b w:val="0"/>
          <w:bCs/>
          <w:kern w:val="0"/>
          <w:sz w:val="32"/>
          <w:szCs w:val="32"/>
          <w:lang w:eastAsia="zh-CN"/>
        </w:rPr>
        <w:t>）</w:t>
      </w:r>
      <w:r>
        <w:rPr>
          <w:rFonts w:hint="eastAsia" w:ascii="宋体" w:hAnsi="宋体" w:eastAsia="楷体_GB2312" w:cs="楷体_GB2312"/>
          <w:b w:val="0"/>
          <w:bCs/>
          <w:kern w:val="0"/>
          <w:sz w:val="32"/>
          <w:szCs w:val="32"/>
        </w:rPr>
        <w:t>聚力兜底社会保障。</w:t>
      </w:r>
      <w:r>
        <w:rPr>
          <w:rFonts w:hint="eastAsia" w:ascii="宋体" w:hAnsi="宋体" w:eastAsia="仿宋_GB2312" w:cs="仿宋_GB2312"/>
          <w:b w:val="0"/>
          <w:bCs/>
          <w:kern w:val="0"/>
          <w:sz w:val="32"/>
          <w:szCs w:val="32"/>
        </w:rPr>
        <w:t>常态化开展“走基层、转作风、办实事”活动，解决群众“急难愁盼”，民生支出占比80%以上。精准落实帮扶政策，巩固拓展脱贫攻坚成果。城镇新增就业2200人以上。居民及职工养老保险参保分别达到34.3万人、9万人以上。持续提高城乡居民医保报销比例、扩大报销范围，促进基本医保和商业补充保险有效衔接。落实城乡低保、特困人员救助标准自然增长机制，完善即时救助，大力发展慈善事业。统筹做好妇女儿童权益保障、残疾人和孤困儿童等特殊群体福利保障。健全退役军人服务保障，深化双拥共建。</w:t>
      </w:r>
      <w:r>
        <w:rPr>
          <w:rFonts w:hint="eastAsia" w:ascii="宋体" w:hAnsi="宋体" w:eastAsia="楷体_GB2312" w:cs="楷体_GB2312"/>
          <w:b w:val="0"/>
          <w:bCs/>
          <w:kern w:val="0"/>
          <w:sz w:val="32"/>
          <w:szCs w:val="32"/>
          <w:lang w:eastAsia="zh-CN"/>
        </w:rPr>
        <w:t>（</w:t>
      </w:r>
      <w:r>
        <w:rPr>
          <w:rFonts w:hint="eastAsia" w:ascii="宋体" w:hAnsi="宋体" w:eastAsia="楷体_GB2312" w:cs="楷体_GB2312"/>
          <w:b w:val="0"/>
          <w:bCs/>
          <w:kern w:val="0"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楷体_GB2312" w:cs="楷体_GB2312"/>
          <w:b w:val="0"/>
          <w:bCs/>
          <w:kern w:val="0"/>
          <w:sz w:val="32"/>
          <w:szCs w:val="32"/>
          <w:lang w:eastAsia="zh-CN"/>
        </w:rPr>
        <w:t>）聚力完善公务服务。</w:t>
      </w:r>
      <w:r>
        <w:rPr>
          <w:rFonts w:hint="eastAsia" w:ascii="宋体" w:hAnsi="宋体" w:eastAsia="仿宋_GB2312" w:cs="仿宋_GB2312"/>
          <w:b w:val="0"/>
          <w:bCs/>
          <w:kern w:val="0"/>
          <w:sz w:val="32"/>
          <w:szCs w:val="32"/>
        </w:rPr>
        <w:t>深入实施教育高质量发展6个“三年行动计划”，加快义务教育优质均衡发展县创建，完成龙城小学新建、中册中学扩建、职业教育培训中心项目建设。深化基层医疗卫生服务能力提升三年攻坚，升级改造2处卫生院，建成紧密型县域医共体，婴幼儿托育扩容增位496个。争创全国老年友好型社区。新增护理型养老床位200张。狠抓优秀传统文化传承发展，深入推动文化“两创”。广泛践行社会主义核心价值观，开展“送戏进乡村”400场、“送电影下乡”4000场以上，打造“泉乡书房”4处。推动气象地震、档案史志、民族宗教等工作再上新台阶。</w:t>
      </w:r>
      <w:r>
        <w:rPr>
          <w:rFonts w:hint="eastAsia" w:ascii="宋体" w:hAnsi="宋体" w:eastAsia="楷体_GB2312" w:cs="楷体_GB2312"/>
          <w:b w:val="0"/>
          <w:bCs/>
          <w:kern w:val="0"/>
          <w:sz w:val="32"/>
          <w:szCs w:val="32"/>
          <w:lang w:eastAsia="zh-CN"/>
        </w:rPr>
        <w:t>（</w:t>
      </w:r>
      <w:r>
        <w:rPr>
          <w:rFonts w:hint="eastAsia" w:ascii="宋体" w:hAnsi="宋体" w:eastAsia="楷体_GB2312" w:cs="楷体_GB2312"/>
          <w:b w:val="0"/>
          <w:bCs/>
          <w:kern w:val="0"/>
          <w:sz w:val="32"/>
          <w:szCs w:val="32"/>
          <w:lang w:val="en-US" w:eastAsia="zh-CN"/>
        </w:rPr>
        <w:t>三</w:t>
      </w:r>
      <w:r>
        <w:rPr>
          <w:rFonts w:hint="eastAsia" w:ascii="宋体" w:hAnsi="宋体" w:eastAsia="楷体_GB2312" w:cs="楷体_GB2312"/>
          <w:b w:val="0"/>
          <w:bCs/>
          <w:kern w:val="0"/>
          <w:sz w:val="32"/>
          <w:szCs w:val="32"/>
          <w:lang w:eastAsia="zh-CN"/>
        </w:rPr>
        <w:t>）聚力守牢发展底线。</w:t>
      </w:r>
      <w:r>
        <w:rPr>
          <w:rFonts w:hint="eastAsia" w:ascii="宋体" w:hAnsi="宋体" w:eastAsia="仿宋_GB2312" w:cs="仿宋_GB2312"/>
          <w:b w:val="0"/>
          <w:bCs/>
          <w:kern w:val="0"/>
          <w:sz w:val="32"/>
          <w:szCs w:val="32"/>
        </w:rPr>
        <w:t>全面贯彻总体国家安全观，有效防范化解各类风险隐患。优化完善常态化疫情防控机制，更加科学精准防控，最大程度保护人民生命安全和身体健康。健全公共卫生体系，加强重大疫情防控救治体系建设。常态化开展安全生产隐患排查整治，强化“素质固安”“科技强安”，确保安全生产形势持续稳定。健全现代应急机制，提高防灾减灾救灾和重大突发公共事件处置保障能力。持续优化金融生态环境，不良贷款率控制在1%以下。落实“四个最严”要求，全力守护人民群众饮食用药用械安全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/>
          <w:kern w:val="0"/>
          <w:sz w:val="32"/>
          <w:szCs w:val="32"/>
          <w:lang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/>
          <w:kern w:val="0"/>
          <w:sz w:val="32"/>
          <w:szCs w:val="32"/>
          <w:lang w:eastAsia="zh-CN"/>
        </w:rPr>
        <w:t>附件：泗水县</w:t>
      </w:r>
      <w:r>
        <w:rPr>
          <w:rFonts w:hint="eastAsia" w:ascii="宋体" w:hAnsi="宋体" w:eastAsia="仿宋_GB2312" w:cs="仿宋_GB2312"/>
          <w:b w:val="0"/>
          <w:bCs/>
          <w:kern w:val="0"/>
          <w:sz w:val="32"/>
          <w:szCs w:val="32"/>
          <w:lang w:val="en-US" w:eastAsia="zh-CN"/>
        </w:rPr>
        <w:t>2023年国民经济和社会发展主要计划指标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/>
          <w:kern w:val="0"/>
          <w:sz w:val="32"/>
          <w:szCs w:val="32"/>
          <w:lang w:val="en-US" w:eastAsia="zh-CN"/>
        </w:rPr>
      </w:pPr>
    </w:p>
    <w:p>
      <w:pPr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br w:type="page"/>
      </w:r>
    </w:p>
    <w:p>
      <w:pPr>
        <w:rPr>
          <w:rFonts w:hint="eastAsia" w:ascii="宋体" w:hAnsi="宋体" w:eastAsia="方正黑体简体" w:cs="方正黑体简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方正黑体简体" w:cs="方正黑体简体"/>
          <w:b w:val="0"/>
          <w:bCs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方正小标宋简体" w:cs="方正小标宋简体"/>
          <w:b w:val="0"/>
          <w:bCs/>
          <w:color w:val="000000"/>
          <w:kern w:val="0"/>
          <w:sz w:val="44"/>
          <w:szCs w:val="44"/>
          <w:lang w:bidi="ar"/>
        </w:rPr>
      </w:pPr>
      <w:r>
        <w:rPr>
          <w:rFonts w:hint="eastAsia" w:ascii="宋体" w:hAnsi="宋体" w:eastAsia="方正小标宋简体" w:cs="方正小标宋简体"/>
          <w:b w:val="0"/>
          <w:bCs/>
          <w:color w:val="000000"/>
          <w:kern w:val="0"/>
          <w:sz w:val="44"/>
          <w:szCs w:val="44"/>
          <w:lang w:eastAsia="zh-CN" w:bidi="ar"/>
        </w:rPr>
        <w:t>泗水</w:t>
      </w:r>
      <w:r>
        <w:rPr>
          <w:rFonts w:hint="eastAsia" w:ascii="宋体" w:hAnsi="宋体" w:eastAsia="方正小标宋简体" w:cs="方正小标宋简体"/>
          <w:b w:val="0"/>
          <w:bCs/>
          <w:color w:val="000000"/>
          <w:kern w:val="0"/>
          <w:sz w:val="44"/>
          <w:szCs w:val="44"/>
          <w:lang w:bidi="ar"/>
        </w:rPr>
        <w:t>县2023年国民经济和社会发展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b w:val="0"/>
          <w:bCs/>
          <w:color w:val="000000"/>
          <w:kern w:val="0"/>
          <w:sz w:val="44"/>
          <w:szCs w:val="44"/>
          <w:lang w:bidi="ar"/>
        </w:rPr>
        <w:t>主要</w:t>
      </w:r>
      <w:r>
        <w:rPr>
          <w:rFonts w:hint="eastAsia" w:ascii="宋体" w:hAnsi="宋体" w:eastAsia="方正小标宋简体" w:cs="方正小标宋简体"/>
          <w:b w:val="0"/>
          <w:bCs/>
          <w:color w:val="000000"/>
          <w:kern w:val="0"/>
          <w:sz w:val="44"/>
          <w:szCs w:val="44"/>
          <w:lang w:eastAsia="zh-CN" w:bidi="ar"/>
        </w:rPr>
        <w:t>计划指标</w:t>
      </w:r>
    </w:p>
    <w:tbl>
      <w:tblPr>
        <w:tblStyle w:val="7"/>
        <w:tblW w:w="884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3037"/>
        <w:gridCol w:w="1529"/>
        <w:gridCol w:w="1120"/>
        <w:gridCol w:w="1049"/>
        <w:gridCol w:w="1125"/>
        <w:gridCol w:w="984"/>
        <w:gridCol w:w="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" w:type="pct"/>
          <w:trHeight w:val="454" w:hRule="atLeast"/>
          <w:tblHeader/>
          <w:jc w:val="center"/>
        </w:trPr>
        <w:tc>
          <w:tcPr>
            <w:tcW w:w="1716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黑体简体" w:cs="方正黑体简体"/>
                <w:sz w:val="21"/>
                <w:szCs w:val="21"/>
              </w:rPr>
            </w:pPr>
            <w:r>
              <w:rPr>
                <w:rFonts w:hint="eastAsia" w:ascii="宋体" w:hAnsi="宋体" w:eastAsia="方正黑体简体" w:cs="方正黑体简体"/>
                <w:sz w:val="21"/>
                <w:szCs w:val="21"/>
              </w:rPr>
              <w:t>指标名称</w:t>
            </w:r>
          </w:p>
        </w:tc>
        <w:tc>
          <w:tcPr>
            <w:tcW w:w="864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黑体简体" w:cs="方正黑体简体"/>
                <w:sz w:val="21"/>
                <w:szCs w:val="21"/>
              </w:rPr>
            </w:pPr>
            <w:r>
              <w:rPr>
                <w:rFonts w:hint="eastAsia" w:ascii="宋体" w:hAnsi="宋体" w:eastAsia="方正黑体简体" w:cs="方正黑体简体"/>
                <w:sz w:val="21"/>
                <w:szCs w:val="21"/>
                <w:lang w:eastAsia="zh-CN"/>
              </w:rPr>
              <w:t>计算</w:t>
            </w:r>
            <w:r>
              <w:rPr>
                <w:rFonts w:hint="eastAsia" w:ascii="宋体" w:hAnsi="宋体" w:eastAsia="方正黑体简体" w:cs="方正黑体简体"/>
                <w:sz w:val="21"/>
                <w:szCs w:val="21"/>
              </w:rPr>
              <w:t>单位</w:t>
            </w:r>
          </w:p>
        </w:tc>
        <w:tc>
          <w:tcPr>
            <w:tcW w:w="122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黑体简体" w:cs="方正黑体简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方正黑体简体" w:cs="方正黑体简体"/>
                <w:sz w:val="21"/>
                <w:szCs w:val="21"/>
              </w:rPr>
              <w:t>202</w:t>
            </w:r>
            <w:r>
              <w:rPr>
                <w:rFonts w:hint="eastAsia" w:ascii="宋体" w:hAnsi="宋体" w:eastAsia="方正黑体简体" w:cs="方正黑体简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方正黑体简体" w:cs="方正黑体简体"/>
                <w:sz w:val="21"/>
                <w:szCs w:val="21"/>
              </w:rPr>
              <w:t>年</w:t>
            </w:r>
            <w:r>
              <w:rPr>
                <w:rFonts w:hint="eastAsia" w:ascii="宋体" w:hAnsi="宋体" w:eastAsia="方正黑体简体" w:cs="方正黑体简体"/>
                <w:sz w:val="21"/>
                <w:szCs w:val="21"/>
                <w:lang w:eastAsia="zh-CN"/>
              </w:rPr>
              <w:t>实际完成</w:t>
            </w:r>
          </w:p>
        </w:tc>
        <w:tc>
          <w:tcPr>
            <w:tcW w:w="1191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黑体简体" w:cs="方正黑体简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方正黑体简体" w:cs="方正黑体简体"/>
                <w:sz w:val="21"/>
                <w:szCs w:val="21"/>
                <w:lang w:val="en-US" w:eastAsia="zh-CN"/>
              </w:rPr>
              <w:t>2023年计划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" w:type="pct"/>
          <w:trHeight w:val="454" w:hRule="atLeast"/>
          <w:tblHeader/>
          <w:jc w:val="center"/>
        </w:trPr>
        <w:tc>
          <w:tcPr>
            <w:tcW w:w="171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黑体简体" w:cs="方正黑体简体"/>
                <w:sz w:val="21"/>
                <w:szCs w:val="21"/>
              </w:rPr>
            </w:pPr>
          </w:p>
        </w:tc>
        <w:tc>
          <w:tcPr>
            <w:tcW w:w="86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黑体简体" w:cs="方正黑体简体"/>
                <w:sz w:val="21"/>
                <w:szCs w:val="21"/>
              </w:rPr>
            </w:pPr>
          </w:p>
        </w:tc>
        <w:tc>
          <w:tcPr>
            <w:tcW w:w="63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黑体简体" w:cs="方正黑体简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方正黑体简体" w:cs="方正黑体简体"/>
                <w:sz w:val="21"/>
                <w:szCs w:val="21"/>
                <w:lang w:eastAsia="zh-CN"/>
              </w:rPr>
              <w:t>绝对量</w:t>
            </w:r>
          </w:p>
        </w:tc>
        <w:tc>
          <w:tcPr>
            <w:tcW w:w="59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黑体简体" w:cs="方正黑体简体"/>
                <w:sz w:val="21"/>
                <w:szCs w:val="21"/>
              </w:rPr>
            </w:pPr>
            <w:r>
              <w:rPr>
                <w:rFonts w:hint="eastAsia" w:ascii="宋体" w:hAnsi="宋体" w:eastAsia="方正黑体简体" w:cs="方正黑体简体"/>
                <w:sz w:val="21"/>
                <w:szCs w:val="21"/>
              </w:rPr>
              <w:t>增长(%)</w:t>
            </w:r>
          </w:p>
        </w:tc>
        <w:tc>
          <w:tcPr>
            <w:tcW w:w="6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黑体简体" w:cs="方正黑体简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方正黑体简体" w:cs="方正黑体简体"/>
                <w:sz w:val="21"/>
                <w:szCs w:val="21"/>
                <w:lang w:eastAsia="zh-CN"/>
              </w:rPr>
              <w:t>绝对量</w:t>
            </w:r>
          </w:p>
        </w:tc>
        <w:tc>
          <w:tcPr>
            <w:tcW w:w="55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黑体简体" w:cs="方正黑体简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方正黑体简体" w:cs="方正黑体简体"/>
                <w:sz w:val="21"/>
                <w:szCs w:val="21"/>
                <w:lang w:eastAsia="zh-CN"/>
              </w:rPr>
              <w:t>增长（</w:t>
            </w:r>
            <w:r>
              <w:rPr>
                <w:rFonts w:hint="eastAsia" w:ascii="宋体" w:hAnsi="宋体" w:eastAsia="方正黑体简体" w:cs="方正黑体简体"/>
                <w:sz w:val="21"/>
                <w:szCs w:val="21"/>
                <w:lang w:val="en-US" w:eastAsia="zh-CN"/>
              </w:rPr>
              <w:t>%</w:t>
            </w:r>
            <w:r>
              <w:rPr>
                <w:rFonts w:hint="eastAsia" w:ascii="宋体" w:hAnsi="宋体" w:eastAsia="方正黑体简体" w:cs="方正黑体简体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" w:type="pct"/>
          <w:trHeight w:val="454" w:hRule="atLeast"/>
          <w:jc w:val="center"/>
        </w:trPr>
        <w:tc>
          <w:tcPr>
            <w:tcW w:w="4998" w:type="pct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eastAsia="楷体_GB2312" w:cs="楷体_GB2312"/>
                <w:sz w:val="21"/>
                <w:szCs w:val="21"/>
                <w:lang w:eastAsia="zh-CN"/>
              </w:rPr>
              <w:t>一、经济增长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" w:type="pct"/>
          <w:trHeight w:val="454" w:hRule="atLeast"/>
          <w:jc w:val="center"/>
        </w:trPr>
        <w:tc>
          <w:tcPr>
            <w:tcW w:w="171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eastAsia="zh-CN"/>
              </w:rPr>
              <w:t>地区生产总值</w:t>
            </w:r>
          </w:p>
        </w:tc>
        <w:tc>
          <w:tcPr>
            <w:tcW w:w="8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eastAsia="zh-CN"/>
              </w:rPr>
              <w:t>亿元</w:t>
            </w:r>
          </w:p>
        </w:tc>
        <w:tc>
          <w:tcPr>
            <w:tcW w:w="63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216.07</w:t>
            </w:r>
          </w:p>
        </w:tc>
        <w:tc>
          <w:tcPr>
            <w:tcW w:w="59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4.4</w:t>
            </w:r>
          </w:p>
        </w:tc>
        <w:tc>
          <w:tcPr>
            <w:tcW w:w="6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235</w:t>
            </w:r>
          </w:p>
        </w:tc>
        <w:tc>
          <w:tcPr>
            <w:tcW w:w="55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" w:type="pct"/>
          <w:trHeight w:val="454" w:hRule="atLeast"/>
          <w:jc w:val="center"/>
        </w:trPr>
        <w:tc>
          <w:tcPr>
            <w:tcW w:w="171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</w:rPr>
              <w:t>规模以上工业增加值增长率</w:t>
            </w:r>
          </w:p>
        </w:tc>
        <w:tc>
          <w:tcPr>
            <w:tcW w:w="8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</w:rPr>
              <w:t>亿元</w:t>
            </w:r>
          </w:p>
        </w:tc>
        <w:tc>
          <w:tcPr>
            <w:tcW w:w="63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—</w:t>
            </w:r>
          </w:p>
        </w:tc>
        <w:tc>
          <w:tcPr>
            <w:tcW w:w="59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4.1</w:t>
            </w:r>
          </w:p>
        </w:tc>
        <w:tc>
          <w:tcPr>
            <w:tcW w:w="6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—</w:t>
            </w:r>
          </w:p>
        </w:tc>
        <w:tc>
          <w:tcPr>
            <w:tcW w:w="55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" w:type="pct"/>
          <w:trHeight w:val="454" w:hRule="atLeast"/>
          <w:jc w:val="center"/>
        </w:trPr>
        <w:tc>
          <w:tcPr>
            <w:tcW w:w="171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</w:rPr>
              <w:t>固定资产投资增长率</w:t>
            </w:r>
          </w:p>
        </w:tc>
        <w:tc>
          <w:tcPr>
            <w:tcW w:w="8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eastAsia="zh-CN"/>
              </w:rPr>
              <w:t>亿元</w:t>
            </w:r>
          </w:p>
        </w:tc>
        <w:tc>
          <w:tcPr>
            <w:tcW w:w="63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—</w:t>
            </w:r>
          </w:p>
        </w:tc>
        <w:tc>
          <w:tcPr>
            <w:tcW w:w="59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-13.8</w:t>
            </w:r>
          </w:p>
        </w:tc>
        <w:tc>
          <w:tcPr>
            <w:tcW w:w="6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—</w:t>
            </w:r>
          </w:p>
        </w:tc>
        <w:tc>
          <w:tcPr>
            <w:tcW w:w="55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" w:type="pct"/>
          <w:trHeight w:val="454" w:hRule="atLeast"/>
          <w:jc w:val="center"/>
        </w:trPr>
        <w:tc>
          <w:tcPr>
            <w:tcW w:w="171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</w:rPr>
              <w:t>社会消费品零售总额</w:t>
            </w:r>
          </w:p>
        </w:tc>
        <w:tc>
          <w:tcPr>
            <w:tcW w:w="8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</w:rPr>
              <w:t>亿元</w:t>
            </w:r>
          </w:p>
        </w:tc>
        <w:tc>
          <w:tcPr>
            <w:tcW w:w="63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127.12</w:t>
            </w:r>
          </w:p>
        </w:tc>
        <w:tc>
          <w:tcPr>
            <w:tcW w:w="59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1.1</w:t>
            </w:r>
          </w:p>
        </w:tc>
        <w:tc>
          <w:tcPr>
            <w:tcW w:w="6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135.36</w:t>
            </w:r>
          </w:p>
        </w:tc>
        <w:tc>
          <w:tcPr>
            <w:tcW w:w="55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" w:type="pct"/>
          <w:trHeight w:val="454" w:hRule="atLeast"/>
          <w:jc w:val="center"/>
        </w:trPr>
        <w:tc>
          <w:tcPr>
            <w:tcW w:w="171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eastAsia="zh-CN"/>
              </w:rPr>
              <w:t>外贸进出口</w:t>
            </w:r>
          </w:p>
        </w:tc>
        <w:tc>
          <w:tcPr>
            <w:tcW w:w="8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eastAsia="zh-CN"/>
              </w:rPr>
              <w:t>亿元</w:t>
            </w:r>
          </w:p>
        </w:tc>
        <w:tc>
          <w:tcPr>
            <w:tcW w:w="63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18.56</w:t>
            </w:r>
          </w:p>
        </w:tc>
        <w:tc>
          <w:tcPr>
            <w:tcW w:w="59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13.7</w:t>
            </w:r>
          </w:p>
        </w:tc>
        <w:tc>
          <w:tcPr>
            <w:tcW w:w="6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19.56</w:t>
            </w:r>
          </w:p>
        </w:tc>
        <w:tc>
          <w:tcPr>
            <w:tcW w:w="55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" w:type="pct"/>
          <w:trHeight w:val="454" w:hRule="atLeast"/>
          <w:jc w:val="center"/>
        </w:trPr>
        <w:tc>
          <w:tcPr>
            <w:tcW w:w="171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eastAsia="zh-CN"/>
              </w:rPr>
              <w:t>实际使用外资</w:t>
            </w:r>
          </w:p>
        </w:tc>
        <w:tc>
          <w:tcPr>
            <w:tcW w:w="8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eastAsia="zh-CN"/>
              </w:rPr>
              <w:t>亿美元</w:t>
            </w:r>
          </w:p>
        </w:tc>
        <w:tc>
          <w:tcPr>
            <w:tcW w:w="63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0.433</w:t>
            </w:r>
          </w:p>
        </w:tc>
        <w:tc>
          <w:tcPr>
            <w:tcW w:w="59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31.69</w:t>
            </w:r>
          </w:p>
        </w:tc>
        <w:tc>
          <w:tcPr>
            <w:tcW w:w="6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5000</w:t>
            </w:r>
          </w:p>
        </w:tc>
        <w:tc>
          <w:tcPr>
            <w:tcW w:w="55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15.6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" w:type="pct"/>
          <w:trHeight w:val="454" w:hRule="atLeast"/>
          <w:jc w:val="center"/>
        </w:trPr>
        <w:tc>
          <w:tcPr>
            <w:tcW w:w="171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</w:rPr>
              <w:t>一般公共财政预算收入</w:t>
            </w:r>
          </w:p>
        </w:tc>
        <w:tc>
          <w:tcPr>
            <w:tcW w:w="8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eastAsia="zh-CN"/>
              </w:rPr>
              <w:t>亿元</w:t>
            </w:r>
          </w:p>
        </w:tc>
        <w:tc>
          <w:tcPr>
            <w:tcW w:w="63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13.31</w:t>
            </w:r>
          </w:p>
        </w:tc>
        <w:tc>
          <w:tcPr>
            <w:tcW w:w="59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8.5</w:t>
            </w:r>
          </w:p>
        </w:tc>
        <w:tc>
          <w:tcPr>
            <w:tcW w:w="6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14.1</w:t>
            </w:r>
          </w:p>
        </w:tc>
        <w:tc>
          <w:tcPr>
            <w:tcW w:w="55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6左右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" w:type="pct"/>
          <w:trHeight w:val="454" w:hRule="atLeast"/>
          <w:jc w:val="center"/>
        </w:trPr>
        <w:tc>
          <w:tcPr>
            <w:tcW w:w="171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eastAsia="zh-CN"/>
              </w:rPr>
              <w:t>居民消费价格指数</w:t>
            </w:r>
          </w:p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（我县无监测点，此数据参考市定数据）</w:t>
            </w:r>
          </w:p>
        </w:tc>
        <w:tc>
          <w:tcPr>
            <w:tcW w:w="8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eastAsia="zh-CN"/>
              </w:rPr>
              <w:t>上年</w:t>
            </w: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=100</w:t>
            </w:r>
          </w:p>
        </w:tc>
        <w:tc>
          <w:tcPr>
            <w:tcW w:w="63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101.7</w:t>
            </w:r>
          </w:p>
        </w:tc>
        <w:tc>
          <w:tcPr>
            <w:tcW w:w="59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—</w:t>
            </w:r>
          </w:p>
        </w:tc>
        <w:tc>
          <w:tcPr>
            <w:tcW w:w="6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103</w:t>
            </w:r>
          </w:p>
        </w:tc>
        <w:tc>
          <w:tcPr>
            <w:tcW w:w="55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" w:type="pct"/>
          <w:trHeight w:val="454" w:hRule="atLeast"/>
          <w:jc w:val="center"/>
        </w:trPr>
        <w:tc>
          <w:tcPr>
            <w:tcW w:w="4998" w:type="pct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eastAsia="楷体_GB2312" w:cs="楷体_GB2312"/>
                <w:sz w:val="21"/>
                <w:szCs w:val="21"/>
                <w:lang w:eastAsia="zh-CN"/>
              </w:rPr>
              <w:t>二、创新驱动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1" w:type="pct"/>
          <w:trHeight w:val="454" w:hRule="atLeast"/>
          <w:jc w:val="center"/>
        </w:trPr>
        <w:tc>
          <w:tcPr>
            <w:tcW w:w="171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</w:rPr>
              <w:t>研发经费投入</w:t>
            </w:r>
          </w:p>
        </w:tc>
        <w:tc>
          <w:tcPr>
            <w:tcW w:w="8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eastAsia="zh-CN"/>
              </w:rPr>
              <w:t>亿元</w:t>
            </w:r>
          </w:p>
        </w:tc>
        <w:tc>
          <w:tcPr>
            <w:tcW w:w="63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2</w:t>
            </w:r>
          </w:p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（2021年）</w:t>
            </w:r>
          </w:p>
        </w:tc>
        <w:tc>
          <w:tcPr>
            <w:tcW w:w="59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41.8%</w:t>
            </w:r>
          </w:p>
        </w:tc>
        <w:tc>
          <w:tcPr>
            <w:tcW w:w="63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2.5</w:t>
            </w:r>
          </w:p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（2022年）</w:t>
            </w:r>
          </w:p>
        </w:tc>
        <w:tc>
          <w:tcPr>
            <w:tcW w:w="5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25%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" w:type="pct"/>
          <w:trHeight w:val="454" w:hRule="atLeast"/>
          <w:jc w:val="center"/>
        </w:trPr>
        <w:tc>
          <w:tcPr>
            <w:tcW w:w="171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</w:rPr>
              <w:t>研发经费投入强度</w:t>
            </w:r>
          </w:p>
        </w:tc>
        <w:tc>
          <w:tcPr>
            <w:tcW w:w="8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</w:rPr>
              <w:t>%</w:t>
            </w:r>
          </w:p>
        </w:tc>
        <w:tc>
          <w:tcPr>
            <w:tcW w:w="63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0.985</w:t>
            </w:r>
          </w:p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（2021年）</w:t>
            </w:r>
          </w:p>
        </w:tc>
        <w:tc>
          <w:tcPr>
            <w:tcW w:w="59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0.22</w:t>
            </w:r>
          </w:p>
        </w:tc>
        <w:tc>
          <w:tcPr>
            <w:tcW w:w="63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1.085（2022年）</w:t>
            </w:r>
          </w:p>
        </w:tc>
        <w:tc>
          <w:tcPr>
            <w:tcW w:w="5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" w:type="pct"/>
          <w:trHeight w:val="454" w:hRule="atLeast"/>
          <w:jc w:val="center"/>
        </w:trPr>
        <w:tc>
          <w:tcPr>
            <w:tcW w:w="171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</w:rPr>
              <w:t>万人高价值发明专利拥有量</w:t>
            </w:r>
          </w:p>
        </w:tc>
        <w:tc>
          <w:tcPr>
            <w:tcW w:w="8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</w:rPr>
              <w:t>件</w:t>
            </w:r>
          </w:p>
        </w:tc>
        <w:tc>
          <w:tcPr>
            <w:tcW w:w="63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0.48</w:t>
            </w:r>
          </w:p>
        </w:tc>
        <w:tc>
          <w:tcPr>
            <w:tcW w:w="59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63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0.61</w:t>
            </w:r>
          </w:p>
        </w:tc>
        <w:tc>
          <w:tcPr>
            <w:tcW w:w="5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" w:type="pct"/>
          <w:trHeight w:val="454" w:hRule="atLeast"/>
          <w:jc w:val="center"/>
        </w:trPr>
        <w:tc>
          <w:tcPr>
            <w:tcW w:w="171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eastAsia="zh-CN"/>
              </w:rPr>
              <w:t>“四新”经济占生产总值的比重</w:t>
            </w:r>
          </w:p>
        </w:tc>
        <w:tc>
          <w:tcPr>
            <w:tcW w:w="8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63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27.07</w:t>
            </w:r>
          </w:p>
        </w:tc>
        <w:tc>
          <w:tcPr>
            <w:tcW w:w="59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—</w:t>
            </w:r>
          </w:p>
        </w:tc>
        <w:tc>
          <w:tcPr>
            <w:tcW w:w="63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28.46</w:t>
            </w:r>
          </w:p>
        </w:tc>
        <w:tc>
          <w:tcPr>
            <w:tcW w:w="5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" w:type="pct"/>
          <w:trHeight w:val="454" w:hRule="atLeast"/>
          <w:jc w:val="center"/>
        </w:trPr>
        <w:tc>
          <w:tcPr>
            <w:tcW w:w="171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eastAsia="zh-CN"/>
              </w:rPr>
              <w:t>数字经济核心产业增加值占生产总值比重</w:t>
            </w:r>
          </w:p>
        </w:tc>
        <w:tc>
          <w:tcPr>
            <w:tcW w:w="8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63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—</w:t>
            </w:r>
          </w:p>
        </w:tc>
        <w:tc>
          <w:tcPr>
            <w:tcW w:w="59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1.7</w:t>
            </w:r>
          </w:p>
        </w:tc>
        <w:tc>
          <w:tcPr>
            <w:tcW w:w="63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—</w:t>
            </w:r>
          </w:p>
        </w:tc>
        <w:tc>
          <w:tcPr>
            <w:tcW w:w="5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" w:type="pct"/>
          <w:trHeight w:val="454" w:hRule="atLeast"/>
          <w:jc w:val="center"/>
        </w:trPr>
        <w:tc>
          <w:tcPr>
            <w:tcW w:w="171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</w:rPr>
              <w:t>规模以上高新技术产业产值占规模以上工业总产值的比重</w:t>
            </w:r>
          </w:p>
        </w:tc>
        <w:tc>
          <w:tcPr>
            <w:tcW w:w="8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63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</w:rPr>
              <w:t>21.3</w:t>
            </w:r>
          </w:p>
        </w:tc>
        <w:tc>
          <w:tcPr>
            <w:tcW w:w="59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0.6</w:t>
            </w:r>
          </w:p>
        </w:tc>
        <w:tc>
          <w:tcPr>
            <w:tcW w:w="63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5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" w:type="pct"/>
          <w:trHeight w:val="454" w:hRule="atLeast"/>
          <w:jc w:val="center"/>
        </w:trPr>
        <w:tc>
          <w:tcPr>
            <w:tcW w:w="4998" w:type="pct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eastAsia="楷体_GB2312" w:cs="楷体_GB2312"/>
                <w:sz w:val="21"/>
                <w:szCs w:val="21"/>
                <w:lang w:eastAsia="zh-CN"/>
              </w:rPr>
              <w:t>三、城乡发展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" w:type="pct"/>
          <w:trHeight w:val="454" w:hRule="atLeast"/>
          <w:jc w:val="center"/>
        </w:trPr>
        <w:tc>
          <w:tcPr>
            <w:tcW w:w="171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</w:rPr>
              <w:t>常住人口城镇化率</w:t>
            </w:r>
          </w:p>
        </w:tc>
        <w:tc>
          <w:tcPr>
            <w:tcW w:w="8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</w:rPr>
              <w:t>%</w:t>
            </w:r>
          </w:p>
        </w:tc>
        <w:tc>
          <w:tcPr>
            <w:tcW w:w="63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45.55</w:t>
            </w:r>
          </w:p>
        </w:tc>
        <w:tc>
          <w:tcPr>
            <w:tcW w:w="59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—</w:t>
            </w:r>
          </w:p>
        </w:tc>
        <w:tc>
          <w:tcPr>
            <w:tcW w:w="63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5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" w:type="pct"/>
          <w:trHeight w:val="454" w:hRule="atLeast"/>
          <w:jc w:val="center"/>
        </w:trPr>
        <w:tc>
          <w:tcPr>
            <w:tcW w:w="171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eastAsia="zh-CN"/>
              </w:rPr>
              <w:t>居民人均可支配收入</w:t>
            </w:r>
          </w:p>
        </w:tc>
        <w:tc>
          <w:tcPr>
            <w:tcW w:w="8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eastAsia="zh-CN"/>
              </w:rPr>
              <w:t>元</w:t>
            </w:r>
          </w:p>
        </w:tc>
        <w:tc>
          <w:tcPr>
            <w:tcW w:w="63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—</w:t>
            </w:r>
          </w:p>
        </w:tc>
        <w:tc>
          <w:tcPr>
            <w:tcW w:w="59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6.7</w:t>
            </w:r>
          </w:p>
        </w:tc>
        <w:tc>
          <w:tcPr>
            <w:tcW w:w="63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—</w:t>
            </w:r>
          </w:p>
        </w:tc>
        <w:tc>
          <w:tcPr>
            <w:tcW w:w="5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7.5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" w:type="pct"/>
          <w:trHeight w:val="454" w:hRule="atLeast"/>
          <w:jc w:val="center"/>
        </w:trPr>
        <w:tc>
          <w:tcPr>
            <w:tcW w:w="4998" w:type="pct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eastAsia="楷体_GB2312" w:cs="楷体_GB2312"/>
                <w:sz w:val="21"/>
                <w:szCs w:val="21"/>
                <w:lang w:eastAsia="zh-CN"/>
              </w:rPr>
              <w:t>四、民生福祉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" w:type="pct"/>
          <w:trHeight w:val="454" w:hRule="atLeast"/>
          <w:jc w:val="center"/>
        </w:trPr>
        <w:tc>
          <w:tcPr>
            <w:tcW w:w="171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eastAsia="zh-CN"/>
              </w:rPr>
              <w:t>城镇新增就业人数</w:t>
            </w:r>
          </w:p>
        </w:tc>
        <w:tc>
          <w:tcPr>
            <w:tcW w:w="8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eastAsia="zh-CN"/>
              </w:rPr>
              <w:t>万人</w:t>
            </w:r>
          </w:p>
        </w:tc>
        <w:tc>
          <w:tcPr>
            <w:tcW w:w="63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0.2</w:t>
            </w:r>
          </w:p>
        </w:tc>
        <w:tc>
          <w:tcPr>
            <w:tcW w:w="59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—</w:t>
            </w:r>
          </w:p>
        </w:tc>
        <w:tc>
          <w:tcPr>
            <w:tcW w:w="63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0.27</w:t>
            </w:r>
          </w:p>
        </w:tc>
        <w:tc>
          <w:tcPr>
            <w:tcW w:w="5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" w:type="pct"/>
          <w:trHeight w:val="454" w:hRule="atLeast"/>
          <w:jc w:val="center"/>
        </w:trPr>
        <w:tc>
          <w:tcPr>
            <w:tcW w:w="171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eastAsia="zh-CN"/>
              </w:rPr>
              <w:t>高中阶段教育毛入学率</w:t>
            </w:r>
          </w:p>
        </w:tc>
        <w:tc>
          <w:tcPr>
            <w:tcW w:w="8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63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95</w:t>
            </w:r>
          </w:p>
        </w:tc>
        <w:tc>
          <w:tcPr>
            <w:tcW w:w="59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—</w:t>
            </w:r>
          </w:p>
        </w:tc>
        <w:tc>
          <w:tcPr>
            <w:tcW w:w="63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95</w:t>
            </w:r>
          </w:p>
        </w:tc>
        <w:tc>
          <w:tcPr>
            <w:tcW w:w="5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" w:type="pct"/>
          <w:trHeight w:val="454" w:hRule="atLeast"/>
          <w:jc w:val="center"/>
        </w:trPr>
        <w:tc>
          <w:tcPr>
            <w:tcW w:w="171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</w:rPr>
              <w:t>每千人口医疗卫生机构床位数</w:t>
            </w:r>
          </w:p>
        </w:tc>
        <w:tc>
          <w:tcPr>
            <w:tcW w:w="8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</w:rPr>
              <w:t>张</w:t>
            </w:r>
          </w:p>
        </w:tc>
        <w:tc>
          <w:tcPr>
            <w:tcW w:w="63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4.82</w:t>
            </w:r>
          </w:p>
        </w:tc>
        <w:tc>
          <w:tcPr>
            <w:tcW w:w="59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—</w:t>
            </w:r>
          </w:p>
        </w:tc>
        <w:tc>
          <w:tcPr>
            <w:tcW w:w="63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4.87</w:t>
            </w:r>
          </w:p>
        </w:tc>
        <w:tc>
          <w:tcPr>
            <w:tcW w:w="5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" w:type="pct"/>
          <w:trHeight w:val="454" w:hRule="atLeast"/>
          <w:jc w:val="center"/>
        </w:trPr>
        <w:tc>
          <w:tcPr>
            <w:tcW w:w="171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</w:rPr>
              <w:t>每千人口职业（助理）医师数</w:t>
            </w:r>
          </w:p>
        </w:tc>
        <w:tc>
          <w:tcPr>
            <w:tcW w:w="8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</w:rPr>
              <w:t>人</w:t>
            </w:r>
          </w:p>
        </w:tc>
        <w:tc>
          <w:tcPr>
            <w:tcW w:w="63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2.77</w:t>
            </w:r>
          </w:p>
        </w:tc>
        <w:tc>
          <w:tcPr>
            <w:tcW w:w="59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—</w:t>
            </w:r>
          </w:p>
        </w:tc>
        <w:tc>
          <w:tcPr>
            <w:tcW w:w="63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3.1</w:t>
            </w:r>
          </w:p>
        </w:tc>
        <w:tc>
          <w:tcPr>
            <w:tcW w:w="5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" w:type="pct"/>
          <w:trHeight w:val="454" w:hRule="atLeast"/>
          <w:jc w:val="center"/>
        </w:trPr>
        <w:tc>
          <w:tcPr>
            <w:tcW w:w="171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</w:rPr>
              <w:t>每千人三岁以下婴幼儿托位数</w:t>
            </w:r>
          </w:p>
        </w:tc>
        <w:tc>
          <w:tcPr>
            <w:tcW w:w="8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</w:rPr>
              <w:t>个</w:t>
            </w:r>
          </w:p>
        </w:tc>
        <w:tc>
          <w:tcPr>
            <w:tcW w:w="63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3.92</w:t>
            </w:r>
          </w:p>
        </w:tc>
        <w:tc>
          <w:tcPr>
            <w:tcW w:w="59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—</w:t>
            </w:r>
          </w:p>
        </w:tc>
        <w:tc>
          <w:tcPr>
            <w:tcW w:w="63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4.44</w:t>
            </w:r>
          </w:p>
        </w:tc>
        <w:tc>
          <w:tcPr>
            <w:tcW w:w="5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" w:type="pct"/>
          <w:trHeight w:val="454" w:hRule="atLeast"/>
          <w:jc w:val="center"/>
        </w:trPr>
        <w:tc>
          <w:tcPr>
            <w:tcW w:w="4998" w:type="pct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eastAsia="楷体_GB2312" w:cs="楷体_GB2312"/>
                <w:sz w:val="21"/>
                <w:szCs w:val="21"/>
                <w:lang w:eastAsia="zh-CN"/>
              </w:rPr>
              <w:t>五、粮食能源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" w:type="pct"/>
          <w:trHeight w:val="454" w:hRule="atLeast"/>
          <w:jc w:val="center"/>
        </w:trPr>
        <w:tc>
          <w:tcPr>
            <w:tcW w:w="171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</w:rPr>
              <w:t>粮食</w:t>
            </w:r>
            <w:r>
              <w:rPr>
                <w:rFonts w:hint="eastAsia" w:ascii="宋体" w:hAnsi="宋体" w:eastAsia="仿宋_GB2312" w:cs="仿宋_GB2312"/>
                <w:sz w:val="21"/>
                <w:szCs w:val="21"/>
                <w:lang w:eastAsia="zh-CN"/>
              </w:rPr>
              <w:t>播种</w:t>
            </w:r>
            <w:r>
              <w:rPr>
                <w:rFonts w:hint="eastAsia" w:ascii="宋体" w:hAnsi="宋体" w:eastAsia="仿宋_GB2312" w:cs="仿宋_GB2312"/>
                <w:sz w:val="21"/>
                <w:szCs w:val="21"/>
              </w:rPr>
              <w:t>面积</w:t>
            </w:r>
          </w:p>
        </w:tc>
        <w:tc>
          <w:tcPr>
            <w:tcW w:w="8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</w:rPr>
              <w:t>万亩</w:t>
            </w:r>
          </w:p>
        </w:tc>
        <w:tc>
          <w:tcPr>
            <w:tcW w:w="63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58.92</w:t>
            </w:r>
          </w:p>
        </w:tc>
        <w:tc>
          <w:tcPr>
            <w:tcW w:w="59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—</w:t>
            </w:r>
          </w:p>
        </w:tc>
        <w:tc>
          <w:tcPr>
            <w:tcW w:w="63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59.51</w:t>
            </w:r>
          </w:p>
        </w:tc>
        <w:tc>
          <w:tcPr>
            <w:tcW w:w="5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" w:type="pct"/>
          <w:trHeight w:val="454" w:hRule="atLeast"/>
          <w:jc w:val="center"/>
        </w:trPr>
        <w:tc>
          <w:tcPr>
            <w:tcW w:w="171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eastAsia="zh-CN"/>
              </w:rPr>
              <w:t>粮食产量</w:t>
            </w:r>
          </w:p>
        </w:tc>
        <w:tc>
          <w:tcPr>
            <w:tcW w:w="8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eastAsia="zh-CN"/>
              </w:rPr>
              <w:t>亿斤</w:t>
            </w:r>
          </w:p>
        </w:tc>
        <w:tc>
          <w:tcPr>
            <w:tcW w:w="63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4.97</w:t>
            </w:r>
          </w:p>
        </w:tc>
        <w:tc>
          <w:tcPr>
            <w:tcW w:w="59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—</w:t>
            </w:r>
          </w:p>
        </w:tc>
        <w:tc>
          <w:tcPr>
            <w:tcW w:w="63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5.02</w:t>
            </w:r>
          </w:p>
        </w:tc>
        <w:tc>
          <w:tcPr>
            <w:tcW w:w="5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" w:type="pct"/>
          <w:trHeight w:val="454" w:hRule="atLeast"/>
          <w:jc w:val="center"/>
        </w:trPr>
        <w:tc>
          <w:tcPr>
            <w:tcW w:w="4998" w:type="pct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eastAsia="楷体_GB2312" w:cs="楷体_GB2312"/>
                <w:sz w:val="21"/>
                <w:szCs w:val="21"/>
                <w:lang w:eastAsia="zh-CN"/>
              </w:rPr>
              <w:t>六、安全保障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" w:type="pct"/>
          <w:trHeight w:val="454" w:hRule="atLeast"/>
          <w:jc w:val="center"/>
        </w:trPr>
        <w:tc>
          <w:tcPr>
            <w:tcW w:w="171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eastAsia="zh-CN"/>
              </w:rPr>
              <w:t>每亿元生产总值生产安全事故死亡人数</w:t>
            </w:r>
          </w:p>
        </w:tc>
        <w:tc>
          <w:tcPr>
            <w:tcW w:w="8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eastAsia="zh-CN"/>
              </w:rPr>
              <w:t>人</w:t>
            </w:r>
          </w:p>
        </w:tc>
        <w:tc>
          <w:tcPr>
            <w:tcW w:w="63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0.0231</w:t>
            </w:r>
          </w:p>
        </w:tc>
        <w:tc>
          <w:tcPr>
            <w:tcW w:w="59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—</w:t>
            </w:r>
          </w:p>
        </w:tc>
        <w:tc>
          <w:tcPr>
            <w:tcW w:w="63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0.0185</w:t>
            </w:r>
          </w:p>
        </w:tc>
        <w:tc>
          <w:tcPr>
            <w:tcW w:w="5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" w:type="pct"/>
          <w:trHeight w:val="454" w:hRule="atLeast"/>
          <w:jc w:val="center"/>
        </w:trPr>
        <w:tc>
          <w:tcPr>
            <w:tcW w:w="171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eastAsia="zh-CN"/>
              </w:rPr>
              <w:t>道路交通万车死亡率</w:t>
            </w:r>
          </w:p>
        </w:tc>
        <w:tc>
          <w:tcPr>
            <w:tcW w:w="8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eastAsia="zh-CN"/>
              </w:rPr>
              <w:t>人</w:t>
            </w: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/年、万/辆</w:t>
            </w:r>
          </w:p>
        </w:tc>
        <w:tc>
          <w:tcPr>
            <w:tcW w:w="63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0.95</w:t>
            </w:r>
          </w:p>
        </w:tc>
        <w:tc>
          <w:tcPr>
            <w:tcW w:w="59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—</w:t>
            </w:r>
          </w:p>
        </w:tc>
        <w:tc>
          <w:tcPr>
            <w:tcW w:w="6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0.95</w:t>
            </w:r>
          </w:p>
        </w:tc>
        <w:tc>
          <w:tcPr>
            <w:tcW w:w="55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" w:type="pct"/>
          <w:trHeight w:val="454" w:hRule="atLeast"/>
          <w:jc w:val="center"/>
        </w:trPr>
        <w:tc>
          <w:tcPr>
            <w:tcW w:w="171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eastAsia="zh-CN"/>
              </w:rPr>
              <w:t>新开工消防站</w:t>
            </w: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/新增市政消防栓</w:t>
            </w:r>
          </w:p>
        </w:tc>
        <w:tc>
          <w:tcPr>
            <w:tcW w:w="8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63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0/24</w:t>
            </w:r>
          </w:p>
        </w:tc>
        <w:tc>
          <w:tcPr>
            <w:tcW w:w="59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—</w:t>
            </w:r>
          </w:p>
        </w:tc>
        <w:tc>
          <w:tcPr>
            <w:tcW w:w="63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0/40</w:t>
            </w:r>
          </w:p>
        </w:tc>
        <w:tc>
          <w:tcPr>
            <w:tcW w:w="5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" w:type="pct"/>
          <w:trHeight w:val="454" w:hRule="atLeast"/>
          <w:jc w:val="center"/>
        </w:trPr>
        <w:tc>
          <w:tcPr>
            <w:tcW w:w="171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eastAsia="zh-CN"/>
              </w:rPr>
              <w:t>新增人防工程</w:t>
            </w:r>
          </w:p>
        </w:tc>
        <w:tc>
          <w:tcPr>
            <w:tcW w:w="86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eastAsia="zh-CN"/>
              </w:rPr>
              <w:t>万平方米</w:t>
            </w:r>
          </w:p>
        </w:tc>
        <w:tc>
          <w:tcPr>
            <w:tcW w:w="63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1.37</w:t>
            </w:r>
          </w:p>
        </w:tc>
        <w:tc>
          <w:tcPr>
            <w:tcW w:w="59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—</w:t>
            </w:r>
          </w:p>
        </w:tc>
        <w:tc>
          <w:tcPr>
            <w:tcW w:w="63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1.63</w:t>
            </w:r>
          </w:p>
        </w:tc>
        <w:tc>
          <w:tcPr>
            <w:tcW w:w="5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" w:type="pct"/>
          <w:trHeight w:val="454" w:hRule="atLeast"/>
          <w:jc w:val="center"/>
        </w:trPr>
        <w:tc>
          <w:tcPr>
            <w:tcW w:w="4998" w:type="pct"/>
            <w:gridSpan w:val="6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eastAsia="楷体_GB2312" w:cs="楷体_GB2312"/>
                <w:sz w:val="21"/>
                <w:szCs w:val="21"/>
                <w:lang w:eastAsia="zh-CN"/>
              </w:rPr>
              <w:t>七、绿色生态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" w:type="pct"/>
          <w:trHeight w:val="454" w:hRule="atLeast"/>
          <w:jc w:val="center"/>
        </w:trPr>
        <w:tc>
          <w:tcPr>
            <w:tcW w:w="171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eastAsia="zh-CN"/>
              </w:rPr>
              <w:t>化学需氧量重点工程减排</w:t>
            </w:r>
          </w:p>
        </w:tc>
        <w:tc>
          <w:tcPr>
            <w:tcW w:w="86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eastAsia="zh-CN"/>
              </w:rPr>
              <w:t>吨</w:t>
            </w:r>
          </w:p>
        </w:tc>
        <w:tc>
          <w:tcPr>
            <w:tcW w:w="63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＞325</w:t>
            </w:r>
          </w:p>
        </w:tc>
        <w:tc>
          <w:tcPr>
            <w:tcW w:w="59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—</w:t>
            </w:r>
          </w:p>
        </w:tc>
        <w:tc>
          <w:tcPr>
            <w:tcW w:w="635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完成市定任务目标</w:t>
            </w:r>
          </w:p>
        </w:tc>
        <w:tc>
          <w:tcPr>
            <w:tcW w:w="5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" w:type="pct"/>
          <w:trHeight w:val="454" w:hRule="atLeast"/>
          <w:jc w:val="center"/>
        </w:trPr>
        <w:tc>
          <w:tcPr>
            <w:tcW w:w="171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eastAsia="zh-CN"/>
              </w:rPr>
              <w:t>氨氮重点工程减排</w:t>
            </w:r>
          </w:p>
        </w:tc>
        <w:tc>
          <w:tcPr>
            <w:tcW w:w="86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eastAsia="zh-CN"/>
              </w:rPr>
              <w:t>吨</w:t>
            </w:r>
          </w:p>
        </w:tc>
        <w:tc>
          <w:tcPr>
            <w:tcW w:w="63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＞10</w:t>
            </w:r>
          </w:p>
        </w:tc>
        <w:tc>
          <w:tcPr>
            <w:tcW w:w="59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—</w:t>
            </w:r>
          </w:p>
        </w:tc>
        <w:tc>
          <w:tcPr>
            <w:tcW w:w="63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55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71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eastAsia="zh-CN"/>
              </w:rPr>
              <w:t>挥发性有机物重点工程减排</w:t>
            </w:r>
          </w:p>
        </w:tc>
        <w:tc>
          <w:tcPr>
            <w:tcW w:w="86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eastAsia="zh-CN"/>
              </w:rPr>
              <w:t>吨</w:t>
            </w:r>
          </w:p>
        </w:tc>
        <w:tc>
          <w:tcPr>
            <w:tcW w:w="63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＞114</w:t>
            </w:r>
          </w:p>
        </w:tc>
        <w:tc>
          <w:tcPr>
            <w:tcW w:w="59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—</w:t>
            </w:r>
          </w:p>
        </w:tc>
        <w:tc>
          <w:tcPr>
            <w:tcW w:w="635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557" w:type="pct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71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eastAsia="zh-CN"/>
              </w:rPr>
              <w:t>氮氧化物重点工程减排</w:t>
            </w:r>
          </w:p>
        </w:tc>
        <w:tc>
          <w:tcPr>
            <w:tcW w:w="86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eastAsia="zh-CN"/>
              </w:rPr>
              <w:t>吨</w:t>
            </w:r>
          </w:p>
        </w:tc>
        <w:tc>
          <w:tcPr>
            <w:tcW w:w="63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＞424</w:t>
            </w:r>
          </w:p>
        </w:tc>
        <w:tc>
          <w:tcPr>
            <w:tcW w:w="59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—</w:t>
            </w:r>
          </w:p>
        </w:tc>
        <w:tc>
          <w:tcPr>
            <w:tcW w:w="63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557" w:type="pct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71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优良水体比例</w:t>
            </w:r>
          </w:p>
        </w:tc>
        <w:tc>
          <w:tcPr>
            <w:tcW w:w="86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63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59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—</w:t>
            </w:r>
          </w:p>
        </w:tc>
        <w:tc>
          <w:tcPr>
            <w:tcW w:w="63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557" w:type="pct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71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eastAsia="zh-CN"/>
              </w:rPr>
              <w:t>劣</w:t>
            </w: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V类水体比例</w:t>
            </w:r>
          </w:p>
        </w:tc>
        <w:tc>
          <w:tcPr>
            <w:tcW w:w="86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63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—</w:t>
            </w:r>
          </w:p>
        </w:tc>
        <w:tc>
          <w:tcPr>
            <w:tcW w:w="63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7" w:type="pct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71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PM2.5</w:t>
            </w:r>
          </w:p>
        </w:tc>
        <w:tc>
          <w:tcPr>
            <w:tcW w:w="86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eastAsia="zh-CN"/>
              </w:rPr>
              <w:t>微克每立方米</w:t>
            </w:r>
          </w:p>
        </w:tc>
        <w:tc>
          <w:tcPr>
            <w:tcW w:w="63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59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10.2</w:t>
            </w:r>
          </w:p>
        </w:tc>
        <w:tc>
          <w:tcPr>
            <w:tcW w:w="63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持续改善</w:t>
            </w:r>
          </w:p>
        </w:tc>
        <w:tc>
          <w:tcPr>
            <w:tcW w:w="557" w:type="pct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不反弹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71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eastAsia="zh-CN"/>
              </w:rPr>
              <w:t>优良天数比例</w:t>
            </w:r>
          </w:p>
        </w:tc>
        <w:tc>
          <w:tcPr>
            <w:tcW w:w="86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63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67</w:t>
            </w:r>
          </w:p>
        </w:tc>
        <w:tc>
          <w:tcPr>
            <w:tcW w:w="59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3.4</w:t>
            </w:r>
          </w:p>
        </w:tc>
        <w:tc>
          <w:tcPr>
            <w:tcW w:w="63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完成上级下达的任务目标</w:t>
            </w:r>
          </w:p>
        </w:tc>
        <w:tc>
          <w:tcPr>
            <w:tcW w:w="557" w:type="pct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1"/>
                <w:szCs w:val="21"/>
                <w:lang w:val="en-US" w:eastAsia="zh-CN"/>
              </w:rPr>
              <w:t>—</w:t>
            </w:r>
          </w:p>
        </w:tc>
      </w:tr>
    </w:tbl>
    <w:p>
      <w:pPr>
        <w:pStyle w:val="5"/>
        <w:rPr>
          <w:rFonts w:hint="eastAsia" w:ascii="宋体" w:hAnsi="宋体" w:eastAsia="仿宋_GB2312" w:cs="仿宋_GB2312"/>
          <w:b w:val="0"/>
          <w:bCs/>
          <w:lang w:val="en-US" w:eastAsia="zh-CN"/>
        </w:rPr>
      </w:pPr>
    </w:p>
    <w:p>
      <w:pPr>
        <w:rPr>
          <w:rFonts w:hint="eastAsia" w:ascii="宋体" w:hAnsi="宋体" w:eastAsia="仿宋_GB2312" w:cs="仿宋_GB2312"/>
          <w:b w:val="0"/>
          <w:bCs/>
          <w:lang w:val="en-US" w:eastAsia="zh-CN"/>
        </w:rPr>
      </w:pPr>
    </w:p>
    <w:p>
      <w:pPr>
        <w:pStyle w:val="2"/>
        <w:rPr>
          <w:rFonts w:hint="eastAsia" w:ascii="宋体" w:hAnsi="宋体" w:eastAsia="仿宋_GB2312" w:cs="仿宋_GB2312"/>
          <w:b w:val="0"/>
          <w:bCs/>
          <w:lang w:val="en-US" w:eastAsia="zh-CN"/>
        </w:rPr>
      </w:pPr>
    </w:p>
    <w:p>
      <w:pPr>
        <w:pStyle w:val="13"/>
        <w:spacing w:line="588" w:lineRule="exact"/>
        <w:ind w:right="663"/>
        <w:jc w:val="both"/>
        <w:rPr>
          <w:rFonts w:hint="eastAsia" w:ascii="宋体" w:hAnsi="宋体" w:eastAsia="仿宋_GB2312"/>
          <w:sz w:val="32"/>
        </w:rPr>
      </w:pPr>
    </w:p>
    <w:p>
      <w:pPr>
        <w:pStyle w:val="13"/>
        <w:spacing w:line="588" w:lineRule="exact"/>
        <w:ind w:right="663"/>
        <w:jc w:val="both"/>
        <w:rPr>
          <w:rFonts w:hint="eastAsia" w:ascii="宋体" w:hAnsi="宋体" w:eastAsia="仿宋_GB2312"/>
          <w:sz w:val="32"/>
        </w:rPr>
      </w:pPr>
    </w:p>
    <w:p>
      <w:pPr>
        <w:pStyle w:val="13"/>
        <w:spacing w:line="588" w:lineRule="exact"/>
        <w:ind w:right="663"/>
        <w:jc w:val="both"/>
        <w:rPr>
          <w:rFonts w:hint="eastAsia" w:ascii="宋体" w:hAnsi="宋体" w:eastAsia="仿宋_GB2312"/>
          <w:sz w:val="32"/>
        </w:rPr>
      </w:pPr>
    </w:p>
    <w:p>
      <w:pPr>
        <w:pStyle w:val="13"/>
        <w:spacing w:line="588" w:lineRule="exact"/>
        <w:ind w:right="663"/>
        <w:jc w:val="both"/>
        <w:rPr>
          <w:rFonts w:hint="eastAsia" w:ascii="宋体" w:hAnsi="宋体" w:eastAsia="仿宋_GB2312"/>
          <w:sz w:val="32"/>
        </w:rPr>
      </w:pPr>
    </w:p>
    <w:p>
      <w:pPr>
        <w:pStyle w:val="13"/>
        <w:spacing w:line="588" w:lineRule="exact"/>
        <w:ind w:right="663"/>
        <w:jc w:val="both"/>
        <w:rPr>
          <w:rFonts w:hint="eastAsia" w:ascii="宋体" w:hAnsi="宋体" w:eastAsia="仿宋_GB2312"/>
          <w:sz w:val="32"/>
        </w:rPr>
      </w:pPr>
    </w:p>
    <w:p>
      <w:pPr>
        <w:pStyle w:val="13"/>
        <w:spacing w:line="588" w:lineRule="exact"/>
        <w:ind w:right="663"/>
        <w:jc w:val="both"/>
        <w:rPr>
          <w:rFonts w:hint="eastAsia" w:ascii="宋体" w:hAnsi="宋体" w:eastAsia="仿宋_GB2312"/>
          <w:sz w:val="32"/>
        </w:rPr>
      </w:pPr>
    </w:p>
    <w:p>
      <w:pPr>
        <w:pStyle w:val="13"/>
        <w:spacing w:line="588" w:lineRule="exact"/>
        <w:ind w:right="663"/>
        <w:jc w:val="both"/>
        <w:rPr>
          <w:rFonts w:hint="eastAsia" w:ascii="宋体" w:hAnsi="宋体" w:eastAsia="仿宋_GB2312"/>
          <w:sz w:val="32"/>
        </w:rPr>
      </w:pPr>
    </w:p>
    <w:p>
      <w:pPr>
        <w:pStyle w:val="13"/>
        <w:spacing w:line="588" w:lineRule="exact"/>
        <w:ind w:right="663"/>
        <w:jc w:val="both"/>
        <w:rPr>
          <w:rFonts w:hint="eastAsia" w:ascii="宋体" w:hAnsi="宋体" w:eastAsia="仿宋_GB2312"/>
          <w:sz w:val="32"/>
        </w:rPr>
      </w:pPr>
    </w:p>
    <w:p>
      <w:pPr>
        <w:pStyle w:val="13"/>
        <w:spacing w:line="588" w:lineRule="exact"/>
        <w:ind w:right="663"/>
        <w:jc w:val="both"/>
        <w:rPr>
          <w:rFonts w:hint="eastAsia" w:ascii="宋体" w:hAnsi="宋体" w:eastAsia="仿宋_GB2312"/>
          <w:sz w:val="32"/>
        </w:rPr>
      </w:pPr>
    </w:p>
    <w:p>
      <w:pPr>
        <w:pStyle w:val="13"/>
        <w:spacing w:line="588" w:lineRule="exact"/>
        <w:ind w:right="663"/>
        <w:jc w:val="both"/>
        <w:rPr>
          <w:rFonts w:hint="eastAsia" w:ascii="宋体" w:hAnsi="宋体" w:eastAsia="仿宋_GB2312"/>
          <w:sz w:val="32"/>
        </w:rPr>
      </w:pPr>
    </w:p>
    <w:p>
      <w:pPr>
        <w:pStyle w:val="13"/>
        <w:spacing w:line="588" w:lineRule="exact"/>
        <w:ind w:right="663"/>
        <w:jc w:val="both"/>
        <w:rPr>
          <w:rFonts w:hint="eastAsia" w:ascii="宋体" w:hAnsi="宋体" w:eastAsia="仿宋_GB2312"/>
          <w:sz w:val="32"/>
        </w:rPr>
      </w:pPr>
    </w:p>
    <w:p>
      <w:pPr>
        <w:pStyle w:val="13"/>
        <w:spacing w:line="588" w:lineRule="exact"/>
        <w:ind w:right="663"/>
        <w:jc w:val="both"/>
        <w:rPr>
          <w:rFonts w:hint="eastAsia" w:ascii="宋体" w:hAnsi="宋体" w:eastAsia="仿宋_GB2312"/>
          <w:sz w:val="32"/>
        </w:rPr>
      </w:pPr>
    </w:p>
    <w:p>
      <w:pPr>
        <w:pStyle w:val="13"/>
        <w:spacing w:line="588" w:lineRule="exact"/>
        <w:ind w:right="663"/>
        <w:jc w:val="both"/>
        <w:rPr>
          <w:rFonts w:hint="eastAsia" w:ascii="宋体" w:hAnsi="宋体" w:eastAsia="仿宋_GB2312"/>
          <w:sz w:val="32"/>
        </w:rPr>
      </w:pPr>
    </w:p>
    <w:p>
      <w:pPr>
        <w:pStyle w:val="13"/>
        <w:spacing w:line="588" w:lineRule="exact"/>
        <w:ind w:right="663"/>
        <w:jc w:val="both"/>
        <w:rPr>
          <w:rFonts w:hint="eastAsia" w:ascii="宋体" w:hAnsi="宋体" w:eastAsia="仿宋_GB2312"/>
          <w:sz w:val="32"/>
        </w:rPr>
      </w:pPr>
    </w:p>
    <w:p>
      <w:pPr>
        <w:pStyle w:val="13"/>
        <w:spacing w:line="588" w:lineRule="exact"/>
        <w:ind w:right="663"/>
        <w:jc w:val="both"/>
        <w:rPr>
          <w:rFonts w:hint="eastAsia" w:ascii="宋体" w:hAnsi="宋体" w:eastAsia="仿宋_GB2312"/>
          <w:sz w:val="32"/>
        </w:rPr>
      </w:pPr>
    </w:p>
    <w:p>
      <w:pPr>
        <w:pStyle w:val="13"/>
        <w:spacing w:line="588" w:lineRule="exact"/>
        <w:ind w:right="663"/>
        <w:jc w:val="both"/>
        <w:rPr>
          <w:rFonts w:hint="eastAsia" w:ascii="宋体" w:hAnsi="宋体" w:eastAsia="仿宋_GB2312"/>
          <w:sz w:val="32"/>
        </w:rPr>
      </w:pPr>
    </w:p>
    <w:p>
      <w:pPr>
        <w:pStyle w:val="13"/>
        <w:spacing w:line="588" w:lineRule="exact"/>
        <w:ind w:right="663"/>
        <w:jc w:val="both"/>
        <w:rPr>
          <w:rFonts w:hint="eastAsia" w:ascii="宋体" w:hAnsi="宋体" w:eastAsia="仿宋_GB2312"/>
          <w:sz w:val="32"/>
        </w:rPr>
      </w:pPr>
    </w:p>
    <w:p>
      <w:pPr>
        <w:pStyle w:val="13"/>
        <w:spacing w:line="588" w:lineRule="exact"/>
        <w:ind w:right="663"/>
        <w:jc w:val="both"/>
        <w:rPr>
          <w:rFonts w:hint="eastAsia" w:ascii="宋体" w:hAnsi="宋体" w:eastAsia="仿宋_GB2312"/>
          <w:sz w:val="32"/>
        </w:rPr>
      </w:pPr>
    </w:p>
    <w:p>
      <w:pPr>
        <w:pStyle w:val="13"/>
        <w:spacing w:line="588" w:lineRule="exact"/>
        <w:ind w:right="663"/>
        <w:jc w:val="both"/>
        <w:rPr>
          <w:rFonts w:hint="eastAsia" w:ascii="宋体" w:hAnsi="宋体" w:eastAsia="仿宋_GB2312"/>
          <w:sz w:val="32"/>
        </w:rPr>
      </w:pPr>
    </w:p>
    <w:tbl>
      <w:tblPr>
        <w:tblStyle w:val="7"/>
        <w:tblW w:w="0" w:type="auto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9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8759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 xml:space="preserve">泗水县人民政府办公室　　　  </w:t>
            </w:r>
            <w:r>
              <w:rPr>
                <w:rFonts w:hint="eastAsia" w:ascii="宋体" w:hAnsi="宋体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/>
                <w:sz w:val="28"/>
                <w:szCs w:val="28"/>
              </w:rPr>
              <w:t xml:space="preserve">  　    　　20</w:t>
            </w:r>
            <w:r>
              <w:rPr>
                <w:rFonts w:ascii="宋体" w:hAnsi="宋体" w:eastAsia="仿宋_GB2312"/>
                <w:sz w:val="28"/>
                <w:szCs w:val="28"/>
              </w:rPr>
              <w:t>2</w:t>
            </w:r>
            <w:r>
              <w:rPr>
                <w:rFonts w:hint="eastAsia" w:ascii="宋体" w:hAnsi="宋体" w:eastAsia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仿宋_GB2312"/>
                <w:sz w:val="28"/>
                <w:szCs w:val="28"/>
              </w:rPr>
              <w:t>年</w:t>
            </w:r>
            <w:r>
              <w:rPr>
                <w:rFonts w:hint="eastAsia" w:ascii="宋体" w:hAnsi="宋体" w:eastAsia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eastAsia="仿宋_GB2312"/>
                <w:sz w:val="28"/>
                <w:szCs w:val="28"/>
              </w:rPr>
              <w:t>月</w:t>
            </w:r>
            <w:r>
              <w:rPr>
                <w:rFonts w:hint="eastAsia" w:ascii="宋体" w:hAnsi="宋体" w:eastAsia="仿宋_GB2312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宋体" w:hAnsi="宋体" w:eastAsia="仿宋_GB2312"/>
                <w:sz w:val="28"/>
                <w:szCs w:val="28"/>
              </w:rPr>
              <w:t>日印发</w:t>
            </w:r>
          </w:p>
        </w:tc>
      </w:tr>
    </w:tbl>
    <w:p>
      <w:pPr>
        <w:pStyle w:val="13"/>
        <w:spacing w:line="40" w:lineRule="exact"/>
        <w:ind w:right="663"/>
        <w:jc w:val="both"/>
        <w:rPr>
          <w:rFonts w:hint="eastAsia" w:ascii="宋体" w:hAnsi="宋体" w:eastAsia="仿宋_GB2312"/>
          <w:sz w:val="32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textAlignment w:val="auto"/>
        <w:rPr>
          <w:rFonts w:hint="eastAsia" w:ascii="宋体" w:hAnsi="宋体"/>
          <w:lang w:val="en-US" w:eastAsia="zh-CN"/>
        </w:rPr>
      </w:pP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-193675</wp:posOffset>
                </wp:positionH>
                <wp:positionV relativeFrom="paragraph">
                  <wp:posOffset>114935</wp:posOffset>
                </wp:positionV>
                <wp:extent cx="1344295" cy="546735"/>
                <wp:effectExtent l="0" t="0" r="8255" b="571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14070" y="9316720"/>
                          <a:ext cx="1344295" cy="5467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5.25pt;margin-top:9.05pt;height:43.05pt;width:105.85pt;z-index:251659264;v-text-anchor:middle;mso-width-relative:page;mso-height-relative:page;" fillcolor="#FFFFFF [3212]" filled="t" stroked="f" coordsize="21600,21600" o:gfxdata="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H/w8bLZAAAACgEAAA8AAAAAAAAAAQAgAAAAIgAAAGRy&#10;cy9kb3ducmV2LnhtbFBLAQIUABQAAAAIAIdO4kCBeHW1dgIAANYEAAAOAAAAAAAAAAEAIAAAACgB&#10;AABkcnMvZTJvRG9jLnhtbFBLBQYAAAAABgAGAFkBAAAQ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sectPr>
      <w:footerReference r:id="rId3" w:type="default"/>
      <w:footerReference r:id="rId4" w:type="even"/>
      <w:pgSz w:w="11906" w:h="16838"/>
      <w:pgMar w:top="1871" w:right="1587" w:bottom="1814" w:left="1587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5893ECE-0C3B-4793-BE0D-243B6ABEE947}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8D281C2-63D2-48F6-84CB-20D8A6E20EAD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05982CA2-25D5-4B5B-8E6A-00D1FD309A4B}"/>
  </w:font>
  <w:font w:name="AdobeHeitiStd-Regular,Bold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4" w:fontKey="{4F938CF0-3C0C-4465-A71A-ED50FCC6C568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7F5B98CA-5301-4E71-804A-9B781A156B2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BE9E70D0-B4E9-4226-8F5B-F7EB8A5FB26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hint="eastAsia" w:ascii="宋体" w:hAnsi="宋体" w:eastAsia="宋体" w:cs="宋体"/>
        <w:sz w:val="28"/>
        <w:szCs w:val="28"/>
      </w:rPr>
    </w:pPr>
    <w:bookmarkStart w:id="3" w:name="OLE_LINK2"/>
    <w:r>
      <w:rPr>
        <w:rStyle w:val="9"/>
        <w:rFonts w:hint="eastAsia" w:ascii="宋体" w:hAnsi="宋体" w:eastAsia="宋体" w:cs="宋体"/>
        <w:sz w:val="28"/>
        <w:szCs w:val="28"/>
      </w:rPr>
      <w:t xml:space="preserve">— </w:t>
    </w:r>
    <w:r>
      <w:rPr>
        <w:rStyle w:val="9"/>
        <w:rFonts w:hint="eastAsia" w:ascii="宋体" w:hAnsi="宋体" w:eastAsia="宋体" w:cs="宋体"/>
        <w:sz w:val="28"/>
        <w:szCs w:val="28"/>
      </w:rPr>
      <w:fldChar w:fldCharType="begin"/>
    </w:r>
    <w:r>
      <w:rPr>
        <w:rStyle w:val="9"/>
        <w:rFonts w:hint="eastAsia" w:ascii="宋体" w:hAnsi="宋体" w:eastAsia="宋体" w:cs="宋体"/>
        <w:sz w:val="28"/>
        <w:szCs w:val="28"/>
      </w:rPr>
      <w:instrText xml:space="preserve">PAGE  </w:instrText>
    </w:r>
    <w:r>
      <w:rPr>
        <w:rStyle w:val="9"/>
        <w:rFonts w:hint="eastAsia" w:ascii="宋体" w:hAnsi="宋体" w:eastAsia="宋体" w:cs="宋体"/>
        <w:sz w:val="28"/>
        <w:szCs w:val="28"/>
      </w:rPr>
      <w:fldChar w:fldCharType="separate"/>
    </w:r>
    <w:r>
      <w:rPr>
        <w:rStyle w:val="9"/>
        <w:rFonts w:hint="eastAsia" w:ascii="宋体" w:hAnsi="宋体" w:eastAsia="宋体" w:cs="宋体"/>
        <w:sz w:val="28"/>
        <w:szCs w:val="28"/>
      </w:rPr>
      <w:t>1</w:t>
    </w:r>
    <w:r>
      <w:rPr>
        <w:rStyle w:val="9"/>
        <w:rFonts w:hint="eastAsia" w:ascii="宋体" w:hAnsi="宋体" w:eastAsia="宋体" w:cs="宋体"/>
        <w:sz w:val="28"/>
        <w:szCs w:val="28"/>
      </w:rPr>
      <w:fldChar w:fldCharType="end"/>
    </w:r>
    <w:r>
      <w:rPr>
        <w:rStyle w:val="9"/>
        <w:rFonts w:hint="eastAsia" w:ascii="宋体" w:hAnsi="宋体" w:eastAsia="宋体" w:cs="宋体"/>
        <w:sz w:val="28"/>
        <w:szCs w:val="28"/>
      </w:rPr>
      <w:t xml:space="preserve"> —</w:t>
    </w:r>
    <w:bookmarkEnd w:id="3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left"/>
    </w:pPr>
    <w:r>
      <w:rPr>
        <w:rStyle w:val="9"/>
        <w:rFonts w:hint="eastAsia" w:ascii="宋体" w:hAnsi="宋体" w:eastAsia="宋体" w:cs="宋体"/>
        <w:sz w:val="28"/>
        <w:szCs w:val="28"/>
      </w:rPr>
      <w:t xml:space="preserve">— </w:t>
    </w:r>
    <w:r>
      <w:rPr>
        <w:rStyle w:val="9"/>
        <w:rFonts w:hint="eastAsia" w:ascii="宋体" w:hAnsi="宋体" w:eastAsia="宋体" w:cs="宋体"/>
        <w:sz w:val="28"/>
        <w:szCs w:val="28"/>
      </w:rPr>
      <w:fldChar w:fldCharType="begin"/>
    </w:r>
    <w:r>
      <w:rPr>
        <w:rStyle w:val="9"/>
        <w:rFonts w:hint="eastAsia" w:ascii="宋体" w:hAnsi="宋体" w:eastAsia="宋体" w:cs="宋体"/>
        <w:sz w:val="28"/>
        <w:szCs w:val="28"/>
      </w:rPr>
      <w:instrText xml:space="preserve">PAGE  </w:instrText>
    </w:r>
    <w:r>
      <w:rPr>
        <w:rStyle w:val="9"/>
        <w:rFonts w:hint="eastAsia" w:ascii="宋体" w:hAnsi="宋体" w:eastAsia="宋体" w:cs="宋体"/>
        <w:sz w:val="28"/>
        <w:szCs w:val="28"/>
      </w:rPr>
      <w:fldChar w:fldCharType="separate"/>
    </w:r>
    <w:r>
      <w:rPr>
        <w:rStyle w:val="9"/>
        <w:rFonts w:hint="eastAsia" w:ascii="宋体" w:hAnsi="宋体" w:eastAsia="宋体" w:cs="宋体"/>
        <w:sz w:val="28"/>
        <w:szCs w:val="28"/>
      </w:rPr>
      <w:t>1</w:t>
    </w:r>
    <w:r>
      <w:rPr>
        <w:rStyle w:val="9"/>
        <w:rFonts w:hint="eastAsia" w:ascii="宋体" w:hAnsi="宋体" w:eastAsia="宋体" w:cs="宋体"/>
        <w:sz w:val="28"/>
        <w:szCs w:val="28"/>
      </w:rPr>
      <w:fldChar w:fldCharType="end"/>
    </w:r>
    <w:r>
      <w:rPr>
        <w:rStyle w:val="9"/>
        <w:rFonts w:hint="eastAsia" w:ascii="宋体" w:hAnsi="宋体" w:eastAsia="宋体" w:cs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TrueTypeFonts/>
  <w:saveSubset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wNzE0MDhkMjUwNDdlNDVlY2FkM2UxMGQ3N2U3YTkifQ=="/>
  </w:docVars>
  <w:rsids>
    <w:rsidRoot w:val="6FA84364"/>
    <w:rsid w:val="001E0B21"/>
    <w:rsid w:val="03EB4680"/>
    <w:rsid w:val="04B54A0D"/>
    <w:rsid w:val="05D76EF2"/>
    <w:rsid w:val="092267A7"/>
    <w:rsid w:val="0B1D378B"/>
    <w:rsid w:val="0FB47665"/>
    <w:rsid w:val="0FED165F"/>
    <w:rsid w:val="11640195"/>
    <w:rsid w:val="1B577770"/>
    <w:rsid w:val="1C20191D"/>
    <w:rsid w:val="1C8C5D21"/>
    <w:rsid w:val="1CB742D4"/>
    <w:rsid w:val="227A2CFE"/>
    <w:rsid w:val="242A0E8A"/>
    <w:rsid w:val="26B532BF"/>
    <w:rsid w:val="293E4D87"/>
    <w:rsid w:val="2A3F2902"/>
    <w:rsid w:val="2ABC6F8E"/>
    <w:rsid w:val="2CA567FD"/>
    <w:rsid w:val="2D5E539D"/>
    <w:rsid w:val="2F2D19B7"/>
    <w:rsid w:val="3A40734F"/>
    <w:rsid w:val="3F697E60"/>
    <w:rsid w:val="42B27DC1"/>
    <w:rsid w:val="443947BF"/>
    <w:rsid w:val="472C4684"/>
    <w:rsid w:val="49253310"/>
    <w:rsid w:val="49AF1D98"/>
    <w:rsid w:val="49B74350"/>
    <w:rsid w:val="4E6F6FBA"/>
    <w:rsid w:val="500B4368"/>
    <w:rsid w:val="548E5CAE"/>
    <w:rsid w:val="58533496"/>
    <w:rsid w:val="5B1C3D38"/>
    <w:rsid w:val="60F20A05"/>
    <w:rsid w:val="63AB173F"/>
    <w:rsid w:val="67DA787B"/>
    <w:rsid w:val="69F234FA"/>
    <w:rsid w:val="6BD76987"/>
    <w:rsid w:val="6C627B71"/>
    <w:rsid w:val="6F2C763D"/>
    <w:rsid w:val="6FA84364"/>
    <w:rsid w:val="6FAD51E7"/>
    <w:rsid w:val="71332527"/>
    <w:rsid w:val="717964F5"/>
    <w:rsid w:val="722B68E0"/>
    <w:rsid w:val="73BC23E0"/>
    <w:rsid w:val="75A40F60"/>
    <w:rsid w:val="78BD7028"/>
    <w:rsid w:val="7B4056A4"/>
    <w:rsid w:val="7BE424D4"/>
    <w:rsid w:val="7CDD764F"/>
    <w:rsid w:val="7D044EED"/>
    <w:rsid w:val="7DEB13B5"/>
    <w:rsid w:val="7ECB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0"/>
    <w:pPr>
      <w:spacing w:after="120" w:line="480" w:lineRule="auto"/>
      <w:ind w:left="420" w:leftChars="200"/>
    </w:pPr>
  </w:style>
  <w:style w:type="paragraph" w:customStyle="1" w:styleId="3">
    <w:name w:val="reader-word-layer reader-word-s46-2"/>
    <w:basedOn w:val="1"/>
    <w:next w:val="4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4">
    <w:name w:val="xl35"/>
    <w:basedOn w:val="1"/>
    <w:next w:val="1"/>
    <w:qFormat/>
    <w:uiPriority w:val="0"/>
    <w:pPr>
      <w:widowControl/>
      <w:pBdr>
        <w:left w:val="single" w:color="000000" w:sz="4" w:space="0"/>
        <w:right w:val="single" w:color="000000" w:sz="4" w:space="0"/>
      </w:pBdr>
      <w:shd w:val="clear" w:color="FFFFFF" w:fill="FFFFFF"/>
      <w:spacing w:beforeAutospacing="1" w:afterAutospacing="1"/>
      <w:jc w:val="left"/>
    </w:pPr>
    <w:rPr>
      <w:rFonts w:ascii="Arial Unicode MS" w:hAnsi="Arial Unicode MS" w:eastAsia="Arial Unicode MS"/>
      <w:kern w:val="0"/>
      <w:sz w:val="24"/>
    </w:rPr>
  </w:style>
  <w:style w:type="paragraph" w:styleId="5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page number"/>
    <w:basedOn w:val="8"/>
    <w:qFormat/>
    <w:uiPriority w:val="0"/>
  </w:style>
  <w:style w:type="paragraph" w:customStyle="1" w:styleId="10">
    <w:name w:val="文件格式"/>
    <w:qFormat/>
    <w:uiPriority w:val="0"/>
    <w:pPr>
      <w:spacing w:line="460" w:lineRule="atLeast"/>
      <w:ind w:left="1" w:firstLine="419"/>
      <w:jc w:val="both"/>
      <w:textAlignment w:val="bottom"/>
    </w:pPr>
    <w:rPr>
      <w:rFonts w:ascii="Times New Roman" w:hAnsi="Times New Roman" w:eastAsia="仿宋_GB2312" w:cs="Times New Roman"/>
      <w:sz w:val="32"/>
      <w:szCs w:val="22"/>
      <w:lang w:val="en-US" w:eastAsia="zh-CN" w:bidi="ar-SA"/>
    </w:rPr>
  </w:style>
  <w:style w:type="character" w:customStyle="1" w:styleId="11">
    <w:name w:val="NormalCharacter"/>
    <w:link w:val="12"/>
    <w:semiHidden/>
    <w:qFormat/>
    <w:uiPriority w:val="0"/>
  </w:style>
  <w:style w:type="paragraph" w:customStyle="1" w:styleId="12">
    <w:name w:val="UserStyle_5"/>
    <w:basedOn w:val="1"/>
    <w:link w:val="11"/>
    <w:qFormat/>
    <w:uiPriority w:val="0"/>
    <w:pPr>
      <w:shd w:val="clear" w:color="auto" w:fill="000080"/>
      <w:textAlignment w:val="baseline"/>
    </w:pPr>
  </w:style>
  <w:style w:type="paragraph" w:customStyle="1" w:styleId="13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6434</Words>
  <Characters>6885</Characters>
  <Lines>0</Lines>
  <Paragraphs>0</Paragraphs>
  <TotalTime>5</TotalTime>
  <ScaleCrop>false</ScaleCrop>
  <LinksUpToDate>false</LinksUpToDate>
  <CharactersWithSpaces>6902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2023-04-26T15:04:00Z</dcterms:created>
  <dc:creator>wang</dc:creator>
  <cp:lastModifiedBy>WPS_1661510369</cp:lastModifiedBy>
  <dcterms:modified xsi:type="dcterms:W3CDTF">2023-06-15T02:01:33Z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782A04F4E5A04C16B617A00CC4D242AE_13</vt:lpwstr>
  </property>
</Properties>
</file>